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04226" w14:textId="01D3FE77" w:rsidR="00D923AA" w:rsidRPr="007B010A" w:rsidRDefault="00D923AA" w:rsidP="00D923AA">
      <w:pPr>
        <w:jc w:val="center"/>
        <w:rPr>
          <w:b/>
          <w:bCs/>
          <w:sz w:val="26"/>
          <w:szCs w:val="26"/>
        </w:rPr>
      </w:pPr>
      <w:r w:rsidRPr="007B010A">
        <w:rPr>
          <w:b/>
          <w:bCs/>
          <w:sz w:val="26"/>
          <w:szCs w:val="26"/>
        </w:rPr>
        <w:t>Informatīvais ziņojums “Par veselības reformas pasākumu īstenošanas rezultātiem veselības aprūpē 2018.gad</w:t>
      </w:r>
      <w:r w:rsidR="007C2E12" w:rsidRPr="007B010A">
        <w:rPr>
          <w:b/>
          <w:bCs/>
          <w:sz w:val="26"/>
          <w:szCs w:val="26"/>
        </w:rPr>
        <w:t>ā</w:t>
      </w:r>
      <w:r w:rsidRPr="007B010A">
        <w:rPr>
          <w:b/>
          <w:bCs/>
          <w:sz w:val="26"/>
          <w:szCs w:val="26"/>
        </w:rPr>
        <w:t>”</w:t>
      </w:r>
    </w:p>
    <w:p w14:paraId="67569FB7" w14:textId="77777777" w:rsidR="00D923AA" w:rsidRPr="007B010A" w:rsidRDefault="00D923AA" w:rsidP="00D923AA">
      <w:pPr>
        <w:spacing w:after="80"/>
        <w:ind w:firstLine="720"/>
        <w:jc w:val="both"/>
      </w:pPr>
    </w:p>
    <w:p w14:paraId="013A2F9D" w14:textId="3259FEF2" w:rsidR="00D923AA" w:rsidRPr="007B010A" w:rsidRDefault="00D923AA" w:rsidP="00D923AA">
      <w:pPr>
        <w:spacing w:after="80"/>
        <w:ind w:firstLine="720"/>
        <w:jc w:val="both"/>
      </w:pPr>
      <w:r w:rsidRPr="007B010A">
        <w:t>Informatīvais ziņojums ir sagatavots atbilstoši Ministru kabineta 2017.gada 19.decembra sēdes protokola Nr.63 66§ 5.punktam, kurš nosaka Veselības ministrijai kontrolēt veselības reformas pasākumu iznākumu rādītāju izpildi un līdz 201</w:t>
      </w:r>
      <w:r w:rsidR="00C3769C" w:rsidRPr="007B010A">
        <w:t>9</w:t>
      </w:r>
      <w:r w:rsidRPr="007B010A">
        <w:t>.gada 1.</w:t>
      </w:r>
      <w:r w:rsidR="00C3769C" w:rsidRPr="007B010A">
        <w:t>martam</w:t>
      </w:r>
      <w:r w:rsidRPr="007B010A">
        <w:t xml:space="preserve"> iesniegt Finanšu ministrijai ziņojumu par progresu iznākuma rādītāju sasniegšanā 2018.gadā. </w:t>
      </w:r>
    </w:p>
    <w:p w14:paraId="30413E60" w14:textId="77777777" w:rsidR="00D923AA" w:rsidRPr="007B010A" w:rsidRDefault="00D923AA" w:rsidP="00D923AA">
      <w:pPr>
        <w:shd w:val="clear" w:color="auto" w:fill="FFFFFF"/>
        <w:tabs>
          <w:tab w:val="left" w:pos="1134"/>
        </w:tabs>
        <w:spacing w:after="80"/>
        <w:jc w:val="both"/>
        <w:rPr>
          <w:sz w:val="26"/>
          <w:szCs w:val="26"/>
        </w:rPr>
      </w:pPr>
    </w:p>
    <w:p w14:paraId="5202C663" w14:textId="77777777" w:rsidR="00D923AA" w:rsidRPr="007B010A" w:rsidRDefault="00D923AA" w:rsidP="00D923AA">
      <w:pPr>
        <w:pStyle w:val="Heading1"/>
        <w:numPr>
          <w:ilvl w:val="0"/>
          <w:numId w:val="2"/>
        </w:numPr>
        <w:spacing w:before="0" w:after="200"/>
        <w:ind w:left="357" w:hanging="357"/>
        <w:jc w:val="center"/>
        <w:rPr>
          <w:rFonts w:ascii="Times New Roman" w:hAnsi="Times New Roman" w:cs="Times New Roman"/>
          <w:b/>
          <w:color w:val="auto"/>
          <w:sz w:val="26"/>
          <w:szCs w:val="26"/>
        </w:rPr>
      </w:pPr>
      <w:r w:rsidRPr="007B010A">
        <w:rPr>
          <w:rFonts w:ascii="Times New Roman" w:hAnsi="Times New Roman" w:cs="Times New Roman"/>
          <w:b/>
          <w:color w:val="auto"/>
          <w:sz w:val="26"/>
          <w:szCs w:val="26"/>
        </w:rPr>
        <w:t xml:space="preserve">Pieejamais finansējums reformu īstenošanai </w:t>
      </w:r>
    </w:p>
    <w:p w14:paraId="4F819D51" w14:textId="77777777" w:rsidR="00D923AA" w:rsidRPr="007B010A" w:rsidRDefault="00D923AA" w:rsidP="00D923AA">
      <w:pPr>
        <w:ind w:firstLine="720"/>
        <w:jc w:val="both"/>
      </w:pPr>
      <w:r w:rsidRPr="007B010A">
        <w:t xml:space="preserve">Ar Ministru kabineta 2017.gada 19.decembra sēdes protokola Nr.63 66§ 2.punktu, Veselības ministrijai 2018.gadā no budžeta resora "74.Gadskārtējā valsts budžeta izpildes procesā pārdalāmais finansējums" 08.00.00 programmas "Veselības aprūpes sistēmas reformas ieviešanas finansējums" rezervētā finansējuma piešķirts finansējums 113 400 000 </w:t>
      </w:r>
      <w:proofErr w:type="spellStart"/>
      <w:r w:rsidRPr="007B010A">
        <w:rPr>
          <w:i/>
        </w:rPr>
        <w:t>euro</w:t>
      </w:r>
      <w:proofErr w:type="spellEnd"/>
      <w:r w:rsidRPr="007B010A">
        <w:rPr>
          <w:i/>
        </w:rPr>
        <w:t xml:space="preserve"> </w:t>
      </w:r>
      <w:r w:rsidRPr="007B010A">
        <w:t xml:space="preserve">apmērā veselības aprūpes pakalpojumu pieejamības nodrošināšanas reformām, lai uzlabotu veselības aprūpes pakalpojumu pieejamību, onkoloģisko saslimšanu diagnostikas un ārstēšanas pieejamību, infekcijas slimību izplatības mazināšanu, primārās veselības aprūpes sistēmas kvalitātes un pieejamības uzlabošanai, kā arī </w:t>
      </w:r>
      <w:proofErr w:type="spellStart"/>
      <w:r w:rsidRPr="007B010A">
        <w:t>kardiovaskulārās</w:t>
      </w:r>
      <w:proofErr w:type="spellEnd"/>
      <w:r w:rsidRPr="007B010A">
        <w:t xml:space="preserve"> saslimstības mazināšanai un slimību ārstēšanas efektivitātes uzlabošanai. </w:t>
      </w:r>
    </w:p>
    <w:p w14:paraId="3A7D0A63" w14:textId="660D34A8" w:rsidR="00D923AA" w:rsidRPr="007B010A" w:rsidRDefault="00D923AA" w:rsidP="00D923AA">
      <w:pPr>
        <w:ind w:firstLine="709"/>
        <w:contextualSpacing/>
        <w:jc w:val="both"/>
      </w:pPr>
      <w:r w:rsidRPr="007B010A">
        <w:t xml:space="preserve">Atbilstoši </w:t>
      </w:r>
      <w:r w:rsidRPr="007B010A">
        <w:rPr>
          <w:bCs/>
        </w:rPr>
        <w:t>informatīvajā ziņojumā “Par veselības reformas pasākumu īstenošanas rezultātiem veselības aprūpē 2017.gadam”</w:t>
      </w:r>
      <w:r w:rsidRPr="007B010A">
        <w:t xml:space="preserve"> reformai paredzēto līdzekļu no Eiropas Komisijas pieļautās budžeta deficīta atkāpes 34,3 milj. </w:t>
      </w:r>
      <w:proofErr w:type="spellStart"/>
      <w:r w:rsidR="00D07E2B" w:rsidRPr="007B010A">
        <w:rPr>
          <w:i/>
        </w:rPr>
        <w:t>euro</w:t>
      </w:r>
      <w:proofErr w:type="spellEnd"/>
      <w:r w:rsidR="001533D1" w:rsidRPr="007B010A">
        <w:t xml:space="preserve"> </w:t>
      </w:r>
      <w:r w:rsidRPr="007B010A">
        <w:t xml:space="preserve"> apmērā plānotā </w:t>
      </w:r>
      <w:r w:rsidR="00671D8E" w:rsidRPr="007B010A">
        <w:t>t</w:t>
      </w:r>
      <w:r w:rsidRPr="007B010A">
        <w:t xml:space="preserve">ika secināts, ka nepieciešams turpināt iesāktās  intervences arī 2018.gadā, lai turpinātu nodrošināt sekmīgu pacientu ārstēšanu un kā šo reformu rezultātu </w:t>
      </w:r>
      <w:r w:rsidR="00671D8E" w:rsidRPr="007B010A">
        <w:t>sasniegt</w:t>
      </w:r>
      <w:r w:rsidRPr="007B010A">
        <w:t xml:space="preserve"> nozīmīgu potenciāli zaudēto mūža gadu samazinājumu ilgākā laika periodā</w:t>
      </w:r>
      <w:r w:rsidR="00671D8E" w:rsidRPr="007B010A">
        <w:t>. Tāpat</w:t>
      </w:r>
      <w:r w:rsidRPr="007B010A">
        <w:t xml:space="preserve"> tika uzsvērti tautsaimniecības zaudējumi</w:t>
      </w:r>
      <w:r w:rsidR="00786B5C">
        <w:t xml:space="preserve">, </w:t>
      </w:r>
      <w:r w:rsidRPr="007B010A">
        <w:t>ko valstij ik gadu rada iedzīvotāju priekšlaicīga mirstība. Ņemot vērā pieejamo papildus finansējumu, kas 2018.gadā sastāda 0,4% no Eiropas Komisijas pieļautās budžeta deficīta atkāpes jeb 113,4 milj. </w:t>
      </w:r>
      <w:proofErr w:type="spellStart"/>
      <w:r w:rsidR="00D07E2B" w:rsidRPr="007B010A">
        <w:rPr>
          <w:i/>
        </w:rPr>
        <w:t>euro</w:t>
      </w:r>
      <w:proofErr w:type="spellEnd"/>
      <w:r w:rsidRPr="007B010A">
        <w:t xml:space="preserve">, uzsāktās reformas nepieciešams turpināt un paplašināt ar jaunām iniciatīvām veselības aprūpes efektivitātes un  ilgtspējas uzlabošanā. </w:t>
      </w:r>
    </w:p>
    <w:p w14:paraId="6A044943" w14:textId="23AA0313" w:rsidR="00D923AA" w:rsidRPr="007B010A" w:rsidRDefault="00D923AA" w:rsidP="00D923AA">
      <w:pPr>
        <w:shd w:val="clear" w:color="auto" w:fill="FFFFFF"/>
        <w:ind w:firstLine="720"/>
        <w:jc w:val="both"/>
        <w:rPr>
          <w:b/>
        </w:rPr>
      </w:pPr>
      <w:r w:rsidRPr="005405AA">
        <w:t xml:space="preserve">Lai turpinātu reformu un realizētu Sabiedrības veselības pamatnostādnēs (turpmāk - SVP) izvirzītos </w:t>
      </w:r>
      <w:proofErr w:type="spellStart"/>
      <w:r w:rsidRPr="005405AA">
        <w:t>virsmērķus</w:t>
      </w:r>
      <w:proofErr w:type="spellEnd"/>
      <w:r w:rsidR="00786B5C">
        <w:t>,</w:t>
      </w:r>
      <w:r w:rsidRPr="005405AA">
        <w:t xml:space="preserve"> kā rīcības virziens izvirzītā mērķa sasniegšanai minēts </w:t>
      </w:r>
      <w:r w:rsidRPr="007B010A">
        <w:rPr>
          <w:b/>
        </w:rPr>
        <w:t>„kvalitatīvas, drošas un ilgtspējīgas veselības aprūpes pakalpojumu sistēmas veidošana (t.sk. pacienta iemaksu samazināšana, rindu saīsināšana uz plānveida pakalpojumiem, darba samaksas paaugstināšana veselības aprūpes nozares darbiniekiem, zāļu pieejamība pacientiem), nodrošinot pakalpojumu vienlīdzīgu pieejamību visiem Latvijas iedzīvotājiem”</w:t>
      </w:r>
      <w:r w:rsidRPr="007B010A">
        <w:rPr>
          <w:rStyle w:val="FootnoteReference"/>
          <w:b/>
        </w:rPr>
        <w:footnoteReference w:id="2"/>
      </w:r>
      <w:r w:rsidRPr="007B010A">
        <w:rPr>
          <w:b/>
        </w:rPr>
        <w:t>.</w:t>
      </w:r>
    </w:p>
    <w:p w14:paraId="417B6C40" w14:textId="77777777" w:rsidR="00D923AA" w:rsidRPr="007B010A" w:rsidRDefault="00D923AA" w:rsidP="00D923AA">
      <w:pPr>
        <w:ind w:firstLine="709"/>
        <w:jc w:val="both"/>
        <w:rPr>
          <w:b/>
        </w:rPr>
      </w:pPr>
      <w:r w:rsidRPr="007B010A">
        <w:t>Minēto problēmu risināšanai nepieciešams „</w:t>
      </w:r>
      <w:r w:rsidRPr="007B010A">
        <w:rPr>
          <w:b/>
        </w:rPr>
        <w:t xml:space="preserve">veicināt pacientu tiešo maksājumu īpatsvara samazināšanos, uzlabojot veselības aprūpes pakalpojumu pieejamību un mazinot gaidīšanas laikus”, </w:t>
      </w:r>
      <w:r w:rsidRPr="007B010A">
        <w:t>kā arī „</w:t>
      </w:r>
      <w:r w:rsidRPr="007B010A">
        <w:rPr>
          <w:b/>
        </w:rPr>
        <w:t>uzlabot veselības aprūpes pakalpojumu pieejamību un kvalitāti visos veselības aprūpes līmeņos”</w:t>
      </w:r>
      <w:r w:rsidRPr="007B010A">
        <w:rPr>
          <w:rStyle w:val="FootnoteReference"/>
          <w:b/>
        </w:rPr>
        <w:footnoteReference w:id="3"/>
      </w:r>
      <w:r w:rsidRPr="007B010A">
        <w:rPr>
          <w:b/>
        </w:rPr>
        <w:t>.</w:t>
      </w:r>
    </w:p>
    <w:p w14:paraId="36F4B615" w14:textId="1F560811" w:rsidR="00D923AA" w:rsidRPr="007B010A" w:rsidRDefault="00D923AA" w:rsidP="00D923AA">
      <w:pPr>
        <w:ind w:firstLine="720"/>
        <w:jc w:val="both"/>
      </w:pPr>
      <w:r w:rsidRPr="007B010A">
        <w:t>Atbilstoši informatīvajos ziņojumos “Par veselības reformas pasākumu īstenošanu 2017.gadā” un “Par veselības reformas pasākumu īstenošanas turpināšanu 2017.gadā” minētajam, lai uzsāktās reformas sasniegtu mērķi, tās nepieciešams turpināt arī turpmākajos periodos. Līdz ar to uzsāktās intervences ti</w:t>
      </w:r>
      <w:r w:rsidR="00D67B5F" w:rsidRPr="007B010A">
        <w:t>ka</w:t>
      </w:r>
      <w:r w:rsidRPr="007B010A">
        <w:t xml:space="preserve"> turpinātas 2018.gadā atbilstoši informatīvajā ziņojumā “Par veselības reformas pasākumu īstenošanu 2018.gadā” </w:t>
      </w:r>
      <w:r w:rsidR="00EC2129" w:rsidRPr="007B010A">
        <w:t xml:space="preserve">(turpmāk – Reformu ziņojums) </w:t>
      </w:r>
      <w:r w:rsidRPr="007B010A">
        <w:t xml:space="preserve">noteiktajam, savukārt to paplašināšanai un jaunu reformu uzsākšanai papildus </w:t>
      </w:r>
      <w:r w:rsidRPr="007B010A">
        <w:lastRenderedPageBreak/>
        <w:t xml:space="preserve">2017.gadā piešķirtajam finansējumam, 2018.gadā </w:t>
      </w:r>
      <w:r w:rsidR="00CE6D47" w:rsidRPr="007B010A">
        <w:t xml:space="preserve">bija </w:t>
      </w:r>
      <w:r w:rsidRPr="007B010A">
        <w:t xml:space="preserve">pieejams finansējums 79 075 550 </w:t>
      </w:r>
      <w:proofErr w:type="spellStart"/>
      <w:r w:rsidR="00D07E2B" w:rsidRPr="007B010A">
        <w:rPr>
          <w:i/>
        </w:rPr>
        <w:t>euro</w:t>
      </w:r>
      <w:proofErr w:type="spellEnd"/>
      <w:r w:rsidRPr="007B010A">
        <w:t xml:space="preserve"> apmērā, kuru</w:t>
      </w:r>
      <w:r w:rsidR="00CE6D47" w:rsidRPr="007B010A">
        <w:t xml:space="preserve"> bija</w:t>
      </w:r>
      <w:r w:rsidRPr="007B010A">
        <w:t xml:space="preserve"> plānots izmantot veselības aprūpes reformu īstenošan</w:t>
      </w:r>
      <w:r w:rsidR="00CE6D47" w:rsidRPr="007B010A">
        <w:t>as turpināšanu</w:t>
      </w:r>
      <w:r w:rsidRPr="007B010A">
        <w:t xml:space="preserve">. Veselības nozares reformu turpināšanai no Eiropas Komisijas pieļautā budžeta deficīta atkāpes plānoti finanšu līdzekļi: </w:t>
      </w:r>
    </w:p>
    <w:p w14:paraId="64FA0D82" w14:textId="4CC83D72" w:rsidR="00D923AA" w:rsidRPr="007B010A"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Veselības aprūpes pakalpojumu pieejamības uzlabošanai  un rindu mazināšanai 46 073 209 </w:t>
      </w:r>
      <w:proofErr w:type="spellStart"/>
      <w:r w:rsidR="00D07E2B"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xml:space="preserve">, tai skaitā turpinot </w:t>
      </w:r>
      <w:r w:rsidRPr="007B010A">
        <w:rPr>
          <w:rFonts w:ascii="Times New Roman" w:eastAsia="Times New Roman" w:hAnsi="Times New Roman"/>
          <w:bCs/>
          <w:sz w:val="24"/>
          <w:szCs w:val="24"/>
          <w:lang w:val="lv-LV" w:eastAsia="lv-LV"/>
        </w:rPr>
        <w:t>2017.gadā uzsākto rindu mazināšanu:</w:t>
      </w:r>
    </w:p>
    <w:p w14:paraId="67E511CF" w14:textId="0AA5454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Speciālistu konsultācijas 5 425 824 </w:t>
      </w:r>
      <w:proofErr w:type="spellStart"/>
      <w:r w:rsidR="00D07E2B"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9E92D61" w14:textId="0D101745"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Ambulatorie izmeklējumi un terapija 12</w:t>
      </w:r>
      <w:r w:rsidR="00D07E2B" w:rsidRPr="007B010A">
        <w:rPr>
          <w:rFonts w:ascii="Times New Roman" w:eastAsia="Times New Roman" w:hAnsi="Times New Roman"/>
          <w:sz w:val="24"/>
          <w:szCs w:val="24"/>
          <w:lang w:val="lv-LV" w:eastAsia="lv-LV"/>
        </w:rPr>
        <w:t> </w:t>
      </w:r>
      <w:r w:rsidRPr="007B010A">
        <w:rPr>
          <w:rFonts w:ascii="Times New Roman" w:eastAsia="Times New Roman" w:hAnsi="Times New Roman"/>
          <w:sz w:val="24"/>
          <w:szCs w:val="24"/>
          <w:lang w:val="lv-LV" w:eastAsia="lv-LV"/>
        </w:rPr>
        <w:t>698</w:t>
      </w:r>
      <w:r w:rsidR="00D07E2B" w:rsidRPr="007B010A">
        <w:rPr>
          <w:rFonts w:ascii="Times New Roman" w:eastAsia="Times New Roman" w:hAnsi="Times New Roman"/>
          <w:sz w:val="24"/>
          <w:szCs w:val="24"/>
          <w:lang w:val="lv-LV" w:eastAsia="lv-LV"/>
        </w:rPr>
        <w:t> </w:t>
      </w:r>
      <w:r w:rsidRPr="007B010A">
        <w:rPr>
          <w:rFonts w:ascii="Times New Roman" w:eastAsia="Times New Roman" w:hAnsi="Times New Roman"/>
          <w:sz w:val="24"/>
          <w:szCs w:val="24"/>
          <w:lang w:val="lv-LV" w:eastAsia="lv-LV"/>
        </w:rPr>
        <w:t xml:space="preserve">580 </w:t>
      </w:r>
      <w:proofErr w:type="spellStart"/>
      <w:r w:rsidR="00D07E2B"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617ED3C1" w14:textId="5620ED0A"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Dienas stacionārā sniegtie pakalpojumi 9 035 733 </w:t>
      </w:r>
      <w:proofErr w:type="spellStart"/>
      <w:r w:rsidR="00D07E2B"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98E7412" w14:textId="515029C9"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Ambulatorā rehabilitācija 889 879 </w:t>
      </w:r>
      <w:proofErr w:type="spellStart"/>
      <w:r w:rsidR="00D07E2B"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4907B207" w14:textId="784D8CE6"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Diabēta apmācības kabinetu izveide 139 912 </w:t>
      </w:r>
      <w:proofErr w:type="spellStart"/>
      <w:r w:rsidR="00D07E2B"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47458811" w14:textId="31D239E5"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sz w:val="24"/>
          <w:szCs w:val="24"/>
          <w:lang w:val="lv-LV" w:eastAsia="lv-LV"/>
        </w:rPr>
        <w:t>Endoprotezēšanas</w:t>
      </w:r>
      <w:proofErr w:type="spellEnd"/>
      <w:r w:rsidRPr="007B010A">
        <w:rPr>
          <w:rFonts w:ascii="Times New Roman" w:eastAsia="Times New Roman" w:hAnsi="Times New Roman"/>
          <w:sz w:val="24"/>
          <w:szCs w:val="24"/>
          <w:lang w:val="lv-LV" w:eastAsia="lv-LV"/>
        </w:rPr>
        <w:t xml:space="preserve"> operācijas stacionārā 2 614 685 </w:t>
      </w:r>
      <w:proofErr w:type="spellStart"/>
      <w:r w:rsidR="00D07E2B"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181BFA1"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Darbnespējas saīsināšana un pasākumi prognozējamās invaliditātes novēršanai ar mērķi novērst ilgstošu slimošanu personām darbspējīgā vecumā 2 563 917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79A159F4"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Aknu transplantācijas 500 001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3E04D702" w14:textId="77777777" w:rsidR="00D923AA" w:rsidRPr="007B010A"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Operācijas nodrošināšana stacionārā 274 578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AB93AD2" w14:textId="77777777" w:rsidR="00D923AA" w:rsidRPr="007B010A"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Aknu transplantācijai nepieciešamie izmeklējumi 148 052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0F1274FE" w14:textId="77777777" w:rsidR="00D923AA" w:rsidRPr="007B010A"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Aknu transplantācijai nepieciešamie medikamenti 77 371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21EDA90"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Bioloģiskās terapijas nodrošināšana Krona slimībai, čūlainajam kolītam un </w:t>
      </w:r>
      <w:proofErr w:type="spellStart"/>
      <w:r w:rsidRPr="007B010A">
        <w:rPr>
          <w:rFonts w:ascii="Times New Roman" w:eastAsia="Times New Roman" w:hAnsi="Times New Roman"/>
          <w:sz w:val="24"/>
          <w:szCs w:val="24"/>
          <w:lang w:val="lv-LV" w:eastAsia="lv-LV"/>
        </w:rPr>
        <w:t>psoriāzei</w:t>
      </w:r>
      <w:proofErr w:type="spellEnd"/>
      <w:r w:rsidRPr="007B010A">
        <w:rPr>
          <w:rFonts w:ascii="Times New Roman" w:eastAsia="Times New Roman" w:hAnsi="Times New Roman"/>
          <w:sz w:val="24"/>
          <w:szCs w:val="24"/>
          <w:lang w:val="lv-LV" w:eastAsia="lv-LV"/>
        </w:rPr>
        <w:t xml:space="preserve"> 1 208 748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04B39930"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Hronisko pacientu aprūpes reforma 10 995 930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790875DD" w14:textId="77777777" w:rsidR="00D923AA" w:rsidRPr="007B010A"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Onkoloģisko saslimšanu diagnostikas un ārstēšanas pieejamības uzlabošanai 29 896 594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 tai skaitā turpinot un paplašinot 2017.gadā uzsāktās aktivitātes:</w:t>
      </w:r>
    </w:p>
    <w:p w14:paraId="549E9EAA"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 Onkoloģisko slimību primārās diagnostikas algoritmu ieviešana 1 499 520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6439B181"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Speciālistu konsultācijas atbilstoši noteiktiem algoritmiem 650 320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145B8239"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Sekundārās diagnostikas un izmeklēšanas algoritmu ieviešana 2 332 540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159F8ED0"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Ambulatorās ārstēšanas apjoma pieaugums 1 177 895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25368DB1"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Stacionārās ārstēšanas apjoma pieaugums 2 462 176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38E687C2"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 Medikamentu pieejamība onkoloģiskiem pacientiem 11 208 139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7EF2E9C0"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Pozitronu emisijas tomogrāfija/datortomogrāfija 235 473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47FE6781"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Staru terapijas un ķīmijterapijas efektivitātes uzlabošana 8 974 871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05D5AA57"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Valsts patoloģijas centra izveide 965 660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70F48359"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Vēža </w:t>
      </w:r>
      <w:proofErr w:type="spellStart"/>
      <w:r w:rsidRPr="007B010A">
        <w:rPr>
          <w:rFonts w:ascii="Times New Roman" w:eastAsia="Times New Roman" w:hAnsi="Times New Roman"/>
          <w:bCs/>
          <w:sz w:val="24"/>
          <w:szCs w:val="24"/>
          <w:lang w:val="lv-LV" w:eastAsia="lv-LV"/>
        </w:rPr>
        <w:t>skrīninga</w:t>
      </w:r>
      <w:proofErr w:type="spellEnd"/>
      <w:r w:rsidRPr="007B010A">
        <w:rPr>
          <w:rFonts w:ascii="Times New Roman" w:eastAsia="Times New Roman" w:hAnsi="Times New Roman"/>
          <w:bCs/>
          <w:sz w:val="24"/>
          <w:szCs w:val="24"/>
          <w:lang w:val="lv-LV" w:eastAsia="lv-LV"/>
        </w:rPr>
        <w:t xml:space="preserve"> programmas reforma 390 000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6F5FF2ED" w14:textId="77777777" w:rsidR="00D923AA" w:rsidRPr="007B010A"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Infekcijas slimību izplatības mazināšanai 16 740 741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 turpinot 2017.gadā uzsāktās r</w:t>
      </w:r>
      <w:r w:rsidRPr="007B010A">
        <w:rPr>
          <w:rFonts w:ascii="Times New Roman" w:eastAsia="Times New Roman" w:hAnsi="Times New Roman"/>
          <w:bCs/>
          <w:sz w:val="24"/>
          <w:szCs w:val="24"/>
          <w:lang w:val="lv-LV" w:eastAsia="lv-LV"/>
        </w:rPr>
        <w:t xml:space="preserve">eformas valsts kompensējamo medikamentu nodrošinājumam </w:t>
      </w:r>
      <w:proofErr w:type="spellStart"/>
      <w:r w:rsidRPr="007B010A">
        <w:rPr>
          <w:rFonts w:ascii="Times New Roman" w:eastAsia="Times New Roman" w:hAnsi="Times New Roman"/>
          <w:bCs/>
          <w:sz w:val="24"/>
          <w:szCs w:val="24"/>
          <w:lang w:val="lv-LV" w:eastAsia="lv-LV"/>
        </w:rPr>
        <w:t>vīrushepatīta</w:t>
      </w:r>
      <w:proofErr w:type="spellEnd"/>
      <w:r w:rsidRPr="007B010A">
        <w:rPr>
          <w:rFonts w:ascii="Times New Roman" w:eastAsia="Times New Roman" w:hAnsi="Times New Roman"/>
          <w:bCs/>
          <w:sz w:val="24"/>
          <w:szCs w:val="24"/>
          <w:lang w:val="lv-LV" w:eastAsia="lv-LV"/>
        </w:rPr>
        <w:t xml:space="preserve"> C (turpmāk - VHC) pacientiem F3-F4 stadijā:</w:t>
      </w:r>
    </w:p>
    <w:p w14:paraId="4EF76934" w14:textId="77777777" w:rsidR="00D923AA" w:rsidRPr="007B010A" w:rsidRDefault="00D923AA" w:rsidP="00D923AA">
      <w:pPr>
        <w:pStyle w:val="ListParagraph"/>
        <w:numPr>
          <w:ilvl w:val="1"/>
          <w:numId w:val="12"/>
        </w:numPr>
        <w:jc w:val="both"/>
        <w:rPr>
          <w:rFonts w:ascii="Times New Roman" w:eastAsia="Times New Roman" w:hAnsi="Times New Roman"/>
          <w:bCs/>
          <w:sz w:val="24"/>
          <w:szCs w:val="24"/>
          <w:lang w:val="lv-LV" w:eastAsia="lv-LV"/>
        </w:rPr>
      </w:pPr>
      <w:r w:rsidRPr="007B010A">
        <w:rPr>
          <w:rFonts w:ascii="Times New Roman" w:eastAsia="Times New Roman" w:hAnsi="Times New Roman"/>
          <w:bCs/>
          <w:sz w:val="24"/>
          <w:szCs w:val="24"/>
          <w:lang w:val="lv-LV" w:eastAsia="lv-LV"/>
        </w:rPr>
        <w:t xml:space="preserve">VHC terapijas nodrošināšana 11 174 882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048BDA84"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References laboratorijas izmeklējumi VHC hepatīta pacientu terapijas uzsākšanai un terapijas monitoringam saistībā ar pacientu skaita pieaugumu 783 203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044ABFA4"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 Vīrusu molekulārās izmeklēšanas analītiskās jutības rādītāju uzlabošana 579 656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42A6A735"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HIV/AIDS medikamentozā ārstēšana 4 203 000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0E6971AD" w14:textId="77777777" w:rsidR="00D923AA" w:rsidRPr="007B010A" w:rsidRDefault="00D923AA" w:rsidP="00D923AA">
      <w:pPr>
        <w:pStyle w:val="ListParagraph"/>
        <w:numPr>
          <w:ilvl w:val="0"/>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lastRenderedPageBreak/>
        <w:t xml:space="preserve">Primārās veselības aprūpes sistēmas kvalitātes un pieejamības uzlabošanai 9 664 036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7E3AB004"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Mērķa kritēriju izpildes iekļaušana </w:t>
      </w:r>
      <w:proofErr w:type="spellStart"/>
      <w:r w:rsidRPr="007B010A">
        <w:rPr>
          <w:rFonts w:ascii="Times New Roman" w:eastAsia="Times New Roman" w:hAnsi="Times New Roman"/>
          <w:sz w:val="24"/>
          <w:szCs w:val="24"/>
          <w:lang w:val="lv-LV" w:eastAsia="lv-LV"/>
        </w:rPr>
        <w:t>kapitācijas</w:t>
      </w:r>
      <w:proofErr w:type="spellEnd"/>
      <w:r w:rsidRPr="007B010A">
        <w:rPr>
          <w:rFonts w:ascii="Times New Roman" w:eastAsia="Times New Roman" w:hAnsi="Times New Roman"/>
          <w:sz w:val="24"/>
          <w:szCs w:val="24"/>
          <w:lang w:val="lv-LV" w:eastAsia="lv-LV"/>
        </w:rPr>
        <w:t xml:space="preserve"> naudā 3 131 715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2C7F962C"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Ģimenes ārstu kvalitātes maksājumu sistēmas reforma 2 797 022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35B0CE42"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Bērnu zobārstniecības tarifu pārskatīšana 3 735 299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5AE57D43" w14:textId="77777777" w:rsidR="00D923AA" w:rsidRPr="007B010A"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Tarifa pieaugums 2 968 525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31035187" w14:textId="77777777" w:rsidR="00D923AA" w:rsidRPr="007B010A"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Kompozīts bērniem līdz 14 gadiem (ieskaitot) ar medikamentiem 766 774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675B67E1" w14:textId="77777777" w:rsidR="00D923AA" w:rsidRPr="007B010A" w:rsidRDefault="00D923AA" w:rsidP="00D923AA">
      <w:pPr>
        <w:pStyle w:val="ListParagraph"/>
        <w:numPr>
          <w:ilvl w:val="0"/>
          <w:numId w:val="12"/>
        </w:numPr>
        <w:jc w:val="both"/>
        <w:rPr>
          <w:rFonts w:ascii="Times New Roman" w:eastAsia="Times New Roman" w:hAnsi="Times New Roman"/>
          <w:sz w:val="24"/>
          <w:szCs w:val="24"/>
          <w:lang w:val="lv-LV" w:eastAsia="lv-LV"/>
        </w:rPr>
      </w:pPr>
      <w:proofErr w:type="spellStart"/>
      <w:r w:rsidRPr="007B010A">
        <w:rPr>
          <w:rFonts w:ascii="Times New Roman" w:eastAsia="Times New Roman" w:hAnsi="Times New Roman"/>
          <w:sz w:val="24"/>
          <w:szCs w:val="24"/>
          <w:lang w:val="lv-LV" w:eastAsia="lv-LV"/>
        </w:rPr>
        <w:t>Kardiovaskulārās</w:t>
      </w:r>
      <w:proofErr w:type="spellEnd"/>
      <w:r w:rsidRPr="007B010A">
        <w:rPr>
          <w:rFonts w:ascii="Times New Roman" w:eastAsia="Times New Roman" w:hAnsi="Times New Roman"/>
          <w:sz w:val="24"/>
          <w:szCs w:val="24"/>
          <w:lang w:val="lv-LV" w:eastAsia="lv-LV"/>
        </w:rPr>
        <w:t xml:space="preserve"> saslimstības mazināšanai un slimību ārstēšanas efektivitātes uzlabošanai 11 025 420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38AD19A6" w14:textId="3D90CA69"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sz w:val="24"/>
          <w:szCs w:val="24"/>
          <w:lang w:val="lv-LV" w:eastAsia="lv-LV"/>
        </w:rPr>
        <w:t>Kardiovaskulārā</w:t>
      </w:r>
      <w:proofErr w:type="spellEnd"/>
      <w:r w:rsidRPr="007B010A">
        <w:rPr>
          <w:rFonts w:ascii="Times New Roman" w:eastAsia="Times New Roman" w:hAnsi="Times New Roman"/>
          <w:sz w:val="24"/>
          <w:szCs w:val="24"/>
          <w:lang w:val="lv-LV" w:eastAsia="lv-LV"/>
        </w:rPr>
        <w:t xml:space="preserve"> riska izvērtēšana un algoritmu ieviešana 1</w:t>
      </w:r>
      <w:r w:rsidR="00D07E2B" w:rsidRPr="007B010A">
        <w:rPr>
          <w:rFonts w:ascii="Times New Roman" w:eastAsia="Times New Roman" w:hAnsi="Times New Roman"/>
          <w:sz w:val="24"/>
          <w:szCs w:val="24"/>
          <w:lang w:val="lv-LV" w:eastAsia="lv-LV"/>
        </w:rPr>
        <w:t> </w:t>
      </w:r>
      <w:r w:rsidRPr="007B010A">
        <w:rPr>
          <w:rFonts w:ascii="Times New Roman" w:eastAsia="Times New Roman" w:hAnsi="Times New Roman"/>
          <w:sz w:val="24"/>
          <w:szCs w:val="24"/>
          <w:lang w:val="lv-LV" w:eastAsia="lv-LV"/>
        </w:rPr>
        <w:t>599</w:t>
      </w:r>
      <w:r w:rsidR="00D07E2B" w:rsidRPr="007B010A">
        <w:rPr>
          <w:rFonts w:ascii="Times New Roman" w:eastAsia="Times New Roman" w:hAnsi="Times New Roman"/>
          <w:sz w:val="24"/>
          <w:szCs w:val="24"/>
          <w:lang w:val="lv-LV" w:eastAsia="lv-LV"/>
        </w:rPr>
        <w:t> </w:t>
      </w:r>
      <w:r w:rsidRPr="007B010A">
        <w:rPr>
          <w:rFonts w:ascii="Times New Roman" w:eastAsia="Times New Roman" w:hAnsi="Times New Roman"/>
          <w:sz w:val="24"/>
          <w:szCs w:val="24"/>
          <w:lang w:val="lv-LV" w:eastAsia="lv-LV"/>
        </w:rPr>
        <w:t xml:space="preserve">926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63BDD942" w14:textId="77777777" w:rsidR="00D923AA" w:rsidRPr="007B010A"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Primārās profilakses algoritmu ieviešana 712 751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05449EA8" w14:textId="77777777" w:rsidR="00D923AA" w:rsidRPr="007B010A" w:rsidRDefault="00D923AA" w:rsidP="00D923AA">
      <w:pPr>
        <w:pStyle w:val="ListParagraph"/>
        <w:numPr>
          <w:ilvl w:val="2"/>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Sekundārās diagnostikas un izmeklēšanas algoritmu ieviešana 887 175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3487592A"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sz w:val="24"/>
          <w:szCs w:val="24"/>
          <w:lang w:val="lv-LV" w:eastAsia="lv-LV"/>
        </w:rPr>
        <w:t>Aortālā</w:t>
      </w:r>
      <w:proofErr w:type="spellEnd"/>
      <w:r w:rsidRPr="007B010A">
        <w:rPr>
          <w:rFonts w:ascii="Times New Roman" w:eastAsia="Times New Roman" w:hAnsi="Times New Roman"/>
          <w:sz w:val="24"/>
          <w:szCs w:val="24"/>
          <w:lang w:val="lv-LV" w:eastAsia="lv-LV"/>
        </w:rPr>
        <w:t xml:space="preserve"> vārstuļa </w:t>
      </w:r>
      <w:proofErr w:type="spellStart"/>
      <w:r w:rsidRPr="007B010A">
        <w:rPr>
          <w:rFonts w:ascii="Times New Roman" w:eastAsia="Times New Roman" w:hAnsi="Times New Roman"/>
          <w:sz w:val="24"/>
          <w:szCs w:val="24"/>
          <w:lang w:val="lv-LV" w:eastAsia="lv-LV"/>
        </w:rPr>
        <w:t>transkatetrāla</w:t>
      </w:r>
      <w:proofErr w:type="spellEnd"/>
      <w:r w:rsidRPr="007B010A">
        <w:rPr>
          <w:rFonts w:ascii="Times New Roman" w:eastAsia="Times New Roman" w:hAnsi="Times New Roman"/>
          <w:sz w:val="24"/>
          <w:szCs w:val="24"/>
          <w:lang w:val="lv-LV" w:eastAsia="lv-LV"/>
        </w:rPr>
        <w:t xml:space="preserve"> implantācija (TAVI) pakalpojuma ieviešana 1 875 000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47747AB2"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proofErr w:type="spellStart"/>
      <w:r w:rsidRPr="007B010A">
        <w:rPr>
          <w:rFonts w:ascii="Times New Roman" w:eastAsia="Times New Roman" w:hAnsi="Times New Roman"/>
          <w:sz w:val="24"/>
          <w:szCs w:val="24"/>
          <w:lang w:val="lv-LV" w:eastAsia="lv-LV"/>
        </w:rPr>
        <w:t>Angiogrāfu</w:t>
      </w:r>
      <w:proofErr w:type="spellEnd"/>
      <w:r w:rsidRPr="007B010A">
        <w:rPr>
          <w:rFonts w:ascii="Times New Roman" w:eastAsia="Times New Roman" w:hAnsi="Times New Roman"/>
          <w:sz w:val="24"/>
          <w:szCs w:val="24"/>
          <w:lang w:val="lv-LV" w:eastAsia="lv-LV"/>
        </w:rPr>
        <w:t xml:space="preserve"> iegāde 4 500 000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A93E1B8" w14:textId="77777777" w:rsidR="00D923AA" w:rsidRPr="007B010A" w:rsidRDefault="00D923AA" w:rsidP="00D923AA">
      <w:pPr>
        <w:pStyle w:val="ListParagraph"/>
        <w:numPr>
          <w:ilvl w:val="1"/>
          <w:numId w:val="12"/>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SAS medikamenti 3 050 494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0BD3165F" w14:textId="7CD8E770" w:rsidR="00F967AD" w:rsidRPr="007B010A" w:rsidRDefault="00F967AD" w:rsidP="00D923AA">
      <w:pPr>
        <w:ind w:firstLine="720"/>
        <w:jc w:val="both"/>
        <w:rPr>
          <w:szCs w:val="28"/>
        </w:rPr>
      </w:pPr>
      <w:r w:rsidRPr="007B010A">
        <w:t xml:space="preserve">Pamatojoties uz </w:t>
      </w:r>
      <w:r w:rsidR="00BC3154" w:rsidRPr="007B010A">
        <w:t xml:space="preserve">2018.gada 28.augusta </w:t>
      </w:r>
      <w:r w:rsidR="00BA0309" w:rsidRPr="007B010A">
        <w:t>Ministru kabineta</w:t>
      </w:r>
      <w:r w:rsidR="00BC3154" w:rsidRPr="007B010A">
        <w:t xml:space="preserve"> </w:t>
      </w:r>
      <w:r w:rsidR="005C38FB" w:rsidRPr="007B010A">
        <w:t>sēdes protokol</w:t>
      </w:r>
      <w:r w:rsidR="004F2FB0" w:rsidRPr="007B010A">
        <w:t>a</w:t>
      </w:r>
      <w:r w:rsidR="005C38FB" w:rsidRPr="007B010A">
        <w:t xml:space="preserve"> Nr.40 30§ 2.punkt</w:t>
      </w:r>
      <w:r w:rsidR="004F2FB0" w:rsidRPr="007B010A">
        <w:t>u</w:t>
      </w:r>
      <w:r w:rsidR="005C38FB" w:rsidRPr="007B010A">
        <w:t xml:space="preserve"> </w:t>
      </w:r>
      <w:r w:rsidR="00526FFD" w:rsidRPr="007B010A">
        <w:t>tika veikta finansējuma pārdale</w:t>
      </w:r>
      <w:r w:rsidRPr="007B010A">
        <w:rPr>
          <w:szCs w:val="28"/>
        </w:rPr>
        <w:t xml:space="preserve">, lai Eiropas Komisijas pieļautās budžeta deficīta veselības aprūpes reformas ietvaros nodrošinātu </w:t>
      </w:r>
      <w:r w:rsidR="00526FFD" w:rsidRPr="007B010A">
        <w:rPr>
          <w:szCs w:val="28"/>
        </w:rPr>
        <w:t>nepieciešamās reformas veselības aprūpes pakalpojumu pieejamības uzlabošanu.</w:t>
      </w:r>
      <w:r w:rsidRPr="007B010A">
        <w:rPr>
          <w:szCs w:val="28"/>
        </w:rPr>
        <w:t xml:space="preserve"> Līdz ar to 201</w:t>
      </w:r>
      <w:r w:rsidR="00804C38" w:rsidRPr="007B010A">
        <w:rPr>
          <w:szCs w:val="28"/>
        </w:rPr>
        <w:t>8</w:t>
      </w:r>
      <w:r w:rsidRPr="007B010A">
        <w:rPr>
          <w:szCs w:val="28"/>
        </w:rPr>
        <w:t>.gadā atbilstoši noteiktajam prioritārajam virzienam, tika paredzēti finanšu līdzekļi šādā apmērā:</w:t>
      </w:r>
    </w:p>
    <w:p w14:paraId="2C384004" w14:textId="77777777" w:rsidR="00E85ED0" w:rsidRPr="007B010A" w:rsidRDefault="00E85ED0" w:rsidP="00D923AA">
      <w:pPr>
        <w:ind w:firstLine="720"/>
        <w:jc w:val="both"/>
        <w:rPr>
          <w:szCs w:val="28"/>
        </w:rPr>
      </w:pPr>
    </w:p>
    <w:p w14:paraId="1CC5515D" w14:textId="23F676CE" w:rsidR="007C5F71" w:rsidRPr="007B010A" w:rsidRDefault="007C5F71" w:rsidP="007C5F71">
      <w:pPr>
        <w:pStyle w:val="ListParagraph"/>
        <w:numPr>
          <w:ilvl w:val="0"/>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Veselības aprūpes pakalpojumu pieejamības uzlabošanai un rindu mazināšanai </w:t>
      </w:r>
      <w:r w:rsidR="00052837" w:rsidRPr="007B010A">
        <w:rPr>
          <w:rFonts w:ascii="Times New Roman" w:eastAsia="Times New Roman" w:hAnsi="Times New Roman"/>
          <w:sz w:val="24"/>
          <w:szCs w:val="24"/>
          <w:lang w:val="lv-LV" w:eastAsia="lv-LV"/>
        </w:rPr>
        <w:t>38</w:t>
      </w:r>
      <w:r w:rsidR="00D07E2B" w:rsidRPr="007B010A">
        <w:rPr>
          <w:rFonts w:ascii="Times New Roman" w:eastAsia="Times New Roman" w:hAnsi="Times New Roman"/>
          <w:sz w:val="24"/>
          <w:szCs w:val="24"/>
          <w:lang w:val="lv-LV" w:eastAsia="lv-LV"/>
        </w:rPr>
        <w:t> </w:t>
      </w:r>
      <w:r w:rsidR="00052837" w:rsidRPr="007B010A">
        <w:rPr>
          <w:rFonts w:ascii="Times New Roman" w:eastAsia="Times New Roman" w:hAnsi="Times New Roman"/>
          <w:sz w:val="24"/>
          <w:szCs w:val="24"/>
          <w:lang w:val="lv-LV" w:eastAsia="lv-LV"/>
        </w:rPr>
        <w:t>373</w:t>
      </w:r>
      <w:r w:rsidR="00D07E2B" w:rsidRPr="007B010A">
        <w:rPr>
          <w:rFonts w:ascii="Times New Roman" w:eastAsia="Times New Roman" w:hAnsi="Times New Roman"/>
          <w:sz w:val="24"/>
          <w:szCs w:val="24"/>
          <w:lang w:val="lv-LV" w:eastAsia="lv-LV"/>
        </w:rPr>
        <w:t> </w:t>
      </w:r>
      <w:r w:rsidR="00052837" w:rsidRPr="007B010A">
        <w:rPr>
          <w:rFonts w:ascii="Times New Roman" w:eastAsia="Times New Roman" w:hAnsi="Times New Roman"/>
          <w:sz w:val="24"/>
          <w:szCs w:val="24"/>
          <w:lang w:val="lv-LV" w:eastAsia="lv-LV"/>
        </w:rPr>
        <w:t>824</w:t>
      </w: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xml:space="preserve">, tai skaitā turpinot </w:t>
      </w:r>
      <w:r w:rsidRPr="007B010A">
        <w:rPr>
          <w:rFonts w:ascii="Times New Roman" w:eastAsia="Times New Roman" w:hAnsi="Times New Roman"/>
          <w:bCs/>
          <w:sz w:val="24"/>
          <w:szCs w:val="24"/>
          <w:lang w:val="lv-LV" w:eastAsia="lv-LV"/>
        </w:rPr>
        <w:t>2017.gadā uzsākto rindu mazināšanu:</w:t>
      </w:r>
    </w:p>
    <w:p w14:paraId="58CF2BE9"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Speciālistu konsultācijas 5 425 824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1ED45C4B" w14:textId="60B7D1B2"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Ambulatorie izmeklējumi un terapija 12</w:t>
      </w:r>
      <w:r w:rsidR="00D07E2B" w:rsidRPr="007B010A">
        <w:rPr>
          <w:rFonts w:ascii="Times New Roman" w:eastAsia="Times New Roman" w:hAnsi="Times New Roman"/>
          <w:sz w:val="24"/>
          <w:szCs w:val="24"/>
          <w:lang w:val="lv-LV" w:eastAsia="lv-LV"/>
        </w:rPr>
        <w:t> </w:t>
      </w:r>
      <w:r w:rsidRPr="007B010A">
        <w:rPr>
          <w:rFonts w:ascii="Times New Roman" w:eastAsia="Times New Roman" w:hAnsi="Times New Roman"/>
          <w:sz w:val="24"/>
          <w:szCs w:val="24"/>
          <w:lang w:val="lv-LV" w:eastAsia="lv-LV"/>
        </w:rPr>
        <w:t>698</w:t>
      </w:r>
      <w:r w:rsidR="00D07E2B" w:rsidRPr="007B010A">
        <w:rPr>
          <w:rFonts w:ascii="Times New Roman" w:eastAsia="Times New Roman" w:hAnsi="Times New Roman"/>
          <w:sz w:val="24"/>
          <w:szCs w:val="24"/>
          <w:lang w:val="lv-LV" w:eastAsia="lv-LV"/>
        </w:rPr>
        <w:t> </w:t>
      </w:r>
      <w:r w:rsidRPr="007B010A">
        <w:rPr>
          <w:rFonts w:ascii="Times New Roman" w:eastAsia="Times New Roman" w:hAnsi="Times New Roman"/>
          <w:sz w:val="24"/>
          <w:szCs w:val="24"/>
          <w:lang w:val="lv-LV" w:eastAsia="lv-LV"/>
        </w:rPr>
        <w:t xml:space="preserve">580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3E56A22" w14:textId="30EC640E"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Dienas stacionārā sniegtie pakalpojumi 9</w:t>
      </w:r>
      <w:r w:rsidR="00D07E2B" w:rsidRPr="007B010A">
        <w:rPr>
          <w:rFonts w:ascii="Times New Roman" w:eastAsia="Times New Roman" w:hAnsi="Times New Roman"/>
          <w:sz w:val="24"/>
          <w:szCs w:val="24"/>
          <w:lang w:val="lv-LV" w:eastAsia="lv-LV"/>
        </w:rPr>
        <w:t> </w:t>
      </w:r>
      <w:r w:rsidR="00052837" w:rsidRPr="007B010A">
        <w:rPr>
          <w:rFonts w:ascii="Times New Roman" w:eastAsia="Times New Roman" w:hAnsi="Times New Roman"/>
          <w:sz w:val="24"/>
          <w:szCs w:val="24"/>
          <w:lang w:val="lv-LV" w:eastAsia="lv-LV"/>
        </w:rPr>
        <w:t>613</w:t>
      </w:r>
      <w:r w:rsidR="00D07E2B" w:rsidRPr="007B010A">
        <w:rPr>
          <w:rFonts w:ascii="Times New Roman" w:eastAsia="Times New Roman" w:hAnsi="Times New Roman"/>
          <w:sz w:val="24"/>
          <w:szCs w:val="24"/>
          <w:lang w:val="lv-LV" w:eastAsia="lv-LV"/>
        </w:rPr>
        <w:t> </w:t>
      </w:r>
      <w:r w:rsidR="00052837" w:rsidRPr="007B010A">
        <w:rPr>
          <w:rFonts w:ascii="Times New Roman" w:eastAsia="Times New Roman" w:hAnsi="Times New Roman"/>
          <w:sz w:val="24"/>
          <w:szCs w:val="24"/>
          <w:lang w:val="lv-LV" w:eastAsia="lv-LV"/>
        </w:rPr>
        <w:t>310</w:t>
      </w: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23257FBB" w14:textId="2F4719D2"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Ambulatorā rehabilitācija 889</w:t>
      </w:r>
      <w:r w:rsidR="00D07E2B" w:rsidRPr="007B010A">
        <w:rPr>
          <w:rFonts w:ascii="Times New Roman" w:eastAsia="Times New Roman" w:hAnsi="Times New Roman"/>
          <w:sz w:val="24"/>
          <w:szCs w:val="24"/>
          <w:lang w:val="lv-LV" w:eastAsia="lv-LV"/>
        </w:rPr>
        <w:t> </w:t>
      </w:r>
      <w:r w:rsidRPr="007B010A">
        <w:rPr>
          <w:rFonts w:ascii="Times New Roman" w:eastAsia="Times New Roman" w:hAnsi="Times New Roman"/>
          <w:sz w:val="24"/>
          <w:szCs w:val="24"/>
          <w:lang w:val="lv-LV" w:eastAsia="lv-LV"/>
        </w:rPr>
        <w:t xml:space="preserve">879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70A1F98E"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Diabēta apmācības kabinetu izveide 139 912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10EFA783"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sz w:val="24"/>
          <w:szCs w:val="24"/>
          <w:lang w:val="lv-LV" w:eastAsia="lv-LV"/>
        </w:rPr>
        <w:t>Endoprotezēšanas</w:t>
      </w:r>
      <w:proofErr w:type="spellEnd"/>
      <w:r w:rsidRPr="007B010A">
        <w:rPr>
          <w:rFonts w:ascii="Times New Roman" w:eastAsia="Times New Roman" w:hAnsi="Times New Roman"/>
          <w:sz w:val="24"/>
          <w:szCs w:val="24"/>
          <w:lang w:val="lv-LV" w:eastAsia="lv-LV"/>
        </w:rPr>
        <w:t xml:space="preserve"> operācijas stacionārā 2 614 685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54FA07DB"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Darbnespējas saīsināšana un pasākumi prognozējamās invaliditātes novēršanai ar mērķi novērst ilgstošu slimošanu personām darbspējīgā vecumā 2 563 917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170C5067"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Aknu transplantācijas 500 001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4E752BDA" w14:textId="77777777" w:rsidR="007C5F71" w:rsidRPr="007B010A" w:rsidRDefault="007C5F71"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Operācijas nodrošināšana stacionārā 274 578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00201906" w14:textId="77777777" w:rsidR="007C5F71" w:rsidRPr="007B010A" w:rsidRDefault="007C5F71"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Aknu transplantācijai nepieciešamie izmeklējumi 148 052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6A6CB1F3" w14:textId="77777777" w:rsidR="007C5F71" w:rsidRPr="007B010A" w:rsidRDefault="007C5F71"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Aknu transplantācijai nepieciešamie medikamenti 77 371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66F3AF03"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Bioloģiskās terapijas nodrošināšana Krona slimībai, čūlainajam kolītam un </w:t>
      </w:r>
      <w:proofErr w:type="spellStart"/>
      <w:r w:rsidRPr="007B010A">
        <w:rPr>
          <w:rFonts w:ascii="Times New Roman" w:eastAsia="Times New Roman" w:hAnsi="Times New Roman"/>
          <w:sz w:val="24"/>
          <w:szCs w:val="24"/>
          <w:lang w:val="lv-LV" w:eastAsia="lv-LV"/>
        </w:rPr>
        <w:t>psoriāzei</w:t>
      </w:r>
      <w:proofErr w:type="spellEnd"/>
      <w:r w:rsidRPr="007B010A">
        <w:rPr>
          <w:rFonts w:ascii="Times New Roman" w:eastAsia="Times New Roman" w:hAnsi="Times New Roman"/>
          <w:sz w:val="24"/>
          <w:szCs w:val="24"/>
          <w:lang w:val="lv-LV" w:eastAsia="lv-LV"/>
        </w:rPr>
        <w:t xml:space="preserve"> 1 208 748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2D8DF85B"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Hronisko pacientu aprūpes reforma 10 995 930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3A7D94F9" w14:textId="19990F37" w:rsidR="007C5F71" w:rsidRPr="007B010A" w:rsidRDefault="007C5F71" w:rsidP="007C5F71">
      <w:pPr>
        <w:pStyle w:val="ListParagraph"/>
        <w:numPr>
          <w:ilvl w:val="0"/>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Onkoloģisko saslimšanu diagnostikas un ārstēšanas pieejamības uzlabošanai </w:t>
      </w:r>
      <w:r w:rsidR="005F5257" w:rsidRPr="007B010A">
        <w:rPr>
          <w:rFonts w:ascii="Times New Roman" w:eastAsia="Times New Roman" w:hAnsi="Times New Roman"/>
          <w:bCs/>
          <w:sz w:val="24"/>
          <w:szCs w:val="24"/>
          <w:lang w:val="lv-LV" w:eastAsia="lv-LV"/>
        </w:rPr>
        <w:t>37</w:t>
      </w:r>
      <w:r w:rsidR="009B1859" w:rsidRPr="007B010A">
        <w:rPr>
          <w:rFonts w:ascii="Times New Roman" w:eastAsia="Times New Roman" w:hAnsi="Times New Roman"/>
          <w:bCs/>
          <w:sz w:val="24"/>
          <w:szCs w:val="24"/>
          <w:lang w:val="lv-LV" w:eastAsia="lv-LV"/>
        </w:rPr>
        <w:t> </w:t>
      </w:r>
      <w:r w:rsidR="005F5257" w:rsidRPr="007B010A">
        <w:rPr>
          <w:rFonts w:ascii="Times New Roman" w:eastAsia="Times New Roman" w:hAnsi="Times New Roman"/>
          <w:bCs/>
          <w:sz w:val="24"/>
          <w:szCs w:val="24"/>
          <w:lang w:val="lv-LV" w:eastAsia="lv-LV"/>
        </w:rPr>
        <w:t>163</w:t>
      </w:r>
      <w:r w:rsidR="009B1859" w:rsidRPr="007B010A">
        <w:rPr>
          <w:rFonts w:ascii="Times New Roman" w:eastAsia="Times New Roman" w:hAnsi="Times New Roman"/>
          <w:bCs/>
          <w:sz w:val="24"/>
          <w:szCs w:val="24"/>
          <w:lang w:val="lv-LV" w:eastAsia="lv-LV"/>
        </w:rPr>
        <w:t> </w:t>
      </w:r>
      <w:r w:rsidR="005F5257" w:rsidRPr="007B010A">
        <w:rPr>
          <w:rFonts w:ascii="Times New Roman" w:eastAsia="Times New Roman" w:hAnsi="Times New Roman"/>
          <w:bCs/>
          <w:sz w:val="24"/>
          <w:szCs w:val="24"/>
          <w:lang w:val="lv-LV" w:eastAsia="lv-LV"/>
        </w:rPr>
        <w:t>269</w:t>
      </w:r>
      <w:r w:rsidRPr="007B010A">
        <w:rPr>
          <w:rFonts w:ascii="Times New Roman" w:eastAsia="Times New Roman" w:hAnsi="Times New Roman"/>
          <w:bCs/>
          <w:sz w:val="24"/>
          <w:szCs w:val="24"/>
          <w:lang w:val="lv-LV" w:eastAsia="lv-LV"/>
        </w:rPr>
        <w:t xml:space="preserve">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 tai skaitā turpinot un paplašinot 2017.gadā uzsāktās aktivitātes:</w:t>
      </w:r>
    </w:p>
    <w:p w14:paraId="7EC8ED18"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lastRenderedPageBreak/>
        <w:t xml:space="preserve"> Onkoloģisko slimību primārās diagnostikas algoritmu ieviešana 1 499 520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7D3CAD59"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Speciālistu konsultācijas atbilstoši noteiktiem algoritmiem 650 320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1BD32473"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Sekundārās diagnostikas un izmeklēšanas algoritmu ieviešana 2 332 540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0E29FFA9"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Ambulatorās ārstēšanas apjoma pieaugums 1 177 895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7C41AC7D"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Stacionārās ārstēšanas apjoma pieaugums 2 462 176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7E833D27" w14:textId="0A96709E"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 Medikamentu pieejamība onkoloģiskiem pacientiem 1</w:t>
      </w:r>
      <w:r w:rsidR="00CC7900" w:rsidRPr="007B010A">
        <w:rPr>
          <w:rFonts w:ascii="Times New Roman" w:eastAsia="Times New Roman" w:hAnsi="Times New Roman"/>
          <w:bCs/>
          <w:sz w:val="24"/>
          <w:szCs w:val="24"/>
          <w:lang w:val="lv-LV" w:eastAsia="lv-LV"/>
        </w:rPr>
        <w:t>2</w:t>
      </w:r>
      <w:r w:rsidR="009B1859" w:rsidRPr="007B010A">
        <w:rPr>
          <w:rFonts w:ascii="Times New Roman" w:eastAsia="Times New Roman" w:hAnsi="Times New Roman"/>
          <w:bCs/>
          <w:sz w:val="24"/>
          <w:szCs w:val="24"/>
          <w:lang w:val="lv-LV" w:eastAsia="lv-LV"/>
        </w:rPr>
        <w:t> </w:t>
      </w:r>
      <w:r w:rsidR="00CC7900" w:rsidRPr="007B010A">
        <w:rPr>
          <w:rFonts w:ascii="Times New Roman" w:eastAsia="Times New Roman" w:hAnsi="Times New Roman"/>
          <w:bCs/>
          <w:sz w:val="24"/>
          <w:szCs w:val="24"/>
          <w:lang w:val="lv-LV" w:eastAsia="lv-LV"/>
        </w:rPr>
        <w:t>709</w:t>
      </w:r>
      <w:r w:rsidR="009B1859" w:rsidRPr="007B010A">
        <w:rPr>
          <w:rFonts w:ascii="Times New Roman" w:eastAsia="Times New Roman" w:hAnsi="Times New Roman"/>
          <w:bCs/>
          <w:sz w:val="24"/>
          <w:szCs w:val="24"/>
          <w:lang w:val="lv-LV" w:eastAsia="lv-LV"/>
        </w:rPr>
        <w:t> </w:t>
      </w:r>
      <w:r w:rsidR="00CC7900" w:rsidRPr="007B010A">
        <w:rPr>
          <w:rFonts w:ascii="Times New Roman" w:eastAsia="Times New Roman" w:hAnsi="Times New Roman"/>
          <w:bCs/>
          <w:sz w:val="24"/>
          <w:szCs w:val="24"/>
          <w:lang w:val="lv-LV" w:eastAsia="lv-LV"/>
        </w:rPr>
        <w:t>164</w:t>
      </w:r>
      <w:r w:rsidRPr="007B010A">
        <w:rPr>
          <w:rFonts w:ascii="Times New Roman" w:eastAsia="Times New Roman" w:hAnsi="Times New Roman"/>
          <w:bCs/>
          <w:sz w:val="24"/>
          <w:szCs w:val="24"/>
          <w:lang w:val="lv-LV" w:eastAsia="lv-LV"/>
        </w:rPr>
        <w:t xml:space="preserve">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0BCE0A37"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Pozitronu emisijas tomogrāfija/datortomogrāfija 235 473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7A6A9BFF"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Staru terapijas un ķīmijterapijas efektivitātes uzlabošana 8 974 871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66EF726E"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Valsts patoloģijas centra izveide 965 660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0B05DC47" w14:textId="3110B3EF"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Vēža </w:t>
      </w:r>
      <w:proofErr w:type="spellStart"/>
      <w:r w:rsidRPr="007B010A">
        <w:rPr>
          <w:rFonts w:ascii="Times New Roman" w:eastAsia="Times New Roman" w:hAnsi="Times New Roman"/>
          <w:bCs/>
          <w:sz w:val="24"/>
          <w:szCs w:val="24"/>
          <w:lang w:val="lv-LV" w:eastAsia="lv-LV"/>
        </w:rPr>
        <w:t>skrīninga</w:t>
      </w:r>
      <w:proofErr w:type="spellEnd"/>
      <w:r w:rsidRPr="007B010A">
        <w:rPr>
          <w:rFonts w:ascii="Times New Roman" w:eastAsia="Times New Roman" w:hAnsi="Times New Roman"/>
          <w:bCs/>
          <w:sz w:val="24"/>
          <w:szCs w:val="24"/>
          <w:lang w:val="lv-LV" w:eastAsia="lv-LV"/>
        </w:rPr>
        <w:t xml:space="preserve"> programmas reforma 390 000 </w:t>
      </w:r>
      <w:proofErr w:type="spellStart"/>
      <w:r w:rsidRPr="007B010A">
        <w:rPr>
          <w:rFonts w:ascii="Times New Roman" w:eastAsia="Times New Roman" w:hAnsi="Times New Roman"/>
          <w:bCs/>
          <w:i/>
          <w:sz w:val="24"/>
          <w:szCs w:val="24"/>
          <w:lang w:val="lv-LV" w:eastAsia="lv-LV"/>
        </w:rPr>
        <w:t>euro</w:t>
      </w:r>
      <w:proofErr w:type="spellEnd"/>
      <w:r w:rsidR="005F5257" w:rsidRPr="007B010A">
        <w:rPr>
          <w:rFonts w:ascii="Times New Roman" w:eastAsia="Times New Roman" w:hAnsi="Times New Roman"/>
          <w:bCs/>
          <w:sz w:val="24"/>
          <w:szCs w:val="24"/>
          <w:lang w:val="lv-LV" w:eastAsia="lv-LV"/>
        </w:rPr>
        <w:t>;</w:t>
      </w:r>
    </w:p>
    <w:p w14:paraId="3C3C414D" w14:textId="7AA05E24" w:rsidR="005F5257" w:rsidRPr="007B010A" w:rsidRDefault="005F5257" w:rsidP="005F5257">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Priekšdziedzera un urīnpūšļa vēža ārstēšana un diagnostika. Jaunu medicīnisko ierīču iegāde 3 224 650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754897F1" w14:textId="4D7D9DFF" w:rsidR="005F5257" w:rsidRPr="007B010A" w:rsidRDefault="005F5257" w:rsidP="005F5257">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Vēža ārstēšanas un diagnostikas rezultātu izvērtēšana ar datortomogrāfiju. Jaunu iekārtu iegāde 2 541 000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7AE03BFF" w14:textId="5CEBC25A" w:rsidR="007C5F71" w:rsidRPr="007B010A" w:rsidRDefault="007C5F71" w:rsidP="007C5F71">
      <w:pPr>
        <w:pStyle w:val="ListParagraph"/>
        <w:numPr>
          <w:ilvl w:val="0"/>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Infekcijas slimību izplatības mazināšanai 16 740 741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 turpinot 2017.gadā uzsāktās r</w:t>
      </w:r>
      <w:r w:rsidRPr="007B010A">
        <w:rPr>
          <w:rFonts w:ascii="Times New Roman" w:eastAsia="Times New Roman" w:hAnsi="Times New Roman"/>
          <w:bCs/>
          <w:sz w:val="24"/>
          <w:szCs w:val="24"/>
          <w:lang w:val="lv-LV" w:eastAsia="lv-LV"/>
        </w:rPr>
        <w:t>eformas valsts kompensējamo medikamentu nodrošinājumam VHC pacientiem F3-F4 stadijā:</w:t>
      </w:r>
    </w:p>
    <w:p w14:paraId="076AAC49" w14:textId="77777777" w:rsidR="007C5F71" w:rsidRPr="007B010A" w:rsidRDefault="007C5F71" w:rsidP="007C5F71">
      <w:pPr>
        <w:pStyle w:val="ListParagraph"/>
        <w:numPr>
          <w:ilvl w:val="1"/>
          <w:numId w:val="25"/>
        </w:numPr>
        <w:jc w:val="both"/>
        <w:rPr>
          <w:rFonts w:ascii="Times New Roman" w:eastAsia="Times New Roman" w:hAnsi="Times New Roman"/>
          <w:bCs/>
          <w:sz w:val="24"/>
          <w:szCs w:val="24"/>
          <w:lang w:val="lv-LV" w:eastAsia="lv-LV"/>
        </w:rPr>
      </w:pPr>
      <w:r w:rsidRPr="007B010A">
        <w:rPr>
          <w:rFonts w:ascii="Times New Roman" w:eastAsia="Times New Roman" w:hAnsi="Times New Roman"/>
          <w:bCs/>
          <w:sz w:val="24"/>
          <w:szCs w:val="24"/>
          <w:lang w:val="lv-LV" w:eastAsia="lv-LV"/>
        </w:rPr>
        <w:t xml:space="preserve">VHC terapijas nodrošināšana 11 174 882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22602FBB"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References laboratorijas izmeklējumi VHC hepatīta pacientu terapijas uzsākšanai un terapijas monitoringam saistībā ar pacientu skaita pieaugumu 783 203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5F13F026"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 Vīrusu molekulārās izmeklēšanas analītiskās jutības rādītāju uzlabošana 579 656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1AF0CC21"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bCs/>
          <w:sz w:val="24"/>
          <w:szCs w:val="24"/>
          <w:lang w:val="lv-LV" w:eastAsia="lv-LV"/>
        </w:rPr>
        <w:t xml:space="preserve">HIV/AIDS medikamentozā ārstēšana 4 203 000 </w:t>
      </w:r>
      <w:proofErr w:type="spellStart"/>
      <w:r w:rsidRPr="007B010A">
        <w:rPr>
          <w:rFonts w:ascii="Times New Roman" w:eastAsia="Times New Roman" w:hAnsi="Times New Roman"/>
          <w:bCs/>
          <w:i/>
          <w:sz w:val="24"/>
          <w:szCs w:val="24"/>
          <w:lang w:val="lv-LV" w:eastAsia="lv-LV"/>
        </w:rPr>
        <w:t>euro</w:t>
      </w:r>
      <w:proofErr w:type="spellEnd"/>
      <w:r w:rsidRPr="007B010A">
        <w:rPr>
          <w:rFonts w:ascii="Times New Roman" w:eastAsia="Times New Roman" w:hAnsi="Times New Roman"/>
          <w:bCs/>
          <w:sz w:val="24"/>
          <w:szCs w:val="24"/>
          <w:lang w:val="lv-LV" w:eastAsia="lv-LV"/>
        </w:rPr>
        <w:t>.</w:t>
      </w:r>
    </w:p>
    <w:p w14:paraId="22D3DE2A" w14:textId="77777777" w:rsidR="007C5F71" w:rsidRPr="007B010A" w:rsidRDefault="007C5F71" w:rsidP="007C5F71">
      <w:pPr>
        <w:pStyle w:val="ListParagraph"/>
        <w:numPr>
          <w:ilvl w:val="0"/>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Primārās veselības aprūpes sistēmas kvalitātes un pieejamības uzlabošanai 9 664 036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34FEB25F"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Mērķa kritēriju izpildes iekļaušana </w:t>
      </w:r>
      <w:proofErr w:type="spellStart"/>
      <w:r w:rsidRPr="007B010A">
        <w:rPr>
          <w:rFonts w:ascii="Times New Roman" w:eastAsia="Times New Roman" w:hAnsi="Times New Roman"/>
          <w:sz w:val="24"/>
          <w:szCs w:val="24"/>
          <w:lang w:val="lv-LV" w:eastAsia="lv-LV"/>
        </w:rPr>
        <w:t>kapitācijas</w:t>
      </w:r>
      <w:proofErr w:type="spellEnd"/>
      <w:r w:rsidRPr="007B010A">
        <w:rPr>
          <w:rFonts w:ascii="Times New Roman" w:eastAsia="Times New Roman" w:hAnsi="Times New Roman"/>
          <w:sz w:val="24"/>
          <w:szCs w:val="24"/>
          <w:lang w:val="lv-LV" w:eastAsia="lv-LV"/>
        </w:rPr>
        <w:t xml:space="preserve"> naudā 3 131 715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2A0DBA6F"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Ģimenes ārstu kvalitātes maksājumu sistēmas reforma 2 797 022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6BB5F895"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Bērnu zobārstniecības tarifu pārskatīšana 3 735 299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3F0E582D" w14:textId="77777777" w:rsidR="007C5F71" w:rsidRPr="007B010A" w:rsidRDefault="007C5F71"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Tarifa pieaugums 2 968 525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24598D7E" w14:textId="77777777" w:rsidR="007C5F71" w:rsidRPr="007B010A" w:rsidRDefault="007C5F71"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Kompozīts bērniem līdz 14 gadiem (ieskaitot) ar medikamentiem 766 774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1A95D7C5" w14:textId="2ABBE6A6" w:rsidR="007C5F71" w:rsidRPr="007B010A" w:rsidRDefault="007C5F71" w:rsidP="007C5F71">
      <w:pPr>
        <w:pStyle w:val="ListParagraph"/>
        <w:numPr>
          <w:ilvl w:val="0"/>
          <w:numId w:val="25"/>
        </w:numPr>
        <w:jc w:val="both"/>
        <w:rPr>
          <w:rFonts w:ascii="Times New Roman" w:eastAsia="Times New Roman" w:hAnsi="Times New Roman"/>
          <w:sz w:val="24"/>
          <w:szCs w:val="24"/>
          <w:lang w:val="lv-LV" w:eastAsia="lv-LV"/>
        </w:rPr>
      </w:pPr>
      <w:proofErr w:type="spellStart"/>
      <w:r w:rsidRPr="007B010A">
        <w:rPr>
          <w:rFonts w:ascii="Times New Roman" w:eastAsia="Times New Roman" w:hAnsi="Times New Roman"/>
          <w:sz w:val="24"/>
          <w:szCs w:val="24"/>
          <w:lang w:val="lv-LV" w:eastAsia="lv-LV"/>
        </w:rPr>
        <w:t>Kardiovaskulārās</w:t>
      </w:r>
      <w:proofErr w:type="spellEnd"/>
      <w:r w:rsidRPr="007B010A">
        <w:rPr>
          <w:rFonts w:ascii="Times New Roman" w:eastAsia="Times New Roman" w:hAnsi="Times New Roman"/>
          <w:sz w:val="24"/>
          <w:szCs w:val="24"/>
          <w:lang w:val="lv-LV" w:eastAsia="lv-LV"/>
        </w:rPr>
        <w:t xml:space="preserve"> saslimstības mazināšanai un slimību ārstēšanas efektivitātes uzlabošanai 11</w:t>
      </w:r>
      <w:r w:rsidR="00554D46" w:rsidRPr="007B010A">
        <w:rPr>
          <w:rFonts w:ascii="Times New Roman" w:eastAsia="Times New Roman" w:hAnsi="Times New Roman"/>
          <w:sz w:val="24"/>
          <w:szCs w:val="24"/>
          <w:lang w:val="lv-LV" w:eastAsia="lv-LV"/>
        </w:rPr>
        <w:t> 458 130</w:t>
      </w: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01834E80" w14:textId="4D7E68C2"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sz w:val="24"/>
          <w:szCs w:val="24"/>
          <w:lang w:val="lv-LV" w:eastAsia="lv-LV"/>
        </w:rPr>
        <w:t>Kardiovaskulārā</w:t>
      </w:r>
      <w:proofErr w:type="spellEnd"/>
      <w:r w:rsidRPr="007B010A">
        <w:rPr>
          <w:rFonts w:ascii="Times New Roman" w:eastAsia="Times New Roman" w:hAnsi="Times New Roman"/>
          <w:sz w:val="24"/>
          <w:szCs w:val="24"/>
          <w:lang w:val="lv-LV" w:eastAsia="lv-LV"/>
        </w:rPr>
        <w:t xml:space="preserve"> riska izvērtēšana un algoritmu ieviešana 1</w:t>
      </w:r>
      <w:r w:rsidR="009B1859" w:rsidRPr="007B010A">
        <w:rPr>
          <w:rFonts w:ascii="Times New Roman" w:eastAsia="Times New Roman" w:hAnsi="Times New Roman"/>
          <w:sz w:val="24"/>
          <w:szCs w:val="24"/>
          <w:lang w:val="lv-LV" w:eastAsia="lv-LV"/>
        </w:rPr>
        <w:t> </w:t>
      </w:r>
      <w:r w:rsidR="00554D46" w:rsidRPr="007B010A">
        <w:rPr>
          <w:rFonts w:ascii="Times New Roman" w:eastAsia="Times New Roman" w:hAnsi="Times New Roman"/>
          <w:sz w:val="24"/>
          <w:szCs w:val="24"/>
          <w:lang w:val="lv-LV" w:eastAsia="lv-LV"/>
        </w:rPr>
        <w:t>706</w:t>
      </w:r>
      <w:r w:rsidR="009B1859" w:rsidRPr="007B010A">
        <w:rPr>
          <w:rFonts w:ascii="Times New Roman" w:eastAsia="Times New Roman" w:hAnsi="Times New Roman"/>
          <w:sz w:val="24"/>
          <w:szCs w:val="24"/>
          <w:lang w:val="lv-LV" w:eastAsia="lv-LV"/>
        </w:rPr>
        <w:t> </w:t>
      </w:r>
      <w:r w:rsidR="00554D46" w:rsidRPr="007B010A">
        <w:rPr>
          <w:rFonts w:ascii="Times New Roman" w:eastAsia="Times New Roman" w:hAnsi="Times New Roman"/>
          <w:sz w:val="24"/>
          <w:szCs w:val="24"/>
          <w:lang w:val="lv-LV" w:eastAsia="lv-LV"/>
        </w:rPr>
        <w:t>257</w:t>
      </w: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 tai skaitā:</w:t>
      </w:r>
    </w:p>
    <w:p w14:paraId="2567453D" w14:textId="4F05CC73" w:rsidR="007C5F71" w:rsidRPr="007B010A" w:rsidRDefault="007C5F71"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Primārās profilakses algoritmu ieviešana </w:t>
      </w:r>
      <w:r w:rsidR="00554D46" w:rsidRPr="007B010A">
        <w:rPr>
          <w:rFonts w:ascii="Times New Roman" w:eastAsia="Times New Roman" w:hAnsi="Times New Roman"/>
          <w:sz w:val="24"/>
          <w:szCs w:val="24"/>
          <w:lang w:val="lv-LV" w:eastAsia="lv-LV"/>
        </w:rPr>
        <w:t>531</w:t>
      </w:r>
      <w:r w:rsidR="009B1859" w:rsidRPr="007B010A">
        <w:rPr>
          <w:rFonts w:ascii="Times New Roman" w:eastAsia="Times New Roman" w:hAnsi="Times New Roman"/>
          <w:sz w:val="24"/>
          <w:szCs w:val="24"/>
          <w:lang w:val="lv-LV" w:eastAsia="lv-LV"/>
        </w:rPr>
        <w:t> </w:t>
      </w:r>
      <w:r w:rsidR="00554D46" w:rsidRPr="007B010A">
        <w:rPr>
          <w:rFonts w:ascii="Times New Roman" w:eastAsia="Times New Roman" w:hAnsi="Times New Roman"/>
          <w:sz w:val="24"/>
          <w:szCs w:val="24"/>
          <w:lang w:val="lv-LV" w:eastAsia="lv-LV"/>
        </w:rPr>
        <w:t>500</w:t>
      </w: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2BC9DCB5" w14:textId="29AAB822" w:rsidR="008C4B9D" w:rsidRPr="007B010A" w:rsidRDefault="008C4B9D"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1. posma PVA praksē tiek ietverta arī laboratorija 71 394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05D80C9B" w14:textId="1566C540" w:rsidR="007C5F71" w:rsidRPr="007B010A" w:rsidRDefault="007C5F71"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Sekundārās diagnostikas un izmeklēšanas algoritmu ieviešana </w:t>
      </w:r>
      <w:r w:rsidR="00554D46" w:rsidRPr="007B010A">
        <w:rPr>
          <w:rFonts w:ascii="Times New Roman" w:eastAsia="Times New Roman" w:hAnsi="Times New Roman"/>
          <w:sz w:val="24"/>
          <w:szCs w:val="24"/>
          <w:lang w:val="lv-LV" w:eastAsia="lv-LV"/>
        </w:rPr>
        <w:t>799 095</w:t>
      </w:r>
      <w:r w:rsidRPr="007B010A">
        <w:rPr>
          <w:rFonts w:ascii="Times New Roman" w:eastAsia="Times New Roman" w:hAnsi="Times New Roman"/>
          <w:sz w:val="24"/>
          <w:szCs w:val="24"/>
          <w:lang w:val="lv-LV" w:eastAsia="lv-LV"/>
        </w:rPr>
        <w:t>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22A9D403" w14:textId="1A586B7B" w:rsidR="008C4B9D" w:rsidRPr="007B010A" w:rsidRDefault="008C4B9D" w:rsidP="007C5F71">
      <w:pPr>
        <w:pStyle w:val="ListParagraph"/>
        <w:numPr>
          <w:ilvl w:val="2"/>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Rīcība pēc SAS riska vērtējuma noteikšanas – laboratorijas izmeklējumi 304 271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4C685450"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 </w:t>
      </w:r>
      <w:proofErr w:type="spellStart"/>
      <w:r w:rsidRPr="007B010A">
        <w:rPr>
          <w:rFonts w:ascii="Times New Roman" w:eastAsia="Times New Roman" w:hAnsi="Times New Roman"/>
          <w:sz w:val="24"/>
          <w:szCs w:val="24"/>
          <w:lang w:val="lv-LV" w:eastAsia="lv-LV"/>
        </w:rPr>
        <w:t>Aortālā</w:t>
      </w:r>
      <w:proofErr w:type="spellEnd"/>
      <w:r w:rsidRPr="007B010A">
        <w:rPr>
          <w:rFonts w:ascii="Times New Roman" w:eastAsia="Times New Roman" w:hAnsi="Times New Roman"/>
          <w:sz w:val="24"/>
          <w:szCs w:val="24"/>
          <w:lang w:val="lv-LV" w:eastAsia="lv-LV"/>
        </w:rPr>
        <w:t xml:space="preserve"> vārstuļa </w:t>
      </w:r>
      <w:proofErr w:type="spellStart"/>
      <w:r w:rsidRPr="007B010A">
        <w:rPr>
          <w:rFonts w:ascii="Times New Roman" w:eastAsia="Times New Roman" w:hAnsi="Times New Roman"/>
          <w:sz w:val="24"/>
          <w:szCs w:val="24"/>
          <w:lang w:val="lv-LV" w:eastAsia="lv-LV"/>
        </w:rPr>
        <w:t>transkatetrāla</w:t>
      </w:r>
      <w:proofErr w:type="spellEnd"/>
      <w:r w:rsidRPr="007B010A">
        <w:rPr>
          <w:rFonts w:ascii="Times New Roman" w:eastAsia="Times New Roman" w:hAnsi="Times New Roman"/>
          <w:sz w:val="24"/>
          <w:szCs w:val="24"/>
          <w:lang w:val="lv-LV" w:eastAsia="lv-LV"/>
        </w:rPr>
        <w:t xml:space="preserve"> implantācija (TAVI) pakalpojuma ieviešana 1 875 000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3EADC89C" w14:textId="77777777" w:rsidR="007C5F71" w:rsidRPr="007B010A" w:rsidRDefault="007C5F71" w:rsidP="007C5F71">
      <w:pPr>
        <w:pStyle w:val="ListParagraph"/>
        <w:numPr>
          <w:ilvl w:val="1"/>
          <w:numId w:val="25"/>
        </w:numPr>
        <w:jc w:val="both"/>
        <w:rPr>
          <w:rFonts w:ascii="Times New Roman" w:eastAsia="Times New Roman" w:hAnsi="Times New Roman"/>
          <w:sz w:val="24"/>
          <w:szCs w:val="24"/>
          <w:lang w:val="lv-LV" w:eastAsia="lv-LV"/>
        </w:rPr>
      </w:pPr>
      <w:proofErr w:type="spellStart"/>
      <w:r w:rsidRPr="007B010A">
        <w:rPr>
          <w:rFonts w:ascii="Times New Roman" w:eastAsia="Times New Roman" w:hAnsi="Times New Roman"/>
          <w:sz w:val="24"/>
          <w:szCs w:val="24"/>
          <w:lang w:val="lv-LV" w:eastAsia="lv-LV"/>
        </w:rPr>
        <w:lastRenderedPageBreak/>
        <w:t>Angiogrāfu</w:t>
      </w:r>
      <w:proofErr w:type="spellEnd"/>
      <w:r w:rsidRPr="007B010A">
        <w:rPr>
          <w:rFonts w:ascii="Times New Roman" w:eastAsia="Times New Roman" w:hAnsi="Times New Roman"/>
          <w:sz w:val="24"/>
          <w:szCs w:val="24"/>
          <w:lang w:val="lv-LV" w:eastAsia="lv-LV"/>
        </w:rPr>
        <w:t xml:space="preserve"> iegāde 4 500 000 </w:t>
      </w:r>
      <w:proofErr w:type="spellStart"/>
      <w:r w:rsidRPr="007B010A">
        <w:rPr>
          <w:rFonts w:ascii="Times New Roman" w:eastAsia="Times New Roman" w:hAnsi="Times New Roman"/>
          <w:i/>
          <w:sz w:val="24"/>
          <w:szCs w:val="24"/>
          <w:lang w:val="lv-LV" w:eastAsia="lv-LV"/>
        </w:rPr>
        <w:t>euro</w:t>
      </w:r>
      <w:proofErr w:type="spellEnd"/>
      <w:r w:rsidRPr="007B010A">
        <w:rPr>
          <w:rFonts w:ascii="Times New Roman" w:eastAsia="Times New Roman" w:hAnsi="Times New Roman"/>
          <w:sz w:val="24"/>
          <w:szCs w:val="24"/>
          <w:lang w:val="lv-LV" w:eastAsia="lv-LV"/>
        </w:rPr>
        <w:t>;</w:t>
      </w:r>
    </w:p>
    <w:p w14:paraId="18C004C1" w14:textId="1015FD0A" w:rsidR="00F967AD" w:rsidRPr="007B010A" w:rsidRDefault="007C5F71" w:rsidP="008A27C5">
      <w:pPr>
        <w:pStyle w:val="ListParagraph"/>
        <w:numPr>
          <w:ilvl w:val="1"/>
          <w:numId w:val="25"/>
        </w:numPr>
        <w:jc w:val="both"/>
      </w:pPr>
      <w:r w:rsidRPr="007B010A">
        <w:rPr>
          <w:rFonts w:ascii="Times New Roman" w:hAnsi="Times New Roman"/>
          <w:sz w:val="24"/>
          <w:szCs w:val="24"/>
        </w:rPr>
        <w:t xml:space="preserve">SAS </w:t>
      </w:r>
      <w:proofErr w:type="spellStart"/>
      <w:r w:rsidRPr="007B010A">
        <w:rPr>
          <w:rFonts w:ascii="Times New Roman" w:hAnsi="Times New Roman"/>
          <w:sz w:val="24"/>
          <w:szCs w:val="24"/>
        </w:rPr>
        <w:t>medikamenti</w:t>
      </w:r>
      <w:proofErr w:type="spellEnd"/>
      <w:r w:rsidRPr="007B010A">
        <w:rPr>
          <w:rFonts w:ascii="Times New Roman" w:hAnsi="Times New Roman"/>
          <w:sz w:val="24"/>
          <w:szCs w:val="24"/>
        </w:rPr>
        <w:t xml:space="preserve"> 3</w:t>
      </w:r>
      <w:r w:rsidR="009B1859" w:rsidRPr="007B010A">
        <w:rPr>
          <w:rFonts w:ascii="Times New Roman" w:hAnsi="Times New Roman"/>
          <w:sz w:val="24"/>
          <w:szCs w:val="24"/>
        </w:rPr>
        <w:t> </w:t>
      </w:r>
      <w:r w:rsidR="00235C53" w:rsidRPr="007B010A">
        <w:rPr>
          <w:rFonts w:ascii="Times New Roman" w:hAnsi="Times New Roman"/>
          <w:sz w:val="24"/>
          <w:szCs w:val="24"/>
        </w:rPr>
        <w:t>376</w:t>
      </w:r>
      <w:r w:rsidR="009B1859" w:rsidRPr="007B010A">
        <w:rPr>
          <w:rFonts w:ascii="Times New Roman" w:hAnsi="Times New Roman"/>
          <w:sz w:val="24"/>
          <w:szCs w:val="24"/>
        </w:rPr>
        <w:t> </w:t>
      </w:r>
      <w:r w:rsidR="00235C53" w:rsidRPr="007B010A">
        <w:rPr>
          <w:rFonts w:ascii="Times New Roman" w:hAnsi="Times New Roman"/>
          <w:sz w:val="24"/>
          <w:szCs w:val="24"/>
        </w:rPr>
        <w:t>873</w:t>
      </w:r>
      <w:r w:rsidRPr="007B010A">
        <w:rPr>
          <w:rFonts w:ascii="Times New Roman" w:hAnsi="Times New Roman"/>
          <w:sz w:val="24"/>
          <w:szCs w:val="24"/>
        </w:rPr>
        <w:t xml:space="preserve"> </w:t>
      </w:r>
      <w:r w:rsidRPr="007B010A">
        <w:rPr>
          <w:rFonts w:ascii="Times New Roman" w:hAnsi="Times New Roman"/>
          <w:i/>
          <w:sz w:val="24"/>
          <w:szCs w:val="24"/>
        </w:rPr>
        <w:t>euro.</w:t>
      </w:r>
    </w:p>
    <w:p w14:paraId="76472EA0" w14:textId="3502B717" w:rsidR="00D923AA" w:rsidRPr="007B010A" w:rsidRDefault="00D923AA" w:rsidP="00D923AA">
      <w:pPr>
        <w:ind w:firstLine="720"/>
        <w:jc w:val="both"/>
      </w:pPr>
      <w:r w:rsidRPr="007B010A">
        <w:t>Reformas onkoloģijas jomā paredzēja ātrāku pacientu izmeklēšanu un pieeju speciālistiem “Zaļajā koridor</w:t>
      </w:r>
      <w:r w:rsidR="000368AB" w:rsidRPr="007B010A">
        <w:t>ā</w:t>
      </w:r>
      <w:r w:rsidRPr="007B010A">
        <w:t xml:space="preserve">” sākotnēji 11 biežāko lokalizāciju onkoloģisko saslimšanu vai aizdomu gadījumā uz onkoloģisko saslimšanu gadījumos, savukārt no 2018.gada 1.janvāra </w:t>
      </w:r>
      <w:r w:rsidRPr="007B010A">
        <w:rPr>
          <w:shd w:val="clear" w:color="auto" w:fill="FFFFFF"/>
        </w:rPr>
        <w:t>ir iekļautas visas onkoloģisko slimību lokalizācijas un tā rezultātā ir nodrošināta visu lokalizāciju ļaundabīgo audzēju diagnostikai nepieciešamo izmeklējumu un ārstu konsultāciju apmaksa prioritārā kārtībā</w:t>
      </w:r>
      <w:r w:rsidRPr="007B010A">
        <w:t>. 2017.gada sākumā uzsāktās reformas</w:t>
      </w:r>
      <w:r w:rsidR="00CE6D47" w:rsidRPr="007B010A">
        <w:t xml:space="preserve"> turpinājās</w:t>
      </w:r>
      <w:r w:rsidRPr="007B010A">
        <w:t xml:space="preserve"> 2018.gad</w:t>
      </w:r>
      <w:r w:rsidR="00CE6D47" w:rsidRPr="007B010A">
        <w:t>ā</w:t>
      </w:r>
      <w:r w:rsidRPr="007B010A">
        <w:t xml:space="preserve"> nodrošin</w:t>
      </w:r>
      <w:r w:rsidR="00CE6D47" w:rsidRPr="007B010A">
        <w:t>ot</w:t>
      </w:r>
      <w:r w:rsidRPr="007B010A">
        <w:t xml:space="preserve"> primārās diagnostikas algoritmu ieviešanu </w:t>
      </w:r>
      <w:r w:rsidR="006D0D2B" w:rsidRPr="007B010A">
        <w:t>69</w:t>
      </w:r>
      <w:r w:rsidRPr="007B010A">
        <w:t xml:space="preserve"> ārstniecības iestādēs, speciālistu konsultāciju izmaksu pieaugumu onkoloģijā atbilstoši noteiktajiem algoritmiem un sekundāro diagnostikas, izmeklēšanas algoritmu ieviešanu 5 ārstniecības iestādēs, onkoloģisko pacientu skaita un prognozēto ārstēšanas izmaksu pieaugumu ambulatori 6 ārstniecības iestādēs un  onkoloģisko pacientu skaita un prognozētās ārstēšanas izmaksu pieaugumu 7 stacionāros, kā arī kompensējamo medikamentu segumu unikālo pacientu skaita pieaugumam. </w:t>
      </w:r>
    </w:p>
    <w:p w14:paraId="3032C710" w14:textId="458635D8" w:rsidR="00D923AA" w:rsidRPr="007B010A" w:rsidRDefault="00D923AA" w:rsidP="00D923AA">
      <w:pPr>
        <w:ind w:firstLine="720"/>
        <w:jc w:val="both"/>
      </w:pPr>
      <w:r w:rsidRPr="007B010A">
        <w:t xml:space="preserve">Reformas rindu mazināšanai pie speciālistiem, uz diagnostiskajiem izmeklējumiem, dienas stacionārā un ambulatorajā rehabilitācijā, kā arī reformas valsts kompensējamo medikamentu nodrošinājumā VHC pacientiem F3-F4 stadijā uzsāktas ar 2017.gada martu atbilstoši 2017.gada 24.februāra Finanšu ministrijas rīkojumam Nr.79 “Par apropriācijas pārdali starp budžeta resoru “74.Gadskārtējā valsts budžeta izpildes procesā pārdalāmais finansējums” un Veselības ministriju”. Lai realizētu plānoto rindu samazinājumu, Nacionālais veselības dienests (turpmāk - NVD) </w:t>
      </w:r>
      <w:r w:rsidR="00CE6D47" w:rsidRPr="007B010A">
        <w:t xml:space="preserve">2018.gadā </w:t>
      </w:r>
      <w:r w:rsidRPr="007B010A">
        <w:t xml:space="preserve">noslēdza līgumus ar </w:t>
      </w:r>
      <w:r w:rsidR="00912B43" w:rsidRPr="007B010A">
        <w:t>338</w:t>
      </w:r>
      <w:r w:rsidRPr="007B010A">
        <w:t xml:space="preserve"> ārstniecības iestādēm par valsts apmaksātu papildus veselības aprūpes pakalpojumu sniegšanu. </w:t>
      </w:r>
    </w:p>
    <w:p w14:paraId="28B7BA03" w14:textId="41966195" w:rsidR="002E0156" w:rsidRPr="007B010A" w:rsidRDefault="002E0156" w:rsidP="002E0156">
      <w:pPr>
        <w:ind w:firstLine="720"/>
        <w:jc w:val="both"/>
      </w:pPr>
      <w:r w:rsidRPr="007B010A">
        <w:t>2018.gada dati liecina, ka sekundāro ambulatoro veselības aprūpes pakalpojumu faktiskais rindu garuma samazinājums, kas ir izveidojies papildus piešķirtā tiešā finansējuma ietekmē uz veselības aprūpes pakalpojumu pieprasījumu, notiek lēnāk, jo novērojama pacientu uzvedības maiņa: rindā ienāk tie Latvijas iedzīvotāji, kuri rindu, attāluma vai finanšu dēļ līdz šīm nav saņēmuši veselības aprūpes pakalpojumus (1.tabula), kā arī notiek daļas pacientu pārvirzīšanās no maksas pakalpojumiem uz valsts apmaksātu</w:t>
      </w:r>
      <w:r w:rsidR="00C60AFB" w:rsidRPr="007B010A">
        <w:t xml:space="preserve"> veselības aprūpes</w:t>
      </w:r>
      <w:r w:rsidRPr="007B010A">
        <w:t xml:space="preserve"> pakalpojumu sektoru. Šīs divas iedzīvotāju grupas papildus finansējuma tiešai ietekmei palielina pieprasījumu pēc valsts apmaksātas veselības aprūpes, vienlaikus samazinot to pacientu skaitu, kuri līdz šīm nav varējuši saņemt veselības aprūpes pakalpojumus. </w:t>
      </w:r>
    </w:p>
    <w:p w14:paraId="7621BEEC" w14:textId="15C8DB06" w:rsidR="005B2F9D" w:rsidRPr="007B010A" w:rsidRDefault="002E0156" w:rsidP="00965EB1">
      <w:pPr>
        <w:ind w:firstLine="720"/>
        <w:jc w:val="both"/>
      </w:pPr>
      <w:r w:rsidRPr="007B010A">
        <w:t>Salīdzinot ar Reformu ziņojumā iesniegtajiem datiem, kad</w:t>
      </w:r>
      <w:r w:rsidRPr="007B010A">
        <w:rPr>
          <w:bCs/>
        </w:rPr>
        <w:t xml:space="preserve"> sekundārajā ambulatorajā veselības aprūpē aprēķināta nesaņemto sekundāro ambulatoro veselības aprūpes pakalpojumu ietekme (ieplūšana valsts apmaksāto pakalpojumu segmentā) indikatīvi tika noteikta 16,16% apmērā, </w:t>
      </w:r>
      <w:r w:rsidRPr="007B010A">
        <w:t xml:space="preserve">pacientu uzvedības maiņas noteikšanai 2018.gadam tika izmantoti Centrālās statistikas pārvaldes 2016.gada izstrādātie iedzīvotāju veselības apsekošanas rezultāti (1.tabula), kā arī aktuālie statistikas dati par Latvijas iedzīvotāju skaitu 2018.gadā. </w:t>
      </w:r>
    </w:p>
    <w:p w14:paraId="0E294FD8" w14:textId="10DD7113" w:rsidR="00D923AA" w:rsidRPr="007B010A" w:rsidRDefault="00D923AA" w:rsidP="005B2F9D">
      <w:pPr>
        <w:ind w:firstLine="720"/>
        <w:jc w:val="right"/>
        <w:rPr>
          <w:i/>
        </w:rPr>
      </w:pPr>
      <w:r w:rsidRPr="007B010A">
        <w:rPr>
          <w:i/>
        </w:rPr>
        <w:t>1.tabula</w:t>
      </w:r>
    </w:p>
    <w:p w14:paraId="61E8D487" w14:textId="07017B51" w:rsidR="00D923AA" w:rsidRPr="007B010A" w:rsidRDefault="00D923AA" w:rsidP="00D923AA">
      <w:pPr>
        <w:ind w:firstLine="720"/>
        <w:jc w:val="center"/>
      </w:pPr>
      <w:r w:rsidRPr="007B010A">
        <w:t>Pacientu uzvedības maiņas noteikšanai izmantotie rādītāji, balstoties uz Centrālās statistikas pārvaldes 2016.gada “I</w:t>
      </w:r>
      <w:r w:rsidR="001B324A" w:rsidRPr="007B010A">
        <w:t>e</w:t>
      </w:r>
      <w:r w:rsidRPr="007B010A">
        <w:t>dzīvotāju veselības apsekošanas rezultātiem”</w:t>
      </w:r>
    </w:p>
    <w:p w14:paraId="3C2E2EB0" w14:textId="77777777" w:rsidR="00D923AA" w:rsidRPr="007B010A" w:rsidRDefault="00D923AA" w:rsidP="00D923AA">
      <w:pPr>
        <w:ind w:firstLine="720"/>
        <w:jc w:val="center"/>
      </w:pPr>
    </w:p>
    <w:tbl>
      <w:tblPr>
        <w:tblW w:w="9399" w:type="dxa"/>
        <w:jc w:val="center"/>
        <w:tblLook w:val="04A0" w:firstRow="1" w:lastRow="0" w:firstColumn="1" w:lastColumn="0" w:noHBand="0" w:noVBand="1"/>
      </w:tblPr>
      <w:tblGrid>
        <w:gridCol w:w="846"/>
        <w:gridCol w:w="7087"/>
        <w:gridCol w:w="1466"/>
      </w:tblGrid>
      <w:tr w:rsidR="00D923AA" w:rsidRPr="007B010A" w14:paraId="140E5DA9" w14:textId="77777777" w:rsidTr="00376CF0">
        <w:trPr>
          <w:trHeight w:val="300"/>
          <w:jc w:val="center"/>
        </w:trPr>
        <w:tc>
          <w:tcPr>
            <w:tcW w:w="846" w:type="dxa"/>
            <w:tcBorders>
              <w:top w:val="single" w:sz="4" w:space="0" w:color="auto"/>
              <w:left w:val="single" w:sz="4" w:space="0" w:color="auto"/>
              <w:bottom w:val="single" w:sz="4" w:space="0" w:color="auto"/>
              <w:right w:val="single" w:sz="4" w:space="0" w:color="auto"/>
            </w:tcBorders>
            <w:noWrap/>
            <w:vAlign w:val="bottom"/>
            <w:hideMark/>
          </w:tcPr>
          <w:p w14:paraId="52C1E224" w14:textId="77777777" w:rsidR="00D923AA" w:rsidRPr="007B010A" w:rsidRDefault="00D923AA" w:rsidP="00376CF0">
            <w:pPr>
              <w:jc w:val="center"/>
            </w:pPr>
            <w:r w:rsidRPr="007B010A">
              <w:t>1.</w:t>
            </w:r>
          </w:p>
        </w:tc>
        <w:tc>
          <w:tcPr>
            <w:tcW w:w="7087" w:type="dxa"/>
            <w:tcBorders>
              <w:top w:val="single" w:sz="4" w:space="0" w:color="auto"/>
              <w:left w:val="nil"/>
              <w:bottom w:val="single" w:sz="4" w:space="0" w:color="auto"/>
              <w:right w:val="single" w:sz="4" w:space="0" w:color="auto"/>
            </w:tcBorders>
            <w:noWrap/>
            <w:vAlign w:val="bottom"/>
            <w:hideMark/>
          </w:tcPr>
          <w:p w14:paraId="730D4E80" w14:textId="77777777" w:rsidR="00D923AA" w:rsidRPr="007B010A" w:rsidRDefault="00D923AA" w:rsidP="00376CF0">
            <w:r w:rsidRPr="007B010A">
              <w:t>Latvijas iedzīvotāju skaits 2018</w:t>
            </w:r>
            <w:r w:rsidRPr="007B010A">
              <w:rPr>
                <w:rStyle w:val="FootnoteReference"/>
              </w:rPr>
              <w:footnoteReference w:id="4"/>
            </w:r>
            <w:r w:rsidRPr="007B010A">
              <w:t>.gadā</w:t>
            </w:r>
          </w:p>
        </w:tc>
        <w:tc>
          <w:tcPr>
            <w:tcW w:w="1466" w:type="dxa"/>
            <w:tcBorders>
              <w:top w:val="single" w:sz="4" w:space="0" w:color="auto"/>
              <w:left w:val="nil"/>
              <w:bottom w:val="single" w:sz="4" w:space="0" w:color="auto"/>
              <w:right w:val="single" w:sz="4" w:space="0" w:color="auto"/>
            </w:tcBorders>
            <w:noWrap/>
            <w:vAlign w:val="center"/>
            <w:hideMark/>
          </w:tcPr>
          <w:p w14:paraId="60897304" w14:textId="6A8ABE2C" w:rsidR="00D923AA" w:rsidRPr="007B010A" w:rsidRDefault="00D923AA" w:rsidP="00376CF0">
            <w:pPr>
              <w:jc w:val="right"/>
            </w:pPr>
            <w:r w:rsidRPr="007B010A">
              <w:t>1</w:t>
            </w:r>
            <w:r w:rsidR="009B1859" w:rsidRPr="007B010A">
              <w:t> </w:t>
            </w:r>
            <w:r w:rsidRPr="007B010A">
              <w:t>934</w:t>
            </w:r>
            <w:r w:rsidR="009B1859" w:rsidRPr="007B010A">
              <w:t> </w:t>
            </w:r>
            <w:r w:rsidRPr="007B010A">
              <w:t>379</w:t>
            </w:r>
          </w:p>
        </w:tc>
      </w:tr>
      <w:tr w:rsidR="00D923AA" w:rsidRPr="007B010A" w14:paraId="68D32918" w14:textId="77777777" w:rsidTr="00376CF0">
        <w:trPr>
          <w:trHeight w:val="387"/>
          <w:jc w:val="center"/>
        </w:trPr>
        <w:tc>
          <w:tcPr>
            <w:tcW w:w="846" w:type="dxa"/>
            <w:tcBorders>
              <w:top w:val="nil"/>
              <w:left w:val="single" w:sz="4" w:space="0" w:color="auto"/>
              <w:bottom w:val="single" w:sz="4" w:space="0" w:color="auto"/>
              <w:right w:val="single" w:sz="4" w:space="0" w:color="auto"/>
            </w:tcBorders>
            <w:noWrap/>
            <w:vAlign w:val="bottom"/>
            <w:hideMark/>
          </w:tcPr>
          <w:p w14:paraId="062BE3E1" w14:textId="77777777" w:rsidR="00D923AA" w:rsidRPr="007B010A" w:rsidRDefault="00D923AA" w:rsidP="00376CF0">
            <w:pPr>
              <w:jc w:val="center"/>
            </w:pPr>
            <w:r w:rsidRPr="007B010A">
              <w:t>2.</w:t>
            </w:r>
          </w:p>
        </w:tc>
        <w:tc>
          <w:tcPr>
            <w:tcW w:w="7087" w:type="dxa"/>
            <w:tcBorders>
              <w:top w:val="nil"/>
              <w:left w:val="nil"/>
              <w:bottom w:val="single" w:sz="4" w:space="0" w:color="auto"/>
              <w:right w:val="single" w:sz="4" w:space="0" w:color="auto"/>
            </w:tcBorders>
            <w:vAlign w:val="bottom"/>
            <w:hideMark/>
          </w:tcPr>
          <w:p w14:paraId="5CD1ED27" w14:textId="77777777" w:rsidR="00D923AA" w:rsidRPr="007B010A" w:rsidRDefault="00D923AA" w:rsidP="00376CF0">
            <w:r w:rsidRPr="007B010A">
              <w:t>Iedzīvotāju skaits %, kuri rindu, attāluma vai finanšu dēļ nav saņēmuši veselības aprūpes pakalpojumus</w:t>
            </w:r>
          </w:p>
        </w:tc>
        <w:tc>
          <w:tcPr>
            <w:tcW w:w="1466" w:type="dxa"/>
            <w:tcBorders>
              <w:top w:val="nil"/>
              <w:left w:val="nil"/>
              <w:bottom w:val="single" w:sz="4" w:space="0" w:color="auto"/>
              <w:right w:val="single" w:sz="4" w:space="0" w:color="auto"/>
            </w:tcBorders>
            <w:noWrap/>
            <w:vAlign w:val="bottom"/>
            <w:hideMark/>
          </w:tcPr>
          <w:p w14:paraId="7C83D6C4" w14:textId="77777777" w:rsidR="00D923AA" w:rsidRPr="007B010A" w:rsidRDefault="00D923AA" w:rsidP="00376CF0">
            <w:pPr>
              <w:jc w:val="right"/>
            </w:pPr>
            <w:r w:rsidRPr="007B010A">
              <w:t>8,2%</w:t>
            </w:r>
            <w:r w:rsidRPr="007B010A">
              <w:rPr>
                <w:rStyle w:val="FootnoteReference"/>
              </w:rPr>
              <w:footnoteReference w:id="5"/>
            </w:r>
          </w:p>
        </w:tc>
      </w:tr>
      <w:tr w:rsidR="00D923AA" w:rsidRPr="007B010A" w14:paraId="53D3B65F" w14:textId="77777777" w:rsidTr="00376CF0">
        <w:trPr>
          <w:trHeight w:val="561"/>
          <w:jc w:val="center"/>
        </w:trPr>
        <w:tc>
          <w:tcPr>
            <w:tcW w:w="846" w:type="dxa"/>
            <w:tcBorders>
              <w:top w:val="nil"/>
              <w:left w:val="single" w:sz="4" w:space="0" w:color="auto"/>
              <w:bottom w:val="single" w:sz="4" w:space="0" w:color="auto"/>
              <w:right w:val="single" w:sz="4" w:space="0" w:color="auto"/>
            </w:tcBorders>
            <w:noWrap/>
            <w:vAlign w:val="bottom"/>
            <w:hideMark/>
          </w:tcPr>
          <w:p w14:paraId="07DC5C5B" w14:textId="77777777" w:rsidR="00D923AA" w:rsidRPr="007B010A" w:rsidRDefault="00D923AA" w:rsidP="00376CF0">
            <w:pPr>
              <w:jc w:val="center"/>
            </w:pPr>
            <w:r w:rsidRPr="007B010A">
              <w:t>3.</w:t>
            </w:r>
          </w:p>
        </w:tc>
        <w:tc>
          <w:tcPr>
            <w:tcW w:w="7087" w:type="dxa"/>
            <w:tcBorders>
              <w:top w:val="nil"/>
              <w:left w:val="nil"/>
              <w:bottom w:val="single" w:sz="4" w:space="0" w:color="auto"/>
              <w:right w:val="single" w:sz="4" w:space="0" w:color="auto"/>
            </w:tcBorders>
            <w:vAlign w:val="bottom"/>
            <w:hideMark/>
          </w:tcPr>
          <w:p w14:paraId="2BCFD259" w14:textId="77777777" w:rsidR="00D923AA" w:rsidRPr="007B010A" w:rsidRDefault="00D923AA" w:rsidP="00376CF0">
            <w:r w:rsidRPr="007B010A">
              <w:t>Iedzīvotāju skaits, kuri rindu, attāluma vai finanšu dēļ nav saņēmuši sekundāros ambulatoros veselības aprūpes pakalpojumus</w:t>
            </w:r>
          </w:p>
        </w:tc>
        <w:tc>
          <w:tcPr>
            <w:tcW w:w="1466" w:type="dxa"/>
            <w:tcBorders>
              <w:top w:val="nil"/>
              <w:left w:val="nil"/>
              <w:bottom w:val="single" w:sz="4" w:space="0" w:color="auto"/>
              <w:right w:val="single" w:sz="4" w:space="0" w:color="auto"/>
            </w:tcBorders>
            <w:noWrap/>
            <w:vAlign w:val="bottom"/>
            <w:hideMark/>
          </w:tcPr>
          <w:p w14:paraId="5EC55827" w14:textId="3119E78F" w:rsidR="00D923AA" w:rsidRPr="007B010A" w:rsidRDefault="00D923AA" w:rsidP="00376CF0">
            <w:pPr>
              <w:jc w:val="right"/>
            </w:pPr>
            <w:r w:rsidRPr="007B010A">
              <w:t>158</w:t>
            </w:r>
            <w:r w:rsidR="009B1859" w:rsidRPr="007B010A">
              <w:t> </w:t>
            </w:r>
            <w:r w:rsidRPr="007B010A">
              <w:t>619</w:t>
            </w:r>
          </w:p>
        </w:tc>
      </w:tr>
      <w:tr w:rsidR="00D923AA" w:rsidRPr="007B010A" w14:paraId="707977F4" w14:textId="77777777" w:rsidTr="00376CF0">
        <w:trPr>
          <w:trHeight w:val="421"/>
          <w:jc w:val="center"/>
        </w:trPr>
        <w:tc>
          <w:tcPr>
            <w:tcW w:w="846" w:type="dxa"/>
            <w:tcBorders>
              <w:top w:val="nil"/>
              <w:left w:val="single" w:sz="4" w:space="0" w:color="auto"/>
              <w:bottom w:val="single" w:sz="4" w:space="0" w:color="auto"/>
              <w:right w:val="single" w:sz="4" w:space="0" w:color="auto"/>
            </w:tcBorders>
            <w:noWrap/>
            <w:vAlign w:val="bottom"/>
            <w:hideMark/>
          </w:tcPr>
          <w:p w14:paraId="7C082B0E" w14:textId="77777777" w:rsidR="00D923AA" w:rsidRPr="007B010A" w:rsidRDefault="00D923AA" w:rsidP="00376CF0">
            <w:pPr>
              <w:jc w:val="center"/>
            </w:pPr>
            <w:r w:rsidRPr="007B010A">
              <w:lastRenderedPageBreak/>
              <w:t>4.</w:t>
            </w:r>
          </w:p>
        </w:tc>
        <w:tc>
          <w:tcPr>
            <w:tcW w:w="7087" w:type="dxa"/>
            <w:tcBorders>
              <w:top w:val="nil"/>
              <w:left w:val="nil"/>
              <w:bottom w:val="single" w:sz="4" w:space="0" w:color="auto"/>
              <w:right w:val="single" w:sz="4" w:space="0" w:color="auto"/>
            </w:tcBorders>
            <w:vAlign w:val="bottom"/>
            <w:hideMark/>
          </w:tcPr>
          <w:p w14:paraId="6068C267" w14:textId="77777777" w:rsidR="00D923AA" w:rsidRPr="007B010A" w:rsidRDefault="00D923AA" w:rsidP="00376CF0">
            <w:r w:rsidRPr="007B010A">
              <w:t>Konsultāciju biežums pie speciālistiem divas vai vairāk reižu (četrās nedēļās)</w:t>
            </w:r>
          </w:p>
        </w:tc>
        <w:tc>
          <w:tcPr>
            <w:tcW w:w="1466" w:type="dxa"/>
            <w:tcBorders>
              <w:top w:val="nil"/>
              <w:left w:val="nil"/>
              <w:bottom w:val="single" w:sz="4" w:space="0" w:color="auto"/>
              <w:right w:val="single" w:sz="4" w:space="0" w:color="auto"/>
            </w:tcBorders>
            <w:noWrap/>
            <w:vAlign w:val="bottom"/>
            <w:hideMark/>
          </w:tcPr>
          <w:p w14:paraId="2DF6CF3F" w14:textId="77777777" w:rsidR="00D923AA" w:rsidRPr="007B010A" w:rsidRDefault="00D923AA" w:rsidP="00376CF0">
            <w:pPr>
              <w:jc w:val="right"/>
            </w:pPr>
            <w:r w:rsidRPr="007B010A">
              <w:t xml:space="preserve">4,7% </w:t>
            </w:r>
            <w:r w:rsidRPr="007B010A">
              <w:rPr>
                <w:rStyle w:val="FootnoteReference"/>
              </w:rPr>
              <w:footnoteReference w:id="6"/>
            </w:r>
          </w:p>
        </w:tc>
      </w:tr>
      <w:tr w:rsidR="00D923AA" w:rsidRPr="007B010A" w14:paraId="49424BE6" w14:textId="77777777" w:rsidTr="00376CF0">
        <w:trPr>
          <w:trHeight w:val="555"/>
          <w:jc w:val="center"/>
        </w:trPr>
        <w:tc>
          <w:tcPr>
            <w:tcW w:w="846" w:type="dxa"/>
            <w:tcBorders>
              <w:top w:val="nil"/>
              <w:left w:val="single" w:sz="4" w:space="0" w:color="auto"/>
              <w:bottom w:val="single" w:sz="4" w:space="0" w:color="auto"/>
              <w:right w:val="single" w:sz="4" w:space="0" w:color="auto"/>
            </w:tcBorders>
            <w:shd w:val="clear" w:color="auto" w:fill="FDE9D9" w:themeFill="accent6" w:themeFillTint="33"/>
            <w:noWrap/>
            <w:vAlign w:val="bottom"/>
            <w:hideMark/>
          </w:tcPr>
          <w:p w14:paraId="7EFBC432" w14:textId="77777777" w:rsidR="00D923AA" w:rsidRPr="007B010A" w:rsidRDefault="00D923AA" w:rsidP="00376CF0">
            <w:pPr>
              <w:jc w:val="center"/>
            </w:pPr>
            <w:r w:rsidRPr="007B010A">
              <w:t>5.</w:t>
            </w:r>
          </w:p>
        </w:tc>
        <w:tc>
          <w:tcPr>
            <w:tcW w:w="7087" w:type="dxa"/>
            <w:tcBorders>
              <w:top w:val="nil"/>
              <w:left w:val="nil"/>
              <w:bottom w:val="single" w:sz="4" w:space="0" w:color="auto"/>
              <w:right w:val="single" w:sz="4" w:space="0" w:color="auto"/>
            </w:tcBorders>
            <w:shd w:val="clear" w:color="auto" w:fill="FDE9D9" w:themeFill="accent6" w:themeFillTint="33"/>
            <w:vAlign w:val="bottom"/>
            <w:hideMark/>
          </w:tcPr>
          <w:p w14:paraId="1BA2BC69" w14:textId="77777777" w:rsidR="00D923AA" w:rsidRPr="007B010A" w:rsidRDefault="00D923AA" w:rsidP="00376CF0">
            <w:r w:rsidRPr="007B010A">
              <w:t>Nesaņemto sekundāro ambulatoro veselības aprūpes pakalpojumu skaits (rindu, attāluma vai finanšu dēļ)</w:t>
            </w:r>
          </w:p>
        </w:tc>
        <w:tc>
          <w:tcPr>
            <w:tcW w:w="1466" w:type="dxa"/>
            <w:tcBorders>
              <w:top w:val="nil"/>
              <w:left w:val="nil"/>
              <w:bottom w:val="single" w:sz="4" w:space="0" w:color="auto"/>
              <w:right w:val="single" w:sz="4" w:space="0" w:color="auto"/>
            </w:tcBorders>
            <w:shd w:val="clear" w:color="auto" w:fill="FDE9D9" w:themeFill="accent6" w:themeFillTint="33"/>
            <w:noWrap/>
            <w:vAlign w:val="bottom"/>
            <w:hideMark/>
          </w:tcPr>
          <w:p w14:paraId="4D22C091" w14:textId="114F94F9" w:rsidR="00D923AA" w:rsidRPr="007B010A" w:rsidRDefault="00D923AA" w:rsidP="00376CF0">
            <w:pPr>
              <w:jc w:val="right"/>
            </w:pPr>
            <w:r w:rsidRPr="007B010A">
              <w:t>166</w:t>
            </w:r>
            <w:r w:rsidR="009B1859" w:rsidRPr="007B010A">
              <w:t> </w:t>
            </w:r>
            <w:r w:rsidRPr="007B010A">
              <w:t>074</w:t>
            </w:r>
          </w:p>
        </w:tc>
      </w:tr>
    </w:tbl>
    <w:p w14:paraId="0F668C80" w14:textId="77777777" w:rsidR="00D923AA" w:rsidRPr="007B010A" w:rsidRDefault="00D923AA" w:rsidP="00D923AA">
      <w:pPr>
        <w:ind w:firstLine="720"/>
        <w:jc w:val="both"/>
      </w:pPr>
    </w:p>
    <w:p w14:paraId="57875B24" w14:textId="2F9ACA52" w:rsidR="005A4BD7" w:rsidRPr="007B010A" w:rsidRDefault="002E0156" w:rsidP="002E0156">
      <w:pPr>
        <w:ind w:firstLine="720"/>
        <w:jc w:val="both"/>
        <w:rPr>
          <w:bCs/>
        </w:rPr>
      </w:pPr>
      <w:r w:rsidRPr="007B010A">
        <w:rPr>
          <w:bCs/>
        </w:rPr>
        <w:t xml:space="preserve">2018.gadam nesaņemto sekundāro ambulatoro veselības aprūpes pakalpojumu ietekme indikatīvi noteiktā 10,2%, kas rezultējas ar </w:t>
      </w:r>
      <w:r w:rsidR="004C1BDF" w:rsidRPr="007B010A">
        <w:rPr>
          <w:bCs/>
        </w:rPr>
        <w:t>5</w:t>
      </w:r>
      <w:r w:rsidR="00E021E2" w:rsidRPr="007B010A">
        <w:rPr>
          <w:bCs/>
        </w:rPr>
        <w:t>,</w:t>
      </w:r>
      <w:r w:rsidR="004C1BDF" w:rsidRPr="007B010A">
        <w:rPr>
          <w:bCs/>
        </w:rPr>
        <w:t>9</w:t>
      </w:r>
      <w:r w:rsidRPr="007B010A">
        <w:rPr>
          <w:bCs/>
        </w:rPr>
        <w:t>6% no kopējā plānotā sekundāro ambulatoro veselības aprūpes pakalpojumu skaita, kas tiek piedāvāts papildus piešķirtā finansējuma ietekmē. Aprēķina pamatā ir 2018.gadā sekundārajā ambulatorajā veselības aprūpē plānotais pakalpojuma skaits 730</w:t>
      </w:r>
      <w:r w:rsidR="009B1859" w:rsidRPr="007B010A">
        <w:rPr>
          <w:bCs/>
        </w:rPr>
        <w:t> </w:t>
      </w:r>
      <w:r w:rsidRPr="007B010A">
        <w:rPr>
          <w:bCs/>
        </w:rPr>
        <w:t>822, kas atbilst 25% rindas samazinājumam, nesaņemto sekundāro ambulatoro veselības aprūpes pakalpojumu skaits (rindu, attāluma vai finanšu dēļ) (1.tabula) un  rindas</w:t>
      </w:r>
      <w:r w:rsidR="00E27CE4" w:rsidRPr="007B010A">
        <w:rPr>
          <w:bCs/>
        </w:rPr>
        <w:t xml:space="preserve"> </w:t>
      </w:r>
      <w:r w:rsidRPr="007B010A">
        <w:rPr>
          <w:bCs/>
        </w:rPr>
        <w:t>koriģētais samazinājums, kas paredz</w:t>
      </w:r>
      <w:r w:rsidR="007C77AC" w:rsidRPr="007B010A">
        <w:rPr>
          <w:bCs/>
        </w:rPr>
        <w:t>,</w:t>
      </w:r>
      <w:r w:rsidRPr="007B010A">
        <w:rPr>
          <w:bCs/>
        </w:rPr>
        <w:t xml:space="preserve"> ka samazinoties rindai proporcionāli pieaug to pakalpojumu saņēmušo iedzīvotāju skaits, kas ieplūst valsts apmaksājamo pakalpojumu segmentā.</w:t>
      </w:r>
    </w:p>
    <w:p w14:paraId="08678106" w14:textId="3D569183" w:rsidR="002E0156" w:rsidRPr="007B010A" w:rsidRDefault="009E451E" w:rsidP="002E0156">
      <w:pPr>
        <w:ind w:firstLine="720"/>
        <w:jc w:val="both"/>
        <w:rPr>
          <w:bCs/>
        </w:rPr>
      </w:pPr>
      <w:r w:rsidRPr="007B010A">
        <w:rPr>
          <w:bCs/>
        </w:rPr>
        <w:t xml:space="preserve">Savukārt, </w:t>
      </w:r>
      <w:r w:rsidRPr="007B010A">
        <w:t xml:space="preserve">pacientu uzvedības maiņas noteikšanai </w:t>
      </w:r>
      <w:r w:rsidRPr="007B010A">
        <w:rPr>
          <w:bCs/>
        </w:rPr>
        <w:t>izmantojot</w:t>
      </w:r>
      <w:r w:rsidR="00D917E3" w:rsidRPr="007B010A">
        <w:rPr>
          <w:bCs/>
        </w:rPr>
        <w:t xml:space="preserve"> nesaņemto sekundāro ambulatoro veselības aprūpes pakalpojumu skaita (rindu, attāluma vai finanšu dēļ) attiecību pret kopējo rindu uz šiem pakalpojumiem no reformu sākum</w:t>
      </w:r>
      <w:r w:rsidR="007C77AC" w:rsidRPr="007B010A">
        <w:rPr>
          <w:bCs/>
        </w:rPr>
        <w:t>a</w:t>
      </w:r>
      <w:r w:rsidR="00795DDA" w:rsidRPr="007B010A">
        <w:rPr>
          <w:bCs/>
        </w:rPr>
        <w:t xml:space="preserve">, </w:t>
      </w:r>
      <w:r w:rsidR="00D36160" w:rsidRPr="007B010A">
        <w:rPr>
          <w:bCs/>
        </w:rPr>
        <w:t xml:space="preserve">ir </w:t>
      </w:r>
      <w:r w:rsidR="009533FB" w:rsidRPr="007B010A">
        <w:rPr>
          <w:bCs/>
        </w:rPr>
        <w:t>secināts</w:t>
      </w:r>
      <w:r w:rsidR="00D36160" w:rsidRPr="007B010A">
        <w:rPr>
          <w:bCs/>
        </w:rPr>
        <w:t>, ka par 5,68% ir palielinājies</w:t>
      </w:r>
      <w:r w:rsidR="003635E4" w:rsidRPr="007B010A">
        <w:rPr>
          <w:bCs/>
        </w:rPr>
        <w:t xml:space="preserve"> pieprasījums uz valsts apmaksātiem sekundārajiem ambulatorajiem veselības aprūpes pakalpojumiem</w:t>
      </w:r>
      <w:r w:rsidR="000353C4" w:rsidRPr="007B010A">
        <w:rPr>
          <w:bCs/>
        </w:rPr>
        <w:t>, ko</w:t>
      </w:r>
      <w:r w:rsidR="00C7402A" w:rsidRPr="007B010A">
        <w:rPr>
          <w:bCs/>
        </w:rPr>
        <w:t xml:space="preserve"> veido tās iedzīvotāju grupas, kur</w:t>
      </w:r>
      <w:r w:rsidR="00322A2C" w:rsidRPr="007B010A">
        <w:rPr>
          <w:bCs/>
        </w:rPr>
        <w:t>as</w:t>
      </w:r>
      <w:r w:rsidR="00C7402A" w:rsidRPr="007B010A">
        <w:rPr>
          <w:bCs/>
        </w:rPr>
        <w:t xml:space="preserve"> līdz š</w:t>
      </w:r>
      <w:r w:rsidR="007F6CAA" w:rsidRPr="007B010A">
        <w:rPr>
          <w:bCs/>
        </w:rPr>
        <w:t>i</w:t>
      </w:r>
      <w:r w:rsidR="00C7402A" w:rsidRPr="007B010A">
        <w:rPr>
          <w:bCs/>
        </w:rPr>
        <w:t>m ne</w:t>
      </w:r>
      <w:r w:rsidR="00390C02" w:rsidRPr="007B010A">
        <w:rPr>
          <w:bCs/>
        </w:rPr>
        <w:t>saņē</w:t>
      </w:r>
      <w:r w:rsidR="006B174F" w:rsidRPr="007B010A">
        <w:rPr>
          <w:bCs/>
        </w:rPr>
        <w:t>ma</w:t>
      </w:r>
      <w:r w:rsidR="00C7402A" w:rsidRPr="007B010A">
        <w:rPr>
          <w:bCs/>
        </w:rPr>
        <w:t xml:space="preserve"> </w:t>
      </w:r>
      <w:r w:rsidR="00C7402A" w:rsidRPr="007B010A">
        <w:t>sekundāros ambulatoros veselības aprūpes pakalpojumus</w:t>
      </w:r>
      <w:r w:rsidR="00C7402A" w:rsidRPr="007B010A">
        <w:rPr>
          <w:bCs/>
        </w:rPr>
        <w:t xml:space="preserve"> </w:t>
      </w:r>
      <w:r w:rsidR="00C7402A" w:rsidRPr="007B010A">
        <w:t xml:space="preserve">rindu, attāluma vai finanšu dēļ. </w:t>
      </w:r>
    </w:p>
    <w:p w14:paraId="05CD7503" w14:textId="13AE1268" w:rsidR="002E0156" w:rsidRPr="007B010A" w:rsidRDefault="00DE2ED3" w:rsidP="002E0156">
      <w:pPr>
        <w:ind w:firstLine="720"/>
        <w:jc w:val="both"/>
        <w:rPr>
          <w:bCs/>
        </w:rPr>
      </w:pPr>
      <w:r w:rsidRPr="007B010A">
        <w:rPr>
          <w:bCs/>
        </w:rPr>
        <w:t>To</w:t>
      </w:r>
      <w:r w:rsidR="002E0156" w:rsidRPr="007B010A">
        <w:rPr>
          <w:bCs/>
        </w:rPr>
        <w:t xml:space="preserve"> ie</w:t>
      </w:r>
      <w:r w:rsidR="007C77AC" w:rsidRPr="007B010A">
        <w:rPr>
          <w:bCs/>
        </w:rPr>
        <w:t>dzīvotāju īpatsvars, kas līdz ši</w:t>
      </w:r>
      <w:r w:rsidR="002E0156" w:rsidRPr="007B010A">
        <w:rPr>
          <w:bCs/>
        </w:rPr>
        <w:t>m ir saņēmuši sekundāro ambulatoro veselības aprūpi par personīgiem līdzekļiem (“</w:t>
      </w:r>
      <w:r w:rsidR="002E0156" w:rsidRPr="007B010A">
        <w:rPr>
          <w:bCs/>
          <w:lang w:val="en-GB"/>
        </w:rPr>
        <w:t>out-of-pocket”</w:t>
      </w:r>
      <w:r w:rsidR="002E0156" w:rsidRPr="007B010A">
        <w:rPr>
          <w:bCs/>
        </w:rPr>
        <w:t xml:space="preserve"> maksājumiem) 201</w:t>
      </w:r>
      <w:r w:rsidR="004D1DA3" w:rsidRPr="007B010A">
        <w:rPr>
          <w:bCs/>
        </w:rPr>
        <w:t>8</w:t>
      </w:r>
      <w:r w:rsidR="002E0156" w:rsidRPr="007B010A">
        <w:rPr>
          <w:bCs/>
        </w:rPr>
        <w:t>.gadā, salīdzinājumā ar 201</w:t>
      </w:r>
      <w:r w:rsidR="00E926FF" w:rsidRPr="007B010A">
        <w:rPr>
          <w:bCs/>
        </w:rPr>
        <w:t>7</w:t>
      </w:r>
      <w:r w:rsidR="002E0156" w:rsidRPr="007B010A">
        <w:rPr>
          <w:bCs/>
        </w:rPr>
        <w:t>.gadu</w:t>
      </w:r>
      <w:r w:rsidR="00671AED" w:rsidRPr="007B010A">
        <w:rPr>
          <w:bCs/>
        </w:rPr>
        <w:t>,</w:t>
      </w:r>
      <w:r w:rsidR="002E0156" w:rsidRPr="007B010A">
        <w:rPr>
          <w:bCs/>
        </w:rPr>
        <w:t xml:space="preserve"> valsts kapitālsabiedrībās ir samazinājies par 1</w:t>
      </w:r>
      <w:r w:rsidR="00340C49" w:rsidRPr="007B010A">
        <w:rPr>
          <w:bCs/>
        </w:rPr>
        <w:t>0</w:t>
      </w:r>
      <w:r w:rsidR="002E0156" w:rsidRPr="007B010A">
        <w:rPr>
          <w:bCs/>
        </w:rPr>
        <w:t>%</w:t>
      </w:r>
      <w:r w:rsidR="00CE6D47" w:rsidRPr="007B010A">
        <w:rPr>
          <w:bCs/>
        </w:rPr>
        <w:t xml:space="preserve"> </w:t>
      </w:r>
      <w:r w:rsidR="002E0156" w:rsidRPr="007B010A">
        <w:rPr>
          <w:bCs/>
        </w:rPr>
        <w:t>(ņemot vērā kopējo pakalpojumu skaita apjomu un tā izmaiņas). Šai proporcijai saglabājoties iepriekšēj</w:t>
      </w:r>
      <w:r w:rsidR="00B2746C" w:rsidRPr="007B010A">
        <w:rPr>
          <w:bCs/>
        </w:rPr>
        <w:t>ā</w:t>
      </w:r>
      <w:r w:rsidR="002E0156" w:rsidRPr="007B010A">
        <w:rPr>
          <w:bCs/>
        </w:rPr>
        <w:t xml:space="preserve"> gada līmenī, var pieņemt, ka 2018.gadā valsts finansēto sekundārās ambulatorās veselības aprūpes pakalpojumu skaitā ir ieplūduši vismaz 1</w:t>
      </w:r>
      <w:r w:rsidR="00340C49" w:rsidRPr="007B010A">
        <w:rPr>
          <w:bCs/>
        </w:rPr>
        <w:t>0</w:t>
      </w:r>
      <w:r w:rsidR="002E0156" w:rsidRPr="007B010A">
        <w:rPr>
          <w:bCs/>
        </w:rPr>
        <w:t>% no līdz</w:t>
      </w:r>
      <w:r w:rsidR="007C77AC" w:rsidRPr="007B010A">
        <w:rPr>
          <w:bCs/>
        </w:rPr>
        <w:t xml:space="preserve"> ši</w:t>
      </w:r>
      <w:r w:rsidR="002E0156" w:rsidRPr="007B010A">
        <w:rPr>
          <w:bCs/>
        </w:rPr>
        <w:t xml:space="preserve">m no personīgiem līdzekļiem apmaksātiem pakalpojumiem. </w:t>
      </w:r>
    </w:p>
    <w:p w14:paraId="360E9F8D" w14:textId="701C74B8" w:rsidR="002E0156" w:rsidRPr="007B010A" w:rsidRDefault="002E0156" w:rsidP="002E0156">
      <w:pPr>
        <w:autoSpaceDE w:val="0"/>
        <w:autoSpaceDN w:val="0"/>
        <w:adjustRightInd w:val="0"/>
        <w:ind w:firstLine="720"/>
        <w:jc w:val="both"/>
        <w:rPr>
          <w:bCs/>
        </w:rPr>
      </w:pPr>
      <w:r w:rsidRPr="007B010A">
        <w:rPr>
          <w:bCs/>
        </w:rPr>
        <w:t>Ņemot vērā novēroto pacientu uzvedības maiņu, kas 2018.gadā indikatīvi atstāj ietekmi 1</w:t>
      </w:r>
      <w:r w:rsidR="00340C49" w:rsidRPr="007B010A">
        <w:rPr>
          <w:bCs/>
        </w:rPr>
        <w:t>5</w:t>
      </w:r>
      <w:r w:rsidR="0051115D" w:rsidRPr="007B010A">
        <w:rPr>
          <w:bCs/>
        </w:rPr>
        <w:t>,68</w:t>
      </w:r>
      <w:r w:rsidR="007C77AC" w:rsidRPr="007B010A">
        <w:rPr>
          <w:bCs/>
        </w:rPr>
        <w:t>% apmērā (augstāk</w:t>
      </w:r>
      <w:r w:rsidRPr="007B010A">
        <w:rPr>
          <w:bCs/>
        </w:rPr>
        <w:t xml:space="preserve"> aprakstītie </w:t>
      </w:r>
      <w:r w:rsidR="0051115D" w:rsidRPr="007B010A">
        <w:rPr>
          <w:bCs/>
        </w:rPr>
        <w:t>5,68</w:t>
      </w:r>
      <w:r w:rsidRPr="007B010A">
        <w:rPr>
          <w:bCs/>
        </w:rPr>
        <w:t>% un 1</w:t>
      </w:r>
      <w:r w:rsidR="00340C49" w:rsidRPr="007B010A">
        <w:rPr>
          <w:bCs/>
        </w:rPr>
        <w:t>0</w:t>
      </w:r>
      <w:r w:rsidRPr="007B010A">
        <w:rPr>
          <w:bCs/>
        </w:rPr>
        <w:t>%), faktiskais rindas samazinājums, kas kā viens no reformas mērķiem tika noteikts tās uzsākot, būtu koriģējams ar rindā ieplūdušajiem pacientiem un tiem nodrošināto pakalpojumu skaita pieaugumu.</w:t>
      </w:r>
    </w:p>
    <w:p w14:paraId="57BBAB1A" w14:textId="20930DFA" w:rsidR="00D923AA" w:rsidRPr="007B010A" w:rsidRDefault="00D923AA" w:rsidP="00D923AA">
      <w:pPr>
        <w:autoSpaceDE w:val="0"/>
        <w:autoSpaceDN w:val="0"/>
        <w:adjustRightInd w:val="0"/>
        <w:ind w:firstLine="720"/>
        <w:jc w:val="both"/>
        <w:rPr>
          <w:lang w:bidi="lo-LA"/>
        </w:rPr>
      </w:pPr>
      <w:r w:rsidRPr="007B010A">
        <w:rPr>
          <w:lang w:bidi="lo-LA"/>
        </w:rPr>
        <w:t>Pie noteiktiem speciālistiem var doties bez nosūtījuma (tiešā pieejamība). Uz 201</w:t>
      </w:r>
      <w:r w:rsidR="00CC68F7" w:rsidRPr="007B010A">
        <w:rPr>
          <w:lang w:bidi="lo-LA"/>
        </w:rPr>
        <w:t>9</w:t>
      </w:r>
      <w:r w:rsidRPr="007B010A">
        <w:rPr>
          <w:lang w:bidi="lo-LA"/>
        </w:rPr>
        <w:t>.gada 1.j</w:t>
      </w:r>
      <w:r w:rsidR="00CC68F7" w:rsidRPr="007B010A">
        <w:rPr>
          <w:lang w:bidi="lo-LA"/>
        </w:rPr>
        <w:t>anvāri</w:t>
      </w:r>
      <w:r w:rsidRPr="007B010A">
        <w:rPr>
          <w:lang w:bidi="lo-LA"/>
        </w:rPr>
        <w:t xml:space="preserve"> pacientu gaidīšanas </w:t>
      </w:r>
      <w:r w:rsidRPr="007B010A">
        <w:rPr>
          <w:b/>
          <w:bCs/>
          <w:lang w:bidi="lo-LA"/>
        </w:rPr>
        <w:t>rindas uz speciālistu konsultācijām ir samazinājušās</w:t>
      </w:r>
      <w:r w:rsidRPr="007B010A">
        <w:rPr>
          <w:lang w:bidi="lo-LA"/>
        </w:rPr>
        <w:t xml:space="preserve"> vidēji līdz </w:t>
      </w:r>
      <w:r w:rsidR="008F2D2C" w:rsidRPr="007B010A">
        <w:rPr>
          <w:lang w:bidi="lo-LA"/>
        </w:rPr>
        <w:t>71,63</w:t>
      </w:r>
      <w:r w:rsidRPr="007B010A">
        <w:rPr>
          <w:lang w:bidi="lo-LA"/>
        </w:rPr>
        <w:t xml:space="preserve"> dienām salīdzinājumā ar situāciju pirms reformu uzsākšanas, kad vidējais gaidīšanas laiks bija līdz 100,48 dienām. 2018.gadā rindu samazinājums </w:t>
      </w:r>
      <w:r w:rsidR="00671D8E" w:rsidRPr="007B010A">
        <w:rPr>
          <w:lang w:bidi="lo-LA"/>
        </w:rPr>
        <w:t xml:space="preserve">nodrošināts </w:t>
      </w:r>
      <w:r w:rsidRPr="007B010A">
        <w:rPr>
          <w:lang w:bidi="lo-LA"/>
        </w:rPr>
        <w:t xml:space="preserve">par </w:t>
      </w:r>
      <w:r w:rsidR="008F2D2C" w:rsidRPr="007B010A">
        <w:rPr>
          <w:b/>
          <w:lang w:bidi="lo-LA"/>
        </w:rPr>
        <w:t>28,71</w:t>
      </w:r>
      <w:r w:rsidRPr="007B010A">
        <w:rPr>
          <w:b/>
          <w:lang w:bidi="lo-LA"/>
        </w:rPr>
        <w:t>%</w:t>
      </w:r>
      <w:r w:rsidRPr="007B010A">
        <w:rPr>
          <w:lang w:bidi="lo-LA"/>
        </w:rPr>
        <w:t xml:space="preserve"> no sākotnējā rindu apjoma, savukārt rindu samazinājums bez pacientu uzvedības maiņas nodrošināts </w:t>
      </w:r>
      <w:r w:rsidR="008F2D2C" w:rsidRPr="007B010A">
        <w:rPr>
          <w:b/>
          <w:lang w:bidi="lo-LA"/>
        </w:rPr>
        <w:t>38,3</w:t>
      </w:r>
      <w:r w:rsidR="00892C88" w:rsidRPr="007B010A">
        <w:rPr>
          <w:b/>
          <w:lang w:bidi="lo-LA"/>
        </w:rPr>
        <w:t>7</w:t>
      </w:r>
      <w:r w:rsidRPr="007B010A">
        <w:rPr>
          <w:b/>
          <w:lang w:bidi="lo-LA"/>
        </w:rPr>
        <w:t>%</w:t>
      </w:r>
      <w:r w:rsidRPr="007B010A">
        <w:rPr>
          <w:lang w:bidi="lo-LA"/>
        </w:rPr>
        <w:t xml:space="preserve"> apmērā.</w:t>
      </w:r>
    </w:p>
    <w:p w14:paraId="559FF4E9" w14:textId="7CDB306A" w:rsidR="00D923AA" w:rsidRPr="007B010A" w:rsidRDefault="00D923AA" w:rsidP="00D923AA">
      <w:pPr>
        <w:autoSpaceDE w:val="0"/>
        <w:autoSpaceDN w:val="0"/>
        <w:adjustRightInd w:val="0"/>
        <w:ind w:firstLine="720"/>
        <w:jc w:val="both"/>
        <w:rPr>
          <w:lang w:bidi="lo-LA"/>
        </w:rPr>
      </w:pPr>
      <w:r w:rsidRPr="007B010A">
        <w:rPr>
          <w:lang w:bidi="lo-LA"/>
        </w:rPr>
        <w:t>Uz 201</w:t>
      </w:r>
      <w:r w:rsidR="00CC68F7" w:rsidRPr="007B010A">
        <w:rPr>
          <w:lang w:bidi="lo-LA"/>
        </w:rPr>
        <w:t>9</w:t>
      </w:r>
      <w:r w:rsidRPr="007B010A">
        <w:rPr>
          <w:lang w:bidi="lo-LA"/>
        </w:rPr>
        <w:t>.gada 1.j</w:t>
      </w:r>
      <w:r w:rsidR="00CC68F7" w:rsidRPr="007B010A">
        <w:rPr>
          <w:lang w:bidi="lo-LA"/>
        </w:rPr>
        <w:t>anvāri</w:t>
      </w:r>
      <w:r w:rsidRPr="007B010A">
        <w:rPr>
          <w:lang w:bidi="lo-LA"/>
        </w:rPr>
        <w:t xml:space="preserve"> pacientu gaidīšanas </w:t>
      </w:r>
      <w:r w:rsidRPr="007B010A">
        <w:rPr>
          <w:b/>
          <w:bCs/>
          <w:lang w:bidi="lo-LA"/>
        </w:rPr>
        <w:t>rindas uz ambulatorajiem izmeklējumiem un terapiju ir samazinājušās</w:t>
      </w:r>
      <w:r w:rsidRPr="007B010A">
        <w:rPr>
          <w:lang w:bidi="lo-LA"/>
        </w:rPr>
        <w:t xml:space="preserve"> vidēji līdz 36,3</w:t>
      </w:r>
      <w:r w:rsidR="008F2D2C" w:rsidRPr="007B010A">
        <w:rPr>
          <w:lang w:bidi="lo-LA"/>
        </w:rPr>
        <w:t>0</w:t>
      </w:r>
      <w:r w:rsidRPr="007B010A">
        <w:rPr>
          <w:lang w:bidi="lo-LA"/>
        </w:rPr>
        <w:t xml:space="preserve"> dienām salīdzinājumā ar situāciju pirms reformu uzsākšanas, kad vidējais gaidīšanas laiks bija līdz </w:t>
      </w:r>
      <w:r w:rsidR="000368AB" w:rsidRPr="007B010A">
        <w:rPr>
          <w:lang w:bidi="lo-LA"/>
        </w:rPr>
        <w:t>40,39</w:t>
      </w:r>
      <w:r w:rsidRPr="007B010A">
        <w:rPr>
          <w:lang w:bidi="lo-LA"/>
        </w:rPr>
        <w:t xml:space="preserve"> dienām. Sākotnēji sasniegts lielāks rindas samazinājums nekā plānots, tomēr turpmāk nav gaidāms tik straujš rindu samazinājums, t.sk. ņemot vērā iepriekš skaidroto pacientu uzvedības maiņu. 2018.gadā rindu samazinājums </w:t>
      </w:r>
      <w:r w:rsidR="00671D8E" w:rsidRPr="007B010A">
        <w:rPr>
          <w:lang w:bidi="lo-LA"/>
        </w:rPr>
        <w:t xml:space="preserve">nodrošināts </w:t>
      </w:r>
      <w:r w:rsidRPr="007B010A">
        <w:rPr>
          <w:lang w:bidi="lo-LA"/>
        </w:rPr>
        <w:t xml:space="preserve">par </w:t>
      </w:r>
      <w:r w:rsidR="008F2D2C" w:rsidRPr="007B010A">
        <w:rPr>
          <w:b/>
          <w:lang w:bidi="lo-LA"/>
        </w:rPr>
        <w:t>10,13</w:t>
      </w:r>
      <w:r w:rsidRPr="007B010A">
        <w:rPr>
          <w:b/>
          <w:lang w:bidi="lo-LA"/>
        </w:rPr>
        <w:t>%</w:t>
      </w:r>
      <w:r w:rsidRPr="007B010A">
        <w:rPr>
          <w:lang w:bidi="lo-LA"/>
        </w:rPr>
        <w:t xml:space="preserve"> no sākotnējā rindu apjoma, savukārt rindu samazinājums bez pacientu uzvedības maiņas nodrošināts </w:t>
      </w:r>
      <w:r w:rsidR="007C29E5" w:rsidRPr="007B010A">
        <w:rPr>
          <w:b/>
          <w:lang w:bidi="lo-LA"/>
        </w:rPr>
        <w:t>2</w:t>
      </w:r>
      <w:r w:rsidR="00892C88" w:rsidRPr="007B010A">
        <w:rPr>
          <w:b/>
          <w:lang w:bidi="lo-LA"/>
        </w:rPr>
        <w:t>2</w:t>
      </w:r>
      <w:r w:rsidRPr="007B010A">
        <w:rPr>
          <w:b/>
          <w:lang w:bidi="lo-LA"/>
        </w:rPr>
        <w:t>,</w:t>
      </w:r>
      <w:r w:rsidR="00892C88" w:rsidRPr="007B010A">
        <w:rPr>
          <w:b/>
          <w:lang w:bidi="lo-LA"/>
        </w:rPr>
        <w:t>31</w:t>
      </w:r>
      <w:r w:rsidRPr="007B010A">
        <w:rPr>
          <w:b/>
          <w:lang w:bidi="lo-LA"/>
        </w:rPr>
        <w:t>%</w:t>
      </w:r>
      <w:r w:rsidRPr="007B010A">
        <w:rPr>
          <w:lang w:bidi="lo-LA"/>
        </w:rPr>
        <w:t xml:space="preserve"> apmērā.</w:t>
      </w:r>
    </w:p>
    <w:p w14:paraId="74838122" w14:textId="3A8F883F" w:rsidR="00D923AA" w:rsidRPr="007B010A" w:rsidRDefault="00D923AA" w:rsidP="00D923AA">
      <w:pPr>
        <w:autoSpaceDE w:val="0"/>
        <w:autoSpaceDN w:val="0"/>
        <w:adjustRightInd w:val="0"/>
        <w:ind w:firstLine="720"/>
        <w:jc w:val="both"/>
        <w:rPr>
          <w:lang w:bidi="lo-LA"/>
        </w:rPr>
      </w:pPr>
      <w:r w:rsidRPr="004B555F">
        <w:rPr>
          <w:lang w:bidi="lo-LA"/>
        </w:rPr>
        <w:t>Uz 201</w:t>
      </w:r>
      <w:r w:rsidR="00CC68F7" w:rsidRPr="004B555F">
        <w:rPr>
          <w:lang w:bidi="lo-LA"/>
        </w:rPr>
        <w:t>9</w:t>
      </w:r>
      <w:r w:rsidRPr="004B555F">
        <w:rPr>
          <w:lang w:bidi="lo-LA"/>
        </w:rPr>
        <w:t>.gada 1.j</w:t>
      </w:r>
      <w:r w:rsidR="00CC68F7" w:rsidRPr="004B555F">
        <w:rPr>
          <w:lang w:bidi="lo-LA"/>
        </w:rPr>
        <w:t>anvāri</w:t>
      </w:r>
      <w:r w:rsidRPr="004B555F">
        <w:rPr>
          <w:lang w:bidi="lo-LA"/>
        </w:rPr>
        <w:t xml:space="preserve"> pacientu gaidīšanas </w:t>
      </w:r>
      <w:r w:rsidRPr="004B555F">
        <w:rPr>
          <w:b/>
          <w:bCs/>
          <w:lang w:bidi="lo-LA"/>
        </w:rPr>
        <w:t>rindas uz dienas stacionārā sniegtajiem pakalpojumiem ir samazinājušās</w:t>
      </w:r>
      <w:r w:rsidRPr="004B555F">
        <w:rPr>
          <w:lang w:bidi="lo-LA"/>
        </w:rPr>
        <w:t xml:space="preserve"> vidēji līdz 14</w:t>
      </w:r>
      <w:r w:rsidR="008F2D2C" w:rsidRPr="004B555F">
        <w:rPr>
          <w:lang w:bidi="lo-LA"/>
        </w:rPr>
        <w:t>7</w:t>
      </w:r>
      <w:r w:rsidRPr="004B555F">
        <w:rPr>
          <w:lang w:bidi="lo-LA"/>
        </w:rPr>
        <w:t>,50 dienām salīdzinājumā ar situāciju pirms reformu uzsākšanas, kad vidējais gaidīšanas laiks bija līdz 407 dienām. 2018.gadā rindu</w:t>
      </w:r>
      <w:r w:rsidRPr="007B010A">
        <w:rPr>
          <w:lang w:bidi="lo-LA"/>
        </w:rPr>
        <w:t xml:space="preserve"> samazinājums</w:t>
      </w:r>
      <w:r w:rsidR="00671D8E" w:rsidRPr="007B010A">
        <w:rPr>
          <w:lang w:bidi="lo-LA"/>
        </w:rPr>
        <w:t xml:space="preserve"> nodrošināts</w:t>
      </w:r>
      <w:r w:rsidRPr="007B010A">
        <w:rPr>
          <w:lang w:bidi="lo-LA"/>
        </w:rPr>
        <w:t xml:space="preserve"> par </w:t>
      </w:r>
      <w:r w:rsidRPr="007B010A">
        <w:rPr>
          <w:b/>
          <w:lang w:bidi="lo-LA"/>
        </w:rPr>
        <w:t>63,</w:t>
      </w:r>
      <w:r w:rsidR="008F2D2C" w:rsidRPr="007B010A">
        <w:rPr>
          <w:b/>
          <w:lang w:bidi="lo-LA"/>
        </w:rPr>
        <w:t>76</w:t>
      </w:r>
      <w:r w:rsidRPr="007B010A">
        <w:rPr>
          <w:b/>
          <w:lang w:bidi="lo-LA"/>
        </w:rPr>
        <w:t>%</w:t>
      </w:r>
      <w:r w:rsidRPr="007B010A">
        <w:rPr>
          <w:lang w:bidi="lo-LA"/>
        </w:rPr>
        <w:t xml:space="preserve"> no sākotnējā rindu apjoma, savukārt rindu samazinājums bez pacientu uzvedības maiņas nodrošināts </w:t>
      </w:r>
      <w:r w:rsidRPr="007B010A">
        <w:rPr>
          <w:b/>
          <w:lang w:bidi="lo-LA"/>
        </w:rPr>
        <w:t>6</w:t>
      </w:r>
      <w:r w:rsidR="007C29E5" w:rsidRPr="007B010A">
        <w:rPr>
          <w:b/>
          <w:lang w:bidi="lo-LA"/>
        </w:rPr>
        <w:t>8</w:t>
      </w:r>
      <w:r w:rsidRPr="007B010A">
        <w:rPr>
          <w:b/>
          <w:lang w:bidi="lo-LA"/>
        </w:rPr>
        <w:t>,</w:t>
      </w:r>
      <w:r w:rsidR="00892C88" w:rsidRPr="007B010A">
        <w:rPr>
          <w:b/>
          <w:lang w:bidi="lo-LA"/>
        </w:rPr>
        <w:t>67</w:t>
      </w:r>
      <w:r w:rsidRPr="007B010A">
        <w:rPr>
          <w:b/>
          <w:lang w:bidi="lo-LA"/>
        </w:rPr>
        <w:t>%</w:t>
      </w:r>
      <w:r w:rsidRPr="007B010A">
        <w:rPr>
          <w:lang w:bidi="lo-LA"/>
        </w:rPr>
        <w:t xml:space="preserve"> apmērā.</w:t>
      </w:r>
    </w:p>
    <w:p w14:paraId="73FDE42B" w14:textId="5C722AAB" w:rsidR="00D923AA" w:rsidRPr="007B010A" w:rsidRDefault="00D923AA" w:rsidP="00D923AA">
      <w:pPr>
        <w:autoSpaceDE w:val="0"/>
        <w:autoSpaceDN w:val="0"/>
        <w:adjustRightInd w:val="0"/>
        <w:ind w:firstLine="720"/>
        <w:jc w:val="both"/>
        <w:rPr>
          <w:lang w:bidi="lo-LA"/>
        </w:rPr>
      </w:pPr>
      <w:r w:rsidRPr="007B010A">
        <w:rPr>
          <w:lang w:bidi="lo-LA"/>
        </w:rPr>
        <w:lastRenderedPageBreak/>
        <w:t>Uz 201</w:t>
      </w:r>
      <w:r w:rsidR="00CC68F7" w:rsidRPr="007B010A">
        <w:rPr>
          <w:lang w:bidi="lo-LA"/>
        </w:rPr>
        <w:t>9</w:t>
      </w:r>
      <w:r w:rsidRPr="007B010A">
        <w:rPr>
          <w:lang w:bidi="lo-LA"/>
        </w:rPr>
        <w:t>.gada 1.j</w:t>
      </w:r>
      <w:r w:rsidR="00CC68F7" w:rsidRPr="007B010A">
        <w:rPr>
          <w:lang w:bidi="lo-LA"/>
        </w:rPr>
        <w:t>anvāri</w:t>
      </w:r>
      <w:r w:rsidRPr="007B010A">
        <w:rPr>
          <w:lang w:bidi="lo-LA"/>
        </w:rPr>
        <w:t xml:space="preserve"> pacientu gaidīšanas </w:t>
      </w:r>
      <w:r w:rsidRPr="007B010A">
        <w:rPr>
          <w:b/>
          <w:bCs/>
          <w:lang w:bidi="lo-LA"/>
        </w:rPr>
        <w:t>rindas uz ambulatorās rehabilitācijas pakalpojumiem ir samazinājušās</w:t>
      </w:r>
      <w:r w:rsidRPr="007B010A">
        <w:rPr>
          <w:lang w:bidi="lo-LA"/>
        </w:rPr>
        <w:t xml:space="preserve"> vidēji līdz </w:t>
      </w:r>
      <w:r w:rsidR="006C60A4" w:rsidRPr="007B010A">
        <w:rPr>
          <w:lang w:bidi="lo-LA"/>
        </w:rPr>
        <w:t>345</w:t>
      </w:r>
      <w:r w:rsidRPr="007B010A">
        <w:rPr>
          <w:lang w:bidi="lo-LA"/>
        </w:rPr>
        <w:t>,</w:t>
      </w:r>
      <w:r w:rsidR="006C60A4" w:rsidRPr="007B010A">
        <w:rPr>
          <w:lang w:bidi="lo-LA"/>
        </w:rPr>
        <w:t>2</w:t>
      </w:r>
      <w:r w:rsidRPr="007B010A">
        <w:rPr>
          <w:lang w:bidi="lo-LA"/>
        </w:rPr>
        <w:t xml:space="preserve">0 dienām salīdzinājumā ar situāciju pirms reformu uzsākšanas, kad vidējais gaidīšanas laiks bija līdz 500,2 dienām. </w:t>
      </w:r>
      <w:r w:rsidR="00A06B40" w:rsidRPr="007B010A">
        <w:rPr>
          <w:b/>
          <w:lang w:bidi="lo-LA"/>
        </w:rPr>
        <w:t>30</w:t>
      </w:r>
      <w:r w:rsidRPr="007B010A">
        <w:rPr>
          <w:b/>
          <w:lang w:bidi="lo-LA"/>
        </w:rPr>
        <w:t>,</w:t>
      </w:r>
      <w:r w:rsidR="00A06B40" w:rsidRPr="007B010A">
        <w:rPr>
          <w:b/>
          <w:lang w:bidi="lo-LA"/>
        </w:rPr>
        <w:t>99</w:t>
      </w:r>
      <w:r w:rsidRPr="007B010A">
        <w:rPr>
          <w:b/>
          <w:lang w:bidi="lo-LA"/>
        </w:rPr>
        <w:t>%</w:t>
      </w:r>
      <w:r w:rsidRPr="007B010A">
        <w:rPr>
          <w:lang w:bidi="lo-LA"/>
        </w:rPr>
        <w:t xml:space="preserve"> rindu samazinājums saīsinājis gaidīšanas rindu vairāk kā par aptuveni </w:t>
      </w:r>
      <w:r w:rsidR="000A44D4" w:rsidRPr="007B010A">
        <w:rPr>
          <w:lang w:bidi="lo-LA"/>
        </w:rPr>
        <w:t>5</w:t>
      </w:r>
      <w:r w:rsidRPr="007B010A">
        <w:rPr>
          <w:lang w:bidi="lo-LA"/>
        </w:rPr>
        <w:t xml:space="preserve"> mēnešiem, savukārt rindu samazinājums bez pacientu uzvedības maiņas nodrošināts </w:t>
      </w:r>
      <w:r w:rsidRPr="007B010A">
        <w:rPr>
          <w:b/>
          <w:lang w:bidi="lo-LA"/>
        </w:rPr>
        <w:t>4</w:t>
      </w:r>
      <w:r w:rsidR="00892C88" w:rsidRPr="007B010A">
        <w:rPr>
          <w:b/>
          <w:lang w:bidi="lo-LA"/>
        </w:rPr>
        <w:t>0</w:t>
      </w:r>
      <w:r w:rsidRPr="007B010A">
        <w:rPr>
          <w:b/>
          <w:lang w:bidi="lo-LA"/>
        </w:rPr>
        <w:t>,</w:t>
      </w:r>
      <w:r w:rsidR="00892C88" w:rsidRPr="007B010A">
        <w:rPr>
          <w:b/>
          <w:lang w:bidi="lo-LA"/>
        </w:rPr>
        <w:t>34</w:t>
      </w:r>
      <w:r w:rsidRPr="007B010A">
        <w:rPr>
          <w:b/>
          <w:lang w:bidi="lo-LA"/>
        </w:rPr>
        <w:t>%</w:t>
      </w:r>
      <w:r w:rsidRPr="007B010A">
        <w:rPr>
          <w:lang w:bidi="lo-LA"/>
        </w:rPr>
        <w:t xml:space="preserve"> apmērā.</w:t>
      </w:r>
    </w:p>
    <w:p w14:paraId="60ECACA4" w14:textId="593BED2A" w:rsidR="002E0156" w:rsidRPr="007B010A" w:rsidRDefault="002E0156" w:rsidP="002E0156">
      <w:pPr>
        <w:spacing w:before="120"/>
        <w:ind w:firstLine="720"/>
        <w:jc w:val="both"/>
      </w:pPr>
      <w:r w:rsidRPr="007B010A">
        <w:t>Atbilstoši NVD sniegtajai informācijai, 2017. un 2018.gad</w:t>
      </w:r>
      <w:r w:rsidR="004F2FB0" w:rsidRPr="007B010A">
        <w:t>ā</w:t>
      </w:r>
      <w:r w:rsidRPr="007B010A">
        <w:t xml:space="preserve"> vēl nav objektīva rīka, lai uzskaitītu izsniegto nosūtījumu skaitu</w:t>
      </w:r>
      <w:r w:rsidR="00CE6D47" w:rsidRPr="007B010A">
        <w:t xml:space="preserve"> veselības aprūpes pakalpojumu vai izmeklējumu</w:t>
      </w:r>
      <w:r w:rsidRPr="007B010A">
        <w:t>, jo vadības informācijas sistēmā ir dati tikai par izmantoto nosūtījum</w:t>
      </w:r>
      <w:r w:rsidR="00DD142C" w:rsidRPr="007B010A">
        <w:t>u skaitu.</w:t>
      </w:r>
      <w:r w:rsidR="00FC6BD3" w:rsidRPr="007B010A">
        <w:t xml:space="preserve"> Savukārt pacientu uzvedības maiņas novērtēšanai </w:t>
      </w:r>
      <w:r w:rsidR="00CE6D47" w:rsidRPr="007B010A">
        <w:t xml:space="preserve">būtu </w:t>
      </w:r>
      <w:r w:rsidR="00FC6BD3" w:rsidRPr="007B010A">
        <w:t>lietderīgi veikt izsniegto nosūtījumu skaita statistikas analīzi</w:t>
      </w:r>
      <w:r w:rsidR="00CD2DBD" w:rsidRPr="007B010A">
        <w:t>.</w:t>
      </w:r>
      <w:r w:rsidR="00FC6BD3" w:rsidRPr="007B010A">
        <w:t xml:space="preserve"> </w:t>
      </w:r>
      <w:r w:rsidR="00DD142C" w:rsidRPr="007B010A">
        <w:t>Sākot ar 2019.gadu e-</w:t>
      </w:r>
      <w:r w:rsidRPr="007B010A">
        <w:t xml:space="preserve">veselībā ir </w:t>
      </w:r>
      <w:r w:rsidR="00917557" w:rsidRPr="007B010A">
        <w:t>ie</w:t>
      </w:r>
      <w:r w:rsidRPr="007B010A">
        <w:t>plānots ieviest elektronisko nosūtījumu, kas ļaus objektīvi veikt izsniegto nosūtījum</w:t>
      </w:r>
      <w:r w:rsidR="00CE6D47" w:rsidRPr="007B010A">
        <w:t>u</w:t>
      </w:r>
      <w:r w:rsidRPr="007B010A">
        <w:t xml:space="preserve"> skaita statistikas analīzi. Piemēram, ārstam – speciālistam izrakstot elektronisko nosūtījumu būs iespēja elektroniski izsekot pacienta pieraksta veikšanas statusam, kas nozīmē, ka tiklīdz pacients izvēlas</w:t>
      </w:r>
      <w:r w:rsidR="00AA55D2" w:rsidRPr="007B010A">
        <w:t xml:space="preserve"> ārstniecības</w:t>
      </w:r>
      <w:r w:rsidRPr="007B010A">
        <w:t xml:space="preserve"> iestādi un ārstu, pie kura vērsties pēc veselības aprūpes pakalpojuma saņemšanas, tiks novērsta iespēja vienlaicīgi veikt pierakstu pie diviem vai vairākiem speciālistiem un precīzi </w:t>
      </w:r>
      <w:proofErr w:type="spellStart"/>
      <w:r w:rsidRPr="007B010A">
        <w:t>monitorēt</w:t>
      </w:r>
      <w:proofErr w:type="spellEnd"/>
      <w:r w:rsidRPr="007B010A">
        <w:t xml:space="preserve"> kopējo rindas garumu un katra individuālā pacienta gaidīšanas laiku</w:t>
      </w:r>
      <w:r w:rsidR="00E533BB" w:rsidRPr="007B010A">
        <w:t xml:space="preserve"> uz konkrēto veselības aprūpes pakalpojumu</w:t>
      </w:r>
      <w:r w:rsidRPr="007B010A">
        <w:t>.</w:t>
      </w:r>
    </w:p>
    <w:p w14:paraId="72A7FE78" w14:textId="6B74AC1A" w:rsidR="002E0156" w:rsidRPr="007B010A" w:rsidRDefault="002E0156" w:rsidP="002E0156">
      <w:pPr>
        <w:shd w:val="clear" w:color="auto" w:fill="FFFFFF"/>
        <w:ind w:firstLine="720"/>
        <w:jc w:val="both"/>
      </w:pPr>
      <w:r w:rsidRPr="007B010A">
        <w:t>Tai pat laikā no </w:t>
      </w:r>
      <w:r w:rsidR="001542AA" w:rsidRPr="007B010A">
        <w:t>2018.</w:t>
      </w:r>
      <w:r w:rsidRPr="007B010A">
        <w:t xml:space="preserve">gada 1.septembra valsts budžeta līdzekļu izlietojuma uzraudzību veselības nozarē un līgumu par valsts apmaksāto veselības aprūpes pakalpojumu sniegšanu izpildes uzraudzību veic viena iestāde – NVD. Līdz šim līgumu </w:t>
      </w:r>
      <w:r w:rsidR="006E439D" w:rsidRPr="007B010A">
        <w:t xml:space="preserve">kontroles </w:t>
      </w:r>
      <w:r w:rsidRPr="007B010A">
        <w:t xml:space="preserve">funkciju īstenoja Veselības inspekcijas Līgumu uzraudzības nodaļa un Pakalpojumu uzraudzības nodaļa. </w:t>
      </w:r>
    </w:p>
    <w:p w14:paraId="31DA3B34" w14:textId="77777777" w:rsidR="002E0156" w:rsidRPr="007B010A" w:rsidRDefault="002E0156" w:rsidP="002C60B7">
      <w:pPr>
        <w:shd w:val="clear" w:color="auto" w:fill="FFFFFF"/>
        <w:ind w:firstLine="720"/>
        <w:jc w:val="both"/>
      </w:pPr>
      <w:r w:rsidRPr="007B010A">
        <w:t>Veselības inspekcija 2018.gadam noteica piecas darba prioritātes veselības aprūpes pakalpojumu pieejamības un valsts budžeta līdzekļu izlietojuma uzraudzībai un kontrolei:</w:t>
      </w:r>
    </w:p>
    <w:p w14:paraId="1C1E0C3D" w14:textId="6DAE71D3" w:rsidR="002E0156" w:rsidRPr="007B010A" w:rsidRDefault="002E0156" w:rsidP="00965EB1">
      <w:pPr>
        <w:pStyle w:val="ListParagraph"/>
        <w:numPr>
          <w:ilvl w:val="0"/>
          <w:numId w:val="20"/>
        </w:numPr>
        <w:shd w:val="clear" w:color="auto" w:fill="FFFFFF"/>
        <w:spacing w:after="0" w:line="240" w:lineRule="auto"/>
        <w:ind w:left="1077" w:hanging="357"/>
        <w:jc w:val="both"/>
      </w:pPr>
      <w:r w:rsidRPr="007B010A">
        <w:rPr>
          <w:rFonts w:ascii="Times New Roman" w:hAnsi="Times New Roman"/>
          <w:sz w:val="24"/>
          <w:szCs w:val="24"/>
          <w:lang w:val="lv-LV"/>
        </w:rPr>
        <w:t>identificēt nepamatotu un negodprātīgu veselības aprūpes pakalpojumu uzskaiti, un veikt pārbaudes</w:t>
      </w:r>
      <w:r w:rsidR="0039088B" w:rsidRPr="007B010A">
        <w:rPr>
          <w:rFonts w:ascii="Times New Roman" w:hAnsi="Times New Roman"/>
          <w:sz w:val="24"/>
          <w:szCs w:val="24"/>
          <w:lang w:val="lv-LV"/>
        </w:rPr>
        <w:t>,</w:t>
      </w:r>
      <w:r w:rsidRPr="007B010A">
        <w:rPr>
          <w:rFonts w:ascii="Times New Roman" w:hAnsi="Times New Roman"/>
          <w:sz w:val="24"/>
          <w:szCs w:val="24"/>
          <w:lang w:val="lv-LV"/>
        </w:rPr>
        <w:t xml:space="preserve"> </w:t>
      </w:r>
      <w:proofErr w:type="spellStart"/>
      <w:r w:rsidRPr="007B010A">
        <w:rPr>
          <w:rFonts w:ascii="Times New Roman" w:hAnsi="Times New Roman"/>
          <w:sz w:val="24"/>
          <w:szCs w:val="24"/>
          <w:lang w:val="lv-LV"/>
        </w:rPr>
        <w:t>efektivizējot</w:t>
      </w:r>
      <w:proofErr w:type="spellEnd"/>
      <w:r w:rsidRPr="007B010A">
        <w:rPr>
          <w:rFonts w:ascii="Times New Roman" w:hAnsi="Times New Roman"/>
          <w:sz w:val="24"/>
          <w:szCs w:val="24"/>
          <w:lang w:val="lv-LV"/>
        </w:rPr>
        <w:t xml:space="preserve"> veselības aprūpes līdzekļu izlietojumu un samazinot prettiesisku konkurenci starp ārstniecības iestādēm (Jauna politikas iniciatīva - Ēnu ekonomikas apkarošanas un godīgas konkurences nodrošināšana veselības nozarē);</w:t>
      </w:r>
    </w:p>
    <w:p w14:paraId="47C84B8A" w14:textId="77777777" w:rsidR="002E0156" w:rsidRPr="007B010A" w:rsidRDefault="002E0156" w:rsidP="00965EB1">
      <w:pPr>
        <w:pStyle w:val="ListParagraph"/>
        <w:numPr>
          <w:ilvl w:val="0"/>
          <w:numId w:val="20"/>
        </w:numPr>
        <w:shd w:val="clear" w:color="auto" w:fill="FFFFFF"/>
        <w:spacing w:after="0" w:line="240" w:lineRule="auto"/>
        <w:ind w:left="1077" w:hanging="357"/>
        <w:jc w:val="both"/>
      </w:pPr>
      <w:r w:rsidRPr="007B010A">
        <w:rPr>
          <w:rFonts w:ascii="Times New Roman" w:hAnsi="Times New Roman"/>
          <w:sz w:val="24"/>
          <w:szCs w:val="24"/>
          <w:lang w:val="lv-LV"/>
        </w:rPr>
        <w:t>pārbaudes, kas vērstas uz valsts apmaksāto pakalpojumu pieejamību, novēršot gadījumus, kad pakalpojumu pieejamība nav nodrošināta bez tam pamatojoša iemesla (t.sk. reaģējot uz informāciju plašsaziņas līdzekļos vai iesniegumu no iedzīvotājiem vai privātpersonām);</w:t>
      </w:r>
    </w:p>
    <w:p w14:paraId="6A06BCA1" w14:textId="77777777" w:rsidR="002E0156" w:rsidRPr="007B010A" w:rsidRDefault="002E0156" w:rsidP="00965EB1">
      <w:pPr>
        <w:pStyle w:val="ListParagraph"/>
        <w:numPr>
          <w:ilvl w:val="0"/>
          <w:numId w:val="20"/>
        </w:numPr>
        <w:shd w:val="clear" w:color="auto" w:fill="FFFFFF"/>
        <w:spacing w:after="0" w:line="240" w:lineRule="auto"/>
        <w:ind w:left="1077" w:hanging="357"/>
        <w:jc w:val="both"/>
      </w:pPr>
      <w:r w:rsidRPr="007B010A">
        <w:rPr>
          <w:rFonts w:ascii="Times New Roman" w:hAnsi="Times New Roman"/>
          <w:sz w:val="24"/>
          <w:szCs w:val="24"/>
          <w:lang w:val="lv-LV"/>
        </w:rPr>
        <w:t>pārbaudes ārstniecības iestādēs un analīze mājas aprūpes pakalpojumu sniegšanas kārtības ievērošanā, nodrošināšanā pacientiem un samaksas saņemšanā no valsts budžeta (atbilstoši NVD sniegtajiem datiem par apmaksātajiem pakalpojumiem, kas pārsniedz vidējos rādītājus valstī šajā pakalpojumu programmā);</w:t>
      </w:r>
    </w:p>
    <w:p w14:paraId="1F7F61FA" w14:textId="77777777" w:rsidR="002E0156" w:rsidRPr="007B010A" w:rsidRDefault="002E0156" w:rsidP="00965EB1">
      <w:pPr>
        <w:pStyle w:val="ListParagraph"/>
        <w:numPr>
          <w:ilvl w:val="0"/>
          <w:numId w:val="20"/>
        </w:numPr>
        <w:shd w:val="clear" w:color="auto" w:fill="FFFFFF"/>
        <w:spacing w:after="0" w:line="240" w:lineRule="auto"/>
        <w:ind w:left="1077" w:hanging="357"/>
        <w:jc w:val="both"/>
      </w:pPr>
      <w:r w:rsidRPr="007B010A">
        <w:rPr>
          <w:rFonts w:ascii="Times New Roman" w:hAnsi="Times New Roman"/>
          <w:sz w:val="24"/>
          <w:szCs w:val="24"/>
          <w:lang w:val="lv-LV"/>
        </w:rPr>
        <w:t> no valsts budžeta kompensēto zāļu atbilstības kompensācijas nosacījumiem un izrakstīšanas ierobežojumiem pārbaudes (t.sk. atbilstoši NVD sniegtajiem datiem par ārstiem, kuru izrakstītais kompensējamo zāļu apjoms vidēji vienam pacientam pārsniedz vidējo rādītāju valstī attiecīgajā diagnozē);</w:t>
      </w:r>
    </w:p>
    <w:p w14:paraId="74DE8677" w14:textId="7C74C4D1" w:rsidR="002E0156" w:rsidRPr="007B010A" w:rsidRDefault="002E0156" w:rsidP="00965EB1">
      <w:pPr>
        <w:pStyle w:val="ListParagraph"/>
        <w:numPr>
          <w:ilvl w:val="0"/>
          <w:numId w:val="20"/>
        </w:numPr>
        <w:shd w:val="clear" w:color="auto" w:fill="FFFFFF"/>
        <w:spacing w:after="0" w:line="240" w:lineRule="auto"/>
        <w:ind w:left="1077" w:hanging="357"/>
        <w:jc w:val="both"/>
        <w:rPr>
          <w:rFonts w:ascii="Times New Roman" w:hAnsi="Times New Roman"/>
          <w:sz w:val="24"/>
          <w:szCs w:val="24"/>
        </w:rPr>
      </w:pPr>
      <w:r w:rsidRPr="007B010A">
        <w:rPr>
          <w:rFonts w:ascii="Times New Roman" w:hAnsi="Times New Roman"/>
          <w:sz w:val="24"/>
          <w:szCs w:val="24"/>
          <w:lang w:val="lv-LV"/>
        </w:rPr>
        <w:t xml:space="preserve">valsts budžeta līdzekļu izlietojuma pamatotības un atbilstības noteikumiem, kas nosaka veselības aprūpes organizēšanas un finansēšanas kārtību, un līgumam ar NVD </w:t>
      </w:r>
      <w:proofErr w:type="spellStart"/>
      <w:r w:rsidRPr="007B010A">
        <w:rPr>
          <w:rFonts w:ascii="Times New Roman" w:hAnsi="Times New Roman"/>
          <w:sz w:val="24"/>
          <w:szCs w:val="24"/>
          <w:lang w:val="lv-LV"/>
        </w:rPr>
        <w:t>izvērtējums</w:t>
      </w:r>
      <w:proofErr w:type="spellEnd"/>
      <w:r w:rsidRPr="007B010A">
        <w:rPr>
          <w:rFonts w:ascii="Times New Roman" w:hAnsi="Times New Roman"/>
          <w:sz w:val="24"/>
          <w:szCs w:val="24"/>
          <w:lang w:val="lv-LV"/>
        </w:rPr>
        <w:t xml:space="preserve"> psihoneiroloģiskajās slimnīcās/nodaļās.</w:t>
      </w:r>
    </w:p>
    <w:p w14:paraId="17D96A7C" w14:textId="77777777" w:rsidR="002E0156" w:rsidRPr="007B010A" w:rsidRDefault="002E0156" w:rsidP="002E0156">
      <w:pPr>
        <w:ind w:firstLine="720"/>
        <w:jc w:val="both"/>
      </w:pPr>
      <w:r w:rsidRPr="007B010A">
        <w:t>Pārbaužu mērķis ir uzlabot veselības aprūpes pakalpojumu pieejamību pacientiem, nodrošināt godprātīgu valsts veselības aprūpes pakalpojumu uzskaiti un apmaksu, un panākt, ka ārstniecības iestādes:</w:t>
      </w:r>
    </w:p>
    <w:p w14:paraId="0AD6D637" w14:textId="77777777" w:rsidR="002E0156" w:rsidRPr="007B010A" w:rsidRDefault="002E0156" w:rsidP="002A459B">
      <w:pPr>
        <w:pStyle w:val="ListParagraph"/>
        <w:numPr>
          <w:ilvl w:val="0"/>
          <w:numId w:val="21"/>
        </w:numPr>
        <w:spacing w:line="240" w:lineRule="auto"/>
        <w:ind w:left="993" w:hanging="357"/>
        <w:jc w:val="both"/>
      </w:pPr>
      <w:r w:rsidRPr="007B010A">
        <w:rPr>
          <w:rFonts w:ascii="Times New Roman" w:hAnsi="Times New Roman"/>
          <w:sz w:val="24"/>
          <w:szCs w:val="24"/>
          <w:lang w:val="lv-LV"/>
        </w:rPr>
        <w:t>novērš nepamatotu maksājumu iekasēšanu no pacientiem, kas saņem valsts apmaksātos veselības aprūpes pakalpojumus (no pacientiem netiek pieprasīta un iekasēta samaksa par pakalpojumiem, kas tiek apmaksāti no valsts budžeta);</w:t>
      </w:r>
    </w:p>
    <w:p w14:paraId="6EE4B42D" w14:textId="77777777" w:rsidR="002E0156" w:rsidRPr="007B010A" w:rsidRDefault="002E0156" w:rsidP="002A459B">
      <w:pPr>
        <w:pStyle w:val="ListParagraph"/>
        <w:numPr>
          <w:ilvl w:val="0"/>
          <w:numId w:val="21"/>
        </w:numPr>
        <w:spacing w:line="240" w:lineRule="auto"/>
        <w:ind w:left="993" w:hanging="357"/>
        <w:jc w:val="both"/>
      </w:pPr>
      <w:r w:rsidRPr="007B010A">
        <w:rPr>
          <w:rFonts w:ascii="Times New Roman" w:hAnsi="Times New Roman"/>
          <w:sz w:val="24"/>
          <w:szCs w:val="24"/>
          <w:lang w:val="lv-LV"/>
        </w:rPr>
        <w:t xml:space="preserve">nodrošina veselības aprūpes pakalpojumu pieejamību, t.sk. darba organizāciju – pacientam sniedz pietiekamu informāciju par pakalpojumu saņemšanas iespējām, rindas garumu un „kvotu” esamību, nevirzot pacientu uz maksas pakalpojumu, ārstu </w:t>
      </w:r>
      <w:r w:rsidRPr="007B010A">
        <w:rPr>
          <w:rFonts w:ascii="Times New Roman" w:hAnsi="Times New Roman"/>
          <w:sz w:val="24"/>
          <w:szCs w:val="24"/>
          <w:lang w:val="lv-LV"/>
        </w:rPr>
        <w:lastRenderedPageBreak/>
        <w:t>līgumā noteiktajā valsts apmaksāto pakalpojumu sniegšanas laikā ārsti nesniedz maksas pakalpojumus;</w:t>
      </w:r>
    </w:p>
    <w:p w14:paraId="56E10507" w14:textId="77777777" w:rsidR="002E0156" w:rsidRPr="007B010A" w:rsidRDefault="002E0156" w:rsidP="002A459B">
      <w:pPr>
        <w:pStyle w:val="ListParagraph"/>
        <w:numPr>
          <w:ilvl w:val="0"/>
          <w:numId w:val="21"/>
        </w:numPr>
        <w:spacing w:line="240" w:lineRule="auto"/>
        <w:ind w:left="993" w:hanging="357"/>
        <w:jc w:val="both"/>
      </w:pPr>
      <w:r w:rsidRPr="007B010A">
        <w:rPr>
          <w:rFonts w:ascii="Times New Roman" w:hAnsi="Times New Roman"/>
          <w:sz w:val="24"/>
          <w:szCs w:val="24"/>
          <w:lang w:val="lv-LV"/>
        </w:rPr>
        <w:t>apmaksai no valsts budžeta uzrāda informāciju par faktiski sniegtajiem pakalpojumiem, norādot atbilstošo manipulāciju skaitu un ievērojot normatīvajos aktos noteiktos apmaksas nosacījumus (netiek uzrādītas faktiski neveiktas manipulācijas, lielākā skaitā vai dārgākas manipulācijas, apmaksas nosacījumiem neatbilstošas manipulācijas);</w:t>
      </w:r>
    </w:p>
    <w:p w14:paraId="118ABFED" w14:textId="77777777" w:rsidR="002E0156" w:rsidRPr="007B010A" w:rsidRDefault="002E0156" w:rsidP="002A459B">
      <w:pPr>
        <w:pStyle w:val="ListParagraph"/>
        <w:numPr>
          <w:ilvl w:val="0"/>
          <w:numId w:val="21"/>
        </w:numPr>
        <w:spacing w:line="240" w:lineRule="auto"/>
        <w:ind w:left="993" w:hanging="357"/>
        <w:jc w:val="both"/>
      </w:pPr>
      <w:r w:rsidRPr="007B010A">
        <w:rPr>
          <w:rFonts w:ascii="Times New Roman" w:hAnsi="Times New Roman"/>
          <w:sz w:val="24"/>
          <w:szCs w:val="24"/>
          <w:lang w:val="lv-LV"/>
        </w:rPr>
        <w:t>nodrošina medikamentu ar valsts kompensāciju izrakstīšanu atbilstoši normatīvajos aktos un Kompensējamo zāļu sarakstā noteiktajiem kompensācijas nosacījumiem un izrakstīšanas ierobežojumiem;</w:t>
      </w:r>
    </w:p>
    <w:p w14:paraId="1B607CA2" w14:textId="061961FD" w:rsidR="00612ADF" w:rsidRPr="007B010A" w:rsidRDefault="002E0156" w:rsidP="002A459B">
      <w:pPr>
        <w:pStyle w:val="ListParagraph"/>
        <w:numPr>
          <w:ilvl w:val="0"/>
          <w:numId w:val="21"/>
        </w:numPr>
        <w:spacing w:after="0" w:line="240" w:lineRule="auto"/>
        <w:ind w:left="993" w:hanging="357"/>
        <w:jc w:val="both"/>
      </w:pPr>
      <w:r w:rsidRPr="007B010A">
        <w:rPr>
          <w:rFonts w:ascii="Times New Roman" w:hAnsi="Times New Roman"/>
          <w:sz w:val="24"/>
          <w:szCs w:val="24"/>
          <w:lang w:val="lv-LV"/>
        </w:rPr>
        <w:t>par visiem iekasētajiem maksājumiem izsniedz maksājumu apliecinošos dokumentus.</w:t>
      </w:r>
    </w:p>
    <w:p w14:paraId="6511795A" w14:textId="7CF07B5D" w:rsidR="00612ADF" w:rsidRPr="007B010A" w:rsidRDefault="00612ADF" w:rsidP="002A459B">
      <w:pPr>
        <w:shd w:val="clear" w:color="auto" w:fill="FFFFFF"/>
        <w:ind w:firstLine="709"/>
        <w:jc w:val="both"/>
      </w:pPr>
      <w:r w:rsidRPr="007B010A">
        <w:t>Tomēr jānorāda, ka no 2018.gada 1.septembra </w:t>
      </w:r>
      <w:r w:rsidR="0039088B" w:rsidRPr="007B010A">
        <w:t>NVD</w:t>
      </w:r>
      <w:r w:rsidRPr="007B010A">
        <w:t xml:space="preserve"> uzraudzības un kontroles funkcijā tika un tiek turpināts ieviest pieejas maiņu uzraudzības un kontroles veikšanā, tostarp,</w:t>
      </w:r>
    </w:p>
    <w:p w14:paraId="6A6956D9" w14:textId="4AABA7D1" w:rsidR="00612ADF" w:rsidRPr="007B010A" w:rsidRDefault="00612ADF" w:rsidP="002A459B">
      <w:pPr>
        <w:shd w:val="clear" w:color="auto" w:fill="FFFFFF"/>
        <w:ind w:left="993" w:hanging="284"/>
        <w:jc w:val="both"/>
      </w:pPr>
      <w:r w:rsidRPr="007B010A">
        <w:t>1)  ieviešot jaunu uzraudzības un kontroles metodi – pašnovērtējuma anketas,</w:t>
      </w:r>
    </w:p>
    <w:p w14:paraId="6635A4E9" w14:textId="20A6BE2B" w:rsidR="00612ADF" w:rsidRPr="007B010A" w:rsidRDefault="00612ADF" w:rsidP="002A459B">
      <w:pPr>
        <w:shd w:val="clear" w:color="auto" w:fill="FFFFFF"/>
        <w:ind w:left="993" w:hanging="284"/>
        <w:jc w:val="both"/>
      </w:pPr>
      <w:r w:rsidRPr="007B010A">
        <w:t>2)  īstenojot valstiski apstiprināto “Konsultē vispirms” principu.</w:t>
      </w:r>
    </w:p>
    <w:p w14:paraId="3BEAEDDF" w14:textId="3B403C66" w:rsidR="00B955F2" w:rsidRPr="007B010A" w:rsidRDefault="00612ADF" w:rsidP="002A459B">
      <w:pPr>
        <w:shd w:val="clear" w:color="auto" w:fill="FFFFFF"/>
        <w:ind w:left="993" w:hanging="284"/>
        <w:jc w:val="both"/>
      </w:pPr>
      <w:r w:rsidRPr="007B010A">
        <w:t xml:space="preserve">3)  no </w:t>
      </w:r>
      <w:r w:rsidR="00C275E7" w:rsidRPr="007B010A">
        <w:t>2018.gada 1.septembra</w:t>
      </w:r>
      <w:r w:rsidRPr="007B010A">
        <w:t xml:space="preserve"> plānotās un veicamās pārbaudes ir apjomīgākas (aptver procesu izvērtēšanu) un prasa ilgāku sagatavošanas un veikšanas periodu, jo ir vērstas uz kādas konkrētas pakalpojumu programmas visaptverošu izvērtēšanu valstiskā apmērā, nodrošinot iespēju konstatēt kopējas problēmas, sistemātisku neizpratni vai nepieciešamību veikt precizējumus, grozījumus normatīvajos aktos, līgumos, veikt skaidrojošo darbu ar līgumpartneriem.</w:t>
      </w:r>
    </w:p>
    <w:p w14:paraId="16D0C9D4" w14:textId="22B315AF" w:rsidR="00612ADF" w:rsidRPr="007B010A" w:rsidRDefault="00395596" w:rsidP="002A459B">
      <w:pPr>
        <w:shd w:val="clear" w:color="auto" w:fill="FFFFFF"/>
        <w:ind w:left="993" w:hanging="284"/>
        <w:jc w:val="both"/>
      </w:pPr>
      <w:r w:rsidRPr="007B010A">
        <w:t>4)</w:t>
      </w:r>
      <w:r w:rsidR="003778EE" w:rsidRPr="007B010A">
        <w:t xml:space="preserve"> </w:t>
      </w:r>
      <w:r w:rsidR="004E4045" w:rsidRPr="007B010A">
        <w:t>i</w:t>
      </w:r>
      <w:r w:rsidR="00612ADF" w:rsidRPr="007B010A">
        <w:t xml:space="preserve">zvirzot prioritārās jomas tiek ņemtas vērā pacientu sūdzības, nozares prioritātes, aktualitātes, pakalpojumu programmas finansiālo ietekmi (apjomu), normatīvā akta pietiekamību, tādejādi identificējot jutīgākās jomas (pakalpojumu programmas), kuras prasa visaptverošu </w:t>
      </w:r>
      <w:proofErr w:type="spellStart"/>
      <w:r w:rsidR="00612ADF" w:rsidRPr="007B010A">
        <w:t>izvērtējumu</w:t>
      </w:r>
      <w:proofErr w:type="spellEnd"/>
      <w:r w:rsidR="00612ADF" w:rsidRPr="007B010A">
        <w:t>.</w:t>
      </w:r>
    </w:p>
    <w:p w14:paraId="49FEB378" w14:textId="77777777" w:rsidR="00395596" w:rsidRPr="007B010A" w:rsidRDefault="00395596" w:rsidP="002A459B">
      <w:pPr>
        <w:ind w:firstLine="709"/>
        <w:jc w:val="both"/>
        <w:rPr>
          <w:shd w:val="clear" w:color="auto" w:fill="FFFFFF"/>
        </w:rPr>
      </w:pPr>
      <w:r w:rsidRPr="007B010A">
        <w:rPr>
          <w:shd w:val="clear" w:color="auto" w:fill="FFFFFF"/>
        </w:rPr>
        <w:t>Atbilstoši 2018.gada rezultatīvo rādītāju izpildei veikta veselības aprūpes pakalpojumu pieejamības un valsts budžeta līdzekļu izlietojuma uzraudzība un kontrole 255 ārstniecības iestādēs no sākotnēji plānotajām 355.</w:t>
      </w:r>
    </w:p>
    <w:p w14:paraId="7E75EBDA" w14:textId="2A59E814" w:rsidR="00F60BE0" w:rsidRPr="007B010A" w:rsidRDefault="00395596" w:rsidP="002A459B">
      <w:pPr>
        <w:ind w:firstLine="709"/>
        <w:jc w:val="both"/>
        <w:rPr>
          <w:shd w:val="clear" w:color="auto" w:fill="FFFFFF"/>
        </w:rPr>
      </w:pPr>
      <w:r w:rsidRPr="007B010A">
        <w:rPr>
          <w:shd w:val="clear" w:color="auto" w:fill="FFFFFF"/>
        </w:rPr>
        <w:t>Iemesli, kas ietekmējuši rādītāja izpildi</w:t>
      </w:r>
      <w:r w:rsidR="00241AAA" w:rsidRPr="007B010A">
        <w:rPr>
          <w:shd w:val="clear" w:color="auto" w:fill="FFFFFF"/>
        </w:rPr>
        <w:t>/neizpildi</w:t>
      </w:r>
      <w:r w:rsidR="00287952" w:rsidRPr="007B010A">
        <w:rPr>
          <w:shd w:val="clear" w:color="auto" w:fill="FFFFFF"/>
        </w:rPr>
        <w:t>:</w:t>
      </w:r>
    </w:p>
    <w:p w14:paraId="71B38B02" w14:textId="4C44C060" w:rsidR="00F60BE0" w:rsidRPr="007B010A" w:rsidRDefault="00287952" w:rsidP="005A3556">
      <w:pPr>
        <w:ind w:firstLine="360"/>
        <w:jc w:val="both"/>
        <w:rPr>
          <w:shd w:val="clear" w:color="auto" w:fill="FFFFFF"/>
        </w:rPr>
      </w:pPr>
      <w:r w:rsidRPr="007B010A">
        <w:rPr>
          <w:shd w:val="clear" w:color="auto" w:fill="FFFFFF"/>
        </w:rPr>
        <w:t xml:space="preserve">1) </w:t>
      </w:r>
      <w:r w:rsidR="0039088B" w:rsidRPr="007B010A">
        <w:rPr>
          <w:shd w:val="clear" w:color="auto" w:fill="FFFFFF"/>
        </w:rPr>
        <w:t xml:space="preserve">NVD uzraudzības </w:t>
      </w:r>
      <w:r w:rsidRPr="007B010A">
        <w:rPr>
          <w:shd w:val="clear" w:color="auto" w:fill="FFFFFF"/>
        </w:rPr>
        <w:t xml:space="preserve">funkcijas pārcelšanas no </w:t>
      </w:r>
      <w:r w:rsidR="00241AAA" w:rsidRPr="007B010A">
        <w:rPr>
          <w:shd w:val="clear" w:color="auto" w:fill="FFFFFF"/>
        </w:rPr>
        <w:t xml:space="preserve">2018.gada </w:t>
      </w:r>
      <w:r w:rsidRPr="007B010A">
        <w:rPr>
          <w:shd w:val="clear" w:color="auto" w:fill="FFFFFF"/>
        </w:rPr>
        <w:t>1.s</w:t>
      </w:r>
      <w:r w:rsidR="00786B5C">
        <w:rPr>
          <w:shd w:val="clear" w:color="auto" w:fill="FFFFFF"/>
        </w:rPr>
        <w:t>e</w:t>
      </w:r>
      <w:r w:rsidRPr="007B010A">
        <w:rPr>
          <w:shd w:val="clear" w:color="auto" w:fill="FFFFFF"/>
        </w:rPr>
        <w:t xml:space="preserve">ptembra rezultātā  tika rotētas 15 amata vietas no 18 amata vietām. </w:t>
      </w:r>
    </w:p>
    <w:p w14:paraId="6CB40B85" w14:textId="2109487F" w:rsidR="00F60BE0" w:rsidRPr="007B010A" w:rsidRDefault="00287952" w:rsidP="005A3556">
      <w:pPr>
        <w:ind w:firstLine="360"/>
        <w:jc w:val="both"/>
        <w:rPr>
          <w:shd w:val="clear" w:color="auto" w:fill="FFFFFF"/>
        </w:rPr>
      </w:pPr>
      <w:r w:rsidRPr="007B010A">
        <w:rPr>
          <w:shd w:val="clear" w:color="auto" w:fill="FFFFFF"/>
        </w:rPr>
        <w:t>2) Līdz ar funkcijas pārcelšanu</w:t>
      </w:r>
      <w:r w:rsidR="0039088B" w:rsidRPr="007B010A">
        <w:rPr>
          <w:shd w:val="clear" w:color="auto" w:fill="FFFFFF"/>
        </w:rPr>
        <w:t xml:space="preserve"> no Veselības inspekcijas uz NVD</w:t>
      </w:r>
      <w:r w:rsidRPr="007B010A">
        <w:rPr>
          <w:shd w:val="clear" w:color="auto" w:fill="FFFFFF"/>
        </w:rPr>
        <w:t>, netika pārņemts uzdevums, kas bija saistīts ar Jaunās iniciatīvas pārbaudēm “Ēnu apkarošana un godīgas konkurences nodrošināšana veselības aprūpē”, kur 2018.gada pēdējos četros mēnešos no plānotajām 117 bija noteiktas 53 pārbaudes (kopumā no 2018.gadā ieplānotajām 355 pārbaudēm JPI pārbaudes bija noteiktas 115 apmērā), līdz ar to pārbaudes apjoms samazinā</w:t>
      </w:r>
      <w:r w:rsidR="00786B5C">
        <w:rPr>
          <w:shd w:val="clear" w:color="auto" w:fill="FFFFFF"/>
        </w:rPr>
        <w:t>jies</w:t>
      </w:r>
      <w:r w:rsidRPr="007B010A">
        <w:rPr>
          <w:shd w:val="clear" w:color="auto" w:fill="FFFFFF"/>
        </w:rPr>
        <w:t xml:space="preserve"> uz 64. </w:t>
      </w:r>
    </w:p>
    <w:p w14:paraId="50911F8C" w14:textId="1BEC18C0" w:rsidR="00F60BE0" w:rsidRPr="007B010A" w:rsidRDefault="00287952" w:rsidP="005A3556">
      <w:pPr>
        <w:ind w:firstLine="360"/>
        <w:jc w:val="both"/>
        <w:rPr>
          <w:shd w:val="clear" w:color="auto" w:fill="FFFFFF"/>
        </w:rPr>
      </w:pPr>
      <w:r w:rsidRPr="007B010A">
        <w:rPr>
          <w:shd w:val="clear" w:color="auto" w:fill="FFFFFF"/>
        </w:rPr>
        <w:t>3) 2018.gada septembrī-decembrī veikto pārbaužu skaits samazinājās galvenokārt saistībā ar to, ka normatīvajā regulējumā (</w:t>
      </w:r>
      <w:r w:rsidR="00093715" w:rsidRPr="007B010A">
        <w:t>Ministru kabineta 2018.gada 28.augusta noteikumi Nr.555 “Veselības aprūpes pakalpojumu organizēšanas un samaksas kārtība” (turpmāk – Noteikumi Nr.555)</w:t>
      </w:r>
      <w:r w:rsidR="009830CC" w:rsidRPr="007B010A">
        <w:rPr>
          <w:shd w:val="clear" w:color="auto" w:fill="FFFFFF"/>
        </w:rPr>
        <w:t xml:space="preserve">) </w:t>
      </w:r>
      <w:r w:rsidRPr="007B010A">
        <w:rPr>
          <w:shd w:val="clear" w:color="auto" w:fill="FFFFFF"/>
        </w:rPr>
        <w:t xml:space="preserve">un līgumos, kas noslēgti starp ārstniecības iestādēm un </w:t>
      </w:r>
      <w:r w:rsidR="0081621E" w:rsidRPr="007B010A">
        <w:rPr>
          <w:shd w:val="clear" w:color="auto" w:fill="FFFFFF"/>
        </w:rPr>
        <w:t>NVD</w:t>
      </w:r>
      <w:r w:rsidRPr="007B010A">
        <w:rPr>
          <w:shd w:val="clear" w:color="auto" w:fill="FFFFFF"/>
        </w:rPr>
        <w:t>, sākot ar 1.septembri nebija iestrādāta līgumu kontroles funkcija (atbildība par līguma izpildi, sākot ar 2019.gada 1.janvāri</w:t>
      </w:r>
      <w:r w:rsidR="00786B5C">
        <w:rPr>
          <w:shd w:val="clear" w:color="auto" w:fill="FFFFFF"/>
        </w:rPr>
        <w:t>,</w:t>
      </w:r>
      <w:r w:rsidRPr="007B010A">
        <w:rPr>
          <w:shd w:val="clear" w:color="auto" w:fill="FFFFFF"/>
        </w:rPr>
        <w:t xml:space="preserve"> ir apstiprināta līgum</w:t>
      </w:r>
      <w:r w:rsidR="00786B5C">
        <w:rPr>
          <w:shd w:val="clear" w:color="auto" w:fill="FFFFFF"/>
        </w:rPr>
        <w:t>u</w:t>
      </w:r>
      <w:r w:rsidRPr="007B010A">
        <w:rPr>
          <w:shd w:val="clear" w:color="auto" w:fill="FFFFFF"/>
        </w:rPr>
        <w:t xml:space="preserve"> starp ārstniecības iestādēm un </w:t>
      </w:r>
      <w:r w:rsidR="0081621E" w:rsidRPr="007B010A">
        <w:rPr>
          <w:shd w:val="clear" w:color="auto" w:fill="FFFFFF"/>
        </w:rPr>
        <w:t xml:space="preserve">NVD </w:t>
      </w:r>
      <w:r w:rsidRPr="007B010A">
        <w:rPr>
          <w:shd w:val="clear" w:color="auto" w:fill="FFFFFF"/>
        </w:rPr>
        <w:t xml:space="preserve">pielikumā). Līdz ar to pārbaudes nevarēja tikt veiktas iepriekšējā apjomā. </w:t>
      </w:r>
    </w:p>
    <w:p w14:paraId="04368EC3" w14:textId="4B7E3BDD" w:rsidR="00F60BE0" w:rsidRPr="007B010A" w:rsidRDefault="00287952" w:rsidP="005A3556">
      <w:pPr>
        <w:ind w:firstLine="360"/>
        <w:jc w:val="both"/>
        <w:rPr>
          <w:shd w:val="clear" w:color="auto" w:fill="FFFFFF"/>
        </w:rPr>
      </w:pPr>
      <w:r w:rsidRPr="007B010A">
        <w:rPr>
          <w:shd w:val="clear" w:color="auto" w:fill="FFFFFF"/>
        </w:rPr>
        <w:t xml:space="preserve">4) </w:t>
      </w:r>
      <w:r w:rsidR="0081621E" w:rsidRPr="007B010A">
        <w:rPr>
          <w:shd w:val="clear" w:color="auto" w:fill="FFFFFF"/>
        </w:rPr>
        <w:t xml:space="preserve">NVD </w:t>
      </w:r>
      <w:r w:rsidRPr="007B010A">
        <w:rPr>
          <w:shd w:val="clear" w:color="auto" w:fill="FFFFFF"/>
        </w:rPr>
        <w:t>uzraudzības un kontroles funkcijā tika uzsākta pieejas maiņa uzraudzības un kontroles veikšanā, piemēram, ieviešot jauna</w:t>
      </w:r>
      <w:r w:rsidR="00786B5C">
        <w:rPr>
          <w:shd w:val="clear" w:color="auto" w:fill="FFFFFF"/>
        </w:rPr>
        <w:t>s</w:t>
      </w:r>
      <w:r w:rsidRPr="007B010A">
        <w:rPr>
          <w:shd w:val="clear" w:color="auto" w:fill="FFFFFF"/>
        </w:rPr>
        <w:t xml:space="preserve"> uzraudzības un kontroles metodes – pašnovērtējuma anketas, kā arī īstenojot valstiski apstiprināto “Konsultē vispirms” principu, kas savukārt arī ietekmē pārbaužu skaitu. </w:t>
      </w:r>
    </w:p>
    <w:p w14:paraId="398B94A9" w14:textId="062D0840" w:rsidR="00F60BE0" w:rsidRPr="007B010A" w:rsidRDefault="00287952" w:rsidP="005A3556">
      <w:pPr>
        <w:ind w:firstLine="360"/>
        <w:jc w:val="both"/>
        <w:rPr>
          <w:shd w:val="clear" w:color="auto" w:fill="FFFFFF"/>
        </w:rPr>
      </w:pPr>
      <w:r w:rsidRPr="007B010A">
        <w:rPr>
          <w:shd w:val="clear" w:color="auto" w:fill="FFFFFF"/>
        </w:rPr>
        <w:t xml:space="preserve">5) </w:t>
      </w:r>
      <w:r w:rsidR="00786B5C">
        <w:rPr>
          <w:shd w:val="clear" w:color="auto" w:fill="FFFFFF"/>
        </w:rPr>
        <w:t xml:space="preserve">No </w:t>
      </w:r>
      <w:r w:rsidR="00241AAA" w:rsidRPr="007B010A">
        <w:t xml:space="preserve">2018.gada 1.septembra </w:t>
      </w:r>
      <w:r w:rsidRPr="007B010A">
        <w:rPr>
          <w:shd w:val="clear" w:color="auto" w:fill="FFFFFF"/>
        </w:rPr>
        <w:t xml:space="preserve">plānotās un veicamās pārbaudes ir apjomīgākas (aptver procesu izvērtēšanu) un prasa ilgāku sagatavošanas un veikšanas periodu. </w:t>
      </w:r>
    </w:p>
    <w:p w14:paraId="0DD41AF0" w14:textId="5FE367AC" w:rsidR="00287952" w:rsidRPr="007B010A" w:rsidRDefault="00287952" w:rsidP="005A3556">
      <w:pPr>
        <w:ind w:firstLine="360"/>
        <w:jc w:val="both"/>
        <w:rPr>
          <w:shd w:val="clear" w:color="auto" w:fill="FFFFFF"/>
        </w:rPr>
      </w:pPr>
      <w:r w:rsidRPr="007B010A">
        <w:rPr>
          <w:shd w:val="clear" w:color="auto" w:fill="FFFFFF"/>
        </w:rPr>
        <w:lastRenderedPageBreak/>
        <w:t xml:space="preserve">6) Pārbaužu skaitu veido ne tikai </w:t>
      </w:r>
      <w:r w:rsidR="0033595E" w:rsidRPr="007B010A">
        <w:rPr>
          <w:shd w:val="clear" w:color="auto" w:fill="FFFFFF"/>
        </w:rPr>
        <w:t xml:space="preserve">NVD </w:t>
      </w:r>
      <w:r w:rsidRPr="007B010A">
        <w:rPr>
          <w:shd w:val="clear" w:color="auto" w:fill="FFFFFF"/>
        </w:rPr>
        <w:t>ierosinātās pārbaudes, bet arī iesniegumu izskatīšana (konkrēto gadījumu izvērtēšana), kuras nav iespējams ieplānot.</w:t>
      </w:r>
    </w:p>
    <w:p w14:paraId="0323B627" w14:textId="77777777" w:rsidR="00287952" w:rsidRPr="007B010A" w:rsidRDefault="00287952" w:rsidP="005A3556">
      <w:pPr>
        <w:ind w:firstLine="360"/>
        <w:jc w:val="both"/>
      </w:pPr>
    </w:p>
    <w:p w14:paraId="332198CB" w14:textId="3D51E435" w:rsidR="00031570" w:rsidRPr="007B010A" w:rsidRDefault="009370E3" w:rsidP="00031570">
      <w:pPr>
        <w:shd w:val="clear" w:color="auto" w:fill="FFFFFF"/>
        <w:ind w:firstLine="720"/>
        <w:jc w:val="both"/>
      </w:pPr>
      <w:r w:rsidRPr="007B010A">
        <w:t>Kā</w:t>
      </w:r>
      <w:r w:rsidR="00031570" w:rsidRPr="007B010A">
        <w:t xml:space="preserve"> 2019.gad</w:t>
      </w:r>
      <w:r w:rsidR="00FD3BD2" w:rsidRPr="007B010A">
        <w:t>ā</w:t>
      </w:r>
      <w:r w:rsidR="00031570" w:rsidRPr="007B010A">
        <w:t xml:space="preserve"> </w:t>
      </w:r>
      <w:r w:rsidR="00FD3BD2" w:rsidRPr="007B010A">
        <w:t>g</w:t>
      </w:r>
      <w:r w:rsidR="00031570" w:rsidRPr="007B010A">
        <w:t>alvenās izvērtējamās prioritārās pakalpojumu programmas ir izvirzītas:</w:t>
      </w:r>
    </w:p>
    <w:p w14:paraId="73BE8F0F" w14:textId="55E0FB9D" w:rsidR="00031570" w:rsidRPr="007B010A" w:rsidRDefault="00031570" w:rsidP="002A459B">
      <w:pPr>
        <w:shd w:val="clear" w:color="auto" w:fill="FFFFFF"/>
        <w:ind w:firstLine="720"/>
        <w:jc w:val="both"/>
        <w:rPr>
          <w:rFonts w:ascii="Segoe UI" w:hAnsi="Segoe UI" w:cs="Segoe UI"/>
          <w:sz w:val="23"/>
          <w:szCs w:val="23"/>
        </w:rPr>
      </w:pPr>
      <w:r w:rsidRPr="007B010A">
        <w:br/>
        <w:t xml:space="preserve">1) Stacionāro ārstniecības iestāžu uzņemšanas nodaļu darba organizācija, ietverot ambulatoro, stacionāro un </w:t>
      </w:r>
      <w:proofErr w:type="spellStart"/>
      <w:r w:rsidRPr="007B010A">
        <w:t>observējamo</w:t>
      </w:r>
      <w:proofErr w:type="spellEnd"/>
      <w:r w:rsidRPr="007B010A">
        <w:t xml:space="preserve"> pacientu plūsmu un ārstniecības personu nodrošinājumu II-V līmeņa stacionāro ārstniecības iestāžu uzņemšanas nodaļās analīzi.</w:t>
      </w:r>
    </w:p>
    <w:p w14:paraId="70833040" w14:textId="77777777" w:rsidR="00031570" w:rsidRPr="007B010A" w:rsidRDefault="00031570" w:rsidP="002A459B">
      <w:pPr>
        <w:shd w:val="clear" w:color="auto" w:fill="FFFFFF"/>
        <w:jc w:val="both"/>
        <w:rPr>
          <w:rFonts w:ascii="Segoe UI" w:hAnsi="Segoe UI" w:cs="Segoe UI"/>
          <w:sz w:val="23"/>
          <w:szCs w:val="23"/>
        </w:rPr>
      </w:pPr>
      <w:r w:rsidRPr="007B010A">
        <w:t xml:space="preserve">2) Dienas stacionārā sniegto ķirurģisko pakalpojumu sniegšanas pamatotību un atbilstību normatīvajiem aktiem un noslēgtajam līguma, ietverot gan samaksas no valsts, gan pacientiem iekasēšanas pamatotības </w:t>
      </w:r>
      <w:proofErr w:type="spellStart"/>
      <w:r w:rsidRPr="007B010A">
        <w:t>izvērtējumu</w:t>
      </w:r>
      <w:proofErr w:type="spellEnd"/>
      <w:r w:rsidRPr="007B010A">
        <w:t>.</w:t>
      </w:r>
    </w:p>
    <w:p w14:paraId="73DF068D" w14:textId="77777777" w:rsidR="00031570" w:rsidRPr="007B010A" w:rsidRDefault="00031570" w:rsidP="002A459B">
      <w:pPr>
        <w:shd w:val="clear" w:color="auto" w:fill="FFFFFF"/>
        <w:jc w:val="both"/>
        <w:rPr>
          <w:rFonts w:ascii="Segoe UI" w:hAnsi="Segoe UI" w:cs="Segoe UI"/>
          <w:sz w:val="23"/>
          <w:szCs w:val="23"/>
        </w:rPr>
      </w:pPr>
      <w:r w:rsidRPr="007B010A">
        <w:t xml:space="preserve">3) </w:t>
      </w:r>
      <w:proofErr w:type="spellStart"/>
      <w:r w:rsidRPr="007B010A">
        <w:t>Skrīninga</w:t>
      </w:r>
      <w:proofErr w:type="spellEnd"/>
      <w:r w:rsidRPr="007B010A">
        <w:t xml:space="preserve"> </w:t>
      </w:r>
      <w:proofErr w:type="spellStart"/>
      <w:r w:rsidRPr="007B010A">
        <w:t>mammogrāfijas</w:t>
      </w:r>
      <w:proofErr w:type="spellEnd"/>
      <w:r w:rsidRPr="007B010A">
        <w:t xml:space="preserve"> pakalpojumu sniegšanas kārtības </w:t>
      </w:r>
      <w:proofErr w:type="spellStart"/>
      <w:r w:rsidRPr="007B010A">
        <w:t>izvērtējums</w:t>
      </w:r>
      <w:proofErr w:type="spellEnd"/>
      <w:r w:rsidRPr="007B010A">
        <w:t>, atbilstības analīze atbilstoši izvirzītajiem speciālajiem kritērijiem (Stratēģiskās atlases) nosacījumiem.</w:t>
      </w:r>
    </w:p>
    <w:p w14:paraId="626BECA9" w14:textId="2F715CBB" w:rsidR="00F2049A" w:rsidRPr="007B010A" w:rsidRDefault="00031570" w:rsidP="002A459B">
      <w:pPr>
        <w:shd w:val="clear" w:color="auto" w:fill="FFFFFF"/>
        <w:jc w:val="both"/>
      </w:pPr>
      <w:r w:rsidRPr="007B010A">
        <w:t>4) Izvērtēt diabēta pacientu apmācības kabinetu un diabētiskās pēdas aprūpes kabinetu darbu, piemērojot pašnovērtējuma anketu kā uzraudzības metodes rīku, veicot analīzi.</w:t>
      </w:r>
    </w:p>
    <w:p w14:paraId="5D07A93E" w14:textId="77777777" w:rsidR="00F2049A" w:rsidRPr="007B010A" w:rsidRDefault="00F2049A" w:rsidP="00F2049A">
      <w:pPr>
        <w:shd w:val="clear" w:color="auto" w:fill="FFFFFF"/>
        <w:jc w:val="both"/>
      </w:pPr>
    </w:p>
    <w:p w14:paraId="2AFF3FDC" w14:textId="2CEBFD2B" w:rsidR="00F2049A" w:rsidRPr="007B010A" w:rsidRDefault="00F2049A" w:rsidP="008A27C5">
      <w:pPr>
        <w:shd w:val="clear" w:color="auto" w:fill="FFFFFF"/>
        <w:jc w:val="both"/>
      </w:pPr>
      <w:r w:rsidRPr="007B010A">
        <w:t>Līdz ar to uzraudzības rezultātu datu apkopojums būs pieejams 20</w:t>
      </w:r>
      <w:r w:rsidR="0036617D" w:rsidRPr="007B010A">
        <w:t>19</w:t>
      </w:r>
      <w:r w:rsidRPr="007B010A">
        <w:t>.gada izpildes ziņojumā.</w:t>
      </w:r>
    </w:p>
    <w:p w14:paraId="6F2E1C0E" w14:textId="285E38AB" w:rsidR="004A7A9A" w:rsidRPr="007B010A" w:rsidRDefault="004A7A9A" w:rsidP="00031570">
      <w:pPr>
        <w:ind w:firstLine="360"/>
        <w:jc w:val="both"/>
        <w:rPr>
          <w:sz w:val="26"/>
          <w:szCs w:val="26"/>
        </w:rPr>
      </w:pPr>
    </w:p>
    <w:p w14:paraId="41B0C7EC" w14:textId="77777777" w:rsidR="004A7A9A" w:rsidRPr="007B010A" w:rsidRDefault="004A7A9A" w:rsidP="00031570">
      <w:pPr>
        <w:ind w:firstLine="360"/>
        <w:jc w:val="both"/>
        <w:rPr>
          <w:sz w:val="26"/>
          <w:szCs w:val="26"/>
        </w:rPr>
      </w:pPr>
    </w:p>
    <w:p w14:paraId="71A918AD" w14:textId="77777777" w:rsidR="00D923AA" w:rsidRPr="007B010A" w:rsidRDefault="00D923AA" w:rsidP="00D923AA">
      <w:pPr>
        <w:pStyle w:val="ListParagraph"/>
        <w:numPr>
          <w:ilvl w:val="0"/>
          <w:numId w:val="2"/>
        </w:numPr>
        <w:jc w:val="center"/>
        <w:rPr>
          <w:rFonts w:ascii="Times New Roman" w:hAnsi="Times New Roman"/>
          <w:b/>
          <w:sz w:val="26"/>
          <w:szCs w:val="26"/>
          <w:lang w:val="lv-LV"/>
        </w:rPr>
      </w:pPr>
      <w:r w:rsidRPr="007B010A">
        <w:rPr>
          <w:rFonts w:ascii="Times New Roman" w:hAnsi="Times New Roman"/>
          <w:b/>
          <w:sz w:val="26"/>
          <w:szCs w:val="26"/>
          <w:lang w:val="lv-LV"/>
        </w:rPr>
        <w:t>Reformu īstenošana</w:t>
      </w:r>
    </w:p>
    <w:p w14:paraId="7F24922A" w14:textId="77777777" w:rsidR="00D923AA" w:rsidRPr="007B010A" w:rsidRDefault="00D923AA" w:rsidP="00D923AA">
      <w:pPr>
        <w:autoSpaceDE w:val="0"/>
        <w:autoSpaceDN w:val="0"/>
        <w:adjustRightInd w:val="0"/>
        <w:spacing w:line="293" w:lineRule="atLeast"/>
        <w:jc w:val="center"/>
        <w:rPr>
          <w:b/>
          <w:bCs/>
          <w:lang w:bidi="lo-LA"/>
        </w:rPr>
      </w:pPr>
      <w:r w:rsidRPr="007B010A">
        <w:rPr>
          <w:b/>
        </w:rPr>
        <w:t xml:space="preserve">2.1. </w:t>
      </w:r>
      <w:r w:rsidRPr="007B010A">
        <w:rPr>
          <w:b/>
          <w:bCs/>
          <w:lang w:bidi="lo-LA"/>
        </w:rPr>
        <w:t xml:space="preserve">Veselības aprūpes pakalpojumu pieejamība </w:t>
      </w:r>
    </w:p>
    <w:p w14:paraId="3908560F" w14:textId="77777777" w:rsidR="00D923AA" w:rsidRPr="007B010A" w:rsidRDefault="00D923AA" w:rsidP="00D923AA"/>
    <w:p w14:paraId="0FDA6095" w14:textId="77777777" w:rsidR="00D923AA" w:rsidRPr="007B010A" w:rsidRDefault="00D923AA" w:rsidP="00D923AA">
      <w:pPr>
        <w:jc w:val="center"/>
        <w:rPr>
          <w:u w:val="single"/>
        </w:rPr>
      </w:pPr>
      <w:r w:rsidRPr="007B010A">
        <w:rPr>
          <w:u w:val="single"/>
        </w:rPr>
        <w:t>Speciālistu konsultācijas</w:t>
      </w:r>
    </w:p>
    <w:p w14:paraId="47B7F385" w14:textId="77777777" w:rsidR="00D923AA" w:rsidRPr="007B010A" w:rsidRDefault="00D923AA" w:rsidP="00D923AA">
      <w:pPr>
        <w:autoSpaceDE w:val="0"/>
        <w:autoSpaceDN w:val="0"/>
        <w:adjustRightInd w:val="0"/>
        <w:spacing w:line="293" w:lineRule="atLeast"/>
        <w:jc w:val="both"/>
        <w:rPr>
          <w:lang w:bidi="lo-LA"/>
        </w:rPr>
      </w:pPr>
    </w:p>
    <w:p w14:paraId="7706026A" w14:textId="77777777" w:rsidR="00D923AA" w:rsidRPr="007B010A" w:rsidRDefault="00D923AA" w:rsidP="00D923AA">
      <w:pPr>
        <w:autoSpaceDE w:val="0"/>
        <w:autoSpaceDN w:val="0"/>
        <w:adjustRightInd w:val="0"/>
        <w:spacing w:line="293" w:lineRule="atLeast"/>
        <w:ind w:firstLine="720"/>
        <w:jc w:val="both"/>
        <w:rPr>
          <w:lang w:bidi="lo-LA"/>
        </w:rPr>
      </w:pPr>
      <w:r w:rsidRPr="007B010A">
        <w:rPr>
          <w:lang w:bidi="lo-LA"/>
        </w:rPr>
        <w:t xml:space="preserve">Lai turpinātu palielināt pieejamību sekundāro ambulatoro veselības aprūpes pakalpojumu saņemšanā pēc ģimenes ārsta vai speciālista nosūtījuma, kā arī pieejamību bez nosūtījuma pie šādiem speciālistiem: </w:t>
      </w:r>
    </w:p>
    <w:p w14:paraId="3C979930"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pie psihiatra vai bērnu psihiatra, ja slimo ar psihisku slimību;</w:t>
      </w:r>
    </w:p>
    <w:p w14:paraId="1EDCA9DF"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pie narkologa, ja slimo ar alkohola, narkotisko vai psihotropo vielu atkarību;</w:t>
      </w:r>
    </w:p>
    <w:p w14:paraId="126D84EA"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 xml:space="preserve">pie </w:t>
      </w:r>
      <w:proofErr w:type="spellStart"/>
      <w:r w:rsidRPr="007B010A">
        <w:rPr>
          <w:rFonts w:ascii="Times New Roman" w:hAnsi="Times New Roman"/>
          <w:sz w:val="24"/>
          <w:szCs w:val="24"/>
          <w:lang w:val="lv-LV" w:bidi="lo-LA"/>
        </w:rPr>
        <w:t>pneimonologa</w:t>
      </w:r>
      <w:proofErr w:type="spellEnd"/>
      <w:r w:rsidRPr="007B010A">
        <w:rPr>
          <w:rFonts w:ascii="Times New Roman" w:hAnsi="Times New Roman"/>
          <w:sz w:val="24"/>
          <w:szCs w:val="24"/>
          <w:lang w:val="lv-LV" w:bidi="lo-LA"/>
        </w:rPr>
        <w:t>, ja slimo ar tuberkulozi;</w:t>
      </w:r>
    </w:p>
    <w:p w14:paraId="0E90C1A1"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 xml:space="preserve">pie </w:t>
      </w:r>
      <w:proofErr w:type="spellStart"/>
      <w:r w:rsidRPr="007B010A">
        <w:rPr>
          <w:rFonts w:ascii="Times New Roman" w:hAnsi="Times New Roman"/>
          <w:sz w:val="24"/>
          <w:szCs w:val="24"/>
          <w:lang w:val="lv-LV" w:bidi="lo-LA"/>
        </w:rPr>
        <w:t>dermatovenerologa</w:t>
      </w:r>
      <w:proofErr w:type="spellEnd"/>
      <w:r w:rsidRPr="007B010A">
        <w:rPr>
          <w:rFonts w:ascii="Times New Roman" w:hAnsi="Times New Roman"/>
          <w:sz w:val="24"/>
          <w:szCs w:val="24"/>
          <w:lang w:val="lv-LV" w:bidi="lo-LA"/>
        </w:rPr>
        <w:t>, ja slimo ar seksuāli transmisīvu slimību;</w:t>
      </w:r>
    </w:p>
    <w:p w14:paraId="6260EEF0"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 xml:space="preserve">pie endokrinologa, ja slimo ar cukura diabētu; </w:t>
      </w:r>
    </w:p>
    <w:p w14:paraId="3BBB68E5"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 xml:space="preserve">pie onkologa, onkologa </w:t>
      </w:r>
      <w:proofErr w:type="spellStart"/>
      <w:r w:rsidRPr="007B010A">
        <w:rPr>
          <w:rFonts w:ascii="Times New Roman" w:hAnsi="Times New Roman"/>
          <w:sz w:val="24"/>
          <w:szCs w:val="24"/>
          <w:lang w:val="lv-LV" w:bidi="lo-LA"/>
        </w:rPr>
        <w:t>ķīmijterapeita</w:t>
      </w:r>
      <w:proofErr w:type="spellEnd"/>
      <w:r w:rsidRPr="007B010A">
        <w:rPr>
          <w:rFonts w:ascii="Times New Roman" w:hAnsi="Times New Roman"/>
          <w:sz w:val="24"/>
          <w:szCs w:val="24"/>
          <w:lang w:val="lv-LV" w:bidi="lo-LA"/>
        </w:rPr>
        <w:t>, ja slimo ar onkoloģisku slimību;</w:t>
      </w:r>
    </w:p>
    <w:p w14:paraId="1FB3EEC3"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pie ginekologa;</w:t>
      </w:r>
    </w:p>
    <w:p w14:paraId="54DB72F3"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 xml:space="preserve">pie </w:t>
      </w:r>
      <w:proofErr w:type="spellStart"/>
      <w:r w:rsidRPr="007B010A">
        <w:rPr>
          <w:rFonts w:ascii="Times New Roman" w:hAnsi="Times New Roman"/>
          <w:sz w:val="24"/>
          <w:szCs w:val="24"/>
          <w:lang w:val="lv-LV" w:bidi="lo-LA"/>
        </w:rPr>
        <w:t>oftalmologa</w:t>
      </w:r>
      <w:proofErr w:type="spellEnd"/>
      <w:r w:rsidRPr="007B010A">
        <w:rPr>
          <w:rFonts w:ascii="Times New Roman" w:hAnsi="Times New Roman"/>
          <w:sz w:val="24"/>
          <w:szCs w:val="24"/>
          <w:lang w:val="lv-LV" w:bidi="lo-LA"/>
        </w:rPr>
        <w:t>;</w:t>
      </w:r>
    </w:p>
    <w:p w14:paraId="01D5B264"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pie bērnu ķirurga;</w:t>
      </w:r>
    </w:p>
    <w:p w14:paraId="7E295F32" w14:textId="77777777"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val="lv-LV" w:bidi="lo-LA"/>
        </w:rPr>
      </w:pPr>
      <w:r w:rsidRPr="007B010A">
        <w:rPr>
          <w:rFonts w:ascii="Times New Roman" w:hAnsi="Times New Roman"/>
          <w:sz w:val="24"/>
          <w:szCs w:val="24"/>
          <w:lang w:val="lv-LV" w:bidi="lo-LA"/>
        </w:rPr>
        <w:t>pie pediatra;</w:t>
      </w:r>
    </w:p>
    <w:p w14:paraId="1435FC34" w14:textId="6B663E76" w:rsidR="00D923AA" w:rsidRPr="007B010A" w:rsidRDefault="00D923AA" w:rsidP="00D923AA">
      <w:pPr>
        <w:pStyle w:val="ListParagraph"/>
        <w:numPr>
          <w:ilvl w:val="0"/>
          <w:numId w:val="10"/>
        </w:numPr>
        <w:autoSpaceDE w:val="0"/>
        <w:autoSpaceDN w:val="0"/>
        <w:adjustRightInd w:val="0"/>
        <w:spacing w:after="0" w:line="293" w:lineRule="atLeast"/>
        <w:jc w:val="both"/>
        <w:rPr>
          <w:rFonts w:ascii="Times New Roman" w:hAnsi="Times New Roman"/>
          <w:sz w:val="24"/>
          <w:szCs w:val="24"/>
          <w:lang w:bidi="lo-LA"/>
        </w:rPr>
      </w:pPr>
      <w:r w:rsidRPr="007B010A">
        <w:rPr>
          <w:rFonts w:ascii="Times New Roman" w:hAnsi="Times New Roman"/>
          <w:sz w:val="24"/>
          <w:szCs w:val="24"/>
          <w:lang w:val="lv-LV" w:bidi="lo-LA"/>
        </w:rPr>
        <w:t xml:space="preserve">pie </w:t>
      </w:r>
      <w:proofErr w:type="spellStart"/>
      <w:r w:rsidRPr="007B010A">
        <w:rPr>
          <w:rFonts w:ascii="Times New Roman" w:hAnsi="Times New Roman"/>
          <w:sz w:val="24"/>
          <w:szCs w:val="24"/>
          <w:lang w:val="lv-LV" w:bidi="lo-LA"/>
        </w:rPr>
        <w:t>infektologa</w:t>
      </w:r>
      <w:proofErr w:type="spellEnd"/>
      <w:r w:rsidRPr="007B010A">
        <w:rPr>
          <w:rFonts w:ascii="Times New Roman" w:hAnsi="Times New Roman"/>
          <w:sz w:val="24"/>
          <w:szCs w:val="24"/>
          <w:lang w:val="lv-LV" w:bidi="lo-LA"/>
        </w:rPr>
        <w:t>, ja persona slimo ar HIV /AIDS infekciju</w:t>
      </w:r>
    </w:p>
    <w:p w14:paraId="625C918A" w14:textId="1C423267" w:rsidR="00B17070" w:rsidRPr="007B010A" w:rsidRDefault="00D923AA" w:rsidP="00B14649">
      <w:pPr>
        <w:spacing w:after="200" w:line="276" w:lineRule="auto"/>
        <w:rPr>
          <w:lang w:bidi="lo-LA"/>
        </w:rPr>
      </w:pPr>
      <w:r w:rsidRPr="007B010A">
        <w:rPr>
          <w:lang w:bidi="lo-LA"/>
        </w:rPr>
        <w:t xml:space="preserve">2018.gadā plānots papildus </w:t>
      </w:r>
      <w:r w:rsidR="0002665E" w:rsidRPr="007B010A">
        <w:rPr>
          <w:lang w:bidi="lo-LA"/>
        </w:rPr>
        <w:t xml:space="preserve">speciālistu konsultāciju pieaugums par </w:t>
      </w:r>
      <w:r w:rsidRPr="007B010A">
        <w:rPr>
          <w:lang w:bidi="lo-LA"/>
        </w:rPr>
        <w:t xml:space="preserve">378,9 tūkst. </w:t>
      </w:r>
      <w:r w:rsidR="0002665E" w:rsidRPr="007B010A">
        <w:rPr>
          <w:lang w:bidi="lo-LA"/>
        </w:rPr>
        <w:t>konsultāciju</w:t>
      </w:r>
      <w:r w:rsidRPr="007B010A">
        <w:rPr>
          <w:lang w:bidi="lo-LA"/>
        </w:rPr>
        <w:t xml:space="preserve">. </w:t>
      </w:r>
    </w:p>
    <w:p w14:paraId="38DAD364" w14:textId="31E6FC21" w:rsidR="00D923AA" w:rsidRPr="007B010A" w:rsidRDefault="00D923AA" w:rsidP="00D923AA">
      <w:pPr>
        <w:jc w:val="right"/>
        <w:rPr>
          <w:i/>
        </w:rPr>
      </w:pPr>
      <w:r w:rsidRPr="007B010A">
        <w:rPr>
          <w:i/>
        </w:rPr>
        <w:t xml:space="preserve">2.tabula </w:t>
      </w:r>
    </w:p>
    <w:p w14:paraId="3DEC7AC5" w14:textId="359B88CE" w:rsidR="00D923AA" w:rsidRPr="007B010A" w:rsidRDefault="00D923AA" w:rsidP="00D923AA">
      <w:pPr>
        <w:jc w:val="center"/>
      </w:pPr>
      <w:r w:rsidRPr="007B010A">
        <w:t>Speciālistu ambulatoro konsultāciju 2018.gada izpilde</w:t>
      </w:r>
    </w:p>
    <w:p w14:paraId="342EB06F" w14:textId="77777777" w:rsidR="00D923AA" w:rsidRPr="007B010A" w:rsidRDefault="00D923AA" w:rsidP="00D923AA"/>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
        <w:gridCol w:w="999"/>
        <w:gridCol w:w="999"/>
        <w:gridCol w:w="990"/>
        <w:gridCol w:w="928"/>
        <w:gridCol w:w="945"/>
        <w:gridCol w:w="879"/>
        <w:gridCol w:w="1123"/>
        <w:gridCol w:w="911"/>
        <w:gridCol w:w="1271"/>
        <w:gridCol w:w="1123"/>
      </w:tblGrid>
      <w:tr w:rsidR="007E6069" w:rsidRPr="007B010A" w14:paraId="349AAB4E" w14:textId="77777777" w:rsidTr="00376CF0">
        <w:trPr>
          <w:trHeight w:val="511"/>
          <w:jc w:val="center"/>
        </w:trPr>
        <w:tc>
          <w:tcPr>
            <w:tcW w:w="1053" w:type="dxa"/>
            <w:vMerge w:val="restart"/>
            <w:shd w:val="clear" w:color="000000" w:fill="FCE4D6"/>
            <w:vAlign w:val="center"/>
            <w:hideMark/>
          </w:tcPr>
          <w:p w14:paraId="7E335621" w14:textId="77777777" w:rsidR="00D923AA" w:rsidRPr="007B010A" w:rsidRDefault="00D923AA" w:rsidP="00376CF0">
            <w:pPr>
              <w:jc w:val="center"/>
              <w:rPr>
                <w:sz w:val="16"/>
                <w:szCs w:val="16"/>
              </w:rPr>
            </w:pPr>
            <w:r w:rsidRPr="007B010A">
              <w:rPr>
                <w:sz w:val="16"/>
                <w:szCs w:val="16"/>
              </w:rPr>
              <w:t xml:space="preserve">Speciālistu konsultācijas </w:t>
            </w:r>
          </w:p>
        </w:tc>
        <w:tc>
          <w:tcPr>
            <w:tcW w:w="999" w:type="dxa"/>
            <w:vMerge w:val="restart"/>
            <w:shd w:val="clear" w:color="000000" w:fill="FCE4D6"/>
            <w:vAlign w:val="center"/>
            <w:hideMark/>
          </w:tcPr>
          <w:p w14:paraId="127C3EF4" w14:textId="14508EE5" w:rsidR="00D923AA" w:rsidRPr="007B010A" w:rsidRDefault="00D923AA" w:rsidP="00376CF0">
            <w:pPr>
              <w:jc w:val="center"/>
              <w:rPr>
                <w:sz w:val="16"/>
                <w:szCs w:val="16"/>
              </w:rPr>
            </w:pPr>
            <w:r w:rsidRPr="007B010A">
              <w:rPr>
                <w:sz w:val="16"/>
                <w:szCs w:val="16"/>
              </w:rPr>
              <w:t xml:space="preserve">Vidējais plānotais konsultāciju skaits </w:t>
            </w:r>
            <w:r w:rsidR="00485D70" w:rsidRPr="007B010A">
              <w:rPr>
                <w:sz w:val="16"/>
                <w:szCs w:val="16"/>
              </w:rPr>
              <w:t>2018.gadā</w:t>
            </w:r>
          </w:p>
        </w:tc>
        <w:tc>
          <w:tcPr>
            <w:tcW w:w="999" w:type="dxa"/>
            <w:vMerge w:val="restart"/>
            <w:shd w:val="clear" w:color="000000" w:fill="FCE4D6"/>
            <w:vAlign w:val="center"/>
          </w:tcPr>
          <w:p w14:paraId="4387DFFF" w14:textId="2ADC29F8" w:rsidR="00D923AA" w:rsidRPr="007B010A" w:rsidRDefault="00D923AA" w:rsidP="00376CF0">
            <w:pPr>
              <w:jc w:val="center"/>
              <w:rPr>
                <w:sz w:val="16"/>
                <w:szCs w:val="16"/>
              </w:rPr>
            </w:pPr>
            <w:r w:rsidRPr="007B010A">
              <w:rPr>
                <w:sz w:val="16"/>
                <w:szCs w:val="16"/>
              </w:rPr>
              <w:t>Faktiskais konsultāciju skaits 2018.gadā</w:t>
            </w:r>
          </w:p>
        </w:tc>
        <w:tc>
          <w:tcPr>
            <w:tcW w:w="990" w:type="dxa"/>
            <w:vMerge w:val="restart"/>
            <w:shd w:val="clear" w:color="000000" w:fill="FCE4D6"/>
            <w:vAlign w:val="center"/>
            <w:hideMark/>
          </w:tcPr>
          <w:p w14:paraId="4EA90CCE" w14:textId="77777777" w:rsidR="00D923AA" w:rsidRPr="007B010A" w:rsidRDefault="00D923AA" w:rsidP="00376CF0">
            <w:pPr>
              <w:jc w:val="center"/>
              <w:rPr>
                <w:sz w:val="16"/>
                <w:szCs w:val="16"/>
              </w:rPr>
            </w:pPr>
            <w:r w:rsidRPr="007B010A">
              <w:rPr>
                <w:sz w:val="16"/>
                <w:szCs w:val="16"/>
              </w:rPr>
              <w:t xml:space="preserve">Plānotais finansējums  </w:t>
            </w:r>
            <w:proofErr w:type="spellStart"/>
            <w:r w:rsidRPr="007B010A">
              <w:rPr>
                <w:i/>
                <w:iCs/>
                <w:sz w:val="16"/>
                <w:szCs w:val="16"/>
              </w:rPr>
              <w:t>euro</w:t>
            </w:r>
            <w:proofErr w:type="spellEnd"/>
          </w:p>
        </w:tc>
        <w:tc>
          <w:tcPr>
            <w:tcW w:w="928" w:type="dxa"/>
            <w:vMerge w:val="restart"/>
            <w:shd w:val="clear" w:color="000000" w:fill="FCE4D6"/>
            <w:vAlign w:val="center"/>
            <w:hideMark/>
          </w:tcPr>
          <w:p w14:paraId="465D2C81" w14:textId="5B42CE7B" w:rsidR="00D923AA" w:rsidRPr="007B010A" w:rsidRDefault="00D923AA" w:rsidP="00376CF0">
            <w:pPr>
              <w:jc w:val="center"/>
              <w:rPr>
                <w:sz w:val="16"/>
                <w:szCs w:val="16"/>
              </w:rPr>
            </w:pPr>
            <w:r w:rsidRPr="007B010A">
              <w:rPr>
                <w:sz w:val="16"/>
                <w:szCs w:val="16"/>
              </w:rPr>
              <w:t xml:space="preserve">Finanšu izlietojums 2018.gadā </w:t>
            </w:r>
            <w:proofErr w:type="spellStart"/>
            <w:r w:rsidRPr="007B010A">
              <w:rPr>
                <w:i/>
                <w:iCs/>
                <w:sz w:val="16"/>
                <w:szCs w:val="16"/>
              </w:rPr>
              <w:t>euro</w:t>
            </w:r>
            <w:proofErr w:type="spellEnd"/>
          </w:p>
        </w:tc>
        <w:tc>
          <w:tcPr>
            <w:tcW w:w="2957" w:type="dxa"/>
            <w:gridSpan w:val="3"/>
            <w:shd w:val="clear" w:color="000000" w:fill="FCE4D6"/>
            <w:vAlign w:val="center"/>
            <w:hideMark/>
          </w:tcPr>
          <w:p w14:paraId="7F811964" w14:textId="77777777" w:rsidR="00D923AA" w:rsidRPr="007B010A" w:rsidRDefault="00D923AA" w:rsidP="00376CF0">
            <w:pPr>
              <w:jc w:val="center"/>
              <w:rPr>
                <w:sz w:val="16"/>
                <w:szCs w:val="16"/>
              </w:rPr>
            </w:pPr>
            <w:r w:rsidRPr="007B010A">
              <w:rPr>
                <w:sz w:val="16"/>
                <w:szCs w:val="16"/>
              </w:rPr>
              <w:t>Vidējais rindu garums dienās</w:t>
            </w:r>
          </w:p>
        </w:tc>
        <w:tc>
          <w:tcPr>
            <w:tcW w:w="879" w:type="dxa"/>
            <w:vMerge w:val="restart"/>
            <w:shd w:val="clear" w:color="000000" w:fill="FCE4D6"/>
            <w:vAlign w:val="center"/>
          </w:tcPr>
          <w:p w14:paraId="16B80AF1" w14:textId="2CF83826" w:rsidR="00D923AA" w:rsidRPr="007B010A" w:rsidRDefault="00D923AA" w:rsidP="00376CF0">
            <w:pPr>
              <w:jc w:val="center"/>
              <w:rPr>
                <w:sz w:val="16"/>
                <w:szCs w:val="16"/>
              </w:rPr>
            </w:pPr>
            <w:r w:rsidRPr="007B010A">
              <w:rPr>
                <w:sz w:val="16"/>
                <w:szCs w:val="16"/>
              </w:rPr>
              <w:t xml:space="preserve">Rindu </w:t>
            </w:r>
            <w:proofErr w:type="spellStart"/>
            <w:r w:rsidRPr="007B010A">
              <w:rPr>
                <w:sz w:val="16"/>
                <w:szCs w:val="16"/>
              </w:rPr>
              <w:t>samazinā</w:t>
            </w:r>
            <w:proofErr w:type="spellEnd"/>
            <w:r w:rsidRPr="007B010A">
              <w:rPr>
                <w:sz w:val="16"/>
                <w:szCs w:val="16"/>
              </w:rPr>
              <w:t>-jums 2018.gadā %</w:t>
            </w:r>
          </w:p>
        </w:tc>
        <w:tc>
          <w:tcPr>
            <w:tcW w:w="971" w:type="dxa"/>
            <w:vMerge w:val="restart"/>
            <w:shd w:val="clear" w:color="000000" w:fill="FCE4D6"/>
            <w:vAlign w:val="center"/>
          </w:tcPr>
          <w:p w14:paraId="2D886B89" w14:textId="498EE01F" w:rsidR="00D923AA" w:rsidRPr="007B010A" w:rsidRDefault="00D923AA" w:rsidP="00376CF0">
            <w:pPr>
              <w:jc w:val="center"/>
              <w:rPr>
                <w:sz w:val="16"/>
                <w:szCs w:val="16"/>
              </w:rPr>
            </w:pPr>
            <w:r w:rsidRPr="007B010A">
              <w:rPr>
                <w:sz w:val="16"/>
                <w:szCs w:val="16"/>
              </w:rPr>
              <w:t>Rindas garums  bez pacientu uzvedības maiņas 2018.gadā</w:t>
            </w:r>
          </w:p>
        </w:tc>
        <w:tc>
          <w:tcPr>
            <w:tcW w:w="992" w:type="dxa"/>
            <w:vMerge w:val="restart"/>
            <w:shd w:val="clear" w:color="000000" w:fill="FCE4D6"/>
            <w:vAlign w:val="center"/>
          </w:tcPr>
          <w:p w14:paraId="65923225" w14:textId="0938E8B2" w:rsidR="00D923AA" w:rsidRPr="007B010A" w:rsidRDefault="00D923AA" w:rsidP="00376CF0">
            <w:pPr>
              <w:jc w:val="center"/>
              <w:rPr>
                <w:sz w:val="16"/>
                <w:szCs w:val="16"/>
              </w:rPr>
            </w:pPr>
            <w:r w:rsidRPr="007B010A">
              <w:rPr>
                <w:sz w:val="16"/>
                <w:szCs w:val="16"/>
              </w:rPr>
              <w:t>Rindu samazinājums bez pacientu uzvedības maiņas 2018.gadā</w:t>
            </w:r>
          </w:p>
        </w:tc>
      </w:tr>
      <w:tr w:rsidR="007E6069" w:rsidRPr="007B010A" w14:paraId="061E56E0" w14:textId="77777777" w:rsidTr="00376CF0">
        <w:trPr>
          <w:trHeight w:val="42"/>
          <w:jc w:val="center"/>
        </w:trPr>
        <w:tc>
          <w:tcPr>
            <w:tcW w:w="1053" w:type="dxa"/>
            <w:vMerge/>
            <w:vAlign w:val="center"/>
            <w:hideMark/>
          </w:tcPr>
          <w:p w14:paraId="2CAA9E76" w14:textId="77777777" w:rsidR="00D923AA" w:rsidRPr="007B010A" w:rsidRDefault="00D923AA" w:rsidP="00376CF0">
            <w:pPr>
              <w:rPr>
                <w:sz w:val="16"/>
                <w:szCs w:val="16"/>
              </w:rPr>
            </w:pPr>
          </w:p>
        </w:tc>
        <w:tc>
          <w:tcPr>
            <w:tcW w:w="999" w:type="dxa"/>
            <w:vMerge/>
            <w:vAlign w:val="center"/>
            <w:hideMark/>
          </w:tcPr>
          <w:p w14:paraId="288DE784" w14:textId="77777777" w:rsidR="00D923AA" w:rsidRPr="007B010A" w:rsidRDefault="00D923AA" w:rsidP="00376CF0">
            <w:pPr>
              <w:rPr>
                <w:sz w:val="16"/>
                <w:szCs w:val="16"/>
              </w:rPr>
            </w:pPr>
          </w:p>
        </w:tc>
        <w:tc>
          <w:tcPr>
            <w:tcW w:w="999" w:type="dxa"/>
            <w:vMerge/>
          </w:tcPr>
          <w:p w14:paraId="66F773D7" w14:textId="77777777" w:rsidR="00D923AA" w:rsidRPr="007B010A" w:rsidRDefault="00D923AA" w:rsidP="00376CF0">
            <w:pPr>
              <w:rPr>
                <w:sz w:val="16"/>
                <w:szCs w:val="16"/>
              </w:rPr>
            </w:pPr>
          </w:p>
        </w:tc>
        <w:tc>
          <w:tcPr>
            <w:tcW w:w="990" w:type="dxa"/>
            <w:vMerge/>
            <w:vAlign w:val="center"/>
            <w:hideMark/>
          </w:tcPr>
          <w:p w14:paraId="3E23E47C" w14:textId="77777777" w:rsidR="00D923AA" w:rsidRPr="007B010A" w:rsidRDefault="00D923AA" w:rsidP="00376CF0">
            <w:pPr>
              <w:rPr>
                <w:sz w:val="16"/>
                <w:szCs w:val="16"/>
              </w:rPr>
            </w:pPr>
          </w:p>
        </w:tc>
        <w:tc>
          <w:tcPr>
            <w:tcW w:w="928" w:type="dxa"/>
            <w:vMerge/>
            <w:vAlign w:val="center"/>
            <w:hideMark/>
          </w:tcPr>
          <w:p w14:paraId="020139AC" w14:textId="77777777" w:rsidR="00D923AA" w:rsidRPr="007B010A" w:rsidRDefault="00D923AA" w:rsidP="00376CF0">
            <w:pPr>
              <w:rPr>
                <w:sz w:val="16"/>
                <w:szCs w:val="16"/>
              </w:rPr>
            </w:pPr>
          </w:p>
        </w:tc>
        <w:tc>
          <w:tcPr>
            <w:tcW w:w="955" w:type="dxa"/>
            <w:shd w:val="clear" w:color="000000" w:fill="FCE4D6"/>
            <w:vAlign w:val="center"/>
            <w:hideMark/>
          </w:tcPr>
          <w:p w14:paraId="040E400C" w14:textId="77777777" w:rsidR="00D923AA" w:rsidRPr="007B010A" w:rsidRDefault="00D923AA" w:rsidP="00376CF0">
            <w:pPr>
              <w:jc w:val="center"/>
              <w:rPr>
                <w:sz w:val="16"/>
                <w:szCs w:val="16"/>
              </w:rPr>
            </w:pPr>
            <w:r w:rsidRPr="007B010A">
              <w:rPr>
                <w:sz w:val="16"/>
                <w:szCs w:val="16"/>
              </w:rPr>
              <w:t>Pirms reformu īstenošanas</w:t>
            </w:r>
          </w:p>
        </w:tc>
        <w:tc>
          <w:tcPr>
            <w:tcW w:w="879" w:type="dxa"/>
            <w:shd w:val="clear" w:color="000000" w:fill="FCE4D6"/>
            <w:vAlign w:val="center"/>
            <w:hideMark/>
          </w:tcPr>
          <w:p w14:paraId="31BBC78E" w14:textId="29CCDC4B" w:rsidR="00D923AA" w:rsidRPr="007B010A" w:rsidRDefault="00D923AA" w:rsidP="00376CF0">
            <w:pPr>
              <w:jc w:val="center"/>
              <w:rPr>
                <w:sz w:val="16"/>
                <w:szCs w:val="16"/>
              </w:rPr>
            </w:pPr>
            <w:r w:rsidRPr="007B010A">
              <w:rPr>
                <w:sz w:val="16"/>
                <w:szCs w:val="16"/>
              </w:rPr>
              <w:t>Uz 201</w:t>
            </w:r>
            <w:r w:rsidR="00ED3509" w:rsidRPr="007B010A">
              <w:rPr>
                <w:sz w:val="16"/>
                <w:szCs w:val="16"/>
              </w:rPr>
              <w:t>9</w:t>
            </w:r>
            <w:r w:rsidRPr="007B010A">
              <w:rPr>
                <w:sz w:val="16"/>
                <w:szCs w:val="16"/>
              </w:rPr>
              <w:t>.gada 1.</w:t>
            </w:r>
            <w:r w:rsidR="00ED3509" w:rsidRPr="007B010A">
              <w:rPr>
                <w:sz w:val="16"/>
                <w:szCs w:val="16"/>
              </w:rPr>
              <w:t>janvāri</w:t>
            </w:r>
          </w:p>
        </w:tc>
        <w:tc>
          <w:tcPr>
            <w:tcW w:w="1123" w:type="dxa"/>
            <w:shd w:val="clear" w:color="000000" w:fill="FCE4D6"/>
            <w:vAlign w:val="center"/>
            <w:hideMark/>
          </w:tcPr>
          <w:p w14:paraId="0BE37017" w14:textId="3A319828" w:rsidR="00D923AA" w:rsidRPr="007B010A" w:rsidRDefault="00D923AA" w:rsidP="00376CF0">
            <w:pPr>
              <w:jc w:val="center"/>
              <w:rPr>
                <w:sz w:val="16"/>
                <w:szCs w:val="16"/>
              </w:rPr>
            </w:pPr>
            <w:r w:rsidRPr="007B010A">
              <w:rPr>
                <w:sz w:val="16"/>
                <w:szCs w:val="16"/>
              </w:rPr>
              <w:t>Rindu samazinājums 2018.gadā</w:t>
            </w:r>
          </w:p>
        </w:tc>
        <w:tc>
          <w:tcPr>
            <w:tcW w:w="879" w:type="dxa"/>
            <w:vMerge/>
            <w:shd w:val="clear" w:color="000000" w:fill="FCE4D6"/>
          </w:tcPr>
          <w:p w14:paraId="2F4FE0F6" w14:textId="77777777" w:rsidR="00D923AA" w:rsidRPr="007B010A" w:rsidRDefault="00D923AA" w:rsidP="00376CF0">
            <w:pPr>
              <w:jc w:val="center"/>
              <w:rPr>
                <w:sz w:val="16"/>
                <w:szCs w:val="16"/>
              </w:rPr>
            </w:pPr>
          </w:p>
        </w:tc>
        <w:tc>
          <w:tcPr>
            <w:tcW w:w="971" w:type="dxa"/>
            <w:vMerge/>
            <w:shd w:val="clear" w:color="000000" w:fill="FCE4D6"/>
            <w:vAlign w:val="center"/>
          </w:tcPr>
          <w:p w14:paraId="2675FAD9" w14:textId="77777777" w:rsidR="00D923AA" w:rsidRPr="007B010A" w:rsidRDefault="00D923AA" w:rsidP="00376CF0">
            <w:pPr>
              <w:jc w:val="center"/>
              <w:rPr>
                <w:sz w:val="16"/>
                <w:szCs w:val="16"/>
              </w:rPr>
            </w:pPr>
          </w:p>
        </w:tc>
        <w:tc>
          <w:tcPr>
            <w:tcW w:w="992" w:type="dxa"/>
            <w:vMerge/>
            <w:shd w:val="clear" w:color="000000" w:fill="FCE4D6"/>
            <w:vAlign w:val="center"/>
          </w:tcPr>
          <w:p w14:paraId="17251EE1" w14:textId="77777777" w:rsidR="00D923AA" w:rsidRPr="007B010A" w:rsidRDefault="00D923AA" w:rsidP="00376CF0">
            <w:pPr>
              <w:jc w:val="center"/>
              <w:rPr>
                <w:sz w:val="16"/>
                <w:szCs w:val="16"/>
              </w:rPr>
            </w:pPr>
          </w:p>
        </w:tc>
      </w:tr>
      <w:tr w:rsidR="007E6069" w:rsidRPr="007B010A" w14:paraId="35060317" w14:textId="77777777" w:rsidTr="00376CF0">
        <w:trPr>
          <w:trHeight w:val="306"/>
          <w:jc w:val="center"/>
        </w:trPr>
        <w:tc>
          <w:tcPr>
            <w:tcW w:w="1053" w:type="dxa"/>
            <w:shd w:val="clear" w:color="000000" w:fill="92D050"/>
            <w:noWrap/>
            <w:vAlign w:val="center"/>
          </w:tcPr>
          <w:p w14:paraId="4E5FA787" w14:textId="77777777" w:rsidR="00485D70" w:rsidRPr="007B010A" w:rsidRDefault="00485D70" w:rsidP="00376CF0">
            <w:pPr>
              <w:jc w:val="center"/>
              <w:rPr>
                <w:sz w:val="16"/>
                <w:szCs w:val="16"/>
              </w:rPr>
            </w:pPr>
          </w:p>
        </w:tc>
        <w:tc>
          <w:tcPr>
            <w:tcW w:w="999" w:type="dxa"/>
            <w:shd w:val="clear" w:color="000000" w:fill="92D050"/>
            <w:noWrap/>
            <w:vAlign w:val="center"/>
          </w:tcPr>
          <w:p w14:paraId="46AAB877" w14:textId="71869A5D" w:rsidR="00485D70" w:rsidRPr="007B010A" w:rsidRDefault="00485D70" w:rsidP="00376CF0">
            <w:pPr>
              <w:jc w:val="center"/>
              <w:rPr>
                <w:sz w:val="16"/>
                <w:szCs w:val="16"/>
              </w:rPr>
            </w:pPr>
            <w:r w:rsidRPr="007B010A">
              <w:rPr>
                <w:sz w:val="16"/>
                <w:szCs w:val="16"/>
              </w:rPr>
              <w:t>1</w:t>
            </w:r>
          </w:p>
        </w:tc>
        <w:tc>
          <w:tcPr>
            <w:tcW w:w="999" w:type="dxa"/>
            <w:shd w:val="clear" w:color="000000" w:fill="92D050"/>
            <w:vAlign w:val="center"/>
          </w:tcPr>
          <w:p w14:paraId="1E737F94" w14:textId="53DCE44F" w:rsidR="00485D70" w:rsidRPr="007B010A" w:rsidRDefault="00485D70" w:rsidP="00376CF0">
            <w:pPr>
              <w:jc w:val="center"/>
              <w:rPr>
                <w:sz w:val="16"/>
                <w:szCs w:val="16"/>
              </w:rPr>
            </w:pPr>
            <w:r w:rsidRPr="007B010A">
              <w:rPr>
                <w:sz w:val="16"/>
                <w:szCs w:val="16"/>
              </w:rPr>
              <w:t>2</w:t>
            </w:r>
          </w:p>
        </w:tc>
        <w:tc>
          <w:tcPr>
            <w:tcW w:w="990" w:type="dxa"/>
            <w:shd w:val="clear" w:color="000000" w:fill="92D050"/>
            <w:noWrap/>
            <w:vAlign w:val="center"/>
          </w:tcPr>
          <w:p w14:paraId="4FF21C25" w14:textId="5C2F94B9" w:rsidR="00485D70" w:rsidRPr="007B010A" w:rsidRDefault="00485D70" w:rsidP="00376CF0">
            <w:pPr>
              <w:jc w:val="center"/>
              <w:rPr>
                <w:sz w:val="16"/>
                <w:szCs w:val="16"/>
              </w:rPr>
            </w:pPr>
            <w:r w:rsidRPr="007B010A">
              <w:rPr>
                <w:sz w:val="16"/>
                <w:szCs w:val="16"/>
              </w:rPr>
              <w:t>3</w:t>
            </w:r>
          </w:p>
        </w:tc>
        <w:tc>
          <w:tcPr>
            <w:tcW w:w="928" w:type="dxa"/>
            <w:shd w:val="clear" w:color="000000" w:fill="92D050"/>
            <w:noWrap/>
            <w:vAlign w:val="center"/>
          </w:tcPr>
          <w:p w14:paraId="162E86F1" w14:textId="286957DF" w:rsidR="00485D70" w:rsidRPr="007B010A" w:rsidRDefault="00485D70" w:rsidP="00376CF0">
            <w:pPr>
              <w:jc w:val="center"/>
              <w:rPr>
                <w:sz w:val="16"/>
                <w:szCs w:val="16"/>
              </w:rPr>
            </w:pPr>
            <w:r w:rsidRPr="007B010A">
              <w:rPr>
                <w:sz w:val="16"/>
                <w:szCs w:val="16"/>
              </w:rPr>
              <w:t>4</w:t>
            </w:r>
          </w:p>
        </w:tc>
        <w:tc>
          <w:tcPr>
            <w:tcW w:w="955" w:type="dxa"/>
            <w:shd w:val="clear" w:color="000000" w:fill="92D050"/>
            <w:vAlign w:val="center"/>
          </w:tcPr>
          <w:p w14:paraId="11FB9AAE" w14:textId="6C5CD79B" w:rsidR="00485D70" w:rsidRPr="007B010A" w:rsidRDefault="00485D70" w:rsidP="00376CF0">
            <w:pPr>
              <w:jc w:val="center"/>
              <w:rPr>
                <w:sz w:val="16"/>
                <w:szCs w:val="16"/>
              </w:rPr>
            </w:pPr>
            <w:r w:rsidRPr="007B010A">
              <w:rPr>
                <w:sz w:val="16"/>
                <w:szCs w:val="16"/>
              </w:rPr>
              <w:t>5</w:t>
            </w:r>
          </w:p>
        </w:tc>
        <w:tc>
          <w:tcPr>
            <w:tcW w:w="879" w:type="dxa"/>
            <w:shd w:val="clear" w:color="000000" w:fill="92D050"/>
            <w:vAlign w:val="center"/>
          </w:tcPr>
          <w:p w14:paraId="7C69B17D" w14:textId="40C84E18" w:rsidR="00485D70" w:rsidRPr="007B010A" w:rsidRDefault="00485D70" w:rsidP="00376CF0">
            <w:pPr>
              <w:jc w:val="center"/>
              <w:rPr>
                <w:sz w:val="16"/>
                <w:szCs w:val="16"/>
              </w:rPr>
            </w:pPr>
            <w:r w:rsidRPr="007B010A">
              <w:rPr>
                <w:sz w:val="16"/>
                <w:szCs w:val="16"/>
              </w:rPr>
              <w:t>6</w:t>
            </w:r>
          </w:p>
        </w:tc>
        <w:tc>
          <w:tcPr>
            <w:tcW w:w="1123" w:type="dxa"/>
            <w:shd w:val="clear" w:color="000000" w:fill="92D050"/>
            <w:vAlign w:val="center"/>
          </w:tcPr>
          <w:p w14:paraId="7DCB1605" w14:textId="5F68C110" w:rsidR="00485D70" w:rsidRPr="007B010A" w:rsidRDefault="00485D70" w:rsidP="00376CF0">
            <w:pPr>
              <w:jc w:val="center"/>
              <w:rPr>
                <w:sz w:val="16"/>
                <w:szCs w:val="16"/>
              </w:rPr>
            </w:pPr>
            <w:r w:rsidRPr="007B010A">
              <w:rPr>
                <w:sz w:val="16"/>
                <w:szCs w:val="16"/>
              </w:rPr>
              <w:t>7</w:t>
            </w:r>
          </w:p>
        </w:tc>
        <w:tc>
          <w:tcPr>
            <w:tcW w:w="879" w:type="dxa"/>
            <w:shd w:val="clear" w:color="000000" w:fill="92D050"/>
            <w:vAlign w:val="center"/>
          </w:tcPr>
          <w:p w14:paraId="7318C9B4" w14:textId="5F72DFA1" w:rsidR="00485D70" w:rsidRPr="007B010A" w:rsidRDefault="00485D70" w:rsidP="00376CF0">
            <w:pPr>
              <w:jc w:val="center"/>
              <w:rPr>
                <w:sz w:val="16"/>
                <w:szCs w:val="16"/>
              </w:rPr>
            </w:pPr>
            <w:r w:rsidRPr="007B010A">
              <w:rPr>
                <w:sz w:val="16"/>
                <w:szCs w:val="16"/>
              </w:rPr>
              <w:t>8</w:t>
            </w:r>
            <w:r w:rsidR="000D362B" w:rsidRPr="007B010A">
              <w:rPr>
                <w:sz w:val="16"/>
                <w:szCs w:val="16"/>
              </w:rPr>
              <w:t>=</w:t>
            </w:r>
            <w:r w:rsidR="00EA373F" w:rsidRPr="007B010A">
              <w:rPr>
                <w:sz w:val="16"/>
                <w:szCs w:val="16"/>
              </w:rPr>
              <w:t>7/</w:t>
            </w:r>
            <w:r w:rsidR="00586A7E" w:rsidRPr="007B010A">
              <w:rPr>
                <w:sz w:val="16"/>
                <w:szCs w:val="16"/>
              </w:rPr>
              <w:t>5</w:t>
            </w:r>
            <w:r w:rsidR="00EA373F" w:rsidRPr="007B010A">
              <w:rPr>
                <w:sz w:val="16"/>
                <w:szCs w:val="16"/>
              </w:rPr>
              <w:t>*100</w:t>
            </w:r>
          </w:p>
        </w:tc>
        <w:tc>
          <w:tcPr>
            <w:tcW w:w="971" w:type="dxa"/>
            <w:shd w:val="clear" w:color="000000" w:fill="92D050"/>
            <w:vAlign w:val="center"/>
          </w:tcPr>
          <w:p w14:paraId="18FF0364" w14:textId="1BA70C1A" w:rsidR="00485D70" w:rsidRPr="007B010A" w:rsidRDefault="00485D70" w:rsidP="00376CF0">
            <w:pPr>
              <w:jc w:val="center"/>
              <w:rPr>
                <w:sz w:val="16"/>
                <w:szCs w:val="16"/>
              </w:rPr>
            </w:pPr>
            <w:r w:rsidRPr="007B010A">
              <w:rPr>
                <w:sz w:val="16"/>
                <w:szCs w:val="16"/>
              </w:rPr>
              <w:t>9</w:t>
            </w:r>
            <w:r w:rsidR="000D362B" w:rsidRPr="007B010A">
              <w:rPr>
                <w:sz w:val="16"/>
                <w:szCs w:val="16"/>
              </w:rPr>
              <w:t>=</w:t>
            </w:r>
            <w:r w:rsidR="00343FFF" w:rsidRPr="007B010A">
              <w:rPr>
                <w:sz w:val="16"/>
                <w:szCs w:val="16"/>
              </w:rPr>
              <w:t>6/11</w:t>
            </w:r>
            <w:r w:rsidR="002545D1" w:rsidRPr="007B010A">
              <w:rPr>
                <w:sz w:val="16"/>
                <w:szCs w:val="16"/>
              </w:rPr>
              <w:t>5</w:t>
            </w:r>
            <w:r w:rsidR="00343FFF" w:rsidRPr="007B010A">
              <w:rPr>
                <w:sz w:val="16"/>
                <w:szCs w:val="16"/>
              </w:rPr>
              <w:t>,68</w:t>
            </w:r>
            <w:r w:rsidR="00EA373F" w:rsidRPr="007B010A">
              <w:rPr>
                <w:sz w:val="16"/>
                <w:szCs w:val="16"/>
              </w:rPr>
              <w:t>*100</w:t>
            </w:r>
          </w:p>
        </w:tc>
        <w:tc>
          <w:tcPr>
            <w:tcW w:w="992" w:type="dxa"/>
            <w:shd w:val="clear" w:color="000000" w:fill="92D050"/>
            <w:vAlign w:val="center"/>
          </w:tcPr>
          <w:p w14:paraId="0A31D6B1" w14:textId="72CC4319" w:rsidR="00485D70" w:rsidRPr="007B010A" w:rsidRDefault="00485D70" w:rsidP="00376CF0">
            <w:pPr>
              <w:jc w:val="center"/>
              <w:rPr>
                <w:sz w:val="16"/>
                <w:szCs w:val="16"/>
              </w:rPr>
            </w:pPr>
            <w:r w:rsidRPr="007B010A">
              <w:rPr>
                <w:sz w:val="16"/>
                <w:szCs w:val="16"/>
              </w:rPr>
              <w:t>10</w:t>
            </w:r>
            <w:r w:rsidR="000D362B" w:rsidRPr="007B010A">
              <w:rPr>
                <w:sz w:val="16"/>
                <w:szCs w:val="16"/>
              </w:rPr>
              <w:t>=</w:t>
            </w:r>
            <w:r w:rsidR="00EA373F" w:rsidRPr="007B010A">
              <w:rPr>
                <w:sz w:val="16"/>
                <w:szCs w:val="16"/>
              </w:rPr>
              <w:t>5-9</w:t>
            </w:r>
          </w:p>
        </w:tc>
      </w:tr>
      <w:tr w:rsidR="007E6069" w:rsidRPr="007B010A" w14:paraId="52FBA87E" w14:textId="77777777" w:rsidTr="00376CF0">
        <w:trPr>
          <w:trHeight w:val="306"/>
          <w:jc w:val="center"/>
        </w:trPr>
        <w:tc>
          <w:tcPr>
            <w:tcW w:w="1053" w:type="dxa"/>
            <w:shd w:val="clear" w:color="000000" w:fill="92D050"/>
            <w:noWrap/>
            <w:vAlign w:val="center"/>
            <w:hideMark/>
          </w:tcPr>
          <w:p w14:paraId="54F782E3" w14:textId="77777777" w:rsidR="00D923AA" w:rsidRPr="007B010A" w:rsidRDefault="00D923AA" w:rsidP="00376CF0">
            <w:pPr>
              <w:jc w:val="center"/>
              <w:rPr>
                <w:sz w:val="16"/>
                <w:szCs w:val="16"/>
              </w:rPr>
            </w:pPr>
            <w:r w:rsidRPr="007B010A">
              <w:rPr>
                <w:sz w:val="16"/>
                <w:szCs w:val="16"/>
              </w:rPr>
              <w:t>Ārstniecības iestādes</w:t>
            </w:r>
          </w:p>
        </w:tc>
        <w:tc>
          <w:tcPr>
            <w:tcW w:w="999" w:type="dxa"/>
            <w:shd w:val="clear" w:color="000000" w:fill="92D050"/>
            <w:noWrap/>
            <w:vAlign w:val="center"/>
            <w:hideMark/>
          </w:tcPr>
          <w:p w14:paraId="366526CE" w14:textId="77777777" w:rsidR="00D923AA" w:rsidRPr="007B010A" w:rsidRDefault="00D923AA" w:rsidP="00376CF0">
            <w:pPr>
              <w:jc w:val="center"/>
              <w:rPr>
                <w:sz w:val="16"/>
                <w:szCs w:val="16"/>
              </w:rPr>
            </w:pPr>
            <w:r w:rsidRPr="007B010A">
              <w:rPr>
                <w:sz w:val="16"/>
                <w:szCs w:val="16"/>
              </w:rPr>
              <w:t>378 911</w:t>
            </w:r>
          </w:p>
        </w:tc>
        <w:tc>
          <w:tcPr>
            <w:tcW w:w="999" w:type="dxa"/>
            <w:shd w:val="clear" w:color="000000" w:fill="92D050"/>
            <w:vAlign w:val="center"/>
          </w:tcPr>
          <w:p w14:paraId="618E7105" w14:textId="7288058D" w:rsidR="00D923AA" w:rsidRPr="007B010A" w:rsidRDefault="007339BC" w:rsidP="00376CF0">
            <w:pPr>
              <w:jc w:val="center"/>
              <w:rPr>
                <w:sz w:val="16"/>
                <w:szCs w:val="16"/>
              </w:rPr>
            </w:pPr>
            <w:r w:rsidRPr="007B010A">
              <w:rPr>
                <w:sz w:val="16"/>
                <w:szCs w:val="16"/>
              </w:rPr>
              <w:t>316 337</w:t>
            </w:r>
          </w:p>
        </w:tc>
        <w:tc>
          <w:tcPr>
            <w:tcW w:w="990" w:type="dxa"/>
            <w:shd w:val="clear" w:color="000000" w:fill="92D050"/>
            <w:noWrap/>
            <w:vAlign w:val="center"/>
            <w:hideMark/>
          </w:tcPr>
          <w:p w14:paraId="3092B1E5" w14:textId="77777777" w:rsidR="00D923AA" w:rsidRPr="007B010A" w:rsidRDefault="00D923AA" w:rsidP="00376CF0">
            <w:pPr>
              <w:jc w:val="center"/>
              <w:rPr>
                <w:sz w:val="16"/>
                <w:szCs w:val="16"/>
              </w:rPr>
            </w:pPr>
            <w:r w:rsidRPr="007B010A">
              <w:rPr>
                <w:sz w:val="16"/>
                <w:szCs w:val="16"/>
              </w:rPr>
              <w:t>5 425 824</w:t>
            </w:r>
          </w:p>
        </w:tc>
        <w:tc>
          <w:tcPr>
            <w:tcW w:w="928" w:type="dxa"/>
            <w:shd w:val="clear" w:color="000000" w:fill="92D050"/>
            <w:noWrap/>
            <w:vAlign w:val="center"/>
            <w:hideMark/>
          </w:tcPr>
          <w:p w14:paraId="06BF794F" w14:textId="47D8FB49" w:rsidR="00D923AA" w:rsidRPr="007B010A" w:rsidRDefault="00ED3509" w:rsidP="00376CF0">
            <w:pPr>
              <w:jc w:val="center"/>
              <w:rPr>
                <w:sz w:val="16"/>
                <w:szCs w:val="16"/>
              </w:rPr>
            </w:pPr>
            <w:r w:rsidRPr="007B010A">
              <w:rPr>
                <w:sz w:val="16"/>
                <w:szCs w:val="16"/>
              </w:rPr>
              <w:t>5 425 824</w:t>
            </w:r>
          </w:p>
        </w:tc>
        <w:tc>
          <w:tcPr>
            <w:tcW w:w="955" w:type="dxa"/>
            <w:shd w:val="clear" w:color="000000" w:fill="92D050"/>
            <w:vAlign w:val="center"/>
            <w:hideMark/>
          </w:tcPr>
          <w:p w14:paraId="7A9D7A60" w14:textId="0B417099" w:rsidR="00D923AA" w:rsidRPr="007B010A" w:rsidRDefault="00D923AA" w:rsidP="00376CF0">
            <w:pPr>
              <w:jc w:val="center"/>
              <w:rPr>
                <w:sz w:val="16"/>
                <w:szCs w:val="16"/>
              </w:rPr>
            </w:pPr>
            <w:r w:rsidRPr="007B010A">
              <w:rPr>
                <w:sz w:val="16"/>
                <w:szCs w:val="16"/>
              </w:rPr>
              <w:t>100</w:t>
            </w:r>
            <w:r w:rsidR="00090401">
              <w:rPr>
                <w:sz w:val="16"/>
                <w:szCs w:val="16"/>
              </w:rPr>
              <w:t>,</w:t>
            </w:r>
            <w:r w:rsidRPr="007B010A">
              <w:rPr>
                <w:sz w:val="16"/>
                <w:szCs w:val="16"/>
              </w:rPr>
              <w:t>48</w:t>
            </w:r>
          </w:p>
        </w:tc>
        <w:tc>
          <w:tcPr>
            <w:tcW w:w="879" w:type="dxa"/>
            <w:shd w:val="clear" w:color="000000" w:fill="92D050"/>
            <w:vAlign w:val="center"/>
            <w:hideMark/>
          </w:tcPr>
          <w:p w14:paraId="066CBB4D" w14:textId="3678B0BF" w:rsidR="00D923AA" w:rsidRPr="007B010A" w:rsidRDefault="00783CBF" w:rsidP="00376CF0">
            <w:pPr>
              <w:jc w:val="center"/>
              <w:rPr>
                <w:sz w:val="16"/>
                <w:szCs w:val="16"/>
              </w:rPr>
            </w:pPr>
            <w:r w:rsidRPr="007B010A">
              <w:rPr>
                <w:sz w:val="16"/>
                <w:szCs w:val="16"/>
              </w:rPr>
              <w:t>71</w:t>
            </w:r>
            <w:r w:rsidR="00BE0484">
              <w:rPr>
                <w:sz w:val="16"/>
                <w:szCs w:val="16"/>
              </w:rPr>
              <w:t>,</w:t>
            </w:r>
            <w:r w:rsidRPr="007B010A">
              <w:rPr>
                <w:sz w:val="16"/>
                <w:szCs w:val="16"/>
              </w:rPr>
              <w:t>63</w:t>
            </w:r>
          </w:p>
        </w:tc>
        <w:tc>
          <w:tcPr>
            <w:tcW w:w="1123" w:type="dxa"/>
            <w:shd w:val="clear" w:color="000000" w:fill="92D050"/>
            <w:vAlign w:val="center"/>
            <w:hideMark/>
          </w:tcPr>
          <w:p w14:paraId="145A275B" w14:textId="15054B44" w:rsidR="00D923AA" w:rsidRPr="007B010A" w:rsidRDefault="00783CBF" w:rsidP="00376CF0">
            <w:pPr>
              <w:jc w:val="center"/>
              <w:rPr>
                <w:sz w:val="16"/>
                <w:szCs w:val="16"/>
              </w:rPr>
            </w:pPr>
            <w:r w:rsidRPr="007B010A">
              <w:rPr>
                <w:sz w:val="16"/>
                <w:szCs w:val="16"/>
              </w:rPr>
              <w:t>28</w:t>
            </w:r>
            <w:r w:rsidR="00BE0484">
              <w:rPr>
                <w:sz w:val="16"/>
                <w:szCs w:val="16"/>
              </w:rPr>
              <w:t>,</w:t>
            </w:r>
            <w:r w:rsidRPr="007B010A">
              <w:rPr>
                <w:sz w:val="16"/>
                <w:szCs w:val="16"/>
              </w:rPr>
              <w:t>85</w:t>
            </w:r>
          </w:p>
        </w:tc>
        <w:tc>
          <w:tcPr>
            <w:tcW w:w="879" w:type="dxa"/>
            <w:shd w:val="clear" w:color="000000" w:fill="92D050"/>
            <w:vAlign w:val="center"/>
          </w:tcPr>
          <w:p w14:paraId="61A4923E" w14:textId="266541F6" w:rsidR="00D923AA" w:rsidRPr="007B010A" w:rsidRDefault="00783CBF" w:rsidP="00376CF0">
            <w:pPr>
              <w:jc w:val="center"/>
              <w:rPr>
                <w:sz w:val="16"/>
                <w:szCs w:val="16"/>
              </w:rPr>
            </w:pPr>
            <w:r w:rsidRPr="007B010A">
              <w:rPr>
                <w:sz w:val="16"/>
                <w:szCs w:val="16"/>
              </w:rPr>
              <w:t>28</w:t>
            </w:r>
            <w:r w:rsidR="00BE0484">
              <w:rPr>
                <w:sz w:val="16"/>
                <w:szCs w:val="16"/>
              </w:rPr>
              <w:t>,</w:t>
            </w:r>
            <w:r w:rsidRPr="007B010A">
              <w:rPr>
                <w:sz w:val="16"/>
                <w:szCs w:val="16"/>
              </w:rPr>
              <w:t>71</w:t>
            </w:r>
          </w:p>
        </w:tc>
        <w:tc>
          <w:tcPr>
            <w:tcW w:w="971" w:type="dxa"/>
            <w:shd w:val="clear" w:color="000000" w:fill="92D050"/>
            <w:vAlign w:val="center"/>
          </w:tcPr>
          <w:p w14:paraId="018B399B" w14:textId="3F4A6F47" w:rsidR="00D923AA" w:rsidRPr="007B010A" w:rsidRDefault="00783CBF" w:rsidP="00376CF0">
            <w:pPr>
              <w:jc w:val="center"/>
              <w:rPr>
                <w:sz w:val="16"/>
                <w:szCs w:val="16"/>
              </w:rPr>
            </w:pPr>
            <w:r w:rsidRPr="007B010A">
              <w:rPr>
                <w:sz w:val="16"/>
                <w:szCs w:val="16"/>
              </w:rPr>
              <w:t>6</w:t>
            </w:r>
            <w:r w:rsidR="00F07A42" w:rsidRPr="007B010A">
              <w:rPr>
                <w:sz w:val="16"/>
                <w:szCs w:val="16"/>
              </w:rPr>
              <w:t>1</w:t>
            </w:r>
            <w:r w:rsidR="00BE0484">
              <w:rPr>
                <w:sz w:val="16"/>
                <w:szCs w:val="16"/>
              </w:rPr>
              <w:t>,</w:t>
            </w:r>
            <w:r w:rsidRPr="007B010A">
              <w:rPr>
                <w:sz w:val="16"/>
                <w:szCs w:val="16"/>
              </w:rPr>
              <w:t>92</w:t>
            </w:r>
          </w:p>
        </w:tc>
        <w:tc>
          <w:tcPr>
            <w:tcW w:w="992" w:type="dxa"/>
            <w:shd w:val="clear" w:color="000000" w:fill="92D050"/>
            <w:vAlign w:val="center"/>
          </w:tcPr>
          <w:p w14:paraId="552DA40F" w14:textId="62C5895F" w:rsidR="00D923AA" w:rsidRPr="007B010A" w:rsidRDefault="00783CBF" w:rsidP="00376CF0">
            <w:pPr>
              <w:jc w:val="center"/>
              <w:rPr>
                <w:sz w:val="16"/>
                <w:szCs w:val="16"/>
              </w:rPr>
            </w:pPr>
            <w:r w:rsidRPr="007B010A">
              <w:rPr>
                <w:sz w:val="16"/>
                <w:szCs w:val="16"/>
              </w:rPr>
              <w:t>3</w:t>
            </w:r>
            <w:r w:rsidR="00F07A42" w:rsidRPr="007B010A">
              <w:rPr>
                <w:sz w:val="16"/>
                <w:szCs w:val="16"/>
              </w:rPr>
              <w:t>8</w:t>
            </w:r>
            <w:r w:rsidR="00BE0484">
              <w:rPr>
                <w:sz w:val="16"/>
                <w:szCs w:val="16"/>
              </w:rPr>
              <w:t>,</w:t>
            </w:r>
            <w:r w:rsidRPr="007B010A">
              <w:rPr>
                <w:sz w:val="16"/>
                <w:szCs w:val="16"/>
              </w:rPr>
              <w:t>56</w:t>
            </w:r>
          </w:p>
        </w:tc>
      </w:tr>
    </w:tbl>
    <w:p w14:paraId="1B7BD54C" w14:textId="77777777" w:rsidR="00D923AA" w:rsidRPr="007B010A" w:rsidRDefault="00D923AA" w:rsidP="00D923AA">
      <w:pPr>
        <w:autoSpaceDE w:val="0"/>
        <w:autoSpaceDN w:val="0"/>
        <w:adjustRightInd w:val="0"/>
        <w:spacing w:line="293" w:lineRule="atLeast"/>
        <w:jc w:val="both"/>
        <w:rPr>
          <w:i/>
          <w:sz w:val="20"/>
          <w:szCs w:val="20"/>
        </w:rPr>
      </w:pPr>
      <w:r w:rsidRPr="007B010A">
        <w:rPr>
          <w:i/>
          <w:sz w:val="20"/>
          <w:szCs w:val="20"/>
        </w:rPr>
        <w:lastRenderedPageBreak/>
        <w:t>Avots: NVD</w:t>
      </w:r>
    </w:p>
    <w:p w14:paraId="78B2912F" w14:textId="77777777" w:rsidR="00D923AA" w:rsidRPr="007B010A" w:rsidRDefault="00D923AA" w:rsidP="00D923AA">
      <w:pPr>
        <w:tabs>
          <w:tab w:val="left" w:pos="8370"/>
        </w:tabs>
        <w:autoSpaceDE w:val="0"/>
        <w:autoSpaceDN w:val="0"/>
        <w:adjustRightInd w:val="0"/>
        <w:spacing w:line="293" w:lineRule="atLeast"/>
        <w:jc w:val="both"/>
        <w:rPr>
          <w:lang w:bidi="lo-LA"/>
        </w:rPr>
      </w:pPr>
      <w:r w:rsidRPr="007B010A">
        <w:rPr>
          <w:lang w:bidi="lo-LA"/>
        </w:rPr>
        <w:tab/>
      </w:r>
    </w:p>
    <w:p w14:paraId="18C51E0C" w14:textId="706FFF5E" w:rsidR="00EF341C" w:rsidRPr="007B010A" w:rsidRDefault="00D923AA" w:rsidP="00EF341C">
      <w:pPr>
        <w:autoSpaceDE w:val="0"/>
        <w:autoSpaceDN w:val="0"/>
        <w:adjustRightInd w:val="0"/>
        <w:spacing w:line="293" w:lineRule="atLeast"/>
        <w:ind w:firstLine="720"/>
        <w:jc w:val="both"/>
      </w:pPr>
      <w:r w:rsidRPr="007B010A">
        <w:t xml:space="preserve">Atbilstoši 2018.gada faktiskajai izpildei, speciālistu konsultāciju pieaugums īstenots </w:t>
      </w:r>
      <w:r w:rsidR="005B1CF1" w:rsidRPr="007B010A">
        <w:t>83,49</w:t>
      </w:r>
      <w:r w:rsidRPr="007B010A">
        <w:t>% apmērā no gada plānotā konsultāciju pieauguma apjoma</w:t>
      </w:r>
      <w:r w:rsidR="000A17E0" w:rsidRPr="007B010A">
        <w:t>.</w:t>
      </w:r>
      <w:r w:rsidRPr="007B010A">
        <w:t xml:space="preserve"> Līdz ar </w:t>
      </w:r>
      <w:r w:rsidR="00671D8E" w:rsidRPr="007B010A">
        <w:t>to</w:t>
      </w:r>
      <w:r w:rsidRPr="007B010A">
        <w:t xml:space="preserve"> secināms, ka laika periodā no 2018.gada 1.janvāra līdz </w:t>
      </w:r>
      <w:r w:rsidR="00EA199B" w:rsidRPr="007B010A">
        <w:t>31.decembrim</w:t>
      </w:r>
      <w:r w:rsidRPr="007B010A">
        <w:t xml:space="preserve"> rindu samazinājums nodrošināts ārstniecības iestāžu iespēju robežās, atbilstoši pieejamiem speciālistu resursiem, vidēji samazinot rindu garumu uz speciālistu pakalpojumiem par </w:t>
      </w:r>
      <w:r w:rsidR="00CF5CCB" w:rsidRPr="007B010A">
        <w:t>28,85</w:t>
      </w:r>
      <w:r w:rsidRPr="007B010A">
        <w:t>%.</w:t>
      </w:r>
    </w:p>
    <w:p w14:paraId="7578AA56" w14:textId="4ED1EC27" w:rsidR="00D923AA" w:rsidRPr="007B010A" w:rsidRDefault="00DE7D1B" w:rsidP="00DE7D1B">
      <w:pPr>
        <w:autoSpaceDE w:val="0"/>
        <w:autoSpaceDN w:val="0"/>
        <w:adjustRightInd w:val="0"/>
        <w:spacing w:line="293" w:lineRule="atLeast"/>
        <w:ind w:firstLine="720"/>
        <w:jc w:val="both"/>
      </w:pPr>
      <w:r w:rsidRPr="007B010A">
        <w:t>K</w:t>
      </w:r>
      <w:r w:rsidR="00D923AA" w:rsidRPr="007B010A">
        <w:t>atrā ārstniecības iestādē un pakalpojuma veidā rindu samazinājuma dinamika ir atšķirīga</w:t>
      </w:r>
      <w:r w:rsidR="007F6CAA" w:rsidRPr="007B010A">
        <w:t xml:space="preserve"> </w:t>
      </w:r>
      <w:r w:rsidRPr="007B010A">
        <w:t>tomēr par</w:t>
      </w:r>
      <w:r w:rsidR="00D923AA" w:rsidRPr="007B010A">
        <w:t xml:space="preserve"> būtisku </w:t>
      </w:r>
      <w:r w:rsidR="00630509" w:rsidRPr="007B010A">
        <w:t>uzskatāms</w:t>
      </w:r>
      <w:r w:rsidR="007F6CAA" w:rsidRPr="007B010A">
        <w:t xml:space="preserve"> </w:t>
      </w:r>
      <w:r w:rsidR="00D923AA" w:rsidRPr="007B010A">
        <w:t>ieguvum</w:t>
      </w:r>
      <w:r w:rsidR="007F6CAA" w:rsidRPr="007B010A">
        <w:t>s</w:t>
      </w:r>
      <w:r w:rsidR="00D923AA" w:rsidRPr="007B010A">
        <w:t xml:space="preserve"> </w:t>
      </w:r>
      <w:r w:rsidR="00CA6E28" w:rsidRPr="007B010A">
        <w:t xml:space="preserve">veselības aprūpes pakalpojumu pieejamības uzlabošanā </w:t>
      </w:r>
      <w:r w:rsidR="00297312" w:rsidRPr="007B010A">
        <w:t>SIA "Rīgas Austrumu klīniskā universitātes slimnīcā” stacionārā ''Biķernieki”</w:t>
      </w:r>
      <w:r w:rsidR="00630509" w:rsidRPr="007B010A">
        <w:t>, kur</w:t>
      </w:r>
      <w:r w:rsidR="00D923AA" w:rsidRPr="007B010A">
        <w:t xml:space="preserve"> kardiologa pieejamība pieaugu</w:t>
      </w:r>
      <w:r w:rsidR="00671D8E" w:rsidRPr="007B010A">
        <w:t>s</w:t>
      </w:r>
      <w:r w:rsidR="00630509" w:rsidRPr="007B010A">
        <w:t>i</w:t>
      </w:r>
      <w:r w:rsidR="00671D8E" w:rsidRPr="007B010A">
        <w:t xml:space="preserve"> no 133 dienām līdz </w:t>
      </w:r>
      <w:r w:rsidR="00297312" w:rsidRPr="007B010A">
        <w:t>82</w:t>
      </w:r>
      <w:r w:rsidR="00671D8E" w:rsidRPr="007B010A">
        <w:t xml:space="preserve"> dienām</w:t>
      </w:r>
      <w:r w:rsidR="00D923AA" w:rsidRPr="007B010A">
        <w:t xml:space="preserve">, </w:t>
      </w:r>
      <w:r w:rsidR="00E240CC" w:rsidRPr="007B010A">
        <w:t xml:space="preserve">SIA “Daugavpils reģionālā slimnīca” </w:t>
      </w:r>
      <w:proofErr w:type="spellStart"/>
      <w:r w:rsidR="0072029F" w:rsidRPr="007B010A">
        <w:t>traumatologa</w:t>
      </w:r>
      <w:proofErr w:type="spellEnd"/>
      <w:r w:rsidR="0072029F" w:rsidRPr="007B010A">
        <w:t xml:space="preserve"> un ortopēda pieejamība pieaugusi no 97 dienām līdz 31 dienai,</w:t>
      </w:r>
      <w:r w:rsidR="00E0712F" w:rsidRPr="007B010A">
        <w:t xml:space="preserve"> SIA “Salaspils veselības centra” ginekologa pieejamība pieaugusi no 75 dienām līdz 31 dienai,</w:t>
      </w:r>
      <w:r w:rsidR="009B1859" w:rsidRPr="007B010A">
        <w:t xml:space="preserve"> </w:t>
      </w:r>
      <w:r w:rsidR="00D51364" w:rsidRPr="007B010A">
        <w:t>SIA</w:t>
      </w:r>
      <w:r w:rsidR="006A13C9" w:rsidRPr="007B010A">
        <w:t> </w:t>
      </w:r>
      <w:r w:rsidR="00D51364" w:rsidRPr="007B010A">
        <w:t xml:space="preserve">"Rīgas Austrumu klīniskā universitātes slimnīcā” stacionārā ''Biķernieki” </w:t>
      </w:r>
      <w:r w:rsidR="00D923AA" w:rsidRPr="007B010A">
        <w:t>endokrinologa pieejamība pieaugus</w:t>
      </w:r>
      <w:r w:rsidR="00630509" w:rsidRPr="007B010A">
        <w:t>i</w:t>
      </w:r>
      <w:r w:rsidR="00D923AA" w:rsidRPr="007B010A">
        <w:t xml:space="preserve"> no 117 dienām līdz </w:t>
      </w:r>
      <w:r w:rsidR="00D51364" w:rsidRPr="007B010A">
        <w:t>51</w:t>
      </w:r>
      <w:r w:rsidR="00D923AA" w:rsidRPr="007B010A">
        <w:t xml:space="preserve"> dien</w:t>
      </w:r>
      <w:r w:rsidR="000A17E0" w:rsidRPr="007B010A">
        <w:t>ai</w:t>
      </w:r>
      <w:r w:rsidR="000016AF" w:rsidRPr="007B010A">
        <w:t>, SIA “Rīgas 1.slimnīca” urologa pieejamība pieaugusi no 114 dienām līdz 14 dienām</w:t>
      </w:r>
      <w:r w:rsidR="00D923AA" w:rsidRPr="007B010A">
        <w:t xml:space="preserve"> un </w:t>
      </w:r>
      <w:r w:rsidR="00671D8E" w:rsidRPr="007B010A">
        <w:t>SIA</w:t>
      </w:r>
      <w:r w:rsidR="00247F6E" w:rsidRPr="007B010A">
        <w:t xml:space="preserve"> "</w:t>
      </w:r>
      <w:proofErr w:type="spellStart"/>
      <w:r w:rsidR="004253D6" w:rsidRPr="007B010A">
        <w:t>Ziemeļkurzemes</w:t>
      </w:r>
      <w:proofErr w:type="spellEnd"/>
      <w:r w:rsidR="004253D6" w:rsidRPr="007B010A">
        <w:t xml:space="preserve"> reģionālā</w:t>
      </w:r>
      <w:r w:rsidR="00D923AA" w:rsidRPr="007B010A">
        <w:t xml:space="preserve"> slimnīcā</w:t>
      </w:r>
      <w:r w:rsidR="00247F6E" w:rsidRPr="007B010A">
        <w:t>”</w:t>
      </w:r>
      <w:r w:rsidR="00965644" w:rsidRPr="007B010A">
        <w:t xml:space="preserve"> </w:t>
      </w:r>
      <w:proofErr w:type="spellStart"/>
      <w:r w:rsidR="00D923AA" w:rsidRPr="007B010A">
        <w:t>oftalmologa</w:t>
      </w:r>
      <w:proofErr w:type="spellEnd"/>
      <w:r w:rsidR="00D923AA" w:rsidRPr="007B010A">
        <w:t xml:space="preserve"> pieejamība pieaug</w:t>
      </w:r>
      <w:r w:rsidR="009049CB" w:rsidRPr="007B010A">
        <w:t>us</w:t>
      </w:r>
      <w:r w:rsidR="007F6CAA" w:rsidRPr="007B010A">
        <w:t>i</w:t>
      </w:r>
      <w:r w:rsidR="009049CB" w:rsidRPr="007B010A">
        <w:t xml:space="preserve"> no 150 dienām līdz </w:t>
      </w:r>
      <w:r w:rsidR="004253D6" w:rsidRPr="007B010A">
        <w:t>14</w:t>
      </w:r>
      <w:r w:rsidR="009049CB" w:rsidRPr="007B010A">
        <w:t xml:space="preserve"> dienai</w:t>
      </w:r>
      <w:r w:rsidR="00D923AA" w:rsidRPr="007B010A">
        <w:t xml:space="preserve">. </w:t>
      </w:r>
      <w:r w:rsidR="00DE6F59" w:rsidRPr="007B010A">
        <w:t xml:space="preserve"> </w:t>
      </w:r>
    </w:p>
    <w:p w14:paraId="6D015041" w14:textId="7AA2F4F9" w:rsidR="00880CF3" w:rsidRPr="007B010A" w:rsidRDefault="00880CF3" w:rsidP="00630509">
      <w:pPr>
        <w:autoSpaceDE w:val="0"/>
        <w:autoSpaceDN w:val="0"/>
        <w:adjustRightInd w:val="0"/>
        <w:spacing w:line="293" w:lineRule="atLeast"/>
        <w:ind w:firstLine="720"/>
        <w:jc w:val="both"/>
      </w:pPr>
      <w:r w:rsidRPr="007B010A">
        <w:t xml:space="preserve">Tāpat joprojām pacientu vidū pie veselības aprūpes pakalpojumu saņemšanas </w:t>
      </w:r>
      <w:r w:rsidR="00CD28D4" w:rsidRPr="007B010A">
        <w:t>ir saglabājusies tendence vērsties pēc palīdzības pie speciālistiem lielākajās ārstniecības iestādēs, kurās ir vislielākās gaidīšanas rindas, taču tai pat laikā pastāv iespēja vērsties citā ārstniecības iestādē, kurā veselības aprūpes pakalpojuma saņemšanas laiks ir salīdzinoši īsāks.</w:t>
      </w:r>
      <w:r w:rsidR="002A6226" w:rsidRPr="007B010A">
        <w:t xml:space="preserve"> N</w:t>
      </w:r>
      <w:r w:rsidR="007F6CAA" w:rsidRPr="007B010A">
        <w:t>VD</w:t>
      </w:r>
      <w:r w:rsidR="002A6226" w:rsidRPr="007B010A">
        <w:t xml:space="preserve"> ir izstrādājis </w:t>
      </w:r>
      <w:r w:rsidR="00F413F4" w:rsidRPr="007B010A">
        <w:t>ērtu</w:t>
      </w:r>
      <w:r w:rsidR="002A6226" w:rsidRPr="007B010A">
        <w:t xml:space="preserve"> elektronisku rin</w:t>
      </w:r>
      <w:r w:rsidR="001A6CA8" w:rsidRPr="007B010A">
        <w:t>d</w:t>
      </w:r>
      <w:r w:rsidR="002A6226" w:rsidRPr="007B010A">
        <w:t xml:space="preserve">u garumu izsekošanas rīku </w:t>
      </w:r>
      <w:r w:rsidR="00BE5358" w:rsidRPr="007B010A">
        <w:t>www.</w:t>
      </w:r>
      <w:r w:rsidR="002A6226" w:rsidRPr="007B010A">
        <w:t>rindapiearsta.lv, kurā var ātri un ērti saņemt informāciju, kurā ārstniecības iestādē</w:t>
      </w:r>
      <w:r w:rsidR="00D26D05" w:rsidRPr="007B010A">
        <w:t xml:space="preserve"> ir iespēja visātrāk saņemt nepieciešamo veselības aprūpes pakalpojumu.</w:t>
      </w:r>
      <w:r w:rsidR="00282A83" w:rsidRPr="007B010A">
        <w:t xml:space="preserve"> Ņemot vērā to, ka tika palielināts kvotu apmērs, palielinās arī cilvēkiem </w:t>
      </w:r>
      <w:r w:rsidR="00714FB9" w:rsidRPr="007B010A">
        <w:t xml:space="preserve">iespēja </w:t>
      </w:r>
      <w:r w:rsidR="00282A83" w:rsidRPr="007B010A">
        <w:t>saņemt veselības aprūpes pakalpojumus</w:t>
      </w:r>
      <w:r w:rsidR="00BE5358" w:rsidRPr="007B010A">
        <w:t>.</w:t>
      </w:r>
      <w:r w:rsidR="00C90AD2" w:rsidRPr="007B010A">
        <w:t xml:space="preserve"> Analizējot speciālistu skaitu, kas snieguši pakalpojumus, būtiskas speciālistu skaita izmaiņas nav konstatētas</w:t>
      </w:r>
      <w:r w:rsidR="007F6CAA" w:rsidRPr="007B010A">
        <w:t xml:space="preserve">, tomēr gaidīšanas rindas garumu ietekmē ne tikai papildus novirzītais finansējums, bet arī ārstu – speciālistu trūkums </w:t>
      </w:r>
      <w:r w:rsidR="000A17E0" w:rsidRPr="007B010A">
        <w:t>un dārgākas speciālistu konsultācijas</w:t>
      </w:r>
      <w:r w:rsidR="007F6CAA" w:rsidRPr="007B010A">
        <w:t>, tāpat var ietekmēt tādi faktori, kā sezonālo slimību izplatība populācijā, ko nav iespējams prognozēt</w:t>
      </w:r>
      <w:r w:rsidR="00C90AD2" w:rsidRPr="007B010A">
        <w:t>.</w:t>
      </w:r>
    </w:p>
    <w:p w14:paraId="5B52A7D1" w14:textId="08F86C50" w:rsidR="000A17E0" w:rsidRPr="007B010A" w:rsidRDefault="00D923AA" w:rsidP="00D923AA">
      <w:pPr>
        <w:autoSpaceDE w:val="0"/>
        <w:autoSpaceDN w:val="0"/>
        <w:adjustRightInd w:val="0"/>
        <w:spacing w:line="293" w:lineRule="atLeast"/>
        <w:ind w:firstLine="720"/>
        <w:jc w:val="both"/>
      </w:pPr>
      <w:r w:rsidRPr="007B010A">
        <w:t>2018.gada laikā novērots, ka rindu garumu ir iespējams mazināt ārstniecības iestādēs, kur bija pieejami attiecīgie speciālistu resursi, bet atsevišķu specialitāšu apgrūtināta pieejamība joprojām ir saglabājusies un to nosaka ierobežo</w:t>
      </w:r>
      <w:r w:rsidR="00671D8E" w:rsidRPr="007B010A">
        <w:t>to</w:t>
      </w:r>
      <w:r w:rsidRPr="007B010A">
        <w:t xml:space="preserve"> speciālistu skaits, kas sniedz konsultācijas, piemēram, </w:t>
      </w:r>
      <w:proofErr w:type="spellStart"/>
      <w:r w:rsidRPr="007B010A">
        <w:t>reimatoloģijā</w:t>
      </w:r>
      <w:proofErr w:type="spellEnd"/>
      <w:r w:rsidRPr="007B010A">
        <w:t xml:space="preserve">. </w:t>
      </w:r>
      <w:r w:rsidR="000A17E0" w:rsidRPr="007B010A">
        <w:t xml:space="preserve">Tomēr pateicoties papildus piešķirtajam finansējumam ārstniecības personām un palielinoties kopējam nozares finansējuma apmēram pozitīva tendence ir parādījusies, jo, atbilstoši NVD datiem 2018.gada 12 mēnešos par 208 unikālo ārstu skaitu speciālistu pakalpojumu veidos ir pieaudzis valsts sektorā strādājošo ārstu skaits salīdzinoši ar 2018.gada 6 mēnešu datiem. Atbilstoši informatīvajam ziņojumam “Par veselības reformas pasākumu īstenošanu 2019.gadā” tika papildus piešķirts finansējums 2019.gadā, lai nodrošinātu speciālistu piesaisti atsevišķās veselības aprūpes jomās valsts apmaksāto pakalpojumu segmentā, jo šobrīd darbojas tirgus spēka faktors, kā rezultātā speciālisti izvēlas aiziet (vai minimizēt) no valsts apmaksātu pakalpojumu sniegšanas, tā vietā sniedzot maksas pakalpojumus. Līdz ar to 2019.gadā tiks nodrošināta aprūpes epizodes pārrēķināšana piesaistot papildus finansējumu, kas veicinās speciālistu piesaisti valsts apmaksāto veselības aprūpes pakalpojumu segmentā. </w:t>
      </w:r>
    </w:p>
    <w:p w14:paraId="727C97E6" w14:textId="5D5685AA" w:rsidR="00D923AA" w:rsidRPr="007B010A" w:rsidRDefault="00D923AA" w:rsidP="00D923AA">
      <w:pPr>
        <w:autoSpaceDE w:val="0"/>
        <w:autoSpaceDN w:val="0"/>
        <w:adjustRightInd w:val="0"/>
        <w:spacing w:line="293" w:lineRule="atLeast"/>
        <w:ind w:firstLine="720"/>
        <w:jc w:val="both"/>
        <w:rPr>
          <w:shd w:val="clear" w:color="auto" w:fill="FFFFFF"/>
        </w:rPr>
      </w:pPr>
      <w:r w:rsidRPr="007B010A">
        <w:rPr>
          <w:shd w:val="clear" w:color="auto" w:fill="FFFFFF"/>
        </w:rPr>
        <w:t xml:space="preserve">No 2018.gada pakalpojumu veidam </w:t>
      </w:r>
      <w:r w:rsidRPr="007B010A">
        <w:rPr>
          <w:b/>
          <w:bCs/>
          <w:i/>
          <w:iCs/>
          <w:shd w:val="clear" w:color="auto" w:fill="FFFFFF"/>
        </w:rPr>
        <w:t>Medicīniskā apaugļošana</w:t>
      </w:r>
      <w:r w:rsidRPr="007B010A">
        <w:rPr>
          <w:shd w:val="clear" w:color="auto" w:fill="FFFFFF"/>
        </w:rPr>
        <w:t> pakalpojumu sniedzēji ir stratēģiski atlasīti un izveidota centralizēta pakalpojumu gaidīšanas rinda. Šie pakalpojumi pacientiem tiek apmaksāti pēc principa “nauda seko pacientam” ar NVD izsūtītu uzaicinājuma vēstuli</w:t>
      </w:r>
      <w:r w:rsidR="00265E89" w:rsidRPr="007B010A">
        <w:rPr>
          <w:shd w:val="clear" w:color="auto" w:fill="FFFFFF"/>
        </w:rPr>
        <w:t xml:space="preserve">, kas nozīmē, ka NVD </w:t>
      </w:r>
      <w:r w:rsidR="00B3214D" w:rsidRPr="007B010A">
        <w:rPr>
          <w:shd w:val="clear" w:color="auto" w:fill="FFFFFF"/>
        </w:rPr>
        <w:t xml:space="preserve">atbilstoši </w:t>
      </w:r>
      <w:r w:rsidR="00265E89" w:rsidRPr="007B010A">
        <w:rPr>
          <w:shd w:val="clear" w:color="auto" w:fill="FFFFFF"/>
        </w:rPr>
        <w:t>gada</w:t>
      </w:r>
      <w:r w:rsidR="00F2450F" w:rsidRPr="007B010A">
        <w:rPr>
          <w:shd w:val="clear" w:color="auto" w:fill="FFFFFF"/>
        </w:rPr>
        <w:t>m</w:t>
      </w:r>
      <w:r w:rsidR="00265E89" w:rsidRPr="007B010A">
        <w:rPr>
          <w:shd w:val="clear" w:color="auto" w:fill="FFFFFF"/>
        </w:rPr>
        <w:t xml:space="preserve"> plānotā </w:t>
      </w:r>
      <w:r w:rsidR="00B3214D" w:rsidRPr="007B010A">
        <w:rPr>
          <w:shd w:val="clear" w:color="auto" w:fill="FFFFFF"/>
        </w:rPr>
        <w:t xml:space="preserve">veselības aprūpes </w:t>
      </w:r>
      <w:r w:rsidR="005A65DB" w:rsidRPr="007B010A">
        <w:rPr>
          <w:shd w:val="clear" w:color="auto" w:fill="FFFFFF"/>
        </w:rPr>
        <w:t>pakalpojuma apjomam</w:t>
      </w:r>
      <w:r w:rsidR="00ED118C" w:rsidRPr="007B010A">
        <w:rPr>
          <w:shd w:val="clear" w:color="auto" w:fill="FFFFFF"/>
        </w:rPr>
        <w:t xml:space="preserve"> </w:t>
      </w:r>
      <w:proofErr w:type="spellStart"/>
      <w:r w:rsidR="00ED118C" w:rsidRPr="007B010A">
        <w:rPr>
          <w:shd w:val="clear" w:color="auto" w:fill="FFFFFF"/>
        </w:rPr>
        <w:lastRenderedPageBreak/>
        <w:t>nos</w:t>
      </w:r>
      <w:r w:rsidR="00754D54" w:rsidRPr="007B010A">
        <w:rPr>
          <w:shd w:val="clear" w:color="auto" w:fill="FFFFFF"/>
        </w:rPr>
        <w:t>ūta</w:t>
      </w:r>
      <w:proofErr w:type="spellEnd"/>
      <w:r w:rsidR="00754D54" w:rsidRPr="007B010A">
        <w:rPr>
          <w:shd w:val="clear" w:color="auto" w:fill="FFFFFF"/>
        </w:rPr>
        <w:t xml:space="preserve"> </w:t>
      </w:r>
      <w:r w:rsidR="00EC1CFB" w:rsidRPr="007B010A">
        <w:rPr>
          <w:shd w:val="clear" w:color="auto" w:fill="FFFFFF"/>
        </w:rPr>
        <w:t xml:space="preserve"> pacient</w:t>
      </w:r>
      <w:r w:rsidR="00754D54" w:rsidRPr="007B010A">
        <w:rPr>
          <w:shd w:val="clear" w:color="auto" w:fill="FFFFFF"/>
        </w:rPr>
        <w:t>am</w:t>
      </w:r>
      <w:r w:rsidR="00EC1CFB" w:rsidRPr="007B010A">
        <w:rPr>
          <w:shd w:val="clear" w:color="auto" w:fill="FFFFFF"/>
        </w:rPr>
        <w:t xml:space="preserve"> uzaicinājuma vēstuli pēc sav</w:t>
      </w:r>
      <w:r w:rsidR="00754D54" w:rsidRPr="007B010A">
        <w:rPr>
          <w:shd w:val="clear" w:color="auto" w:fill="FFFFFF"/>
        </w:rPr>
        <w:t>iem</w:t>
      </w:r>
      <w:r w:rsidR="00EC1CFB" w:rsidRPr="007B010A">
        <w:rPr>
          <w:shd w:val="clear" w:color="auto" w:fill="FFFFFF"/>
        </w:rPr>
        <w:t xml:space="preserve"> </w:t>
      </w:r>
      <w:r w:rsidR="00754D54" w:rsidRPr="007B010A">
        <w:rPr>
          <w:shd w:val="clear" w:color="auto" w:fill="FFFFFF"/>
        </w:rPr>
        <w:t xml:space="preserve">ieskatiem </w:t>
      </w:r>
      <w:r w:rsidR="00B40070" w:rsidRPr="007B010A">
        <w:rPr>
          <w:shd w:val="clear" w:color="auto" w:fill="FFFFFF"/>
        </w:rPr>
        <w:t xml:space="preserve">vērsties </w:t>
      </w:r>
      <w:r w:rsidR="00754D54" w:rsidRPr="007B010A">
        <w:rPr>
          <w:shd w:val="clear" w:color="auto" w:fill="FFFFFF"/>
        </w:rPr>
        <w:t>ārstniecības iestādē, kura sniedz medicīniskās apaugļošanas pakalpojumu</w:t>
      </w:r>
      <w:r w:rsidR="00EC1CFB" w:rsidRPr="007B010A">
        <w:rPr>
          <w:shd w:val="clear" w:color="auto" w:fill="FFFFFF"/>
        </w:rPr>
        <w:t xml:space="preserve"> un </w:t>
      </w:r>
      <w:r w:rsidR="00280C31" w:rsidRPr="007B010A">
        <w:rPr>
          <w:shd w:val="clear" w:color="auto" w:fill="FFFFFF"/>
        </w:rPr>
        <w:t xml:space="preserve">atbilstoši </w:t>
      </w:r>
      <w:r w:rsidR="00EC1CFB" w:rsidRPr="007B010A">
        <w:rPr>
          <w:shd w:val="clear" w:color="auto" w:fill="FFFFFF"/>
        </w:rPr>
        <w:t>saņemt pakalpojumu. Pēc veselības aprūpes pakalpojuma saņemšanas ārstniecības iestāde iesniedz datus un NVD veic samaksu par veiktajiem vesel</w:t>
      </w:r>
      <w:r w:rsidR="002E2112" w:rsidRPr="007B010A">
        <w:rPr>
          <w:shd w:val="clear" w:color="auto" w:fill="FFFFFF"/>
        </w:rPr>
        <w:t>ības aprūpes pakalpojumiem, tādejādi nodrošinot principa “nauda seko pacientam”</w:t>
      </w:r>
      <w:r w:rsidR="00ED118C" w:rsidRPr="007B010A">
        <w:rPr>
          <w:shd w:val="clear" w:color="auto" w:fill="FFFFFF"/>
        </w:rPr>
        <w:t xml:space="preserve"> </w:t>
      </w:r>
      <w:r w:rsidR="002E2112" w:rsidRPr="007B010A">
        <w:rPr>
          <w:shd w:val="clear" w:color="auto" w:fill="FFFFFF"/>
        </w:rPr>
        <w:t>realizāciju</w:t>
      </w:r>
      <w:r w:rsidR="001F716D" w:rsidRPr="007B010A">
        <w:rPr>
          <w:shd w:val="clear" w:color="auto" w:fill="FFFFFF"/>
        </w:rPr>
        <w:t>.</w:t>
      </w:r>
    </w:p>
    <w:p w14:paraId="44C99769" w14:textId="64404EB9" w:rsidR="00A32D23" w:rsidRPr="007B010A" w:rsidRDefault="00A32D23" w:rsidP="008A27C5">
      <w:pPr>
        <w:shd w:val="clear" w:color="auto" w:fill="FFFFFF"/>
        <w:spacing w:line="293" w:lineRule="atLeast"/>
        <w:ind w:firstLine="720"/>
        <w:jc w:val="both"/>
        <w:textAlignment w:val="baseline"/>
      </w:pPr>
      <w:r w:rsidRPr="007B010A">
        <w:t>NVD</w:t>
      </w:r>
      <w:r w:rsidR="0039696A" w:rsidRPr="007B010A">
        <w:t xml:space="preserve"> </w:t>
      </w:r>
      <w:r w:rsidRPr="007B010A">
        <w:t>pagājušā gada nogalē veica aptauju par apmierinātību ar valsts apmaksāto medicīniskās apaugļošanas pakalpojumu. Aptaujā noskaidrots, ka teju visas aptaujātās sievietes, kurām veikta valsts apmaksāta medicīniskā apaugļošana, atzinīgi novērtē centralizētas rindas ieviešanu, kas ievērojami ātrāk ļauj uzsākt medicīniskās apaugļošanas procedūru par valsts budžeta līdzekļiem.</w:t>
      </w:r>
    </w:p>
    <w:p w14:paraId="04C263F3" w14:textId="77777777" w:rsidR="00A32D23" w:rsidRPr="007B010A" w:rsidRDefault="00A32D23" w:rsidP="008A27C5">
      <w:pPr>
        <w:shd w:val="clear" w:color="auto" w:fill="FFFFFF"/>
        <w:spacing w:line="293" w:lineRule="atLeast"/>
        <w:ind w:firstLine="720"/>
        <w:jc w:val="both"/>
        <w:textAlignment w:val="baseline"/>
      </w:pPr>
      <w:r w:rsidRPr="007B010A">
        <w:t xml:space="preserve">Aptaujā arī noskaidrots, ka trešdaļai sieviešu pēc uzaicinājuma vēstules uz procedūru saņemšanas izdevies pieteikt vizīti sev vēlamajā ārstniecības iestādē sevis izvēlētā laikā, savukārt ceturtajai daļai sieviešu </w:t>
      </w:r>
      <w:proofErr w:type="spellStart"/>
      <w:r w:rsidRPr="007B010A">
        <w:t>pirmsprocedūras</w:t>
      </w:r>
      <w:proofErr w:type="spellEnd"/>
      <w:r w:rsidRPr="007B010A">
        <w:t xml:space="preserve"> vizīte pie speciālista notikusi pat 10 dienu laikā no vēstules saņemšanas brīža. Savukārt pārējām </w:t>
      </w:r>
      <w:proofErr w:type="spellStart"/>
      <w:r w:rsidRPr="007B010A">
        <w:t>respondentēm</w:t>
      </w:r>
      <w:proofErr w:type="spellEnd"/>
      <w:r w:rsidRPr="007B010A">
        <w:t xml:space="preserve"> </w:t>
      </w:r>
      <w:proofErr w:type="spellStart"/>
      <w:r w:rsidRPr="007B010A">
        <w:t>pirmsprocedūras</w:t>
      </w:r>
      <w:proofErr w:type="spellEnd"/>
      <w:r w:rsidRPr="007B010A">
        <w:t xml:space="preserve"> vizīti izdevies veikt aptuveni mēneša laikā.</w:t>
      </w:r>
    </w:p>
    <w:p w14:paraId="30811BB9" w14:textId="77777777" w:rsidR="00A32D23" w:rsidRPr="007B010A" w:rsidRDefault="00A32D23" w:rsidP="008A27C5">
      <w:pPr>
        <w:shd w:val="clear" w:color="auto" w:fill="FFFFFF"/>
        <w:spacing w:line="293" w:lineRule="atLeast"/>
        <w:ind w:firstLine="720"/>
        <w:jc w:val="both"/>
        <w:textAlignment w:val="baseline"/>
      </w:pPr>
      <w:r w:rsidRPr="007B010A">
        <w:t>Vienlaikus aptaujas rezultāti uzrāda, ka lielākā daļa aptaujāto sieviešu ir apmierinātas un atzinīgi novērtē sevis izvēlētās ārstniecības iestādes, kurā tika veikta valsts apmaksātas medicīniskās apaugļošanas procedūra, pakalpojumus, kā arī iestādes sniegto informāciju par pašu procedūru, tajā skaitā riskiem, blaknēm un citiem nozīmīgiem jautājumiem.</w:t>
      </w:r>
    </w:p>
    <w:p w14:paraId="641155C2" w14:textId="3D5FF023" w:rsidR="00A32D23" w:rsidRPr="007B010A" w:rsidRDefault="00A32D23" w:rsidP="008A27C5">
      <w:pPr>
        <w:shd w:val="clear" w:color="auto" w:fill="FFFFFF"/>
        <w:spacing w:line="293" w:lineRule="atLeast"/>
        <w:ind w:firstLine="720"/>
        <w:jc w:val="both"/>
        <w:textAlignment w:val="baseline"/>
      </w:pPr>
      <w:r w:rsidRPr="007B010A">
        <w:t>Tāpat aptaujas rezultāti ļauj secināt, ka teju 90% aptaujāto sieviešu uzaicinājuma vēstuli, kurā aprakstīti veicamie soļi procedūras uzsākšanai, vērtē kā skaidri saprotamu.</w:t>
      </w:r>
    </w:p>
    <w:p w14:paraId="0813CD3F" w14:textId="4F2160D5" w:rsidR="00A32D23" w:rsidRPr="007B010A" w:rsidRDefault="00A32D23" w:rsidP="008A27C5">
      <w:pPr>
        <w:shd w:val="clear" w:color="auto" w:fill="FFFFFF"/>
        <w:spacing w:line="293" w:lineRule="atLeast"/>
        <w:ind w:firstLine="720"/>
        <w:jc w:val="both"/>
        <w:textAlignment w:val="baseline"/>
      </w:pPr>
      <w:r w:rsidRPr="007B010A">
        <w:t>Valsts apmaksāta medicīniskās apaugļošanas programma tiek īstenota jau kopš 2012.gada, un tās rezultātā kopā notikušas 1</w:t>
      </w:r>
      <w:r w:rsidR="00BE0484">
        <w:t> </w:t>
      </w:r>
      <w:r w:rsidRPr="007B010A">
        <w:t>456 dzemdības, savukārt 2018.gadā – vairāk nekā 240 dzemdības.</w:t>
      </w:r>
    </w:p>
    <w:p w14:paraId="30DC5109" w14:textId="77777777" w:rsidR="00D923AA" w:rsidRPr="007B010A" w:rsidRDefault="00D923AA" w:rsidP="00D923AA">
      <w:pPr>
        <w:ind w:firstLine="720"/>
        <w:jc w:val="right"/>
        <w:rPr>
          <w:i/>
        </w:rPr>
      </w:pPr>
      <w:r w:rsidRPr="007B010A">
        <w:rPr>
          <w:i/>
        </w:rPr>
        <w:t xml:space="preserve">3.tabula </w:t>
      </w:r>
    </w:p>
    <w:p w14:paraId="0F1D9120" w14:textId="010EA81C" w:rsidR="00D923AA" w:rsidRPr="007B010A" w:rsidRDefault="00D923AA" w:rsidP="00D923AA">
      <w:pPr>
        <w:autoSpaceDE w:val="0"/>
        <w:autoSpaceDN w:val="0"/>
        <w:adjustRightInd w:val="0"/>
        <w:spacing w:line="293" w:lineRule="atLeast"/>
        <w:ind w:firstLine="720"/>
        <w:jc w:val="center"/>
      </w:pPr>
      <w:r w:rsidRPr="007B010A">
        <w:t>Faktiski veiktās speciālistu konsultācijas 2018.gadā</w:t>
      </w:r>
    </w:p>
    <w:p w14:paraId="7C553DB5" w14:textId="77777777" w:rsidR="00D923AA" w:rsidRPr="007B010A" w:rsidRDefault="00D923AA" w:rsidP="00D923AA">
      <w:pPr>
        <w:autoSpaceDE w:val="0"/>
        <w:autoSpaceDN w:val="0"/>
        <w:adjustRightInd w:val="0"/>
        <w:spacing w:line="293" w:lineRule="atLeast"/>
        <w:ind w:firstLine="720"/>
        <w:jc w:val="both"/>
      </w:pPr>
    </w:p>
    <w:tbl>
      <w:tblPr>
        <w:tblW w:w="9066" w:type="dxa"/>
        <w:jc w:val="center"/>
        <w:tblLook w:val="04A0" w:firstRow="1" w:lastRow="0" w:firstColumn="1" w:lastColumn="0" w:noHBand="0" w:noVBand="1"/>
      </w:tblPr>
      <w:tblGrid>
        <w:gridCol w:w="633"/>
        <w:gridCol w:w="3609"/>
        <w:gridCol w:w="2791"/>
        <w:gridCol w:w="2033"/>
      </w:tblGrid>
      <w:tr w:rsidR="007E6069" w:rsidRPr="007B010A" w14:paraId="7FB9E60D" w14:textId="77777777" w:rsidTr="00376CF0">
        <w:trPr>
          <w:trHeight w:val="1500"/>
          <w:jc w:val="center"/>
        </w:trPr>
        <w:tc>
          <w:tcPr>
            <w:tcW w:w="633" w:type="dxa"/>
            <w:vMerge w:val="restart"/>
            <w:tcBorders>
              <w:top w:val="single" w:sz="4" w:space="0" w:color="auto"/>
              <w:left w:val="nil"/>
              <w:right w:val="single" w:sz="4" w:space="0" w:color="auto"/>
            </w:tcBorders>
            <w:shd w:val="clear" w:color="000000" w:fill="92D050"/>
            <w:noWrap/>
            <w:textDirection w:val="btLr"/>
            <w:vAlign w:val="center"/>
            <w:hideMark/>
          </w:tcPr>
          <w:p w14:paraId="6D2D34B9" w14:textId="77777777" w:rsidR="00D923AA" w:rsidRPr="007B010A" w:rsidRDefault="00D923AA" w:rsidP="00376CF0">
            <w:pPr>
              <w:jc w:val="center"/>
              <w:rPr>
                <w:sz w:val="20"/>
                <w:szCs w:val="20"/>
              </w:rPr>
            </w:pPr>
            <w:r w:rsidRPr="007B010A">
              <w:rPr>
                <w:sz w:val="20"/>
                <w:szCs w:val="20"/>
              </w:rPr>
              <w:t>Speciālistu konsultācijas</w:t>
            </w:r>
          </w:p>
        </w:tc>
        <w:tc>
          <w:tcPr>
            <w:tcW w:w="3609" w:type="dxa"/>
            <w:tcBorders>
              <w:top w:val="single" w:sz="4" w:space="0" w:color="auto"/>
              <w:left w:val="nil"/>
              <w:bottom w:val="single" w:sz="4" w:space="0" w:color="auto"/>
              <w:right w:val="single" w:sz="4" w:space="0" w:color="auto"/>
            </w:tcBorders>
            <w:shd w:val="clear" w:color="000000" w:fill="92D050"/>
            <w:vAlign w:val="center"/>
            <w:hideMark/>
          </w:tcPr>
          <w:p w14:paraId="7A4C93AA" w14:textId="77777777" w:rsidR="00D923AA" w:rsidRPr="007B010A" w:rsidRDefault="00D923AA" w:rsidP="00376CF0">
            <w:pPr>
              <w:jc w:val="center"/>
              <w:rPr>
                <w:b/>
                <w:bCs/>
                <w:sz w:val="20"/>
                <w:szCs w:val="20"/>
              </w:rPr>
            </w:pPr>
            <w:r w:rsidRPr="007B010A">
              <w:rPr>
                <w:b/>
                <w:bCs/>
                <w:sz w:val="20"/>
                <w:szCs w:val="20"/>
              </w:rPr>
              <w:t>Pakalpojumu veida nosaukums</w:t>
            </w:r>
          </w:p>
        </w:tc>
        <w:tc>
          <w:tcPr>
            <w:tcW w:w="2791" w:type="dxa"/>
            <w:tcBorders>
              <w:top w:val="single" w:sz="4" w:space="0" w:color="auto"/>
              <w:left w:val="nil"/>
              <w:bottom w:val="single" w:sz="4" w:space="0" w:color="auto"/>
              <w:right w:val="single" w:sz="4" w:space="0" w:color="auto"/>
            </w:tcBorders>
            <w:shd w:val="clear" w:color="000000" w:fill="92D050"/>
            <w:vAlign w:val="center"/>
            <w:hideMark/>
          </w:tcPr>
          <w:p w14:paraId="66C9E7B4" w14:textId="5ACBB6A0" w:rsidR="00D923AA" w:rsidRPr="007B010A" w:rsidRDefault="00D923AA" w:rsidP="00376CF0">
            <w:pPr>
              <w:jc w:val="center"/>
              <w:rPr>
                <w:b/>
                <w:bCs/>
                <w:sz w:val="20"/>
                <w:szCs w:val="20"/>
              </w:rPr>
            </w:pPr>
            <w:r w:rsidRPr="007B010A">
              <w:rPr>
                <w:b/>
                <w:bCs/>
                <w:sz w:val="20"/>
                <w:szCs w:val="20"/>
              </w:rPr>
              <w:t xml:space="preserve">Faktiski veiktais darbs 2018.gadā (t.sk. pacienta iemaksas kompensācija), gaidīšanas rindu mazināšanas finansējums, </w:t>
            </w:r>
            <w:proofErr w:type="spellStart"/>
            <w:r w:rsidR="00A83536" w:rsidRPr="007B010A">
              <w:rPr>
                <w:b/>
                <w:bCs/>
                <w:i/>
                <w:sz w:val="20"/>
                <w:szCs w:val="20"/>
              </w:rPr>
              <w:t>euro</w:t>
            </w:r>
            <w:proofErr w:type="spellEnd"/>
          </w:p>
        </w:tc>
        <w:tc>
          <w:tcPr>
            <w:tcW w:w="2033" w:type="dxa"/>
            <w:tcBorders>
              <w:top w:val="single" w:sz="4" w:space="0" w:color="auto"/>
              <w:left w:val="nil"/>
              <w:bottom w:val="single" w:sz="4" w:space="0" w:color="auto"/>
              <w:right w:val="single" w:sz="4" w:space="0" w:color="auto"/>
            </w:tcBorders>
            <w:shd w:val="clear" w:color="000000" w:fill="92D050"/>
            <w:vAlign w:val="center"/>
            <w:hideMark/>
          </w:tcPr>
          <w:p w14:paraId="6ACAC379" w14:textId="4632BD8E" w:rsidR="00D923AA" w:rsidRPr="007B010A" w:rsidRDefault="00D923AA" w:rsidP="00376CF0">
            <w:pPr>
              <w:jc w:val="center"/>
              <w:rPr>
                <w:b/>
                <w:bCs/>
                <w:sz w:val="20"/>
                <w:szCs w:val="20"/>
              </w:rPr>
            </w:pPr>
            <w:r w:rsidRPr="007B010A">
              <w:rPr>
                <w:b/>
                <w:bCs/>
                <w:sz w:val="20"/>
                <w:szCs w:val="20"/>
              </w:rPr>
              <w:t>Faktiski veiktais izmeklējumu skaits 2018.gadā</w:t>
            </w:r>
          </w:p>
        </w:tc>
      </w:tr>
      <w:tr w:rsidR="007E6069" w:rsidRPr="007B010A" w14:paraId="57CF6705" w14:textId="77777777" w:rsidTr="00376CF0">
        <w:trPr>
          <w:trHeight w:val="300"/>
          <w:jc w:val="center"/>
        </w:trPr>
        <w:tc>
          <w:tcPr>
            <w:tcW w:w="633" w:type="dxa"/>
            <w:vMerge/>
            <w:tcBorders>
              <w:left w:val="nil"/>
              <w:right w:val="single" w:sz="4" w:space="0" w:color="auto"/>
            </w:tcBorders>
            <w:vAlign w:val="center"/>
            <w:hideMark/>
          </w:tcPr>
          <w:p w14:paraId="19BB6C8C"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463FF905" w14:textId="77777777" w:rsidR="00D923AA" w:rsidRPr="007B010A" w:rsidRDefault="00D923AA" w:rsidP="00376CF0">
            <w:pPr>
              <w:rPr>
                <w:sz w:val="20"/>
                <w:szCs w:val="20"/>
              </w:rPr>
            </w:pPr>
            <w:proofErr w:type="spellStart"/>
            <w:r w:rsidRPr="007B010A">
              <w:rPr>
                <w:sz w:val="20"/>
                <w:szCs w:val="20"/>
              </w:rPr>
              <w:t>Alergoloģija</w:t>
            </w:r>
            <w:proofErr w:type="spellEnd"/>
          </w:p>
        </w:tc>
        <w:tc>
          <w:tcPr>
            <w:tcW w:w="2791" w:type="dxa"/>
            <w:tcBorders>
              <w:top w:val="nil"/>
              <w:left w:val="nil"/>
              <w:bottom w:val="single" w:sz="4" w:space="0" w:color="auto"/>
              <w:right w:val="single" w:sz="4" w:space="0" w:color="auto"/>
            </w:tcBorders>
            <w:shd w:val="clear" w:color="auto" w:fill="auto"/>
            <w:noWrap/>
            <w:vAlign w:val="center"/>
            <w:hideMark/>
          </w:tcPr>
          <w:p w14:paraId="1F411D92" w14:textId="239ED79D" w:rsidR="00D923AA" w:rsidRPr="007B010A" w:rsidRDefault="00806DB7" w:rsidP="00376CF0">
            <w:pPr>
              <w:jc w:val="center"/>
              <w:rPr>
                <w:sz w:val="20"/>
                <w:szCs w:val="20"/>
              </w:rPr>
            </w:pPr>
            <w:r w:rsidRPr="007B010A">
              <w:rPr>
                <w:sz w:val="20"/>
                <w:szCs w:val="20"/>
              </w:rPr>
              <w:t>81 235</w:t>
            </w:r>
          </w:p>
        </w:tc>
        <w:tc>
          <w:tcPr>
            <w:tcW w:w="2033" w:type="dxa"/>
            <w:tcBorders>
              <w:top w:val="nil"/>
              <w:left w:val="nil"/>
              <w:bottom w:val="single" w:sz="4" w:space="0" w:color="auto"/>
              <w:right w:val="single" w:sz="4" w:space="0" w:color="auto"/>
            </w:tcBorders>
            <w:shd w:val="clear" w:color="auto" w:fill="auto"/>
            <w:noWrap/>
            <w:vAlign w:val="bottom"/>
            <w:hideMark/>
          </w:tcPr>
          <w:p w14:paraId="20181AF8" w14:textId="1FC27283" w:rsidR="00D923AA" w:rsidRPr="007B010A" w:rsidRDefault="00806DB7" w:rsidP="00376CF0">
            <w:pPr>
              <w:jc w:val="center"/>
              <w:rPr>
                <w:sz w:val="20"/>
                <w:szCs w:val="20"/>
              </w:rPr>
            </w:pPr>
            <w:r w:rsidRPr="007B010A">
              <w:rPr>
                <w:sz w:val="20"/>
                <w:szCs w:val="20"/>
              </w:rPr>
              <w:t>2 849</w:t>
            </w:r>
          </w:p>
        </w:tc>
      </w:tr>
      <w:tr w:rsidR="007E6069" w:rsidRPr="007B010A" w14:paraId="12FBA4E3" w14:textId="77777777" w:rsidTr="00376CF0">
        <w:trPr>
          <w:trHeight w:val="300"/>
          <w:jc w:val="center"/>
        </w:trPr>
        <w:tc>
          <w:tcPr>
            <w:tcW w:w="633" w:type="dxa"/>
            <w:vMerge/>
            <w:tcBorders>
              <w:left w:val="nil"/>
              <w:right w:val="single" w:sz="4" w:space="0" w:color="auto"/>
            </w:tcBorders>
            <w:vAlign w:val="center"/>
            <w:hideMark/>
          </w:tcPr>
          <w:p w14:paraId="4AB01D3B"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615E4848" w14:textId="77777777" w:rsidR="00D923AA" w:rsidRPr="007B010A" w:rsidRDefault="00D923AA" w:rsidP="00376CF0">
            <w:pPr>
              <w:rPr>
                <w:sz w:val="20"/>
                <w:szCs w:val="20"/>
              </w:rPr>
            </w:pPr>
            <w:r w:rsidRPr="007B010A">
              <w:rPr>
                <w:sz w:val="20"/>
                <w:szCs w:val="20"/>
              </w:rPr>
              <w:t>Algoloģija</w:t>
            </w:r>
          </w:p>
        </w:tc>
        <w:tc>
          <w:tcPr>
            <w:tcW w:w="2791" w:type="dxa"/>
            <w:tcBorders>
              <w:top w:val="nil"/>
              <w:left w:val="nil"/>
              <w:bottom w:val="single" w:sz="4" w:space="0" w:color="auto"/>
              <w:right w:val="single" w:sz="4" w:space="0" w:color="auto"/>
            </w:tcBorders>
            <w:shd w:val="clear" w:color="auto" w:fill="auto"/>
            <w:noWrap/>
            <w:vAlign w:val="center"/>
            <w:hideMark/>
          </w:tcPr>
          <w:p w14:paraId="7907E8EA" w14:textId="4EBA7B6A" w:rsidR="00D923AA" w:rsidRPr="007B010A" w:rsidRDefault="00806DB7" w:rsidP="00376CF0">
            <w:pPr>
              <w:jc w:val="center"/>
              <w:rPr>
                <w:sz w:val="20"/>
                <w:szCs w:val="20"/>
              </w:rPr>
            </w:pPr>
            <w:r w:rsidRPr="007B010A">
              <w:rPr>
                <w:sz w:val="20"/>
                <w:szCs w:val="20"/>
              </w:rPr>
              <w:t>2 143</w:t>
            </w:r>
          </w:p>
        </w:tc>
        <w:tc>
          <w:tcPr>
            <w:tcW w:w="2033" w:type="dxa"/>
            <w:tcBorders>
              <w:top w:val="nil"/>
              <w:left w:val="nil"/>
              <w:bottom w:val="single" w:sz="4" w:space="0" w:color="auto"/>
              <w:right w:val="single" w:sz="4" w:space="0" w:color="auto"/>
            </w:tcBorders>
            <w:shd w:val="clear" w:color="auto" w:fill="auto"/>
            <w:noWrap/>
            <w:vAlign w:val="bottom"/>
            <w:hideMark/>
          </w:tcPr>
          <w:p w14:paraId="3F7F5564" w14:textId="631D7DA1" w:rsidR="00D923AA" w:rsidRPr="007B010A" w:rsidRDefault="00806DB7" w:rsidP="00376CF0">
            <w:pPr>
              <w:jc w:val="center"/>
              <w:rPr>
                <w:sz w:val="20"/>
                <w:szCs w:val="20"/>
              </w:rPr>
            </w:pPr>
            <w:r w:rsidRPr="007B010A">
              <w:rPr>
                <w:sz w:val="20"/>
                <w:szCs w:val="20"/>
              </w:rPr>
              <w:t>161</w:t>
            </w:r>
          </w:p>
        </w:tc>
      </w:tr>
      <w:tr w:rsidR="007E6069" w:rsidRPr="007B010A" w14:paraId="33AA56A5" w14:textId="77777777" w:rsidTr="00376CF0">
        <w:trPr>
          <w:trHeight w:val="300"/>
          <w:jc w:val="center"/>
        </w:trPr>
        <w:tc>
          <w:tcPr>
            <w:tcW w:w="633" w:type="dxa"/>
            <w:vMerge/>
            <w:tcBorders>
              <w:left w:val="nil"/>
              <w:right w:val="single" w:sz="4" w:space="0" w:color="auto"/>
            </w:tcBorders>
            <w:vAlign w:val="center"/>
            <w:hideMark/>
          </w:tcPr>
          <w:p w14:paraId="5AF15DD9"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78AA2F50" w14:textId="77777777" w:rsidR="00D923AA" w:rsidRPr="007B010A" w:rsidRDefault="00D923AA" w:rsidP="00376CF0">
            <w:pPr>
              <w:rPr>
                <w:sz w:val="20"/>
                <w:szCs w:val="20"/>
              </w:rPr>
            </w:pPr>
            <w:r w:rsidRPr="007B010A">
              <w:rPr>
                <w:sz w:val="20"/>
                <w:szCs w:val="20"/>
              </w:rPr>
              <w:t>Anestezioloģija</w:t>
            </w:r>
          </w:p>
        </w:tc>
        <w:tc>
          <w:tcPr>
            <w:tcW w:w="2791" w:type="dxa"/>
            <w:tcBorders>
              <w:top w:val="nil"/>
              <w:left w:val="nil"/>
              <w:bottom w:val="single" w:sz="4" w:space="0" w:color="auto"/>
              <w:right w:val="single" w:sz="4" w:space="0" w:color="auto"/>
            </w:tcBorders>
            <w:shd w:val="clear" w:color="auto" w:fill="auto"/>
            <w:noWrap/>
            <w:vAlign w:val="center"/>
            <w:hideMark/>
          </w:tcPr>
          <w:p w14:paraId="33E5F5F7" w14:textId="7D697E73" w:rsidR="00D923AA" w:rsidRPr="007B010A" w:rsidRDefault="00806DB7" w:rsidP="00376CF0">
            <w:pPr>
              <w:jc w:val="center"/>
              <w:rPr>
                <w:sz w:val="20"/>
                <w:szCs w:val="20"/>
              </w:rPr>
            </w:pPr>
            <w:r w:rsidRPr="007B010A">
              <w:rPr>
                <w:sz w:val="20"/>
                <w:szCs w:val="20"/>
              </w:rPr>
              <w:t>192 239</w:t>
            </w:r>
          </w:p>
        </w:tc>
        <w:tc>
          <w:tcPr>
            <w:tcW w:w="2033" w:type="dxa"/>
            <w:tcBorders>
              <w:top w:val="nil"/>
              <w:left w:val="nil"/>
              <w:bottom w:val="single" w:sz="4" w:space="0" w:color="auto"/>
              <w:right w:val="single" w:sz="4" w:space="0" w:color="auto"/>
            </w:tcBorders>
            <w:shd w:val="clear" w:color="auto" w:fill="auto"/>
            <w:noWrap/>
            <w:vAlign w:val="center"/>
            <w:hideMark/>
          </w:tcPr>
          <w:p w14:paraId="1819DFC5" w14:textId="5324F05F" w:rsidR="00D923AA" w:rsidRPr="007B010A" w:rsidRDefault="00806DB7" w:rsidP="00376CF0">
            <w:pPr>
              <w:jc w:val="center"/>
              <w:rPr>
                <w:sz w:val="20"/>
                <w:szCs w:val="20"/>
              </w:rPr>
            </w:pPr>
            <w:r w:rsidRPr="007B010A">
              <w:rPr>
                <w:sz w:val="20"/>
                <w:szCs w:val="20"/>
              </w:rPr>
              <w:t>18 664</w:t>
            </w:r>
          </w:p>
        </w:tc>
      </w:tr>
      <w:tr w:rsidR="007E6069" w:rsidRPr="007B010A" w14:paraId="36566720" w14:textId="77777777" w:rsidTr="00376CF0">
        <w:trPr>
          <w:trHeight w:val="300"/>
          <w:jc w:val="center"/>
        </w:trPr>
        <w:tc>
          <w:tcPr>
            <w:tcW w:w="633" w:type="dxa"/>
            <w:vMerge/>
            <w:tcBorders>
              <w:left w:val="nil"/>
              <w:right w:val="single" w:sz="4" w:space="0" w:color="auto"/>
            </w:tcBorders>
            <w:vAlign w:val="center"/>
            <w:hideMark/>
          </w:tcPr>
          <w:p w14:paraId="28CAB5C2"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03ABA7B3" w14:textId="77777777" w:rsidR="00D923AA" w:rsidRPr="007B010A" w:rsidRDefault="00D923AA" w:rsidP="00376CF0">
            <w:pPr>
              <w:rPr>
                <w:sz w:val="20"/>
                <w:szCs w:val="20"/>
              </w:rPr>
            </w:pPr>
            <w:r w:rsidRPr="007B010A">
              <w:rPr>
                <w:sz w:val="20"/>
                <w:szCs w:val="20"/>
              </w:rPr>
              <w:t>Arodslimību speciālisti</w:t>
            </w:r>
          </w:p>
        </w:tc>
        <w:tc>
          <w:tcPr>
            <w:tcW w:w="2791" w:type="dxa"/>
            <w:tcBorders>
              <w:top w:val="nil"/>
              <w:left w:val="nil"/>
              <w:bottom w:val="single" w:sz="4" w:space="0" w:color="auto"/>
              <w:right w:val="single" w:sz="4" w:space="0" w:color="auto"/>
            </w:tcBorders>
            <w:shd w:val="clear" w:color="auto" w:fill="auto"/>
            <w:noWrap/>
            <w:vAlign w:val="center"/>
            <w:hideMark/>
          </w:tcPr>
          <w:p w14:paraId="6B4D37CB" w14:textId="4B264A3F" w:rsidR="00D923AA" w:rsidRPr="007B010A" w:rsidRDefault="00806DB7" w:rsidP="00376CF0">
            <w:pPr>
              <w:jc w:val="center"/>
              <w:rPr>
                <w:sz w:val="20"/>
                <w:szCs w:val="20"/>
              </w:rPr>
            </w:pPr>
            <w:r w:rsidRPr="007B010A">
              <w:rPr>
                <w:sz w:val="20"/>
                <w:szCs w:val="20"/>
              </w:rPr>
              <w:t xml:space="preserve">10 </w:t>
            </w:r>
            <w:r w:rsidR="0078635E" w:rsidRPr="007B010A">
              <w:rPr>
                <w:sz w:val="20"/>
                <w:szCs w:val="20"/>
              </w:rPr>
              <w:t>034</w:t>
            </w:r>
          </w:p>
        </w:tc>
        <w:tc>
          <w:tcPr>
            <w:tcW w:w="2033" w:type="dxa"/>
            <w:tcBorders>
              <w:top w:val="nil"/>
              <w:left w:val="nil"/>
              <w:bottom w:val="single" w:sz="4" w:space="0" w:color="auto"/>
              <w:right w:val="single" w:sz="4" w:space="0" w:color="auto"/>
            </w:tcBorders>
            <w:shd w:val="clear" w:color="auto" w:fill="auto"/>
            <w:noWrap/>
            <w:vAlign w:val="center"/>
            <w:hideMark/>
          </w:tcPr>
          <w:p w14:paraId="0C6268AD" w14:textId="16FB35A5" w:rsidR="00D923AA" w:rsidRPr="007B010A" w:rsidRDefault="0078635E" w:rsidP="00376CF0">
            <w:pPr>
              <w:jc w:val="center"/>
              <w:rPr>
                <w:sz w:val="20"/>
                <w:szCs w:val="20"/>
              </w:rPr>
            </w:pPr>
            <w:r w:rsidRPr="007B010A">
              <w:rPr>
                <w:sz w:val="20"/>
                <w:szCs w:val="20"/>
              </w:rPr>
              <w:t>780</w:t>
            </w:r>
          </w:p>
        </w:tc>
      </w:tr>
      <w:tr w:rsidR="007E6069" w:rsidRPr="007B010A" w14:paraId="14FD4F58" w14:textId="77777777" w:rsidTr="00376CF0">
        <w:trPr>
          <w:trHeight w:val="300"/>
          <w:jc w:val="center"/>
        </w:trPr>
        <w:tc>
          <w:tcPr>
            <w:tcW w:w="633" w:type="dxa"/>
            <w:vMerge/>
            <w:tcBorders>
              <w:left w:val="nil"/>
              <w:right w:val="single" w:sz="4" w:space="0" w:color="auto"/>
            </w:tcBorders>
            <w:vAlign w:val="center"/>
            <w:hideMark/>
          </w:tcPr>
          <w:p w14:paraId="2BBF0BE5"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5B381ECA" w14:textId="77777777" w:rsidR="00D923AA" w:rsidRPr="007B010A" w:rsidRDefault="00D923AA" w:rsidP="00376CF0">
            <w:pPr>
              <w:rPr>
                <w:sz w:val="20"/>
                <w:szCs w:val="20"/>
              </w:rPr>
            </w:pPr>
            <w:proofErr w:type="spellStart"/>
            <w:r w:rsidRPr="007B010A">
              <w:rPr>
                <w:sz w:val="20"/>
                <w:szCs w:val="20"/>
              </w:rPr>
              <w:t>Dermatoveneroloģija</w:t>
            </w:r>
            <w:proofErr w:type="spellEnd"/>
          </w:p>
        </w:tc>
        <w:tc>
          <w:tcPr>
            <w:tcW w:w="2791" w:type="dxa"/>
            <w:tcBorders>
              <w:top w:val="nil"/>
              <w:left w:val="nil"/>
              <w:bottom w:val="single" w:sz="4" w:space="0" w:color="auto"/>
              <w:right w:val="single" w:sz="4" w:space="0" w:color="auto"/>
            </w:tcBorders>
            <w:shd w:val="clear" w:color="auto" w:fill="auto"/>
            <w:noWrap/>
            <w:vAlign w:val="bottom"/>
            <w:hideMark/>
          </w:tcPr>
          <w:p w14:paraId="130219FB" w14:textId="3E45BDDA" w:rsidR="00D923AA" w:rsidRPr="007B010A" w:rsidRDefault="0078635E" w:rsidP="00376CF0">
            <w:pPr>
              <w:jc w:val="center"/>
              <w:rPr>
                <w:sz w:val="20"/>
                <w:szCs w:val="20"/>
              </w:rPr>
            </w:pPr>
            <w:r w:rsidRPr="007B010A">
              <w:rPr>
                <w:sz w:val="20"/>
                <w:szCs w:val="20"/>
              </w:rPr>
              <w:t>217 731</w:t>
            </w:r>
          </w:p>
        </w:tc>
        <w:tc>
          <w:tcPr>
            <w:tcW w:w="2033" w:type="dxa"/>
            <w:tcBorders>
              <w:top w:val="nil"/>
              <w:left w:val="nil"/>
              <w:bottom w:val="single" w:sz="4" w:space="0" w:color="auto"/>
              <w:right w:val="single" w:sz="4" w:space="0" w:color="auto"/>
            </w:tcBorders>
            <w:shd w:val="clear" w:color="auto" w:fill="auto"/>
            <w:noWrap/>
            <w:vAlign w:val="bottom"/>
            <w:hideMark/>
          </w:tcPr>
          <w:p w14:paraId="52AB698E" w14:textId="149135E8" w:rsidR="00D923AA" w:rsidRPr="007B010A" w:rsidRDefault="0078635E" w:rsidP="00376CF0">
            <w:pPr>
              <w:jc w:val="center"/>
              <w:rPr>
                <w:sz w:val="20"/>
                <w:szCs w:val="20"/>
              </w:rPr>
            </w:pPr>
            <w:r w:rsidRPr="007B010A">
              <w:rPr>
                <w:sz w:val="20"/>
                <w:szCs w:val="20"/>
              </w:rPr>
              <w:t>13 108</w:t>
            </w:r>
          </w:p>
        </w:tc>
      </w:tr>
      <w:tr w:rsidR="007E6069" w:rsidRPr="007B010A" w14:paraId="7E2D4DC7" w14:textId="77777777" w:rsidTr="00376CF0">
        <w:trPr>
          <w:trHeight w:val="300"/>
          <w:jc w:val="center"/>
        </w:trPr>
        <w:tc>
          <w:tcPr>
            <w:tcW w:w="633" w:type="dxa"/>
            <w:vMerge/>
            <w:tcBorders>
              <w:left w:val="nil"/>
              <w:right w:val="single" w:sz="4" w:space="0" w:color="auto"/>
            </w:tcBorders>
            <w:vAlign w:val="center"/>
            <w:hideMark/>
          </w:tcPr>
          <w:p w14:paraId="54D9A5E1"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3CBD8A72" w14:textId="77777777" w:rsidR="00D923AA" w:rsidRPr="007B010A" w:rsidRDefault="00D923AA" w:rsidP="00376CF0">
            <w:pPr>
              <w:rPr>
                <w:sz w:val="20"/>
                <w:szCs w:val="20"/>
              </w:rPr>
            </w:pPr>
            <w:r w:rsidRPr="007B010A">
              <w:rPr>
                <w:sz w:val="20"/>
                <w:szCs w:val="20"/>
              </w:rPr>
              <w:t>Endokrinoloģija</w:t>
            </w:r>
          </w:p>
        </w:tc>
        <w:tc>
          <w:tcPr>
            <w:tcW w:w="2791" w:type="dxa"/>
            <w:tcBorders>
              <w:top w:val="nil"/>
              <w:left w:val="nil"/>
              <w:bottom w:val="single" w:sz="4" w:space="0" w:color="auto"/>
              <w:right w:val="single" w:sz="4" w:space="0" w:color="auto"/>
            </w:tcBorders>
            <w:shd w:val="clear" w:color="auto" w:fill="auto"/>
            <w:noWrap/>
            <w:vAlign w:val="center"/>
            <w:hideMark/>
          </w:tcPr>
          <w:p w14:paraId="4E750BDC" w14:textId="21CDB35D" w:rsidR="00D923AA" w:rsidRPr="007B010A" w:rsidRDefault="0078635E" w:rsidP="00376CF0">
            <w:pPr>
              <w:jc w:val="center"/>
              <w:rPr>
                <w:sz w:val="20"/>
                <w:szCs w:val="20"/>
              </w:rPr>
            </w:pPr>
            <w:r w:rsidRPr="007B010A">
              <w:rPr>
                <w:sz w:val="20"/>
                <w:szCs w:val="20"/>
              </w:rPr>
              <w:t>335 946</w:t>
            </w:r>
          </w:p>
        </w:tc>
        <w:tc>
          <w:tcPr>
            <w:tcW w:w="2033" w:type="dxa"/>
            <w:tcBorders>
              <w:top w:val="nil"/>
              <w:left w:val="nil"/>
              <w:bottom w:val="single" w:sz="4" w:space="0" w:color="auto"/>
              <w:right w:val="single" w:sz="4" w:space="0" w:color="auto"/>
            </w:tcBorders>
            <w:shd w:val="clear" w:color="auto" w:fill="auto"/>
            <w:noWrap/>
            <w:vAlign w:val="center"/>
            <w:hideMark/>
          </w:tcPr>
          <w:p w14:paraId="7B54C598" w14:textId="6B66C575" w:rsidR="00D923AA" w:rsidRPr="007B010A" w:rsidRDefault="0078635E" w:rsidP="00376CF0">
            <w:pPr>
              <w:jc w:val="center"/>
              <w:rPr>
                <w:sz w:val="20"/>
                <w:szCs w:val="20"/>
              </w:rPr>
            </w:pPr>
            <w:r w:rsidRPr="007B010A">
              <w:rPr>
                <w:sz w:val="20"/>
                <w:szCs w:val="20"/>
              </w:rPr>
              <w:t>25 862</w:t>
            </w:r>
          </w:p>
        </w:tc>
      </w:tr>
      <w:tr w:rsidR="007E6069" w:rsidRPr="007B010A" w14:paraId="60E22BD8" w14:textId="77777777" w:rsidTr="00376CF0">
        <w:trPr>
          <w:trHeight w:val="300"/>
          <w:jc w:val="center"/>
        </w:trPr>
        <w:tc>
          <w:tcPr>
            <w:tcW w:w="633" w:type="dxa"/>
            <w:vMerge/>
            <w:tcBorders>
              <w:left w:val="nil"/>
              <w:right w:val="single" w:sz="4" w:space="0" w:color="auto"/>
            </w:tcBorders>
            <w:vAlign w:val="center"/>
            <w:hideMark/>
          </w:tcPr>
          <w:p w14:paraId="2B0DCB59"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4B3ED924" w14:textId="77777777" w:rsidR="00D923AA" w:rsidRPr="007B010A" w:rsidRDefault="00D923AA" w:rsidP="00376CF0">
            <w:pPr>
              <w:rPr>
                <w:sz w:val="20"/>
                <w:szCs w:val="20"/>
              </w:rPr>
            </w:pPr>
            <w:r w:rsidRPr="007B010A">
              <w:rPr>
                <w:sz w:val="20"/>
                <w:szCs w:val="20"/>
              </w:rPr>
              <w:t>Gastroenteroloģija</w:t>
            </w:r>
          </w:p>
        </w:tc>
        <w:tc>
          <w:tcPr>
            <w:tcW w:w="2791" w:type="dxa"/>
            <w:tcBorders>
              <w:top w:val="nil"/>
              <w:left w:val="nil"/>
              <w:bottom w:val="single" w:sz="4" w:space="0" w:color="auto"/>
              <w:right w:val="single" w:sz="4" w:space="0" w:color="auto"/>
            </w:tcBorders>
            <w:shd w:val="clear" w:color="auto" w:fill="auto"/>
            <w:noWrap/>
            <w:vAlign w:val="center"/>
            <w:hideMark/>
          </w:tcPr>
          <w:p w14:paraId="451D22AE" w14:textId="60B20F11" w:rsidR="00D923AA" w:rsidRPr="007B010A" w:rsidRDefault="0078635E" w:rsidP="00376CF0">
            <w:pPr>
              <w:jc w:val="center"/>
              <w:rPr>
                <w:sz w:val="20"/>
                <w:szCs w:val="20"/>
              </w:rPr>
            </w:pPr>
            <w:r w:rsidRPr="007B010A">
              <w:rPr>
                <w:sz w:val="20"/>
                <w:szCs w:val="20"/>
              </w:rPr>
              <w:t>31 413</w:t>
            </w:r>
          </w:p>
        </w:tc>
        <w:tc>
          <w:tcPr>
            <w:tcW w:w="2033" w:type="dxa"/>
            <w:tcBorders>
              <w:top w:val="nil"/>
              <w:left w:val="nil"/>
              <w:bottom w:val="single" w:sz="4" w:space="0" w:color="auto"/>
              <w:right w:val="single" w:sz="4" w:space="0" w:color="auto"/>
            </w:tcBorders>
            <w:shd w:val="clear" w:color="auto" w:fill="auto"/>
            <w:noWrap/>
            <w:vAlign w:val="center"/>
            <w:hideMark/>
          </w:tcPr>
          <w:p w14:paraId="09C83692" w14:textId="29F8D8DE" w:rsidR="00D923AA" w:rsidRPr="007B010A" w:rsidRDefault="0078635E" w:rsidP="00376CF0">
            <w:pPr>
              <w:jc w:val="center"/>
              <w:rPr>
                <w:sz w:val="20"/>
                <w:szCs w:val="20"/>
              </w:rPr>
            </w:pPr>
            <w:r w:rsidRPr="007B010A">
              <w:rPr>
                <w:sz w:val="20"/>
                <w:szCs w:val="20"/>
              </w:rPr>
              <w:t>2 189</w:t>
            </w:r>
          </w:p>
        </w:tc>
      </w:tr>
      <w:tr w:rsidR="007E6069" w:rsidRPr="007B010A" w14:paraId="5A086689" w14:textId="77777777" w:rsidTr="00376CF0">
        <w:trPr>
          <w:trHeight w:val="300"/>
          <w:jc w:val="center"/>
        </w:trPr>
        <w:tc>
          <w:tcPr>
            <w:tcW w:w="633" w:type="dxa"/>
            <w:vMerge/>
            <w:tcBorders>
              <w:left w:val="nil"/>
              <w:right w:val="single" w:sz="4" w:space="0" w:color="auto"/>
            </w:tcBorders>
            <w:vAlign w:val="center"/>
            <w:hideMark/>
          </w:tcPr>
          <w:p w14:paraId="5FB8EF22"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54BADA3F" w14:textId="77777777" w:rsidR="00D923AA" w:rsidRPr="007B010A" w:rsidRDefault="00D923AA" w:rsidP="00376CF0">
            <w:pPr>
              <w:rPr>
                <w:sz w:val="20"/>
                <w:szCs w:val="20"/>
              </w:rPr>
            </w:pPr>
            <w:r w:rsidRPr="007B010A">
              <w:rPr>
                <w:sz w:val="20"/>
                <w:szCs w:val="20"/>
              </w:rPr>
              <w:t>Ginekoloģija</w:t>
            </w:r>
          </w:p>
        </w:tc>
        <w:tc>
          <w:tcPr>
            <w:tcW w:w="2791" w:type="dxa"/>
            <w:tcBorders>
              <w:top w:val="nil"/>
              <w:left w:val="nil"/>
              <w:bottom w:val="single" w:sz="4" w:space="0" w:color="auto"/>
              <w:right w:val="single" w:sz="4" w:space="0" w:color="auto"/>
            </w:tcBorders>
            <w:shd w:val="clear" w:color="auto" w:fill="auto"/>
            <w:noWrap/>
            <w:vAlign w:val="center"/>
            <w:hideMark/>
          </w:tcPr>
          <w:p w14:paraId="1F537622" w14:textId="4AA48062" w:rsidR="00D923AA" w:rsidRPr="007B010A" w:rsidRDefault="0078635E" w:rsidP="00376CF0">
            <w:pPr>
              <w:jc w:val="center"/>
              <w:rPr>
                <w:sz w:val="20"/>
                <w:szCs w:val="20"/>
              </w:rPr>
            </w:pPr>
            <w:r w:rsidRPr="007B010A">
              <w:rPr>
                <w:sz w:val="20"/>
                <w:szCs w:val="20"/>
              </w:rPr>
              <w:t>300 621</w:t>
            </w:r>
          </w:p>
        </w:tc>
        <w:tc>
          <w:tcPr>
            <w:tcW w:w="2033" w:type="dxa"/>
            <w:tcBorders>
              <w:top w:val="nil"/>
              <w:left w:val="nil"/>
              <w:bottom w:val="single" w:sz="4" w:space="0" w:color="auto"/>
              <w:right w:val="single" w:sz="4" w:space="0" w:color="auto"/>
            </w:tcBorders>
            <w:shd w:val="clear" w:color="auto" w:fill="auto"/>
            <w:noWrap/>
            <w:vAlign w:val="center"/>
            <w:hideMark/>
          </w:tcPr>
          <w:p w14:paraId="5FE7C89F" w14:textId="23DE113C" w:rsidR="00D923AA" w:rsidRPr="007B010A" w:rsidRDefault="0078635E" w:rsidP="00376CF0">
            <w:pPr>
              <w:jc w:val="center"/>
              <w:rPr>
                <w:sz w:val="20"/>
                <w:szCs w:val="20"/>
              </w:rPr>
            </w:pPr>
            <w:r w:rsidRPr="007B010A">
              <w:rPr>
                <w:sz w:val="20"/>
                <w:szCs w:val="20"/>
              </w:rPr>
              <w:t>29 243</w:t>
            </w:r>
          </w:p>
        </w:tc>
      </w:tr>
      <w:tr w:rsidR="007E6069" w:rsidRPr="007B010A" w14:paraId="08E35D6F" w14:textId="77777777" w:rsidTr="00376CF0">
        <w:trPr>
          <w:trHeight w:val="300"/>
          <w:jc w:val="center"/>
        </w:trPr>
        <w:tc>
          <w:tcPr>
            <w:tcW w:w="633" w:type="dxa"/>
            <w:vMerge/>
            <w:tcBorders>
              <w:left w:val="nil"/>
              <w:right w:val="single" w:sz="4" w:space="0" w:color="auto"/>
            </w:tcBorders>
            <w:vAlign w:val="center"/>
            <w:hideMark/>
          </w:tcPr>
          <w:p w14:paraId="0F526965"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67A1F013" w14:textId="77777777" w:rsidR="00D923AA" w:rsidRPr="007B010A" w:rsidRDefault="00D923AA" w:rsidP="00376CF0">
            <w:pPr>
              <w:rPr>
                <w:sz w:val="20"/>
                <w:szCs w:val="20"/>
              </w:rPr>
            </w:pPr>
            <w:r w:rsidRPr="007B010A">
              <w:rPr>
                <w:sz w:val="20"/>
                <w:szCs w:val="20"/>
              </w:rPr>
              <w:t>Hematoloģija</w:t>
            </w:r>
          </w:p>
        </w:tc>
        <w:tc>
          <w:tcPr>
            <w:tcW w:w="2791" w:type="dxa"/>
            <w:tcBorders>
              <w:top w:val="nil"/>
              <w:left w:val="nil"/>
              <w:bottom w:val="single" w:sz="4" w:space="0" w:color="auto"/>
              <w:right w:val="single" w:sz="4" w:space="0" w:color="auto"/>
            </w:tcBorders>
            <w:shd w:val="clear" w:color="auto" w:fill="auto"/>
            <w:noWrap/>
            <w:vAlign w:val="center"/>
            <w:hideMark/>
          </w:tcPr>
          <w:p w14:paraId="4A84056F" w14:textId="1947F847" w:rsidR="00D923AA" w:rsidRPr="007B010A" w:rsidRDefault="0078635E" w:rsidP="00376CF0">
            <w:pPr>
              <w:jc w:val="center"/>
              <w:rPr>
                <w:sz w:val="20"/>
                <w:szCs w:val="20"/>
              </w:rPr>
            </w:pPr>
            <w:r w:rsidRPr="007B010A">
              <w:rPr>
                <w:sz w:val="20"/>
                <w:szCs w:val="20"/>
              </w:rPr>
              <w:t>29 234</w:t>
            </w:r>
          </w:p>
        </w:tc>
        <w:tc>
          <w:tcPr>
            <w:tcW w:w="2033" w:type="dxa"/>
            <w:tcBorders>
              <w:top w:val="nil"/>
              <w:left w:val="nil"/>
              <w:bottom w:val="single" w:sz="4" w:space="0" w:color="auto"/>
              <w:right w:val="single" w:sz="4" w:space="0" w:color="auto"/>
            </w:tcBorders>
            <w:shd w:val="clear" w:color="auto" w:fill="auto"/>
            <w:noWrap/>
            <w:vAlign w:val="center"/>
            <w:hideMark/>
          </w:tcPr>
          <w:p w14:paraId="45D148D1" w14:textId="790C6839" w:rsidR="00D923AA" w:rsidRPr="007B010A" w:rsidRDefault="0078635E" w:rsidP="00376CF0">
            <w:pPr>
              <w:jc w:val="center"/>
              <w:rPr>
                <w:sz w:val="20"/>
                <w:szCs w:val="20"/>
              </w:rPr>
            </w:pPr>
            <w:r w:rsidRPr="007B010A">
              <w:rPr>
                <w:sz w:val="20"/>
                <w:szCs w:val="20"/>
              </w:rPr>
              <w:t>1 940</w:t>
            </w:r>
          </w:p>
        </w:tc>
      </w:tr>
      <w:tr w:rsidR="007E6069" w:rsidRPr="007B010A" w14:paraId="38142864" w14:textId="77777777" w:rsidTr="00376CF0">
        <w:trPr>
          <w:trHeight w:val="300"/>
          <w:jc w:val="center"/>
        </w:trPr>
        <w:tc>
          <w:tcPr>
            <w:tcW w:w="633" w:type="dxa"/>
            <w:vMerge/>
            <w:tcBorders>
              <w:left w:val="nil"/>
              <w:right w:val="single" w:sz="4" w:space="0" w:color="auto"/>
            </w:tcBorders>
            <w:vAlign w:val="center"/>
            <w:hideMark/>
          </w:tcPr>
          <w:p w14:paraId="15842732"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09E061AA" w14:textId="77777777" w:rsidR="00D923AA" w:rsidRPr="007B010A" w:rsidRDefault="00D923AA" w:rsidP="00376CF0">
            <w:pPr>
              <w:rPr>
                <w:sz w:val="20"/>
                <w:szCs w:val="20"/>
              </w:rPr>
            </w:pPr>
            <w:r w:rsidRPr="007B010A">
              <w:rPr>
                <w:sz w:val="20"/>
                <w:szCs w:val="20"/>
              </w:rPr>
              <w:t>Infektoloģija</w:t>
            </w:r>
          </w:p>
        </w:tc>
        <w:tc>
          <w:tcPr>
            <w:tcW w:w="2791" w:type="dxa"/>
            <w:tcBorders>
              <w:top w:val="nil"/>
              <w:left w:val="nil"/>
              <w:bottom w:val="single" w:sz="4" w:space="0" w:color="auto"/>
              <w:right w:val="single" w:sz="4" w:space="0" w:color="auto"/>
            </w:tcBorders>
            <w:shd w:val="clear" w:color="auto" w:fill="auto"/>
            <w:noWrap/>
            <w:vAlign w:val="center"/>
            <w:hideMark/>
          </w:tcPr>
          <w:p w14:paraId="000F6897" w14:textId="6C0747E4" w:rsidR="00D923AA" w:rsidRPr="007B010A" w:rsidRDefault="0078635E" w:rsidP="00376CF0">
            <w:pPr>
              <w:jc w:val="center"/>
              <w:rPr>
                <w:sz w:val="20"/>
                <w:szCs w:val="20"/>
              </w:rPr>
            </w:pPr>
            <w:r w:rsidRPr="007B010A">
              <w:rPr>
                <w:sz w:val="20"/>
                <w:szCs w:val="20"/>
              </w:rPr>
              <w:t>32 104</w:t>
            </w:r>
          </w:p>
        </w:tc>
        <w:tc>
          <w:tcPr>
            <w:tcW w:w="2033" w:type="dxa"/>
            <w:tcBorders>
              <w:top w:val="nil"/>
              <w:left w:val="nil"/>
              <w:bottom w:val="single" w:sz="4" w:space="0" w:color="auto"/>
              <w:right w:val="single" w:sz="4" w:space="0" w:color="auto"/>
            </w:tcBorders>
            <w:shd w:val="clear" w:color="auto" w:fill="auto"/>
            <w:noWrap/>
            <w:vAlign w:val="center"/>
            <w:hideMark/>
          </w:tcPr>
          <w:p w14:paraId="6A2C1450" w14:textId="6E5DF953" w:rsidR="00D923AA" w:rsidRPr="007B010A" w:rsidRDefault="0078635E" w:rsidP="00376CF0">
            <w:pPr>
              <w:jc w:val="center"/>
              <w:rPr>
                <w:sz w:val="20"/>
                <w:szCs w:val="20"/>
              </w:rPr>
            </w:pPr>
            <w:r w:rsidRPr="007B010A">
              <w:rPr>
                <w:sz w:val="20"/>
                <w:szCs w:val="20"/>
              </w:rPr>
              <w:t>1 974</w:t>
            </w:r>
          </w:p>
        </w:tc>
      </w:tr>
      <w:tr w:rsidR="007E6069" w:rsidRPr="007B010A" w14:paraId="08431312" w14:textId="77777777" w:rsidTr="00376CF0">
        <w:trPr>
          <w:trHeight w:val="300"/>
          <w:jc w:val="center"/>
        </w:trPr>
        <w:tc>
          <w:tcPr>
            <w:tcW w:w="633" w:type="dxa"/>
            <w:vMerge/>
            <w:tcBorders>
              <w:left w:val="nil"/>
              <w:right w:val="single" w:sz="4" w:space="0" w:color="auto"/>
            </w:tcBorders>
            <w:vAlign w:val="center"/>
            <w:hideMark/>
          </w:tcPr>
          <w:p w14:paraId="785E57F2"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5660D407" w14:textId="77777777" w:rsidR="00D923AA" w:rsidRPr="007B010A" w:rsidRDefault="00D923AA" w:rsidP="00376CF0">
            <w:pPr>
              <w:rPr>
                <w:sz w:val="20"/>
                <w:szCs w:val="20"/>
              </w:rPr>
            </w:pPr>
            <w:r w:rsidRPr="007B010A">
              <w:rPr>
                <w:sz w:val="20"/>
                <w:szCs w:val="20"/>
              </w:rPr>
              <w:t>Internā medicīna</w:t>
            </w:r>
          </w:p>
        </w:tc>
        <w:tc>
          <w:tcPr>
            <w:tcW w:w="2791" w:type="dxa"/>
            <w:tcBorders>
              <w:top w:val="nil"/>
              <w:left w:val="nil"/>
              <w:bottom w:val="single" w:sz="4" w:space="0" w:color="auto"/>
              <w:right w:val="single" w:sz="4" w:space="0" w:color="auto"/>
            </w:tcBorders>
            <w:shd w:val="clear" w:color="auto" w:fill="auto"/>
            <w:noWrap/>
            <w:vAlign w:val="center"/>
            <w:hideMark/>
          </w:tcPr>
          <w:p w14:paraId="5BB2E6C9" w14:textId="2632DCF7" w:rsidR="00D923AA" w:rsidRPr="007B010A" w:rsidRDefault="0078635E" w:rsidP="00376CF0">
            <w:pPr>
              <w:jc w:val="center"/>
              <w:rPr>
                <w:sz w:val="20"/>
                <w:szCs w:val="20"/>
              </w:rPr>
            </w:pPr>
            <w:r w:rsidRPr="007B010A">
              <w:rPr>
                <w:sz w:val="20"/>
                <w:szCs w:val="20"/>
              </w:rPr>
              <w:t>1</w:t>
            </w:r>
            <w:r w:rsidR="00D923AA" w:rsidRPr="007B010A">
              <w:rPr>
                <w:sz w:val="20"/>
                <w:szCs w:val="20"/>
              </w:rPr>
              <w:t xml:space="preserve">8 </w:t>
            </w:r>
            <w:r w:rsidRPr="007B010A">
              <w:rPr>
                <w:sz w:val="20"/>
                <w:szCs w:val="20"/>
              </w:rPr>
              <w:t>708</w:t>
            </w:r>
          </w:p>
        </w:tc>
        <w:tc>
          <w:tcPr>
            <w:tcW w:w="2033" w:type="dxa"/>
            <w:tcBorders>
              <w:top w:val="nil"/>
              <w:left w:val="nil"/>
              <w:bottom w:val="single" w:sz="4" w:space="0" w:color="auto"/>
              <w:right w:val="single" w:sz="4" w:space="0" w:color="auto"/>
            </w:tcBorders>
            <w:shd w:val="clear" w:color="auto" w:fill="auto"/>
            <w:noWrap/>
            <w:vAlign w:val="center"/>
            <w:hideMark/>
          </w:tcPr>
          <w:p w14:paraId="794C897A" w14:textId="0853B44B" w:rsidR="00D923AA" w:rsidRPr="007B010A" w:rsidRDefault="0078635E" w:rsidP="00376CF0">
            <w:pPr>
              <w:jc w:val="center"/>
              <w:rPr>
                <w:sz w:val="20"/>
                <w:szCs w:val="20"/>
              </w:rPr>
            </w:pPr>
            <w:r w:rsidRPr="007B010A">
              <w:rPr>
                <w:sz w:val="20"/>
                <w:szCs w:val="20"/>
              </w:rPr>
              <w:t>1 153</w:t>
            </w:r>
          </w:p>
        </w:tc>
      </w:tr>
      <w:tr w:rsidR="007E6069" w:rsidRPr="007B010A" w14:paraId="6CA21081" w14:textId="77777777" w:rsidTr="00376CF0">
        <w:trPr>
          <w:trHeight w:val="300"/>
          <w:jc w:val="center"/>
        </w:trPr>
        <w:tc>
          <w:tcPr>
            <w:tcW w:w="633" w:type="dxa"/>
            <w:vMerge/>
            <w:tcBorders>
              <w:left w:val="nil"/>
              <w:right w:val="single" w:sz="4" w:space="0" w:color="auto"/>
            </w:tcBorders>
            <w:vAlign w:val="center"/>
            <w:hideMark/>
          </w:tcPr>
          <w:p w14:paraId="103F55DC"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68CD94DD" w14:textId="77777777" w:rsidR="00D923AA" w:rsidRPr="007B010A" w:rsidRDefault="00D923AA" w:rsidP="00376CF0">
            <w:pPr>
              <w:rPr>
                <w:sz w:val="20"/>
                <w:szCs w:val="20"/>
              </w:rPr>
            </w:pPr>
            <w:r w:rsidRPr="007B010A">
              <w:rPr>
                <w:sz w:val="20"/>
                <w:szCs w:val="20"/>
              </w:rPr>
              <w:t>Kardioloģija</w:t>
            </w:r>
          </w:p>
        </w:tc>
        <w:tc>
          <w:tcPr>
            <w:tcW w:w="2791" w:type="dxa"/>
            <w:tcBorders>
              <w:top w:val="nil"/>
              <w:left w:val="nil"/>
              <w:bottom w:val="single" w:sz="4" w:space="0" w:color="auto"/>
              <w:right w:val="single" w:sz="4" w:space="0" w:color="auto"/>
            </w:tcBorders>
            <w:shd w:val="clear" w:color="auto" w:fill="auto"/>
            <w:noWrap/>
            <w:vAlign w:val="center"/>
            <w:hideMark/>
          </w:tcPr>
          <w:p w14:paraId="31D4C81D" w14:textId="0E385C71" w:rsidR="00D923AA" w:rsidRPr="007B010A" w:rsidRDefault="0078635E" w:rsidP="00376CF0">
            <w:pPr>
              <w:jc w:val="center"/>
              <w:rPr>
                <w:sz w:val="20"/>
                <w:szCs w:val="20"/>
              </w:rPr>
            </w:pPr>
            <w:r w:rsidRPr="007B010A">
              <w:rPr>
                <w:sz w:val="20"/>
                <w:szCs w:val="20"/>
              </w:rPr>
              <w:t>103 054</w:t>
            </w:r>
          </w:p>
        </w:tc>
        <w:tc>
          <w:tcPr>
            <w:tcW w:w="2033" w:type="dxa"/>
            <w:tcBorders>
              <w:top w:val="nil"/>
              <w:left w:val="nil"/>
              <w:bottom w:val="single" w:sz="4" w:space="0" w:color="auto"/>
              <w:right w:val="single" w:sz="4" w:space="0" w:color="auto"/>
            </w:tcBorders>
            <w:shd w:val="clear" w:color="auto" w:fill="auto"/>
            <w:noWrap/>
            <w:vAlign w:val="center"/>
            <w:hideMark/>
          </w:tcPr>
          <w:p w14:paraId="4B0DD49B" w14:textId="233F218F" w:rsidR="00D923AA" w:rsidRPr="007B010A" w:rsidRDefault="0078635E" w:rsidP="00376CF0">
            <w:pPr>
              <w:jc w:val="center"/>
              <w:rPr>
                <w:sz w:val="20"/>
                <w:szCs w:val="20"/>
              </w:rPr>
            </w:pPr>
            <w:r w:rsidRPr="007B010A">
              <w:rPr>
                <w:sz w:val="20"/>
                <w:szCs w:val="20"/>
              </w:rPr>
              <w:t>7 393</w:t>
            </w:r>
          </w:p>
        </w:tc>
      </w:tr>
      <w:tr w:rsidR="007E6069" w:rsidRPr="007B010A" w14:paraId="303D8FCE" w14:textId="77777777" w:rsidTr="00376CF0">
        <w:trPr>
          <w:trHeight w:val="300"/>
          <w:jc w:val="center"/>
        </w:trPr>
        <w:tc>
          <w:tcPr>
            <w:tcW w:w="633" w:type="dxa"/>
            <w:vMerge/>
            <w:tcBorders>
              <w:left w:val="nil"/>
              <w:right w:val="single" w:sz="4" w:space="0" w:color="auto"/>
            </w:tcBorders>
            <w:vAlign w:val="center"/>
            <w:hideMark/>
          </w:tcPr>
          <w:p w14:paraId="206008AC"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1F395FDD" w14:textId="77777777" w:rsidR="00D923AA" w:rsidRPr="007B010A" w:rsidRDefault="00D923AA" w:rsidP="00376CF0">
            <w:pPr>
              <w:rPr>
                <w:sz w:val="20"/>
                <w:szCs w:val="20"/>
              </w:rPr>
            </w:pPr>
            <w:r w:rsidRPr="007B010A">
              <w:rPr>
                <w:sz w:val="20"/>
                <w:szCs w:val="20"/>
              </w:rPr>
              <w:t>Ķirurģija</w:t>
            </w:r>
          </w:p>
        </w:tc>
        <w:tc>
          <w:tcPr>
            <w:tcW w:w="2791" w:type="dxa"/>
            <w:tcBorders>
              <w:top w:val="nil"/>
              <w:left w:val="nil"/>
              <w:bottom w:val="single" w:sz="4" w:space="0" w:color="auto"/>
              <w:right w:val="single" w:sz="4" w:space="0" w:color="auto"/>
            </w:tcBorders>
            <w:shd w:val="clear" w:color="auto" w:fill="auto"/>
            <w:noWrap/>
            <w:vAlign w:val="center"/>
            <w:hideMark/>
          </w:tcPr>
          <w:p w14:paraId="771F6FA8" w14:textId="47F741DE" w:rsidR="00D923AA" w:rsidRPr="007B010A" w:rsidRDefault="0078635E" w:rsidP="00376CF0">
            <w:pPr>
              <w:jc w:val="center"/>
              <w:rPr>
                <w:sz w:val="20"/>
                <w:szCs w:val="20"/>
              </w:rPr>
            </w:pPr>
            <w:r w:rsidRPr="007B010A">
              <w:rPr>
                <w:sz w:val="20"/>
                <w:szCs w:val="20"/>
              </w:rPr>
              <w:t>504 641</w:t>
            </w:r>
          </w:p>
        </w:tc>
        <w:tc>
          <w:tcPr>
            <w:tcW w:w="2033" w:type="dxa"/>
            <w:tcBorders>
              <w:top w:val="nil"/>
              <w:left w:val="nil"/>
              <w:bottom w:val="single" w:sz="4" w:space="0" w:color="auto"/>
              <w:right w:val="single" w:sz="4" w:space="0" w:color="auto"/>
            </w:tcBorders>
            <w:shd w:val="clear" w:color="auto" w:fill="auto"/>
            <w:noWrap/>
            <w:vAlign w:val="center"/>
            <w:hideMark/>
          </w:tcPr>
          <w:p w14:paraId="0C0B8016" w14:textId="73A6B018" w:rsidR="00D923AA" w:rsidRPr="007B010A" w:rsidRDefault="0078635E" w:rsidP="00376CF0">
            <w:pPr>
              <w:jc w:val="center"/>
              <w:rPr>
                <w:sz w:val="20"/>
                <w:szCs w:val="20"/>
              </w:rPr>
            </w:pPr>
            <w:r w:rsidRPr="007B010A">
              <w:rPr>
                <w:sz w:val="20"/>
                <w:szCs w:val="20"/>
              </w:rPr>
              <w:t>25 245</w:t>
            </w:r>
          </w:p>
        </w:tc>
      </w:tr>
      <w:tr w:rsidR="007E6069" w:rsidRPr="007B010A" w14:paraId="7291D071" w14:textId="77777777" w:rsidTr="00376CF0">
        <w:trPr>
          <w:trHeight w:val="300"/>
          <w:jc w:val="center"/>
        </w:trPr>
        <w:tc>
          <w:tcPr>
            <w:tcW w:w="633" w:type="dxa"/>
            <w:vMerge/>
            <w:tcBorders>
              <w:left w:val="nil"/>
              <w:right w:val="single" w:sz="4" w:space="0" w:color="auto"/>
            </w:tcBorders>
            <w:vAlign w:val="center"/>
            <w:hideMark/>
          </w:tcPr>
          <w:p w14:paraId="44C29413"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77B76641" w14:textId="77777777" w:rsidR="00D923AA" w:rsidRPr="007B010A" w:rsidRDefault="00D923AA" w:rsidP="00376CF0">
            <w:pPr>
              <w:rPr>
                <w:sz w:val="20"/>
                <w:szCs w:val="20"/>
              </w:rPr>
            </w:pPr>
            <w:r w:rsidRPr="007B010A">
              <w:rPr>
                <w:sz w:val="20"/>
                <w:szCs w:val="20"/>
              </w:rPr>
              <w:t>Narkoloģija</w:t>
            </w:r>
          </w:p>
        </w:tc>
        <w:tc>
          <w:tcPr>
            <w:tcW w:w="2791" w:type="dxa"/>
            <w:tcBorders>
              <w:top w:val="nil"/>
              <w:left w:val="nil"/>
              <w:bottom w:val="single" w:sz="4" w:space="0" w:color="auto"/>
              <w:right w:val="single" w:sz="4" w:space="0" w:color="auto"/>
            </w:tcBorders>
            <w:shd w:val="clear" w:color="auto" w:fill="auto"/>
            <w:noWrap/>
            <w:vAlign w:val="center"/>
            <w:hideMark/>
          </w:tcPr>
          <w:p w14:paraId="51DAC525" w14:textId="5CBE8FBD" w:rsidR="00D923AA" w:rsidRPr="007B010A" w:rsidRDefault="0078635E" w:rsidP="00376CF0">
            <w:pPr>
              <w:jc w:val="center"/>
              <w:rPr>
                <w:sz w:val="20"/>
                <w:szCs w:val="20"/>
              </w:rPr>
            </w:pPr>
            <w:r w:rsidRPr="007B010A">
              <w:rPr>
                <w:sz w:val="20"/>
                <w:szCs w:val="20"/>
              </w:rPr>
              <w:t>52 954</w:t>
            </w:r>
          </w:p>
        </w:tc>
        <w:tc>
          <w:tcPr>
            <w:tcW w:w="2033" w:type="dxa"/>
            <w:tcBorders>
              <w:top w:val="nil"/>
              <w:left w:val="nil"/>
              <w:bottom w:val="single" w:sz="4" w:space="0" w:color="auto"/>
              <w:right w:val="single" w:sz="4" w:space="0" w:color="auto"/>
            </w:tcBorders>
            <w:shd w:val="clear" w:color="auto" w:fill="auto"/>
            <w:noWrap/>
            <w:vAlign w:val="center"/>
            <w:hideMark/>
          </w:tcPr>
          <w:p w14:paraId="50CA0E42" w14:textId="159D2BCA" w:rsidR="00D923AA" w:rsidRPr="007B010A" w:rsidRDefault="0078635E" w:rsidP="00376CF0">
            <w:pPr>
              <w:jc w:val="center"/>
              <w:rPr>
                <w:sz w:val="20"/>
                <w:szCs w:val="20"/>
              </w:rPr>
            </w:pPr>
            <w:r w:rsidRPr="007B010A">
              <w:rPr>
                <w:sz w:val="20"/>
                <w:szCs w:val="20"/>
              </w:rPr>
              <w:t>4 137</w:t>
            </w:r>
          </w:p>
        </w:tc>
      </w:tr>
      <w:tr w:rsidR="007E6069" w:rsidRPr="007B010A" w14:paraId="584B16E8" w14:textId="77777777" w:rsidTr="00376CF0">
        <w:trPr>
          <w:trHeight w:val="300"/>
          <w:jc w:val="center"/>
        </w:trPr>
        <w:tc>
          <w:tcPr>
            <w:tcW w:w="633" w:type="dxa"/>
            <w:vMerge/>
            <w:tcBorders>
              <w:left w:val="nil"/>
              <w:right w:val="single" w:sz="4" w:space="0" w:color="auto"/>
            </w:tcBorders>
            <w:vAlign w:val="center"/>
            <w:hideMark/>
          </w:tcPr>
          <w:p w14:paraId="5EF6706A"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2F438BF8" w14:textId="77777777" w:rsidR="00D923AA" w:rsidRPr="007B010A" w:rsidRDefault="00D923AA" w:rsidP="00376CF0">
            <w:pPr>
              <w:rPr>
                <w:sz w:val="20"/>
                <w:szCs w:val="20"/>
              </w:rPr>
            </w:pPr>
            <w:r w:rsidRPr="007B010A">
              <w:rPr>
                <w:sz w:val="20"/>
                <w:szCs w:val="20"/>
              </w:rPr>
              <w:t>Nefroloģija</w:t>
            </w:r>
          </w:p>
        </w:tc>
        <w:tc>
          <w:tcPr>
            <w:tcW w:w="2791" w:type="dxa"/>
            <w:tcBorders>
              <w:top w:val="nil"/>
              <w:left w:val="nil"/>
              <w:bottom w:val="single" w:sz="4" w:space="0" w:color="auto"/>
              <w:right w:val="single" w:sz="4" w:space="0" w:color="auto"/>
            </w:tcBorders>
            <w:shd w:val="clear" w:color="auto" w:fill="auto"/>
            <w:noWrap/>
            <w:vAlign w:val="center"/>
            <w:hideMark/>
          </w:tcPr>
          <w:p w14:paraId="4D5D6D6E" w14:textId="49A5ADF6" w:rsidR="00D923AA" w:rsidRPr="007B010A" w:rsidRDefault="0078635E" w:rsidP="00376CF0">
            <w:pPr>
              <w:jc w:val="center"/>
              <w:rPr>
                <w:sz w:val="20"/>
                <w:szCs w:val="20"/>
              </w:rPr>
            </w:pPr>
            <w:r w:rsidRPr="007B010A">
              <w:rPr>
                <w:sz w:val="20"/>
                <w:szCs w:val="20"/>
              </w:rPr>
              <w:t>30 849</w:t>
            </w:r>
          </w:p>
        </w:tc>
        <w:tc>
          <w:tcPr>
            <w:tcW w:w="2033" w:type="dxa"/>
            <w:tcBorders>
              <w:top w:val="nil"/>
              <w:left w:val="nil"/>
              <w:bottom w:val="single" w:sz="4" w:space="0" w:color="auto"/>
              <w:right w:val="single" w:sz="4" w:space="0" w:color="auto"/>
            </w:tcBorders>
            <w:shd w:val="clear" w:color="auto" w:fill="auto"/>
            <w:noWrap/>
            <w:vAlign w:val="center"/>
            <w:hideMark/>
          </w:tcPr>
          <w:p w14:paraId="143BE19E" w14:textId="740F9E71" w:rsidR="00D923AA" w:rsidRPr="007B010A" w:rsidRDefault="0078635E" w:rsidP="00376CF0">
            <w:pPr>
              <w:jc w:val="center"/>
              <w:rPr>
                <w:sz w:val="20"/>
                <w:szCs w:val="20"/>
              </w:rPr>
            </w:pPr>
            <w:r w:rsidRPr="007B010A">
              <w:rPr>
                <w:sz w:val="20"/>
                <w:szCs w:val="20"/>
              </w:rPr>
              <w:t>2 141</w:t>
            </w:r>
          </w:p>
        </w:tc>
      </w:tr>
      <w:tr w:rsidR="007E6069" w:rsidRPr="007B010A" w14:paraId="25F0CF15" w14:textId="77777777" w:rsidTr="00376CF0">
        <w:trPr>
          <w:trHeight w:val="300"/>
          <w:jc w:val="center"/>
        </w:trPr>
        <w:tc>
          <w:tcPr>
            <w:tcW w:w="633" w:type="dxa"/>
            <w:vMerge/>
            <w:tcBorders>
              <w:left w:val="nil"/>
              <w:right w:val="single" w:sz="4" w:space="0" w:color="auto"/>
            </w:tcBorders>
            <w:vAlign w:val="center"/>
            <w:hideMark/>
          </w:tcPr>
          <w:p w14:paraId="53BA9813"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3868E9EB" w14:textId="77777777" w:rsidR="00D923AA" w:rsidRPr="007B010A" w:rsidRDefault="00D923AA" w:rsidP="00376CF0">
            <w:pPr>
              <w:rPr>
                <w:sz w:val="20"/>
                <w:szCs w:val="20"/>
              </w:rPr>
            </w:pPr>
            <w:r w:rsidRPr="007B010A">
              <w:rPr>
                <w:sz w:val="20"/>
                <w:szCs w:val="20"/>
              </w:rPr>
              <w:t>Neiroloģija</w:t>
            </w:r>
          </w:p>
        </w:tc>
        <w:tc>
          <w:tcPr>
            <w:tcW w:w="2791" w:type="dxa"/>
            <w:tcBorders>
              <w:top w:val="nil"/>
              <w:left w:val="nil"/>
              <w:bottom w:val="single" w:sz="4" w:space="0" w:color="auto"/>
              <w:right w:val="single" w:sz="4" w:space="0" w:color="auto"/>
            </w:tcBorders>
            <w:shd w:val="clear" w:color="auto" w:fill="auto"/>
            <w:noWrap/>
            <w:vAlign w:val="center"/>
            <w:hideMark/>
          </w:tcPr>
          <w:p w14:paraId="2BE2AE1F" w14:textId="163E3A5B" w:rsidR="00D923AA" w:rsidRPr="007B010A" w:rsidRDefault="0078635E" w:rsidP="00376CF0">
            <w:pPr>
              <w:jc w:val="center"/>
              <w:rPr>
                <w:sz w:val="20"/>
                <w:szCs w:val="20"/>
              </w:rPr>
            </w:pPr>
            <w:r w:rsidRPr="007B010A">
              <w:rPr>
                <w:sz w:val="20"/>
                <w:szCs w:val="20"/>
              </w:rPr>
              <w:t>324 060</w:t>
            </w:r>
          </w:p>
        </w:tc>
        <w:tc>
          <w:tcPr>
            <w:tcW w:w="2033" w:type="dxa"/>
            <w:tcBorders>
              <w:top w:val="nil"/>
              <w:left w:val="nil"/>
              <w:bottom w:val="single" w:sz="4" w:space="0" w:color="auto"/>
              <w:right w:val="single" w:sz="4" w:space="0" w:color="auto"/>
            </w:tcBorders>
            <w:shd w:val="clear" w:color="auto" w:fill="auto"/>
            <w:noWrap/>
            <w:vAlign w:val="center"/>
            <w:hideMark/>
          </w:tcPr>
          <w:p w14:paraId="323E9542" w14:textId="6C517EB6" w:rsidR="00D923AA" w:rsidRPr="007B010A" w:rsidRDefault="0078635E" w:rsidP="00376CF0">
            <w:pPr>
              <w:jc w:val="center"/>
              <w:rPr>
                <w:sz w:val="20"/>
                <w:szCs w:val="20"/>
              </w:rPr>
            </w:pPr>
            <w:r w:rsidRPr="007B010A">
              <w:rPr>
                <w:sz w:val="20"/>
                <w:szCs w:val="20"/>
              </w:rPr>
              <w:t>20 368</w:t>
            </w:r>
          </w:p>
        </w:tc>
      </w:tr>
      <w:tr w:rsidR="007E6069" w:rsidRPr="007B010A" w14:paraId="0026D638" w14:textId="77777777" w:rsidTr="00376CF0">
        <w:trPr>
          <w:trHeight w:val="300"/>
          <w:jc w:val="center"/>
        </w:trPr>
        <w:tc>
          <w:tcPr>
            <w:tcW w:w="633" w:type="dxa"/>
            <w:vMerge/>
            <w:tcBorders>
              <w:left w:val="nil"/>
              <w:right w:val="single" w:sz="4" w:space="0" w:color="auto"/>
            </w:tcBorders>
            <w:vAlign w:val="center"/>
            <w:hideMark/>
          </w:tcPr>
          <w:p w14:paraId="224524C2"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519FEEEE" w14:textId="77777777" w:rsidR="00D923AA" w:rsidRPr="007B010A" w:rsidRDefault="00D923AA" w:rsidP="00376CF0">
            <w:pPr>
              <w:rPr>
                <w:sz w:val="20"/>
                <w:szCs w:val="20"/>
              </w:rPr>
            </w:pPr>
            <w:r w:rsidRPr="007B010A">
              <w:rPr>
                <w:sz w:val="20"/>
                <w:szCs w:val="20"/>
              </w:rPr>
              <w:t>Oftalmoloģija</w:t>
            </w:r>
          </w:p>
        </w:tc>
        <w:tc>
          <w:tcPr>
            <w:tcW w:w="2791" w:type="dxa"/>
            <w:tcBorders>
              <w:top w:val="nil"/>
              <w:left w:val="nil"/>
              <w:bottom w:val="single" w:sz="4" w:space="0" w:color="auto"/>
              <w:right w:val="single" w:sz="4" w:space="0" w:color="auto"/>
            </w:tcBorders>
            <w:shd w:val="clear" w:color="auto" w:fill="auto"/>
            <w:noWrap/>
            <w:vAlign w:val="center"/>
            <w:hideMark/>
          </w:tcPr>
          <w:p w14:paraId="7F9E1319" w14:textId="0D76FB2A" w:rsidR="00D923AA" w:rsidRPr="007B010A" w:rsidRDefault="0078635E" w:rsidP="00376CF0">
            <w:pPr>
              <w:jc w:val="center"/>
              <w:rPr>
                <w:sz w:val="20"/>
                <w:szCs w:val="20"/>
              </w:rPr>
            </w:pPr>
            <w:r w:rsidRPr="007B010A">
              <w:rPr>
                <w:sz w:val="20"/>
                <w:szCs w:val="20"/>
              </w:rPr>
              <w:t>892 965</w:t>
            </w:r>
          </w:p>
        </w:tc>
        <w:tc>
          <w:tcPr>
            <w:tcW w:w="2033" w:type="dxa"/>
            <w:tcBorders>
              <w:top w:val="nil"/>
              <w:left w:val="nil"/>
              <w:bottom w:val="single" w:sz="4" w:space="0" w:color="auto"/>
              <w:right w:val="single" w:sz="4" w:space="0" w:color="auto"/>
            </w:tcBorders>
            <w:shd w:val="clear" w:color="auto" w:fill="auto"/>
            <w:noWrap/>
            <w:vAlign w:val="center"/>
            <w:hideMark/>
          </w:tcPr>
          <w:p w14:paraId="6E4FA2D6" w14:textId="288E353A" w:rsidR="00D923AA" w:rsidRPr="007B010A" w:rsidRDefault="0078635E" w:rsidP="00376CF0">
            <w:pPr>
              <w:jc w:val="center"/>
              <w:rPr>
                <w:sz w:val="20"/>
                <w:szCs w:val="20"/>
              </w:rPr>
            </w:pPr>
            <w:r w:rsidRPr="007B010A">
              <w:rPr>
                <w:sz w:val="20"/>
                <w:szCs w:val="20"/>
              </w:rPr>
              <w:t>32 866</w:t>
            </w:r>
          </w:p>
        </w:tc>
      </w:tr>
      <w:tr w:rsidR="007E6069" w:rsidRPr="007B010A" w14:paraId="1EBE938E" w14:textId="77777777" w:rsidTr="00376CF0">
        <w:trPr>
          <w:trHeight w:val="300"/>
          <w:jc w:val="center"/>
        </w:trPr>
        <w:tc>
          <w:tcPr>
            <w:tcW w:w="633" w:type="dxa"/>
            <w:vMerge/>
            <w:tcBorders>
              <w:left w:val="nil"/>
              <w:right w:val="single" w:sz="4" w:space="0" w:color="auto"/>
            </w:tcBorders>
            <w:vAlign w:val="center"/>
            <w:hideMark/>
          </w:tcPr>
          <w:p w14:paraId="6CF4DA2A"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08626377" w14:textId="77777777" w:rsidR="00D923AA" w:rsidRPr="007B010A" w:rsidRDefault="00D923AA" w:rsidP="00376CF0">
            <w:pPr>
              <w:rPr>
                <w:sz w:val="20"/>
                <w:szCs w:val="20"/>
              </w:rPr>
            </w:pPr>
            <w:r w:rsidRPr="007B010A">
              <w:rPr>
                <w:sz w:val="20"/>
                <w:szCs w:val="20"/>
              </w:rPr>
              <w:t>Onkoloģija</w:t>
            </w:r>
          </w:p>
        </w:tc>
        <w:tc>
          <w:tcPr>
            <w:tcW w:w="2791" w:type="dxa"/>
            <w:tcBorders>
              <w:top w:val="nil"/>
              <w:left w:val="nil"/>
              <w:bottom w:val="single" w:sz="4" w:space="0" w:color="auto"/>
              <w:right w:val="single" w:sz="4" w:space="0" w:color="auto"/>
            </w:tcBorders>
            <w:shd w:val="clear" w:color="auto" w:fill="auto"/>
            <w:noWrap/>
            <w:vAlign w:val="center"/>
            <w:hideMark/>
          </w:tcPr>
          <w:p w14:paraId="418E84CD" w14:textId="729CCA09" w:rsidR="00D923AA" w:rsidRPr="007B010A" w:rsidRDefault="00741C62" w:rsidP="00376CF0">
            <w:pPr>
              <w:jc w:val="center"/>
              <w:rPr>
                <w:sz w:val="20"/>
                <w:szCs w:val="20"/>
              </w:rPr>
            </w:pPr>
            <w:r w:rsidRPr="007B010A">
              <w:rPr>
                <w:sz w:val="20"/>
                <w:szCs w:val="20"/>
              </w:rPr>
              <w:t>161 445</w:t>
            </w:r>
          </w:p>
        </w:tc>
        <w:tc>
          <w:tcPr>
            <w:tcW w:w="2033" w:type="dxa"/>
            <w:tcBorders>
              <w:top w:val="nil"/>
              <w:left w:val="nil"/>
              <w:bottom w:val="single" w:sz="4" w:space="0" w:color="auto"/>
              <w:right w:val="single" w:sz="4" w:space="0" w:color="auto"/>
            </w:tcBorders>
            <w:shd w:val="clear" w:color="auto" w:fill="auto"/>
            <w:noWrap/>
            <w:vAlign w:val="center"/>
            <w:hideMark/>
          </w:tcPr>
          <w:p w14:paraId="13898BA2" w14:textId="03FF9E8E" w:rsidR="00D923AA" w:rsidRPr="007B010A" w:rsidRDefault="00741C62" w:rsidP="00376CF0">
            <w:pPr>
              <w:jc w:val="center"/>
              <w:rPr>
                <w:sz w:val="20"/>
                <w:szCs w:val="20"/>
              </w:rPr>
            </w:pPr>
            <w:r w:rsidRPr="007B010A">
              <w:rPr>
                <w:sz w:val="20"/>
                <w:szCs w:val="20"/>
              </w:rPr>
              <w:t>11 361</w:t>
            </w:r>
          </w:p>
        </w:tc>
      </w:tr>
      <w:tr w:rsidR="007E6069" w:rsidRPr="007B010A" w14:paraId="7BB37105" w14:textId="77777777" w:rsidTr="00376CF0">
        <w:trPr>
          <w:trHeight w:val="300"/>
          <w:jc w:val="center"/>
        </w:trPr>
        <w:tc>
          <w:tcPr>
            <w:tcW w:w="633" w:type="dxa"/>
            <w:vMerge/>
            <w:tcBorders>
              <w:left w:val="nil"/>
              <w:right w:val="single" w:sz="4" w:space="0" w:color="auto"/>
            </w:tcBorders>
            <w:vAlign w:val="center"/>
            <w:hideMark/>
          </w:tcPr>
          <w:p w14:paraId="102F6FED"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06E59990" w14:textId="77777777" w:rsidR="00D923AA" w:rsidRPr="007B010A" w:rsidRDefault="00D923AA" w:rsidP="00376CF0">
            <w:pPr>
              <w:rPr>
                <w:sz w:val="20"/>
                <w:szCs w:val="20"/>
              </w:rPr>
            </w:pPr>
            <w:proofErr w:type="spellStart"/>
            <w:r w:rsidRPr="007B010A">
              <w:rPr>
                <w:sz w:val="20"/>
                <w:szCs w:val="20"/>
              </w:rPr>
              <w:t>Otolaringoloģija</w:t>
            </w:r>
            <w:proofErr w:type="spellEnd"/>
          </w:p>
        </w:tc>
        <w:tc>
          <w:tcPr>
            <w:tcW w:w="2791" w:type="dxa"/>
            <w:tcBorders>
              <w:top w:val="nil"/>
              <w:left w:val="nil"/>
              <w:bottom w:val="single" w:sz="4" w:space="0" w:color="auto"/>
              <w:right w:val="single" w:sz="4" w:space="0" w:color="auto"/>
            </w:tcBorders>
            <w:shd w:val="clear" w:color="auto" w:fill="auto"/>
            <w:noWrap/>
            <w:vAlign w:val="center"/>
            <w:hideMark/>
          </w:tcPr>
          <w:p w14:paraId="3140E136" w14:textId="007254A1" w:rsidR="00D923AA" w:rsidRPr="007B010A" w:rsidRDefault="00741C62" w:rsidP="00376CF0">
            <w:pPr>
              <w:jc w:val="center"/>
              <w:rPr>
                <w:sz w:val="20"/>
                <w:szCs w:val="20"/>
              </w:rPr>
            </w:pPr>
            <w:r w:rsidRPr="007B010A">
              <w:rPr>
                <w:sz w:val="20"/>
                <w:szCs w:val="20"/>
              </w:rPr>
              <w:t>544 264</w:t>
            </w:r>
          </w:p>
        </w:tc>
        <w:tc>
          <w:tcPr>
            <w:tcW w:w="2033" w:type="dxa"/>
            <w:tcBorders>
              <w:top w:val="nil"/>
              <w:left w:val="nil"/>
              <w:bottom w:val="single" w:sz="4" w:space="0" w:color="auto"/>
              <w:right w:val="single" w:sz="4" w:space="0" w:color="auto"/>
            </w:tcBorders>
            <w:shd w:val="clear" w:color="auto" w:fill="auto"/>
            <w:noWrap/>
            <w:vAlign w:val="center"/>
            <w:hideMark/>
          </w:tcPr>
          <w:p w14:paraId="210C9B6D" w14:textId="3D2549F4" w:rsidR="00D923AA" w:rsidRPr="007B010A" w:rsidRDefault="00741C62" w:rsidP="00376CF0">
            <w:pPr>
              <w:jc w:val="center"/>
              <w:rPr>
                <w:sz w:val="20"/>
                <w:szCs w:val="20"/>
              </w:rPr>
            </w:pPr>
            <w:r w:rsidRPr="007B010A">
              <w:rPr>
                <w:sz w:val="20"/>
                <w:szCs w:val="20"/>
              </w:rPr>
              <w:t>17 880</w:t>
            </w:r>
          </w:p>
        </w:tc>
      </w:tr>
      <w:tr w:rsidR="007E6069" w:rsidRPr="007B010A" w14:paraId="774DCAA4" w14:textId="77777777" w:rsidTr="00376CF0">
        <w:trPr>
          <w:trHeight w:val="300"/>
          <w:jc w:val="center"/>
        </w:trPr>
        <w:tc>
          <w:tcPr>
            <w:tcW w:w="633" w:type="dxa"/>
            <w:vMerge/>
            <w:tcBorders>
              <w:left w:val="nil"/>
              <w:right w:val="single" w:sz="4" w:space="0" w:color="auto"/>
            </w:tcBorders>
            <w:vAlign w:val="center"/>
            <w:hideMark/>
          </w:tcPr>
          <w:p w14:paraId="2E03D783"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646F7875" w14:textId="77777777" w:rsidR="00D923AA" w:rsidRPr="007B010A" w:rsidRDefault="00D923AA" w:rsidP="00376CF0">
            <w:pPr>
              <w:rPr>
                <w:sz w:val="20"/>
                <w:szCs w:val="20"/>
              </w:rPr>
            </w:pPr>
            <w:r w:rsidRPr="007B010A">
              <w:rPr>
                <w:sz w:val="20"/>
                <w:szCs w:val="20"/>
              </w:rPr>
              <w:t>Pārējie speciālisti</w:t>
            </w:r>
          </w:p>
        </w:tc>
        <w:tc>
          <w:tcPr>
            <w:tcW w:w="2791" w:type="dxa"/>
            <w:tcBorders>
              <w:top w:val="nil"/>
              <w:left w:val="nil"/>
              <w:bottom w:val="single" w:sz="4" w:space="0" w:color="auto"/>
              <w:right w:val="single" w:sz="4" w:space="0" w:color="auto"/>
            </w:tcBorders>
            <w:shd w:val="clear" w:color="auto" w:fill="auto"/>
            <w:noWrap/>
            <w:vAlign w:val="center"/>
            <w:hideMark/>
          </w:tcPr>
          <w:p w14:paraId="236CFF5D" w14:textId="5A92E896" w:rsidR="00D923AA" w:rsidRPr="007B010A" w:rsidRDefault="00741C62" w:rsidP="00376CF0">
            <w:pPr>
              <w:jc w:val="center"/>
              <w:rPr>
                <w:sz w:val="20"/>
                <w:szCs w:val="20"/>
              </w:rPr>
            </w:pPr>
            <w:r w:rsidRPr="007B010A">
              <w:rPr>
                <w:sz w:val="20"/>
                <w:szCs w:val="20"/>
              </w:rPr>
              <w:t>14 121</w:t>
            </w:r>
          </w:p>
        </w:tc>
        <w:tc>
          <w:tcPr>
            <w:tcW w:w="2033" w:type="dxa"/>
            <w:tcBorders>
              <w:top w:val="nil"/>
              <w:left w:val="nil"/>
              <w:bottom w:val="single" w:sz="4" w:space="0" w:color="auto"/>
              <w:right w:val="single" w:sz="4" w:space="0" w:color="auto"/>
            </w:tcBorders>
            <w:shd w:val="clear" w:color="auto" w:fill="auto"/>
            <w:noWrap/>
            <w:vAlign w:val="center"/>
            <w:hideMark/>
          </w:tcPr>
          <w:p w14:paraId="278D6AFA" w14:textId="50F1AAB7" w:rsidR="00D923AA" w:rsidRPr="007B010A" w:rsidRDefault="00741C62" w:rsidP="00376CF0">
            <w:pPr>
              <w:jc w:val="center"/>
              <w:rPr>
                <w:sz w:val="20"/>
                <w:szCs w:val="20"/>
              </w:rPr>
            </w:pPr>
            <w:r w:rsidRPr="007B010A">
              <w:rPr>
                <w:sz w:val="20"/>
                <w:szCs w:val="20"/>
              </w:rPr>
              <w:t>930</w:t>
            </w:r>
          </w:p>
        </w:tc>
      </w:tr>
      <w:tr w:rsidR="007E6069" w:rsidRPr="007B010A" w14:paraId="3DCEDA91" w14:textId="77777777" w:rsidTr="00376CF0">
        <w:trPr>
          <w:trHeight w:val="300"/>
          <w:jc w:val="center"/>
        </w:trPr>
        <w:tc>
          <w:tcPr>
            <w:tcW w:w="633" w:type="dxa"/>
            <w:vMerge/>
            <w:tcBorders>
              <w:left w:val="nil"/>
              <w:right w:val="single" w:sz="4" w:space="0" w:color="auto"/>
            </w:tcBorders>
            <w:vAlign w:val="center"/>
            <w:hideMark/>
          </w:tcPr>
          <w:p w14:paraId="7E63DCE7"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581E7657" w14:textId="77777777" w:rsidR="00D923AA" w:rsidRPr="007B010A" w:rsidRDefault="00D923AA" w:rsidP="00376CF0">
            <w:pPr>
              <w:rPr>
                <w:sz w:val="20"/>
                <w:szCs w:val="20"/>
              </w:rPr>
            </w:pPr>
            <w:r w:rsidRPr="007B010A">
              <w:rPr>
                <w:sz w:val="20"/>
                <w:szCs w:val="20"/>
              </w:rPr>
              <w:t>Pediatrija</w:t>
            </w:r>
          </w:p>
        </w:tc>
        <w:tc>
          <w:tcPr>
            <w:tcW w:w="2791" w:type="dxa"/>
            <w:tcBorders>
              <w:top w:val="nil"/>
              <w:left w:val="nil"/>
              <w:bottom w:val="single" w:sz="4" w:space="0" w:color="auto"/>
              <w:right w:val="single" w:sz="4" w:space="0" w:color="auto"/>
            </w:tcBorders>
            <w:shd w:val="clear" w:color="auto" w:fill="auto"/>
            <w:noWrap/>
            <w:vAlign w:val="center"/>
            <w:hideMark/>
          </w:tcPr>
          <w:p w14:paraId="23AEBB27" w14:textId="622F21B8" w:rsidR="00D923AA" w:rsidRPr="007B010A" w:rsidRDefault="00741C62" w:rsidP="00376CF0">
            <w:pPr>
              <w:jc w:val="center"/>
              <w:rPr>
                <w:sz w:val="20"/>
                <w:szCs w:val="20"/>
              </w:rPr>
            </w:pPr>
            <w:r w:rsidRPr="007B010A">
              <w:rPr>
                <w:sz w:val="20"/>
                <w:szCs w:val="20"/>
              </w:rPr>
              <w:t>93 991</w:t>
            </w:r>
          </w:p>
        </w:tc>
        <w:tc>
          <w:tcPr>
            <w:tcW w:w="2033" w:type="dxa"/>
            <w:tcBorders>
              <w:top w:val="nil"/>
              <w:left w:val="nil"/>
              <w:bottom w:val="single" w:sz="4" w:space="0" w:color="auto"/>
              <w:right w:val="single" w:sz="4" w:space="0" w:color="auto"/>
            </w:tcBorders>
            <w:shd w:val="clear" w:color="auto" w:fill="auto"/>
            <w:noWrap/>
            <w:vAlign w:val="center"/>
            <w:hideMark/>
          </w:tcPr>
          <w:p w14:paraId="014E8EF4" w14:textId="452D779F" w:rsidR="00D923AA" w:rsidRPr="007B010A" w:rsidRDefault="00741C62" w:rsidP="00376CF0">
            <w:pPr>
              <w:jc w:val="center"/>
              <w:rPr>
                <w:sz w:val="20"/>
                <w:szCs w:val="20"/>
              </w:rPr>
            </w:pPr>
            <w:r w:rsidRPr="007B010A">
              <w:rPr>
                <w:sz w:val="20"/>
                <w:szCs w:val="20"/>
              </w:rPr>
              <w:t>4 030</w:t>
            </w:r>
          </w:p>
        </w:tc>
      </w:tr>
      <w:tr w:rsidR="007E6069" w:rsidRPr="007B010A" w14:paraId="07724B1D" w14:textId="77777777" w:rsidTr="00376CF0">
        <w:trPr>
          <w:trHeight w:val="300"/>
          <w:jc w:val="center"/>
        </w:trPr>
        <w:tc>
          <w:tcPr>
            <w:tcW w:w="633" w:type="dxa"/>
            <w:vMerge/>
            <w:tcBorders>
              <w:left w:val="nil"/>
              <w:right w:val="single" w:sz="4" w:space="0" w:color="auto"/>
            </w:tcBorders>
            <w:vAlign w:val="center"/>
            <w:hideMark/>
          </w:tcPr>
          <w:p w14:paraId="43A3C1CC"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7C4E7B3C" w14:textId="77777777" w:rsidR="00D923AA" w:rsidRPr="007B010A" w:rsidRDefault="00D923AA" w:rsidP="00376CF0">
            <w:pPr>
              <w:rPr>
                <w:sz w:val="20"/>
                <w:szCs w:val="20"/>
              </w:rPr>
            </w:pPr>
            <w:r w:rsidRPr="007B010A">
              <w:rPr>
                <w:sz w:val="20"/>
                <w:szCs w:val="20"/>
              </w:rPr>
              <w:t>Psihiatrija</w:t>
            </w:r>
          </w:p>
        </w:tc>
        <w:tc>
          <w:tcPr>
            <w:tcW w:w="2791" w:type="dxa"/>
            <w:tcBorders>
              <w:top w:val="nil"/>
              <w:left w:val="nil"/>
              <w:bottom w:val="single" w:sz="4" w:space="0" w:color="auto"/>
              <w:right w:val="single" w:sz="4" w:space="0" w:color="auto"/>
            </w:tcBorders>
            <w:shd w:val="clear" w:color="auto" w:fill="auto"/>
            <w:noWrap/>
            <w:vAlign w:val="center"/>
            <w:hideMark/>
          </w:tcPr>
          <w:p w14:paraId="69DA9B9D" w14:textId="7C52D830" w:rsidR="00D923AA" w:rsidRPr="007B010A" w:rsidRDefault="00741C62" w:rsidP="00376CF0">
            <w:pPr>
              <w:jc w:val="center"/>
              <w:rPr>
                <w:sz w:val="20"/>
                <w:szCs w:val="20"/>
              </w:rPr>
            </w:pPr>
            <w:r w:rsidRPr="007B010A">
              <w:rPr>
                <w:sz w:val="20"/>
                <w:szCs w:val="20"/>
              </w:rPr>
              <w:t>431 189</w:t>
            </w:r>
          </w:p>
        </w:tc>
        <w:tc>
          <w:tcPr>
            <w:tcW w:w="2033" w:type="dxa"/>
            <w:tcBorders>
              <w:top w:val="nil"/>
              <w:left w:val="nil"/>
              <w:bottom w:val="single" w:sz="4" w:space="0" w:color="auto"/>
              <w:right w:val="single" w:sz="4" w:space="0" w:color="auto"/>
            </w:tcBorders>
            <w:shd w:val="clear" w:color="auto" w:fill="auto"/>
            <w:noWrap/>
            <w:vAlign w:val="center"/>
            <w:hideMark/>
          </w:tcPr>
          <w:p w14:paraId="0290C8C1" w14:textId="113CA9F1" w:rsidR="00D923AA" w:rsidRPr="007B010A" w:rsidRDefault="00741C62" w:rsidP="00376CF0">
            <w:pPr>
              <w:jc w:val="center"/>
              <w:rPr>
                <w:sz w:val="20"/>
                <w:szCs w:val="20"/>
              </w:rPr>
            </w:pPr>
            <w:r w:rsidRPr="007B010A">
              <w:rPr>
                <w:sz w:val="20"/>
                <w:szCs w:val="20"/>
              </w:rPr>
              <w:t>24 881</w:t>
            </w:r>
          </w:p>
        </w:tc>
      </w:tr>
      <w:tr w:rsidR="007E6069" w:rsidRPr="007B010A" w14:paraId="73E3A4FD" w14:textId="77777777" w:rsidTr="00376CF0">
        <w:trPr>
          <w:trHeight w:val="300"/>
          <w:jc w:val="center"/>
        </w:trPr>
        <w:tc>
          <w:tcPr>
            <w:tcW w:w="633" w:type="dxa"/>
            <w:vMerge/>
            <w:tcBorders>
              <w:left w:val="nil"/>
              <w:right w:val="single" w:sz="4" w:space="0" w:color="auto"/>
            </w:tcBorders>
            <w:vAlign w:val="center"/>
            <w:hideMark/>
          </w:tcPr>
          <w:p w14:paraId="46B85774"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28FFC54A" w14:textId="77777777" w:rsidR="00D923AA" w:rsidRPr="007B010A" w:rsidRDefault="00D923AA" w:rsidP="00376CF0">
            <w:pPr>
              <w:rPr>
                <w:sz w:val="20"/>
                <w:szCs w:val="20"/>
              </w:rPr>
            </w:pPr>
            <w:proofErr w:type="spellStart"/>
            <w:r w:rsidRPr="007B010A">
              <w:rPr>
                <w:sz w:val="20"/>
                <w:szCs w:val="20"/>
              </w:rPr>
              <w:t>Pulmonoloģija</w:t>
            </w:r>
            <w:proofErr w:type="spellEnd"/>
          </w:p>
        </w:tc>
        <w:tc>
          <w:tcPr>
            <w:tcW w:w="2791" w:type="dxa"/>
            <w:tcBorders>
              <w:top w:val="nil"/>
              <w:left w:val="nil"/>
              <w:bottom w:val="single" w:sz="4" w:space="0" w:color="auto"/>
              <w:right w:val="single" w:sz="4" w:space="0" w:color="auto"/>
            </w:tcBorders>
            <w:shd w:val="clear" w:color="auto" w:fill="auto"/>
            <w:noWrap/>
            <w:vAlign w:val="center"/>
            <w:hideMark/>
          </w:tcPr>
          <w:p w14:paraId="77406F5D" w14:textId="5F5049CE" w:rsidR="00D923AA" w:rsidRPr="007B010A" w:rsidRDefault="00741C62" w:rsidP="00376CF0">
            <w:pPr>
              <w:jc w:val="center"/>
              <w:rPr>
                <w:sz w:val="20"/>
                <w:szCs w:val="20"/>
              </w:rPr>
            </w:pPr>
            <w:r w:rsidRPr="007B010A">
              <w:rPr>
                <w:sz w:val="20"/>
                <w:szCs w:val="20"/>
              </w:rPr>
              <w:t>165 302</w:t>
            </w:r>
          </w:p>
        </w:tc>
        <w:tc>
          <w:tcPr>
            <w:tcW w:w="2033" w:type="dxa"/>
            <w:tcBorders>
              <w:top w:val="nil"/>
              <w:left w:val="nil"/>
              <w:bottom w:val="single" w:sz="4" w:space="0" w:color="auto"/>
              <w:right w:val="single" w:sz="4" w:space="0" w:color="auto"/>
            </w:tcBorders>
            <w:shd w:val="clear" w:color="auto" w:fill="auto"/>
            <w:noWrap/>
            <w:vAlign w:val="center"/>
            <w:hideMark/>
          </w:tcPr>
          <w:p w14:paraId="7DFD278F" w14:textId="262C5A13" w:rsidR="00D923AA" w:rsidRPr="007B010A" w:rsidRDefault="00741C62" w:rsidP="00376CF0">
            <w:pPr>
              <w:jc w:val="center"/>
              <w:rPr>
                <w:sz w:val="20"/>
                <w:szCs w:val="20"/>
              </w:rPr>
            </w:pPr>
            <w:r w:rsidRPr="007B010A">
              <w:rPr>
                <w:sz w:val="20"/>
                <w:szCs w:val="20"/>
              </w:rPr>
              <w:t>7 031</w:t>
            </w:r>
          </w:p>
        </w:tc>
      </w:tr>
      <w:tr w:rsidR="007E6069" w:rsidRPr="007B010A" w14:paraId="725F1EBC" w14:textId="77777777" w:rsidTr="00376CF0">
        <w:trPr>
          <w:trHeight w:val="300"/>
          <w:jc w:val="center"/>
        </w:trPr>
        <w:tc>
          <w:tcPr>
            <w:tcW w:w="633" w:type="dxa"/>
            <w:vMerge/>
            <w:tcBorders>
              <w:left w:val="nil"/>
              <w:right w:val="single" w:sz="4" w:space="0" w:color="auto"/>
            </w:tcBorders>
            <w:vAlign w:val="center"/>
            <w:hideMark/>
          </w:tcPr>
          <w:p w14:paraId="7F3D6A7A"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722AD22A" w14:textId="77777777" w:rsidR="00D923AA" w:rsidRPr="007B010A" w:rsidRDefault="00D923AA" w:rsidP="00376CF0">
            <w:pPr>
              <w:rPr>
                <w:sz w:val="20"/>
                <w:szCs w:val="20"/>
              </w:rPr>
            </w:pPr>
            <w:proofErr w:type="spellStart"/>
            <w:r w:rsidRPr="007B010A">
              <w:rPr>
                <w:sz w:val="20"/>
                <w:szCs w:val="20"/>
              </w:rPr>
              <w:t>Reimatoloģija</w:t>
            </w:r>
            <w:proofErr w:type="spellEnd"/>
          </w:p>
        </w:tc>
        <w:tc>
          <w:tcPr>
            <w:tcW w:w="2791" w:type="dxa"/>
            <w:tcBorders>
              <w:top w:val="nil"/>
              <w:left w:val="nil"/>
              <w:bottom w:val="single" w:sz="4" w:space="0" w:color="auto"/>
              <w:right w:val="single" w:sz="4" w:space="0" w:color="auto"/>
            </w:tcBorders>
            <w:shd w:val="clear" w:color="auto" w:fill="auto"/>
            <w:noWrap/>
            <w:vAlign w:val="center"/>
            <w:hideMark/>
          </w:tcPr>
          <w:p w14:paraId="6FCD7B3C" w14:textId="0E885682" w:rsidR="00D923AA" w:rsidRPr="007B010A" w:rsidRDefault="00741C62" w:rsidP="00376CF0">
            <w:pPr>
              <w:jc w:val="center"/>
              <w:rPr>
                <w:sz w:val="20"/>
                <w:szCs w:val="20"/>
              </w:rPr>
            </w:pPr>
            <w:r w:rsidRPr="007B010A">
              <w:rPr>
                <w:sz w:val="20"/>
                <w:szCs w:val="20"/>
              </w:rPr>
              <w:t>63 429</w:t>
            </w:r>
          </w:p>
        </w:tc>
        <w:tc>
          <w:tcPr>
            <w:tcW w:w="2033" w:type="dxa"/>
            <w:tcBorders>
              <w:top w:val="nil"/>
              <w:left w:val="nil"/>
              <w:bottom w:val="single" w:sz="4" w:space="0" w:color="auto"/>
              <w:right w:val="single" w:sz="4" w:space="0" w:color="auto"/>
            </w:tcBorders>
            <w:shd w:val="clear" w:color="auto" w:fill="auto"/>
            <w:noWrap/>
            <w:vAlign w:val="center"/>
            <w:hideMark/>
          </w:tcPr>
          <w:p w14:paraId="38FD8EE1" w14:textId="1F6B7745" w:rsidR="00D923AA" w:rsidRPr="007B010A" w:rsidRDefault="00741C62" w:rsidP="00376CF0">
            <w:pPr>
              <w:jc w:val="center"/>
              <w:rPr>
                <w:sz w:val="20"/>
                <w:szCs w:val="20"/>
              </w:rPr>
            </w:pPr>
            <w:r w:rsidRPr="007B010A">
              <w:rPr>
                <w:sz w:val="20"/>
                <w:szCs w:val="20"/>
              </w:rPr>
              <w:t>4 664</w:t>
            </w:r>
          </w:p>
        </w:tc>
      </w:tr>
      <w:tr w:rsidR="007E6069" w:rsidRPr="007B010A" w14:paraId="3BFF31E1" w14:textId="77777777" w:rsidTr="00376CF0">
        <w:trPr>
          <w:trHeight w:val="300"/>
          <w:jc w:val="center"/>
        </w:trPr>
        <w:tc>
          <w:tcPr>
            <w:tcW w:w="633" w:type="dxa"/>
            <w:vMerge/>
            <w:tcBorders>
              <w:left w:val="nil"/>
              <w:right w:val="single" w:sz="4" w:space="0" w:color="auto"/>
            </w:tcBorders>
            <w:vAlign w:val="center"/>
            <w:hideMark/>
          </w:tcPr>
          <w:p w14:paraId="462AF9B3"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79BA14FA" w14:textId="77777777" w:rsidR="00D923AA" w:rsidRPr="007B010A" w:rsidRDefault="00D923AA" w:rsidP="00376CF0">
            <w:pPr>
              <w:rPr>
                <w:sz w:val="20"/>
                <w:szCs w:val="20"/>
              </w:rPr>
            </w:pPr>
            <w:r w:rsidRPr="007B010A">
              <w:rPr>
                <w:sz w:val="20"/>
                <w:szCs w:val="20"/>
              </w:rPr>
              <w:t>Traumatoloģija</w:t>
            </w:r>
          </w:p>
        </w:tc>
        <w:tc>
          <w:tcPr>
            <w:tcW w:w="2791" w:type="dxa"/>
            <w:tcBorders>
              <w:top w:val="nil"/>
              <w:left w:val="nil"/>
              <w:bottom w:val="single" w:sz="4" w:space="0" w:color="auto"/>
              <w:right w:val="single" w:sz="4" w:space="0" w:color="auto"/>
            </w:tcBorders>
            <w:shd w:val="clear" w:color="auto" w:fill="auto"/>
            <w:noWrap/>
            <w:vAlign w:val="center"/>
            <w:hideMark/>
          </w:tcPr>
          <w:p w14:paraId="72C3A990" w14:textId="78CB54D3" w:rsidR="00D923AA" w:rsidRPr="007B010A" w:rsidRDefault="00741C62" w:rsidP="00376CF0">
            <w:pPr>
              <w:jc w:val="center"/>
              <w:rPr>
                <w:sz w:val="20"/>
                <w:szCs w:val="20"/>
              </w:rPr>
            </w:pPr>
            <w:r w:rsidRPr="007B010A">
              <w:rPr>
                <w:sz w:val="20"/>
                <w:szCs w:val="20"/>
              </w:rPr>
              <w:t>304 023</w:t>
            </w:r>
          </w:p>
        </w:tc>
        <w:tc>
          <w:tcPr>
            <w:tcW w:w="2033" w:type="dxa"/>
            <w:tcBorders>
              <w:top w:val="nil"/>
              <w:left w:val="nil"/>
              <w:bottom w:val="single" w:sz="4" w:space="0" w:color="auto"/>
              <w:right w:val="single" w:sz="4" w:space="0" w:color="auto"/>
            </w:tcBorders>
            <w:shd w:val="clear" w:color="auto" w:fill="auto"/>
            <w:noWrap/>
            <w:vAlign w:val="center"/>
            <w:hideMark/>
          </w:tcPr>
          <w:p w14:paraId="574CE522" w14:textId="2B821CC9" w:rsidR="00D923AA" w:rsidRPr="007B010A" w:rsidRDefault="00741C62" w:rsidP="00376CF0">
            <w:pPr>
              <w:jc w:val="center"/>
              <w:rPr>
                <w:sz w:val="20"/>
                <w:szCs w:val="20"/>
              </w:rPr>
            </w:pPr>
            <w:r w:rsidRPr="007B010A">
              <w:rPr>
                <w:sz w:val="20"/>
                <w:szCs w:val="20"/>
              </w:rPr>
              <w:t>20 570</w:t>
            </w:r>
          </w:p>
        </w:tc>
      </w:tr>
      <w:tr w:rsidR="007E6069" w:rsidRPr="007B010A" w14:paraId="1100BF09" w14:textId="77777777" w:rsidTr="00376CF0">
        <w:trPr>
          <w:trHeight w:val="300"/>
          <w:jc w:val="center"/>
        </w:trPr>
        <w:tc>
          <w:tcPr>
            <w:tcW w:w="633" w:type="dxa"/>
            <w:vMerge/>
            <w:tcBorders>
              <w:left w:val="nil"/>
              <w:right w:val="single" w:sz="4" w:space="0" w:color="auto"/>
            </w:tcBorders>
            <w:vAlign w:val="center"/>
            <w:hideMark/>
          </w:tcPr>
          <w:p w14:paraId="48294720"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729A6DEA" w14:textId="77777777" w:rsidR="00D923AA" w:rsidRPr="007B010A" w:rsidRDefault="00D923AA" w:rsidP="00376CF0">
            <w:pPr>
              <w:rPr>
                <w:sz w:val="20"/>
                <w:szCs w:val="20"/>
              </w:rPr>
            </w:pPr>
            <w:r w:rsidRPr="007B010A">
              <w:rPr>
                <w:sz w:val="20"/>
                <w:szCs w:val="20"/>
              </w:rPr>
              <w:t>Uroloģija</w:t>
            </w:r>
          </w:p>
        </w:tc>
        <w:tc>
          <w:tcPr>
            <w:tcW w:w="2791" w:type="dxa"/>
            <w:tcBorders>
              <w:top w:val="nil"/>
              <w:left w:val="nil"/>
              <w:bottom w:val="single" w:sz="4" w:space="0" w:color="auto"/>
              <w:right w:val="single" w:sz="4" w:space="0" w:color="auto"/>
            </w:tcBorders>
            <w:shd w:val="clear" w:color="auto" w:fill="auto"/>
            <w:noWrap/>
            <w:vAlign w:val="center"/>
            <w:hideMark/>
          </w:tcPr>
          <w:p w14:paraId="29779B4D" w14:textId="399727DB" w:rsidR="00D923AA" w:rsidRPr="007B010A" w:rsidRDefault="00741C62" w:rsidP="00376CF0">
            <w:pPr>
              <w:jc w:val="center"/>
              <w:rPr>
                <w:sz w:val="20"/>
                <w:szCs w:val="20"/>
              </w:rPr>
            </w:pPr>
            <w:r w:rsidRPr="007B010A">
              <w:rPr>
                <w:sz w:val="20"/>
                <w:szCs w:val="20"/>
              </w:rPr>
              <w:t>290 748</w:t>
            </w:r>
          </w:p>
        </w:tc>
        <w:tc>
          <w:tcPr>
            <w:tcW w:w="2033" w:type="dxa"/>
            <w:tcBorders>
              <w:top w:val="nil"/>
              <w:left w:val="nil"/>
              <w:bottom w:val="single" w:sz="4" w:space="0" w:color="auto"/>
              <w:right w:val="single" w:sz="4" w:space="0" w:color="auto"/>
            </w:tcBorders>
            <w:shd w:val="clear" w:color="auto" w:fill="auto"/>
            <w:noWrap/>
            <w:vAlign w:val="center"/>
            <w:hideMark/>
          </w:tcPr>
          <w:p w14:paraId="6C8DA506" w14:textId="76E0D86B" w:rsidR="00D923AA" w:rsidRPr="007B010A" w:rsidRDefault="00741C62" w:rsidP="00376CF0">
            <w:pPr>
              <w:jc w:val="center"/>
              <w:rPr>
                <w:sz w:val="20"/>
                <w:szCs w:val="20"/>
              </w:rPr>
            </w:pPr>
            <w:r w:rsidRPr="007B010A">
              <w:rPr>
                <w:sz w:val="20"/>
                <w:szCs w:val="20"/>
              </w:rPr>
              <w:t>10 292</w:t>
            </w:r>
          </w:p>
        </w:tc>
      </w:tr>
      <w:tr w:rsidR="007E6069" w:rsidRPr="007B010A" w14:paraId="235CF0C0" w14:textId="77777777" w:rsidTr="00376CF0">
        <w:trPr>
          <w:trHeight w:val="300"/>
          <w:jc w:val="center"/>
        </w:trPr>
        <w:tc>
          <w:tcPr>
            <w:tcW w:w="633" w:type="dxa"/>
            <w:vMerge/>
            <w:tcBorders>
              <w:left w:val="nil"/>
              <w:right w:val="single" w:sz="4" w:space="0" w:color="auto"/>
            </w:tcBorders>
            <w:vAlign w:val="center"/>
            <w:hideMark/>
          </w:tcPr>
          <w:p w14:paraId="64AD6674"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6B405418" w14:textId="77777777" w:rsidR="00D923AA" w:rsidRPr="007B010A" w:rsidRDefault="00D923AA" w:rsidP="00376CF0">
            <w:pPr>
              <w:rPr>
                <w:sz w:val="20"/>
                <w:szCs w:val="20"/>
              </w:rPr>
            </w:pPr>
            <w:r w:rsidRPr="007B010A">
              <w:rPr>
                <w:sz w:val="20"/>
                <w:szCs w:val="20"/>
              </w:rPr>
              <w:t xml:space="preserve">Ambulatorā palīdzība </w:t>
            </w:r>
            <w:proofErr w:type="spellStart"/>
            <w:r w:rsidRPr="007B010A">
              <w:rPr>
                <w:sz w:val="20"/>
                <w:szCs w:val="20"/>
              </w:rPr>
              <w:t>surdoloģijā</w:t>
            </w:r>
            <w:proofErr w:type="spellEnd"/>
          </w:p>
        </w:tc>
        <w:tc>
          <w:tcPr>
            <w:tcW w:w="2791" w:type="dxa"/>
            <w:tcBorders>
              <w:top w:val="nil"/>
              <w:left w:val="nil"/>
              <w:bottom w:val="single" w:sz="4" w:space="0" w:color="auto"/>
              <w:right w:val="single" w:sz="4" w:space="0" w:color="auto"/>
            </w:tcBorders>
            <w:shd w:val="clear" w:color="auto" w:fill="auto"/>
            <w:noWrap/>
            <w:vAlign w:val="center"/>
            <w:hideMark/>
          </w:tcPr>
          <w:p w14:paraId="1DE70266" w14:textId="2ADB753D" w:rsidR="00D923AA" w:rsidRPr="007B010A" w:rsidRDefault="00741C62" w:rsidP="00376CF0">
            <w:pPr>
              <w:jc w:val="center"/>
              <w:rPr>
                <w:sz w:val="20"/>
                <w:szCs w:val="20"/>
              </w:rPr>
            </w:pPr>
            <w:r w:rsidRPr="007B010A">
              <w:rPr>
                <w:sz w:val="20"/>
                <w:szCs w:val="20"/>
              </w:rPr>
              <w:t>78 386</w:t>
            </w:r>
          </w:p>
        </w:tc>
        <w:tc>
          <w:tcPr>
            <w:tcW w:w="2033" w:type="dxa"/>
            <w:tcBorders>
              <w:top w:val="nil"/>
              <w:left w:val="nil"/>
              <w:bottom w:val="single" w:sz="4" w:space="0" w:color="auto"/>
              <w:right w:val="single" w:sz="4" w:space="0" w:color="auto"/>
            </w:tcBorders>
            <w:shd w:val="clear" w:color="auto" w:fill="auto"/>
            <w:noWrap/>
            <w:vAlign w:val="center"/>
            <w:hideMark/>
          </w:tcPr>
          <w:p w14:paraId="4253C943" w14:textId="402D5C15" w:rsidR="00D923AA" w:rsidRPr="007B010A" w:rsidRDefault="00741C62" w:rsidP="00376CF0">
            <w:pPr>
              <w:jc w:val="center"/>
              <w:rPr>
                <w:sz w:val="20"/>
                <w:szCs w:val="20"/>
              </w:rPr>
            </w:pPr>
            <w:r w:rsidRPr="007B010A">
              <w:rPr>
                <w:sz w:val="20"/>
                <w:szCs w:val="20"/>
              </w:rPr>
              <w:t>1 650</w:t>
            </w:r>
          </w:p>
        </w:tc>
      </w:tr>
      <w:tr w:rsidR="007E6069" w:rsidRPr="007B010A" w14:paraId="113A0225" w14:textId="77777777" w:rsidTr="00376CF0">
        <w:trPr>
          <w:trHeight w:val="300"/>
          <w:jc w:val="center"/>
        </w:trPr>
        <w:tc>
          <w:tcPr>
            <w:tcW w:w="633" w:type="dxa"/>
            <w:vMerge/>
            <w:tcBorders>
              <w:left w:val="nil"/>
              <w:right w:val="single" w:sz="4" w:space="0" w:color="auto"/>
            </w:tcBorders>
            <w:vAlign w:val="center"/>
            <w:hideMark/>
          </w:tcPr>
          <w:p w14:paraId="3F8CAE52"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13085EF3" w14:textId="77777777" w:rsidR="00D923AA" w:rsidRPr="007B010A" w:rsidRDefault="00D923AA" w:rsidP="00376CF0">
            <w:pPr>
              <w:rPr>
                <w:sz w:val="20"/>
                <w:szCs w:val="20"/>
              </w:rPr>
            </w:pPr>
            <w:proofErr w:type="spellStart"/>
            <w:r w:rsidRPr="007B010A">
              <w:rPr>
                <w:sz w:val="20"/>
                <w:szCs w:val="20"/>
              </w:rPr>
              <w:t>Metadona</w:t>
            </w:r>
            <w:proofErr w:type="spellEnd"/>
            <w:r w:rsidRPr="007B010A">
              <w:rPr>
                <w:sz w:val="20"/>
                <w:szCs w:val="20"/>
              </w:rPr>
              <w:t xml:space="preserve"> aizvietojošā terapija</w:t>
            </w:r>
          </w:p>
        </w:tc>
        <w:tc>
          <w:tcPr>
            <w:tcW w:w="2791" w:type="dxa"/>
            <w:tcBorders>
              <w:top w:val="nil"/>
              <w:left w:val="nil"/>
              <w:bottom w:val="single" w:sz="4" w:space="0" w:color="auto"/>
              <w:right w:val="single" w:sz="4" w:space="0" w:color="auto"/>
            </w:tcBorders>
            <w:shd w:val="clear" w:color="auto" w:fill="auto"/>
            <w:noWrap/>
            <w:vAlign w:val="center"/>
            <w:hideMark/>
          </w:tcPr>
          <w:p w14:paraId="432F5DFA" w14:textId="273270F1" w:rsidR="00D923AA" w:rsidRPr="007B010A" w:rsidRDefault="00741C62" w:rsidP="00376CF0">
            <w:pPr>
              <w:jc w:val="center"/>
              <w:rPr>
                <w:sz w:val="20"/>
                <w:szCs w:val="20"/>
              </w:rPr>
            </w:pPr>
            <w:r w:rsidRPr="007B010A">
              <w:rPr>
                <w:sz w:val="20"/>
                <w:szCs w:val="20"/>
              </w:rPr>
              <w:t>21 251</w:t>
            </w:r>
          </w:p>
        </w:tc>
        <w:tc>
          <w:tcPr>
            <w:tcW w:w="2033" w:type="dxa"/>
            <w:tcBorders>
              <w:top w:val="nil"/>
              <w:left w:val="nil"/>
              <w:bottom w:val="single" w:sz="4" w:space="0" w:color="auto"/>
              <w:right w:val="single" w:sz="4" w:space="0" w:color="auto"/>
            </w:tcBorders>
            <w:shd w:val="clear" w:color="auto" w:fill="auto"/>
            <w:noWrap/>
            <w:vAlign w:val="center"/>
            <w:hideMark/>
          </w:tcPr>
          <w:p w14:paraId="0B352786" w14:textId="552382D3" w:rsidR="00D923AA" w:rsidRPr="007B010A" w:rsidRDefault="00741C62" w:rsidP="00376CF0">
            <w:pPr>
              <w:jc w:val="center"/>
              <w:rPr>
                <w:sz w:val="20"/>
                <w:szCs w:val="20"/>
              </w:rPr>
            </w:pPr>
            <w:r w:rsidRPr="007B010A">
              <w:rPr>
                <w:sz w:val="20"/>
                <w:szCs w:val="20"/>
              </w:rPr>
              <w:t>21 685</w:t>
            </w:r>
          </w:p>
        </w:tc>
      </w:tr>
      <w:tr w:rsidR="007E6069" w:rsidRPr="007B010A" w14:paraId="49F10016" w14:textId="77777777" w:rsidTr="00376CF0">
        <w:trPr>
          <w:trHeight w:val="525"/>
          <w:jc w:val="center"/>
        </w:trPr>
        <w:tc>
          <w:tcPr>
            <w:tcW w:w="633" w:type="dxa"/>
            <w:vMerge/>
            <w:tcBorders>
              <w:left w:val="nil"/>
              <w:right w:val="single" w:sz="4" w:space="0" w:color="auto"/>
            </w:tcBorders>
            <w:vAlign w:val="center"/>
            <w:hideMark/>
          </w:tcPr>
          <w:p w14:paraId="7970FD56"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7EB3B969" w14:textId="77777777" w:rsidR="00D923AA" w:rsidRPr="007B010A" w:rsidRDefault="00D923AA" w:rsidP="00376CF0">
            <w:pPr>
              <w:rPr>
                <w:sz w:val="20"/>
                <w:szCs w:val="20"/>
              </w:rPr>
            </w:pPr>
            <w:r w:rsidRPr="007B010A">
              <w:rPr>
                <w:sz w:val="20"/>
                <w:szCs w:val="20"/>
              </w:rPr>
              <w:t>Multiplās sklerozes slimnieku konsultēšana un izmeklēšana</w:t>
            </w:r>
          </w:p>
        </w:tc>
        <w:tc>
          <w:tcPr>
            <w:tcW w:w="2791" w:type="dxa"/>
            <w:tcBorders>
              <w:top w:val="nil"/>
              <w:left w:val="nil"/>
              <w:bottom w:val="single" w:sz="4" w:space="0" w:color="auto"/>
              <w:right w:val="single" w:sz="4" w:space="0" w:color="auto"/>
            </w:tcBorders>
            <w:shd w:val="clear" w:color="auto" w:fill="auto"/>
            <w:noWrap/>
            <w:vAlign w:val="center"/>
            <w:hideMark/>
          </w:tcPr>
          <w:p w14:paraId="4FDCE402" w14:textId="4E5EB81C" w:rsidR="00D923AA" w:rsidRPr="007B010A" w:rsidRDefault="00741C62" w:rsidP="00376CF0">
            <w:pPr>
              <w:jc w:val="center"/>
              <w:rPr>
                <w:sz w:val="20"/>
                <w:szCs w:val="20"/>
              </w:rPr>
            </w:pPr>
            <w:r w:rsidRPr="007B010A">
              <w:rPr>
                <w:sz w:val="20"/>
                <w:szCs w:val="20"/>
              </w:rPr>
              <w:t>16 844</w:t>
            </w:r>
          </w:p>
        </w:tc>
        <w:tc>
          <w:tcPr>
            <w:tcW w:w="2033" w:type="dxa"/>
            <w:tcBorders>
              <w:top w:val="nil"/>
              <w:left w:val="nil"/>
              <w:bottom w:val="single" w:sz="4" w:space="0" w:color="auto"/>
              <w:right w:val="single" w:sz="4" w:space="0" w:color="auto"/>
            </w:tcBorders>
            <w:shd w:val="clear" w:color="auto" w:fill="auto"/>
            <w:noWrap/>
            <w:vAlign w:val="center"/>
            <w:hideMark/>
          </w:tcPr>
          <w:p w14:paraId="68240C19" w14:textId="22C9F3BF" w:rsidR="00D923AA" w:rsidRPr="007B010A" w:rsidRDefault="00741C62" w:rsidP="00376CF0">
            <w:pPr>
              <w:jc w:val="center"/>
              <w:rPr>
                <w:sz w:val="20"/>
                <w:szCs w:val="20"/>
              </w:rPr>
            </w:pPr>
            <w:r w:rsidRPr="007B010A">
              <w:rPr>
                <w:sz w:val="20"/>
                <w:szCs w:val="20"/>
              </w:rPr>
              <w:t>360</w:t>
            </w:r>
          </w:p>
        </w:tc>
      </w:tr>
      <w:tr w:rsidR="007E6069" w:rsidRPr="007B010A" w14:paraId="4D38F48C" w14:textId="77777777" w:rsidTr="00376CF0">
        <w:trPr>
          <w:trHeight w:val="300"/>
          <w:jc w:val="center"/>
        </w:trPr>
        <w:tc>
          <w:tcPr>
            <w:tcW w:w="633" w:type="dxa"/>
            <w:vMerge/>
            <w:tcBorders>
              <w:left w:val="nil"/>
              <w:right w:val="single" w:sz="4" w:space="0" w:color="auto"/>
            </w:tcBorders>
            <w:vAlign w:val="center"/>
          </w:tcPr>
          <w:p w14:paraId="3D9D2023"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tcPr>
          <w:p w14:paraId="4FE6B7E1" w14:textId="77777777" w:rsidR="00D923AA" w:rsidRPr="007B010A" w:rsidRDefault="00D923AA" w:rsidP="00376CF0">
            <w:pPr>
              <w:rPr>
                <w:sz w:val="20"/>
                <w:szCs w:val="20"/>
              </w:rPr>
            </w:pPr>
            <w:r w:rsidRPr="007B010A">
              <w:rPr>
                <w:sz w:val="20"/>
                <w:szCs w:val="20"/>
              </w:rPr>
              <w:t>Ģenētisko slimnieku konsultēšana</w:t>
            </w:r>
          </w:p>
        </w:tc>
        <w:tc>
          <w:tcPr>
            <w:tcW w:w="2791" w:type="dxa"/>
            <w:tcBorders>
              <w:top w:val="nil"/>
              <w:left w:val="nil"/>
              <w:bottom w:val="single" w:sz="4" w:space="0" w:color="auto"/>
              <w:right w:val="single" w:sz="4" w:space="0" w:color="auto"/>
            </w:tcBorders>
            <w:shd w:val="clear" w:color="auto" w:fill="auto"/>
            <w:noWrap/>
            <w:vAlign w:val="center"/>
          </w:tcPr>
          <w:p w14:paraId="6129126C" w14:textId="3898BD9B" w:rsidR="00D923AA" w:rsidRPr="007B010A" w:rsidRDefault="00974EF0" w:rsidP="00376CF0">
            <w:pPr>
              <w:jc w:val="center"/>
              <w:rPr>
                <w:sz w:val="20"/>
                <w:szCs w:val="20"/>
              </w:rPr>
            </w:pPr>
            <w:r w:rsidRPr="007B010A">
              <w:rPr>
                <w:sz w:val="20"/>
                <w:szCs w:val="20"/>
              </w:rPr>
              <w:t>8 323</w:t>
            </w:r>
          </w:p>
        </w:tc>
        <w:tc>
          <w:tcPr>
            <w:tcW w:w="2033" w:type="dxa"/>
            <w:tcBorders>
              <w:top w:val="nil"/>
              <w:left w:val="nil"/>
              <w:bottom w:val="single" w:sz="4" w:space="0" w:color="auto"/>
              <w:right w:val="single" w:sz="4" w:space="0" w:color="auto"/>
            </w:tcBorders>
            <w:shd w:val="clear" w:color="auto" w:fill="auto"/>
            <w:noWrap/>
            <w:vAlign w:val="center"/>
          </w:tcPr>
          <w:p w14:paraId="7FB49159" w14:textId="56AEA744" w:rsidR="00D923AA" w:rsidRPr="007B010A" w:rsidRDefault="00974EF0" w:rsidP="00376CF0">
            <w:pPr>
              <w:jc w:val="center"/>
              <w:rPr>
                <w:sz w:val="20"/>
                <w:szCs w:val="20"/>
              </w:rPr>
            </w:pPr>
            <w:r w:rsidRPr="007B010A">
              <w:rPr>
                <w:sz w:val="20"/>
                <w:szCs w:val="20"/>
              </w:rPr>
              <w:t>176</w:t>
            </w:r>
          </w:p>
        </w:tc>
      </w:tr>
      <w:tr w:rsidR="007E6069" w:rsidRPr="007B010A" w14:paraId="609768EA" w14:textId="77777777" w:rsidTr="00376CF0">
        <w:trPr>
          <w:trHeight w:val="300"/>
          <w:jc w:val="center"/>
        </w:trPr>
        <w:tc>
          <w:tcPr>
            <w:tcW w:w="633" w:type="dxa"/>
            <w:vMerge/>
            <w:tcBorders>
              <w:left w:val="nil"/>
              <w:right w:val="single" w:sz="4" w:space="0" w:color="auto"/>
            </w:tcBorders>
            <w:vAlign w:val="center"/>
            <w:hideMark/>
          </w:tcPr>
          <w:p w14:paraId="1D0A8A62"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386B9E2E" w14:textId="77777777" w:rsidR="00D923AA" w:rsidRPr="007B010A" w:rsidRDefault="00D923AA" w:rsidP="00376CF0">
            <w:pPr>
              <w:rPr>
                <w:sz w:val="20"/>
                <w:szCs w:val="20"/>
              </w:rPr>
            </w:pPr>
            <w:r w:rsidRPr="007B010A">
              <w:rPr>
                <w:sz w:val="20"/>
                <w:szCs w:val="20"/>
              </w:rPr>
              <w:t>Ambulatori konsultatīvā palīdzība pie nieru transplantācijas</w:t>
            </w:r>
          </w:p>
        </w:tc>
        <w:tc>
          <w:tcPr>
            <w:tcW w:w="2791" w:type="dxa"/>
            <w:tcBorders>
              <w:top w:val="nil"/>
              <w:left w:val="nil"/>
              <w:bottom w:val="single" w:sz="4" w:space="0" w:color="auto"/>
              <w:right w:val="single" w:sz="4" w:space="0" w:color="auto"/>
            </w:tcBorders>
            <w:shd w:val="clear" w:color="auto" w:fill="auto"/>
            <w:noWrap/>
            <w:vAlign w:val="center"/>
            <w:hideMark/>
          </w:tcPr>
          <w:p w14:paraId="13A0169E" w14:textId="0553D23E" w:rsidR="00D923AA" w:rsidRPr="007B010A" w:rsidRDefault="00974EF0" w:rsidP="00376CF0">
            <w:pPr>
              <w:jc w:val="center"/>
              <w:rPr>
                <w:sz w:val="20"/>
                <w:szCs w:val="20"/>
              </w:rPr>
            </w:pPr>
            <w:r w:rsidRPr="007B010A">
              <w:rPr>
                <w:sz w:val="20"/>
                <w:szCs w:val="20"/>
              </w:rPr>
              <w:t>3951</w:t>
            </w:r>
          </w:p>
        </w:tc>
        <w:tc>
          <w:tcPr>
            <w:tcW w:w="2033" w:type="dxa"/>
            <w:tcBorders>
              <w:top w:val="nil"/>
              <w:left w:val="nil"/>
              <w:bottom w:val="single" w:sz="4" w:space="0" w:color="auto"/>
              <w:right w:val="single" w:sz="4" w:space="0" w:color="auto"/>
            </w:tcBorders>
            <w:shd w:val="clear" w:color="auto" w:fill="auto"/>
            <w:noWrap/>
            <w:vAlign w:val="center"/>
            <w:hideMark/>
          </w:tcPr>
          <w:p w14:paraId="7F905EF2" w14:textId="7BB555A2" w:rsidR="00D923AA" w:rsidRPr="007B010A" w:rsidRDefault="00974EF0" w:rsidP="00376CF0">
            <w:pPr>
              <w:jc w:val="center"/>
              <w:rPr>
                <w:sz w:val="20"/>
                <w:szCs w:val="20"/>
              </w:rPr>
            </w:pPr>
            <w:r w:rsidRPr="007B010A">
              <w:rPr>
                <w:sz w:val="20"/>
                <w:szCs w:val="20"/>
              </w:rPr>
              <w:t>354</w:t>
            </w:r>
          </w:p>
        </w:tc>
      </w:tr>
      <w:tr w:rsidR="007E6069" w:rsidRPr="007B010A" w14:paraId="3A17E3A5" w14:textId="77777777" w:rsidTr="00376CF0">
        <w:trPr>
          <w:trHeight w:val="300"/>
          <w:jc w:val="center"/>
        </w:trPr>
        <w:tc>
          <w:tcPr>
            <w:tcW w:w="633" w:type="dxa"/>
            <w:vMerge/>
            <w:tcBorders>
              <w:left w:val="nil"/>
              <w:right w:val="single" w:sz="4" w:space="0" w:color="auto"/>
            </w:tcBorders>
            <w:vAlign w:val="center"/>
            <w:hideMark/>
          </w:tcPr>
          <w:p w14:paraId="2BA0D4B7" w14:textId="77777777" w:rsidR="00D923AA" w:rsidRPr="007B010A" w:rsidRDefault="00D923AA" w:rsidP="00376CF0">
            <w:pPr>
              <w:rPr>
                <w:sz w:val="20"/>
                <w:szCs w:val="20"/>
              </w:rPr>
            </w:pPr>
          </w:p>
        </w:tc>
        <w:tc>
          <w:tcPr>
            <w:tcW w:w="3609" w:type="dxa"/>
            <w:tcBorders>
              <w:top w:val="nil"/>
              <w:left w:val="nil"/>
              <w:bottom w:val="single" w:sz="4" w:space="0" w:color="auto"/>
              <w:right w:val="single" w:sz="4" w:space="0" w:color="auto"/>
            </w:tcBorders>
            <w:shd w:val="clear" w:color="auto" w:fill="auto"/>
            <w:vAlign w:val="bottom"/>
            <w:hideMark/>
          </w:tcPr>
          <w:p w14:paraId="540D460C" w14:textId="77777777" w:rsidR="00D923AA" w:rsidRPr="007B010A" w:rsidRDefault="00D923AA" w:rsidP="00376CF0">
            <w:pPr>
              <w:jc w:val="both"/>
              <w:rPr>
                <w:b/>
                <w:sz w:val="20"/>
                <w:szCs w:val="20"/>
              </w:rPr>
            </w:pPr>
            <w:r w:rsidRPr="007B010A">
              <w:rPr>
                <w:sz w:val="20"/>
                <w:szCs w:val="20"/>
              </w:rPr>
              <w:t>Pārējie ambulatorie pakalpojumi</w:t>
            </w:r>
          </w:p>
        </w:tc>
        <w:tc>
          <w:tcPr>
            <w:tcW w:w="2791" w:type="dxa"/>
            <w:tcBorders>
              <w:top w:val="nil"/>
              <w:left w:val="nil"/>
              <w:bottom w:val="single" w:sz="4" w:space="0" w:color="auto"/>
              <w:right w:val="single" w:sz="4" w:space="0" w:color="auto"/>
            </w:tcBorders>
            <w:shd w:val="clear" w:color="auto" w:fill="auto"/>
            <w:noWrap/>
            <w:vAlign w:val="center"/>
            <w:hideMark/>
          </w:tcPr>
          <w:p w14:paraId="1C4524D6" w14:textId="76A32222" w:rsidR="00D923AA" w:rsidRPr="007B010A" w:rsidRDefault="00974EF0" w:rsidP="00376CF0">
            <w:pPr>
              <w:jc w:val="center"/>
              <w:rPr>
                <w:b/>
                <w:sz w:val="20"/>
                <w:szCs w:val="20"/>
              </w:rPr>
            </w:pPr>
            <w:r w:rsidRPr="007B010A">
              <w:rPr>
                <w:sz w:val="20"/>
                <w:szCs w:val="20"/>
              </w:rPr>
              <w:t>68 626</w:t>
            </w:r>
          </w:p>
        </w:tc>
        <w:tc>
          <w:tcPr>
            <w:tcW w:w="2033" w:type="dxa"/>
            <w:tcBorders>
              <w:top w:val="nil"/>
              <w:left w:val="nil"/>
              <w:bottom w:val="single" w:sz="4" w:space="0" w:color="auto"/>
              <w:right w:val="single" w:sz="4" w:space="0" w:color="auto"/>
            </w:tcBorders>
            <w:shd w:val="clear" w:color="auto" w:fill="auto"/>
            <w:noWrap/>
            <w:vAlign w:val="center"/>
            <w:hideMark/>
          </w:tcPr>
          <w:p w14:paraId="23A2DD7E" w14:textId="6B615CF9" w:rsidR="00D923AA" w:rsidRPr="007B010A" w:rsidRDefault="00974EF0" w:rsidP="00376CF0">
            <w:pPr>
              <w:jc w:val="center"/>
              <w:rPr>
                <w:b/>
                <w:sz w:val="20"/>
                <w:szCs w:val="20"/>
              </w:rPr>
            </w:pPr>
            <w:r w:rsidRPr="007B010A">
              <w:rPr>
                <w:sz w:val="20"/>
                <w:szCs w:val="20"/>
              </w:rPr>
              <w:t>400</w:t>
            </w:r>
          </w:p>
        </w:tc>
      </w:tr>
      <w:tr w:rsidR="007E6069" w:rsidRPr="007B010A" w14:paraId="58EE8784" w14:textId="77777777" w:rsidTr="00376CF0">
        <w:trPr>
          <w:trHeight w:val="300"/>
          <w:jc w:val="center"/>
        </w:trPr>
        <w:tc>
          <w:tcPr>
            <w:tcW w:w="633" w:type="dxa"/>
            <w:vMerge/>
            <w:tcBorders>
              <w:left w:val="nil"/>
              <w:bottom w:val="nil"/>
              <w:right w:val="single" w:sz="4" w:space="0" w:color="auto"/>
            </w:tcBorders>
            <w:vAlign w:val="center"/>
          </w:tcPr>
          <w:p w14:paraId="4185059C" w14:textId="77777777" w:rsidR="00D923AA" w:rsidRPr="007B010A" w:rsidRDefault="00D923AA" w:rsidP="00376CF0">
            <w:pPr>
              <w:rPr>
                <w:sz w:val="20"/>
                <w:szCs w:val="20"/>
              </w:rPr>
            </w:pPr>
          </w:p>
        </w:tc>
        <w:tc>
          <w:tcPr>
            <w:tcW w:w="3609" w:type="dxa"/>
            <w:tcBorders>
              <w:top w:val="single" w:sz="4" w:space="0" w:color="auto"/>
              <w:left w:val="nil"/>
              <w:bottom w:val="single" w:sz="4" w:space="0" w:color="auto"/>
              <w:right w:val="single" w:sz="4" w:space="0" w:color="auto"/>
            </w:tcBorders>
            <w:shd w:val="clear" w:color="auto" w:fill="auto"/>
            <w:vAlign w:val="bottom"/>
          </w:tcPr>
          <w:p w14:paraId="27351541" w14:textId="77777777" w:rsidR="00D923AA" w:rsidRPr="007B010A" w:rsidRDefault="00D923AA" w:rsidP="00376CF0">
            <w:pPr>
              <w:ind w:firstLineChars="100" w:firstLine="201"/>
              <w:jc w:val="right"/>
              <w:rPr>
                <w:b/>
                <w:sz w:val="20"/>
                <w:szCs w:val="20"/>
              </w:rPr>
            </w:pPr>
            <w:r w:rsidRPr="007B010A">
              <w:rPr>
                <w:b/>
                <w:sz w:val="20"/>
                <w:szCs w:val="20"/>
              </w:rPr>
              <w:t>Kopā:</w:t>
            </w:r>
          </w:p>
        </w:tc>
        <w:tc>
          <w:tcPr>
            <w:tcW w:w="2791" w:type="dxa"/>
            <w:tcBorders>
              <w:top w:val="single" w:sz="4" w:space="0" w:color="auto"/>
              <w:left w:val="nil"/>
              <w:bottom w:val="single" w:sz="4" w:space="0" w:color="auto"/>
              <w:right w:val="single" w:sz="4" w:space="0" w:color="auto"/>
            </w:tcBorders>
            <w:shd w:val="clear" w:color="auto" w:fill="auto"/>
            <w:noWrap/>
            <w:vAlign w:val="center"/>
          </w:tcPr>
          <w:p w14:paraId="3A7D2173" w14:textId="45A813CD" w:rsidR="00D923AA" w:rsidRPr="007B010A" w:rsidRDefault="00974EF0" w:rsidP="00376CF0">
            <w:pPr>
              <w:jc w:val="center"/>
              <w:rPr>
                <w:b/>
                <w:sz w:val="20"/>
                <w:szCs w:val="20"/>
              </w:rPr>
            </w:pPr>
            <w:r w:rsidRPr="007B010A">
              <w:rPr>
                <w:b/>
                <w:sz w:val="20"/>
                <w:szCs w:val="20"/>
              </w:rPr>
              <w:t>5 425 824</w:t>
            </w:r>
          </w:p>
        </w:tc>
        <w:tc>
          <w:tcPr>
            <w:tcW w:w="2033" w:type="dxa"/>
            <w:tcBorders>
              <w:top w:val="single" w:sz="4" w:space="0" w:color="auto"/>
              <w:left w:val="nil"/>
              <w:bottom w:val="single" w:sz="4" w:space="0" w:color="auto"/>
              <w:right w:val="single" w:sz="4" w:space="0" w:color="auto"/>
            </w:tcBorders>
            <w:shd w:val="clear" w:color="auto" w:fill="auto"/>
            <w:noWrap/>
            <w:vAlign w:val="center"/>
          </w:tcPr>
          <w:p w14:paraId="6D791383" w14:textId="5C0C77BD" w:rsidR="00D923AA" w:rsidRPr="007B010A" w:rsidRDefault="00974EF0" w:rsidP="00376CF0">
            <w:pPr>
              <w:jc w:val="center"/>
              <w:rPr>
                <w:b/>
                <w:sz w:val="20"/>
                <w:szCs w:val="20"/>
              </w:rPr>
            </w:pPr>
            <w:r w:rsidRPr="007B010A">
              <w:rPr>
                <w:b/>
                <w:sz w:val="20"/>
                <w:szCs w:val="20"/>
              </w:rPr>
              <w:t>316 337</w:t>
            </w:r>
          </w:p>
        </w:tc>
      </w:tr>
    </w:tbl>
    <w:p w14:paraId="51D1C7C4" w14:textId="665D6264" w:rsidR="00D923AA" w:rsidRPr="007B010A" w:rsidRDefault="00D923AA" w:rsidP="00D923AA">
      <w:pPr>
        <w:autoSpaceDE w:val="0"/>
        <w:autoSpaceDN w:val="0"/>
        <w:adjustRightInd w:val="0"/>
        <w:spacing w:line="293" w:lineRule="atLeast"/>
        <w:jc w:val="both"/>
        <w:rPr>
          <w:i/>
          <w:sz w:val="20"/>
          <w:szCs w:val="20"/>
        </w:rPr>
      </w:pPr>
      <w:r w:rsidRPr="007B010A">
        <w:rPr>
          <w:i/>
          <w:sz w:val="20"/>
          <w:szCs w:val="20"/>
        </w:rPr>
        <w:t>Avots: NVD</w:t>
      </w:r>
    </w:p>
    <w:p w14:paraId="27948872" w14:textId="77777777" w:rsidR="009B1859" w:rsidRPr="007B010A" w:rsidRDefault="009B1859" w:rsidP="00D923AA">
      <w:pPr>
        <w:autoSpaceDE w:val="0"/>
        <w:autoSpaceDN w:val="0"/>
        <w:adjustRightInd w:val="0"/>
        <w:spacing w:line="293" w:lineRule="atLeast"/>
        <w:jc w:val="both"/>
        <w:rPr>
          <w:i/>
          <w:sz w:val="20"/>
          <w:szCs w:val="20"/>
        </w:rPr>
      </w:pPr>
    </w:p>
    <w:p w14:paraId="4A004F72" w14:textId="77777777" w:rsidR="00BE5358" w:rsidRPr="007B010A" w:rsidRDefault="00BE5358" w:rsidP="00BE5358">
      <w:pPr>
        <w:autoSpaceDE w:val="0"/>
        <w:autoSpaceDN w:val="0"/>
        <w:adjustRightInd w:val="0"/>
        <w:spacing w:line="293" w:lineRule="atLeast"/>
        <w:ind w:firstLine="720"/>
        <w:jc w:val="both"/>
      </w:pPr>
      <w:r w:rsidRPr="007B010A">
        <w:t>2019.gadā tiks turpinātas iesāktās intervences, palielinot veselības aprūpes pakalpojumu pieejamību pie speciālistiem uz konsultācijām, lai savlaicīgi diagnosticētu saslimšanu un uzsāktu pēc iespējas ātrāku ārstēšanās procesu, kā rezultātā palielinātu iespēju darbspējīgo iedzīvotāju atgriešanai darba tirgū un dot pienesumu tautsaimniecībā.</w:t>
      </w:r>
    </w:p>
    <w:p w14:paraId="08F4A3AE" w14:textId="77777777" w:rsidR="00BE5358" w:rsidRPr="007B010A" w:rsidRDefault="00BE5358" w:rsidP="00BE5358">
      <w:pPr>
        <w:autoSpaceDE w:val="0"/>
        <w:autoSpaceDN w:val="0"/>
        <w:adjustRightInd w:val="0"/>
        <w:spacing w:line="293" w:lineRule="atLeast"/>
        <w:ind w:firstLine="720"/>
        <w:jc w:val="both"/>
      </w:pPr>
      <w:r w:rsidRPr="007B010A">
        <w:t>Atbilstoši konceptuālajam ziņojumam “Par veselības aprūpes sistēmas reformu” (turpmāk – Konceptuālais ziņojums) līdz 2019.gada beigām plānots sasniegt kopējo veselības aprūpes reformu mērķi samazinot gaidīšanas rindu par 50%.</w:t>
      </w:r>
    </w:p>
    <w:p w14:paraId="77E98ADC" w14:textId="77777777" w:rsidR="00D923AA" w:rsidRPr="007B010A" w:rsidRDefault="00D923AA" w:rsidP="00D923AA">
      <w:pPr>
        <w:autoSpaceDE w:val="0"/>
        <w:autoSpaceDN w:val="0"/>
        <w:adjustRightInd w:val="0"/>
        <w:spacing w:line="293" w:lineRule="atLeast"/>
        <w:ind w:firstLine="720"/>
        <w:jc w:val="both"/>
        <w:rPr>
          <w:lang w:bidi="lo-LA"/>
        </w:rPr>
      </w:pPr>
    </w:p>
    <w:p w14:paraId="5580FFE6" w14:textId="77777777" w:rsidR="00D923AA" w:rsidRPr="007B010A" w:rsidRDefault="00D923AA" w:rsidP="00D923AA">
      <w:pPr>
        <w:autoSpaceDE w:val="0"/>
        <w:autoSpaceDN w:val="0"/>
        <w:adjustRightInd w:val="0"/>
        <w:spacing w:line="293" w:lineRule="atLeast"/>
        <w:jc w:val="center"/>
        <w:rPr>
          <w:u w:val="single"/>
          <w:lang w:bidi="lo-LA"/>
        </w:rPr>
      </w:pPr>
      <w:r w:rsidRPr="007B010A">
        <w:rPr>
          <w:u w:val="single"/>
          <w:lang w:bidi="lo-LA"/>
        </w:rPr>
        <w:t>Ambulatorie izmeklējumi</w:t>
      </w:r>
    </w:p>
    <w:p w14:paraId="50E5FCA3" w14:textId="77777777" w:rsidR="00D923AA" w:rsidRPr="007B010A" w:rsidRDefault="00D923AA" w:rsidP="00D923AA">
      <w:pPr>
        <w:autoSpaceDE w:val="0"/>
        <w:autoSpaceDN w:val="0"/>
        <w:adjustRightInd w:val="0"/>
        <w:spacing w:line="293" w:lineRule="atLeast"/>
        <w:jc w:val="both"/>
        <w:rPr>
          <w:u w:val="single"/>
          <w:lang w:bidi="lo-LA"/>
        </w:rPr>
      </w:pPr>
    </w:p>
    <w:p w14:paraId="2219CA24" w14:textId="06B29A91" w:rsidR="00D923AA" w:rsidRPr="007B010A" w:rsidRDefault="00D923AA" w:rsidP="009B1859">
      <w:pPr>
        <w:autoSpaceDE w:val="0"/>
        <w:autoSpaceDN w:val="0"/>
        <w:adjustRightInd w:val="0"/>
        <w:spacing w:line="293" w:lineRule="atLeast"/>
        <w:ind w:firstLine="709"/>
        <w:jc w:val="both"/>
      </w:pPr>
      <w:r w:rsidRPr="007B010A">
        <w:rPr>
          <w:lang w:bidi="lo-LA"/>
        </w:rPr>
        <w:t xml:space="preserve">Ambulatorie izmeklējumi ir viens no svarīgākajiem ārstniecības procesiem slimību un to izmaiņu diagnosticēšanai un to norises uzraudzībai. Ambulatorie izmeklējumi ietver </w:t>
      </w:r>
      <w:r w:rsidRPr="007B010A">
        <w:t xml:space="preserve">rentgenoloģiju, kodolmagnētisko rezonansi, datortomogrāfiju, ultrasonogrāfiju, </w:t>
      </w:r>
      <w:proofErr w:type="spellStart"/>
      <w:r w:rsidRPr="007B010A">
        <w:t>radionuklīdo</w:t>
      </w:r>
      <w:proofErr w:type="spellEnd"/>
      <w:r w:rsidRPr="007B010A">
        <w:t xml:space="preserve"> diagnostiku (</w:t>
      </w:r>
      <w:proofErr w:type="spellStart"/>
      <w:r w:rsidRPr="007B010A">
        <w:t>scintigrāfiju</w:t>
      </w:r>
      <w:proofErr w:type="spellEnd"/>
      <w:r w:rsidRPr="007B010A">
        <w:t xml:space="preserve">), </w:t>
      </w:r>
      <w:proofErr w:type="spellStart"/>
      <w:r w:rsidRPr="007B010A">
        <w:t>osteodensitometriju</w:t>
      </w:r>
      <w:proofErr w:type="spellEnd"/>
      <w:r w:rsidRPr="007B010A">
        <w:t xml:space="preserve">, pārējos sirds asinsvadu sistēmas funkcionālos izmeklējumus, </w:t>
      </w:r>
      <w:proofErr w:type="spellStart"/>
      <w:r w:rsidRPr="007B010A">
        <w:t>endoskopiju</w:t>
      </w:r>
      <w:proofErr w:type="spellEnd"/>
      <w:r w:rsidRPr="007B010A">
        <w:t xml:space="preserve">, </w:t>
      </w:r>
      <w:proofErr w:type="spellStart"/>
      <w:r w:rsidRPr="007B010A">
        <w:t>neiroelektrofizioloģiskos</w:t>
      </w:r>
      <w:proofErr w:type="spellEnd"/>
      <w:r w:rsidRPr="007B010A">
        <w:t xml:space="preserve"> funkcionālos izmeklējumus, </w:t>
      </w:r>
      <w:proofErr w:type="spellStart"/>
      <w:r w:rsidRPr="007B010A">
        <w:t>doplerogrāfiju</w:t>
      </w:r>
      <w:proofErr w:type="spellEnd"/>
      <w:r w:rsidRPr="007B010A">
        <w:t xml:space="preserve">, </w:t>
      </w:r>
      <w:proofErr w:type="spellStart"/>
      <w:r w:rsidRPr="007B010A">
        <w:t>elektrokardiogrāfiju</w:t>
      </w:r>
      <w:proofErr w:type="spellEnd"/>
      <w:r w:rsidRPr="007B010A">
        <w:t>.</w:t>
      </w:r>
    </w:p>
    <w:p w14:paraId="526C8126" w14:textId="08434965" w:rsidR="00D923AA" w:rsidRPr="007B010A" w:rsidRDefault="00D923AA" w:rsidP="00D923AA">
      <w:pPr>
        <w:autoSpaceDE w:val="0"/>
        <w:autoSpaceDN w:val="0"/>
        <w:adjustRightInd w:val="0"/>
        <w:spacing w:line="293" w:lineRule="atLeast"/>
        <w:ind w:firstLine="720"/>
        <w:jc w:val="both"/>
      </w:pPr>
      <w:r w:rsidRPr="007B010A">
        <w:t xml:space="preserve">Lai turpinātu palielināt pieejamību minēto valsts apmaksāto ambulatoro izmeklējumu saņemšanai 2018.gadā plānots apjoma pieaugums par 535,2 tūkstošiem pakalpojumu. </w:t>
      </w:r>
    </w:p>
    <w:p w14:paraId="41A202BF" w14:textId="48C050F3" w:rsidR="00D923AA" w:rsidRPr="007B010A" w:rsidRDefault="00D923AA" w:rsidP="00D923AA">
      <w:pPr>
        <w:ind w:firstLine="720"/>
        <w:jc w:val="right"/>
        <w:rPr>
          <w:i/>
        </w:rPr>
      </w:pPr>
      <w:r w:rsidRPr="007B010A">
        <w:rPr>
          <w:i/>
        </w:rPr>
        <w:t xml:space="preserve">4.tabula </w:t>
      </w:r>
    </w:p>
    <w:p w14:paraId="403D8719" w14:textId="1590FAE9" w:rsidR="00D923AA" w:rsidRPr="007B010A" w:rsidRDefault="00D923AA" w:rsidP="00B14649">
      <w:pPr>
        <w:jc w:val="center"/>
      </w:pPr>
      <w:r w:rsidRPr="007B010A">
        <w:t xml:space="preserve">Veikto </w:t>
      </w:r>
      <w:r w:rsidRPr="007B010A">
        <w:rPr>
          <w:lang w:bidi="lo-LA"/>
        </w:rPr>
        <w:t xml:space="preserve">izmeklējumu </w:t>
      </w:r>
      <w:r w:rsidRPr="007B010A">
        <w:t xml:space="preserve">2018.gada </w:t>
      </w:r>
      <w:r w:rsidRPr="007B010A">
        <w:rPr>
          <w:lang w:bidi="lo-LA"/>
        </w:rPr>
        <w:t>izpilde</w:t>
      </w:r>
    </w:p>
    <w:tbl>
      <w:tblPr>
        <w:tblW w:w="11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052"/>
        <w:gridCol w:w="999"/>
        <w:gridCol w:w="990"/>
        <w:gridCol w:w="1032"/>
        <w:gridCol w:w="945"/>
        <w:gridCol w:w="879"/>
        <w:gridCol w:w="1123"/>
        <w:gridCol w:w="911"/>
        <w:gridCol w:w="1271"/>
        <w:gridCol w:w="1123"/>
      </w:tblGrid>
      <w:tr w:rsidR="007E6069" w:rsidRPr="007B010A" w14:paraId="5AC4EA8B" w14:textId="77777777" w:rsidTr="001E6F28">
        <w:trPr>
          <w:trHeight w:val="290"/>
          <w:jc w:val="center"/>
        </w:trPr>
        <w:tc>
          <w:tcPr>
            <w:tcW w:w="1025" w:type="dxa"/>
            <w:vMerge w:val="restart"/>
            <w:shd w:val="clear" w:color="000000" w:fill="FCE4D6"/>
            <w:vAlign w:val="center"/>
            <w:hideMark/>
          </w:tcPr>
          <w:p w14:paraId="1374B24F" w14:textId="77777777" w:rsidR="00D923AA" w:rsidRPr="007B010A" w:rsidRDefault="00D923AA" w:rsidP="00376CF0">
            <w:pPr>
              <w:jc w:val="center"/>
              <w:rPr>
                <w:sz w:val="16"/>
                <w:szCs w:val="16"/>
              </w:rPr>
            </w:pPr>
            <w:r w:rsidRPr="007B010A">
              <w:rPr>
                <w:sz w:val="16"/>
                <w:szCs w:val="16"/>
              </w:rPr>
              <w:t xml:space="preserve">Ambulatorie izmeklējumi </w:t>
            </w:r>
          </w:p>
        </w:tc>
        <w:tc>
          <w:tcPr>
            <w:tcW w:w="1052" w:type="dxa"/>
            <w:vMerge w:val="restart"/>
            <w:shd w:val="clear" w:color="000000" w:fill="FCE4D6"/>
            <w:vAlign w:val="center"/>
            <w:hideMark/>
          </w:tcPr>
          <w:p w14:paraId="7EE94D92" w14:textId="700BB135" w:rsidR="00D923AA" w:rsidRPr="007B010A" w:rsidRDefault="00D923AA" w:rsidP="00376CF0">
            <w:pPr>
              <w:jc w:val="center"/>
              <w:rPr>
                <w:sz w:val="16"/>
                <w:szCs w:val="16"/>
              </w:rPr>
            </w:pPr>
            <w:r w:rsidRPr="007B010A">
              <w:rPr>
                <w:sz w:val="16"/>
                <w:szCs w:val="16"/>
              </w:rPr>
              <w:t xml:space="preserve">Vidējais plānotais izmeklējumu skaits </w:t>
            </w:r>
            <w:r w:rsidR="00485D70" w:rsidRPr="007B010A">
              <w:rPr>
                <w:sz w:val="16"/>
                <w:szCs w:val="16"/>
              </w:rPr>
              <w:t>2018.gadā</w:t>
            </w:r>
          </w:p>
        </w:tc>
        <w:tc>
          <w:tcPr>
            <w:tcW w:w="999" w:type="dxa"/>
            <w:vMerge w:val="restart"/>
            <w:shd w:val="clear" w:color="000000" w:fill="FCE4D6"/>
            <w:vAlign w:val="center"/>
          </w:tcPr>
          <w:p w14:paraId="5751E82D" w14:textId="482E7EDE" w:rsidR="00D923AA" w:rsidRPr="007B010A" w:rsidRDefault="00D923AA" w:rsidP="00376CF0">
            <w:pPr>
              <w:jc w:val="center"/>
              <w:rPr>
                <w:sz w:val="16"/>
                <w:szCs w:val="16"/>
              </w:rPr>
            </w:pPr>
            <w:r w:rsidRPr="007B010A">
              <w:rPr>
                <w:sz w:val="16"/>
                <w:szCs w:val="16"/>
              </w:rPr>
              <w:t>Faktiskais konsultāciju skaits 2018.gadā</w:t>
            </w:r>
          </w:p>
        </w:tc>
        <w:tc>
          <w:tcPr>
            <w:tcW w:w="990" w:type="dxa"/>
            <w:vMerge w:val="restart"/>
            <w:shd w:val="clear" w:color="000000" w:fill="FCE4D6"/>
            <w:vAlign w:val="center"/>
            <w:hideMark/>
          </w:tcPr>
          <w:p w14:paraId="7C44F636" w14:textId="77777777" w:rsidR="00D923AA" w:rsidRPr="007B010A" w:rsidRDefault="00D923AA" w:rsidP="00376CF0">
            <w:pPr>
              <w:jc w:val="center"/>
              <w:rPr>
                <w:sz w:val="16"/>
                <w:szCs w:val="16"/>
              </w:rPr>
            </w:pPr>
            <w:r w:rsidRPr="007B010A">
              <w:rPr>
                <w:sz w:val="16"/>
                <w:szCs w:val="16"/>
              </w:rPr>
              <w:t xml:space="preserve">Plānotais finansējums  </w:t>
            </w:r>
            <w:proofErr w:type="spellStart"/>
            <w:r w:rsidRPr="007B010A">
              <w:rPr>
                <w:i/>
                <w:iCs/>
                <w:sz w:val="16"/>
                <w:szCs w:val="16"/>
              </w:rPr>
              <w:t>euro</w:t>
            </w:r>
            <w:proofErr w:type="spellEnd"/>
          </w:p>
        </w:tc>
        <w:tc>
          <w:tcPr>
            <w:tcW w:w="1032" w:type="dxa"/>
            <w:vMerge w:val="restart"/>
            <w:shd w:val="clear" w:color="000000" w:fill="FCE4D6"/>
            <w:vAlign w:val="center"/>
            <w:hideMark/>
          </w:tcPr>
          <w:p w14:paraId="7CA67D16" w14:textId="3AC5F160" w:rsidR="00D923AA" w:rsidRPr="007B010A" w:rsidRDefault="00D923AA" w:rsidP="00376CF0">
            <w:pPr>
              <w:jc w:val="center"/>
              <w:rPr>
                <w:sz w:val="16"/>
                <w:szCs w:val="16"/>
              </w:rPr>
            </w:pPr>
            <w:r w:rsidRPr="007B010A">
              <w:rPr>
                <w:sz w:val="16"/>
                <w:szCs w:val="16"/>
              </w:rPr>
              <w:t xml:space="preserve">Finanšu izlietojums 2018.gadā </w:t>
            </w:r>
            <w:proofErr w:type="spellStart"/>
            <w:r w:rsidRPr="007B010A">
              <w:rPr>
                <w:i/>
                <w:iCs/>
                <w:sz w:val="16"/>
                <w:szCs w:val="16"/>
              </w:rPr>
              <w:t>euro</w:t>
            </w:r>
            <w:proofErr w:type="spellEnd"/>
          </w:p>
        </w:tc>
        <w:tc>
          <w:tcPr>
            <w:tcW w:w="2843" w:type="dxa"/>
            <w:gridSpan w:val="3"/>
            <w:shd w:val="clear" w:color="000000" w:fill="FCE4D6"/>
            <w:vAlign w:val="center"/>
            <w:hideMark/>
          </w:tcPr>
          <w:p w14:paraId="1A199E6B" w14:textId="77777777" w:rsidR="00D923AA" w:rsidRPr="007B010A" w:rsidRDefault="00D923AA" w:rsidP="00376CF0">
            <w:pPr>
              <w:jc w:val="center"/>
              <w:rPr>
                <w:sz w:val="16"/>
                <w:szCs w:val="16"/>
              </w:rPr>
            </w:pPr>
            <w:r w:rsidRPr="007B010A">
              <w:rPr>
                <w:sz w:val="16"/>
                <w:szCs w:val="16"/>
              </w:rPr>
              <w:t>Vidējais rindu garums dienās</w:t>
            </w:r>
          </w:p>
        </w:tc>
        <w:tc>
          <w:tcPr>
            <w:tcW w:w="911" w:type="dxa"/>
            <w:vMerge w:val="restart"/>
            <w:shd w:val="clear" w:color="000000" w:fill="FCE4D6"/>
            <w:vAlign w:val="center"/>
          </w:tcPr>
          <w:p w14:paraId="63DF3839" w14:textId="56C9CAD6" w:rsidR="00D923AA" w:rsidRPr="007B010A" w:rsidRDefault="00D923AA" w:rsidP="00376CF0">
            <w:pPr>
              <w:jc w:val="center"/>
              <w:rPr>
                <w:sz w:val="16"/>
                <w:szCs w:val="16"/>
              </w:rPr>
            </w:pPr>
            <w:r w:rsidRPr="007B010A">
              <w:rPr>
                <w:sz w:val="16"/>
                <w:szCs w:val="16"/>
              </w:rPr>
              <w:t xml:space="preserve">Rindu </w:t>
            </w:r>
            <w:proofErr w:type="spellStart"/>
            <w:r w:rsidRPr="007B010A">
              <w:rPr>
                <w:sz w:val="16"/>
                <w:szCs w:val="16"/>
              </w:rPr>
              <w:t>samazinā</w:t>
            </w:r>
            <w:proofErr w:type="spellEnd"/>
            <w:r w:rsidRPr="007B010A">
              <w:rPr>
                <w:sz w:val="16"/>
                <w:szCs w:val="16"/>
              </w:rPr>
              <w:t>-jums 2018.gadā %</w:t>
            </w:r>
          </w:p>
        </w:tc>
        <w:tc>
          <w:tcPr>
            <w:tcW w:w="1271" w:type="dxa"/>
            <w:vMerge w:val="restart"/>
            <w:shd w:val="clear" w:color="000000" w:fill="FCE4D6"/>
            <w:vAlign w:val="center"/>
          </w:tcPr>
          <w:p w14:paraId="057CDC3F" w14:textId="16776137" w:rsidR="00D923AA" w:rsidRPr="007B010A" w:rsidRDefault="00D923AA" w:rsidP="00376CF0">
            <w:pPr>
              <w:jc w:val="center"/>
              <w:rPr>
                <w:sz w:val="16"/>
                <w:szCs w:val="16"/>
              </w:rPr>
            </w:pPr>
            <w:r w:rsidRPr="007B010A">
              <w:rPr>
                <w:sz w:val="16"/>
                <w:szCs w:val="16"/>
              </w:rPr>
              <w:t>Rindas garums  bez pacientu uzvedības maiņas 2018.gadā</w:t>
            </w:r>
          </w:p>
        </w:tc>
        <w:tc>
          <w:tcPr>
            <w:tcW w:w="1123" w:type="dxa"/>
            <w:vMerge w:val="restart"/>
            <w:shd w:val="clear" w:color="000000" w:fill="FCE4D6"/>
            <w:vAlign w:val="center"/>
          </w:tcPr>
          <w:p w14:paraId="221A01D4" w14:textId="7CD93CEA" w:rsidR="00D923AA" w:rsidRPr="007B010A" w:rsidRDefault="00D923AA" w:rsidP="00376CF0">
            <w:pPr>
              <w:jc w:val="center"/>
              <w:rPr>
                <w:sz w:val="16"/>
                <w:szCs w:val="16"/>
              </w:rPr>
            </w:pPr>
            <w:r w:rsidRPr="007B010A">
              <w:rPr>
                <w:sz w:val="16"/>
                <w:szCs w:val="16"/>
              </w:rPr>
              <w:t>Rindu samazinājums bez pacientu uzvedības maiņas 2018.gadā</w:t>
            </w:r>
          </w:p>
        </w:tc>
      </w:tr>
      <w:tr w:rsidR="007E6069" w:rsidRPr="007B010A" w14:paraId="573CC075" w14:textId="77777777" w:rsidTr="001E6F28">
        <w:trPr>
          <w:trHeight w:val="910"/>
          <w:jc w:val="center"/>
        </w:trPr>
        <w:tc>
          <w:tcPr>
            <w:tcW w:w="1025" w:type="dxa"/>
            <w:vMerge/>
            <w:vAlign w:val="center"/>
            <w:hideMark/>
          </w:tcPr>
          <w:p w14:paraId="4F66D01B" w14:textId="77777777" w:rsidR="00D923AA" w:rsidRPr="007B010A" w:rsidRDefault="00D923AA" w:rsidP="00376CF0">
            <w:pPr>
              <w:rPr>
                <w:sz w:val="16"/>
                <w:szCs w:val="16"/>
              </w:rPr>
            </w:pPr>
          </w:p>
        </w:tc>
        <w:tc>
          <w:tcPr>
            <w:tcW w:w="1052" w:type="dxa"/>
            <w:vMerge/>
            <w:vAlign w:val="center"/>
            <w:hideMark/>
          </w:tcPr>
          <w:p w14:paraId="364A6E15" w14:textId="77777777" w:rsidR="00D923AA" w:rsidRPr="007B010A" w:rsidRDefault="00D923AA" w:rsidP="00376CF0">
            <w:pPr>
              <w:rPr>
                <w:sz w:val="16"/>
                <w:szCs w:val="16"/>
              </w:rPr>
            </w:pPr>
          </w:p>
        </w:tc>
        <w:tc>
          <w:tcPr>
            <w:tcW w:w="999" w:type="dxa"/>
            <w:vMerge/>
            <w:vAlign w:val="center"/>
          </w:tcPr>
          <w:p w14:paraId="606DE009" w14:textId="77777777" w:rsidR="00D923AA" w:rsidRPr="007B010A" w:rsidRDefault="00D923AA" w:rsidP="00376CF0">
            <w:pPr>
              <w:rPr>
                <w:sz w:val="16"/>
                <w:szCs w:val="16"/>
              </w:rPr>
            </w:pPr>
          </w:p>
        </w:tc>
        <w:tc>
          <w:tcPr>
            <w:tcW w:w="990" w:type="dxa"/>
            <w:vMerge/>
            <w:vAlign w:val="center"/>
            <w:hideMark/>
          </w:tcPr>
          <w:p w14:paraId="7238B340" w14:textId="77777777" w:rsidR="00D923AA" w:rsidRPr="007B010A" w:rsidRDefault="00D923AA" w:rsidP="00376CF0">
            <w:pPr>
              <w:rPr>
                <w:sz w:val="16"/>
                <w:szCs w:val="16"/>
              </w:rPr>
            </w:pPr>
          </w:p>
        </w:tc>
        <w:tc>
          <w:tcPr>
            <w:tcW w:w="1032" w:type="dxa"/>
            <w:vMerge/>
            <w:vAlign w:val="center"/>
            <w:hideMark/>
          </w:tcPr>
          <w:p w14:paraId="0441935E" w14:textId="77777777" w:rsidR="00D923AA" w:rsidRPr="007B010A" w:rsidRDefault="00D923AA" w:rsidP="00376CF0">
            <w:pPr>
              <w:rPr>
                <w:sz w:val="16"/>
                <w:szCs w:val="16"/>
              </w:rPr>
            </w:pPr>
          </w:p>
        </w:tc>
        <w:tc>
          <w:tcPr>
            <w:tcW w:w="841" w:type="dxa"/>
            <w:shd w:val="clear" w:color="000000" w:fill="FCE4D6"/>
            <w:vAlign w:val="center"/>
            <w:hideMark/>
          </w:tcPr>
          <w:p w14:paraId="62BF2D07" w14:textId="77777777" w:rsidR="00D923AA" w:rsidRPr="007B010A" w:rsidRDefault="00D923AA" w:rsidP="00376CF0">
            <w:pPr>
              <w:jc w:val="center"/>
              <w:rPr>
                <w:sz w:val="16"/>
                <w:szCs w:val="16"/>
              </w:rPr>
            </w:pPr>
            <w:r w:rsidRPr="007B010A">
              <w:rPr>
                <w:sz w:val="16"/>
                <w:szCs w:val="16"/>
              </w:rPr>
              <w:t>Pirms reformu īstenošanas</w:t>
            </w:r>
          </w:p>
        </w:tc>
        <w:tc>
          <w:tcPr>
            <w:tcW w:w="879" w:type="dxa"/>
            <w:shd w:val="clear" w:color="000000" w:fill="FCE4D6"/>
            <w:vAlign w:val="center"/>
            <w:hideMark/>
          </w:tcPr>
          <w:p w14:paraId="5B2F4201" w14:textId="49073CB6" w:rsidR="00D923AA" w:rsidRPr="007B010A" w:rsidRDefault="00D923AA" w:rsidP="00376CF0">
            <w:pPr>
              <w:jc w:val="center"/>
              <w:rPr>
                <w:sz w:val="16"/>
                <w:szCs w:val="16"/>
              </w:rPr>
            </w:pPr>
            <w:r w:rsidRPr="007B010A">
              <w:rPr>
                <w:sz w:val="16"/>
                <w:szCs w:val="16"/>
              </w:rPr>
              <w:t>Uz 201</w:t>
            </w:r>
            <w:r w:rsidR="0014134F" w:rsidRPr="007B010A">
              <w:rPr>
                <w:sz w:val="16"/>
                <w:szCs w:val="16"/>
              </w:rPr>
              <w:t>9</w:t>
            </w:r>
            <w:r w:rsidRPr="007B010A">
              <w:rPr>
                <w:sz w:val="16"/>
                <w:szCs w:val="16"/>
              </w:rPr>
              <w:t>.gada 1.j</w:t>
            </w:r>
            <w:r w:rsidR="0014134F" w:rsidRPr="007B010A">
              <w:rPr>
                <w:sz w:val="16"/>
                <w:szCs w:val="16"/>
              </w:rPr>
              <w:t>anvāri</w:t>
            </w:r>
          </w:p>
        </w:tc>
        <w:tc>
          <w:tcPr>
            <w:tcW w:w="1123" w:type="dxa"/>
            <w:shd w:val="clear" w:color="000000" w:fill="FCE4D6"/>
            <w:vAlign w:val="center"/>
            <w:hideMark/>
          </w:tcPr>
          <w:p w14:paraId="3F03FFBF" w14:textId="35B0E2E4" w:rsidR="00D923AA" w:rsidRPr="007B010A" w:rsidRDefault="00D923AA" w:rsidP="00376CF0">
            <w:pPr>
              <w:jc w:val="center"/>
              <w:rPr>
                <w:sz w:val="16"/>
                <w:szCs w:val="16"/>
              </w:rPr>
            </w:pPr>
            <w:r w:rsidRPr="007B010A">
              <w:rPr>
                <w:sz w:val="16"/>
                <w:szCs w:val="16"/>
              </w:rPr>
              <w:t>Rindu samazinājums 2018.gadā</w:t>
            </w:r>
          </w:p>
        </w:tc>
        <w:tc>
          <w:tcPr>
            <w:tcW w:w="911" w:type="dxa"/>
            <w:vMerge/>
            <w:shd w:val="clear" w:color="000000" w:fill="FCE4D6"/>
          </w:tcPr>
          <w:p w14:paraId="177724FF" w14:textId="77777777" w:rsidR="00D923AA" w:rsidRPr="007B010A" w:rsidRDefault="00D923AA" w:rsidP="00376CF0">
            <w:pPr>
              <w:jc w:val="center"/>
              <w:rPr>
                <w:sz w:val="16"/>
                <w:szCs w:val="16"/>
              </w:rPr>
            </w:pPr>
          </w:p>
        </w:tc>
        <w:tc>
          <w:tcPr>
            <w:tcW w:w="1271" w:type="dxa"/>
            <w:vMerge/>
            <w:shd w:val="clear" w:color="000000" w:fill="FCE4D6"/>
            <w:vAlign w:val="center"/>
          </w:tcPr>
          <w:p w14:paraId="50D2FF9C" w14:textId="77777777" w:rsidR="00D923AA" w:rsidRPr="007B010A" w:rsidRDefault="00D923AA" w:rsidP="00376CF0">
            <w:pPr>
              <w:jc w:val="center"/>
              <w:rPr>
                <w:sz w:val="16"/>
                <w:szCs w:val="16"/>
              </w:rPr>
            </w:pPr>
          </w:p>
        </w:tc>
        <w:tc>
          <w:tcPr>
            <w:tcW w:w="1123" w:type="dxa"/>
            <w:vMerge/>
            <w:shd w:val="clear" w:color="000000" w:fill="FCE4D6"/>
          </w:tcPr>
          <w:p w14:paraId="49A4ED9F" w14:textId="77777777" w:rsidR="00D923AA" w:rsidRPr="007B010A" w:rsidRDefault="00D923AA" w:rsidP="00376CF0">
            <w:pPr>
              <w:jc w:val="center"/>
              <w:rPr>
                <w:sz w:val="16"/>
                <w:szCs w:val="16"/>
              </w:rPr>
            </w:pPr>
          </w:p>
        </w:tc>
      </w:tr>
      <w:tr w:rsidR="007E6069" w:rsidRPr="007B010A" w14:paraId="5BB4431D" w14:textId="77777777" w:rsidTr="001E6F28">
        <w:trPr>
          <w:trHeight w:val="290"/>
          <w:jc w:val="center"/>
        </w:trPr>
        <w:tc>
          <w:tcPr>
            <w:tcW w:w="1025" w:type="dxa"/>
            <w:shd w:val="clear" w:color="000000" w:fill="92D050"/>
            <w:noWrap/>
            <w:vAlign w:val="center"/>
          </w:tcPr>
          <w:p w14:paraId="335F0A91" w14:textId="77777777" w:rsidR="00EA373F" w:rsidRPr="007B010A" w:rsidRDefault="00EA373F" w:rsidP="00EA373F">
            <w:pPr>
              <w:jc w:val="center"/>
              <w:rPr>
                <w:sz w:val="16"/>
                <w:szCs w:val="16"/>
              </w:rPr>
            </w:pPr>
          </w:p>
        </w:tc>
        <w:tc>
          <w:tcPr>
            <w:tcW w:w="1052" w:type="dxa"/>
            <w:shd w:val="clear" w:color="000000" w:fill="92D050"/>
            <w:noWrap/>
            <w:vAlign w:val="center"/>
          </w:tcPr>
          <w:p w14:paraId="60252F3F" w14:textId="618C3AA9" w:rsidR="00EA373F" w:rsidRPr="007B010A" w:rsidRDefault="00EA373F" w:rsidP="00EA373F">
            <w:pPr>
              <w:jc w:val="center"/>
              <w:rPr>
                <w:sz w:val="16"/>
                <w:szCs w:val="16"/>
              </w:rPr>
            </w:pPr>
            <w:r w:rsidRPr="007B010A">
              <w:rPr>
                <w:sz w:val="16"/>
                <w:szCs w:val="16"/>
              </w:rPr>
              <w:t>1</w:t>
            </w:r>
          </w:p>
        </w:tc>
        <w:tc>
          <w:tcPr>
            <w:tcW w:w="999" w:type="dxa"/>
            <w:shd w:val="clear" w:color="000000" w:fill="92D050"/>
            <w:vAlign w:val="center"/>
          </w:tcPr>
          <w:p w14:paraId="0D927B2D" w14:textId="0A95A40B" w:rsidR="00EA373F" w:rsidRPr="007B010A" w:rsidRDefault="00EA373F" w:rsidP="00EA373F">
            <w:pPr>
              <w:jc w:val="center"/>
              <w:rPr>
                <w:sz w:val="16"/>
                <w:szCs w:val="16"/>
              </w:rPr>
            </w:pPr>
            <w:r w:rsidRPr="007B010A">
              <w:rPr>
                <w:sz w:val="16"/>
                <w:szCs w:val="16"/>
              </w:rPr>
              <w:t>2</w:t>
            </w:r>
          </w:p>
        </w:tc>
        <w:tc>
          <w:tcPr>
            <w:tcW w:w="990" w:type="dxa"/>
            <w:shd w:val="clear" w:color="000000" w:fill="92D050"/>
            <w:noWrap/>
            <w:vAlign w:val="center"/>
          </w:tcPr>
          <w:p w14:paraId="478C276B" w14:textId="388CD091" w:rsidR="00EA373F" w:rsidRPr="007B010A" w:rsidRDefault="00EA373F" w:rsidP="00EA373F">
            <w:pPr>
              <w:jc w:val="center"/>
              <w:rPr>
                <w:sz w:val="16"/>
                <w:szCs w:val="16"/>
              </w:rPr>
            </w:pPr>
            <w:r w:rsidRPr="007B010A">
              <w:rPr>
                <w:sz w:val="16"/>
                <w:szCs w:val="16"/>
              </w:rPr>
              <w:t>3</w:t>
            </w:r>
          </w:p>
        </w:tc>
        <w:tc>
          <w:tcPr>
            <w:tcW w:w="1032" w:type="dxa"/>
            <w:shd w:val="clear" w:color="000000" w:fill="92D050"/>
            <w:noWrap/>
            <w:vAlign w:val="center"/>
          </w:tcPr>
          <w:p w14:paraId="66D104F1" w14:textId="22ED62F7" w:rsidR="00EA373F" w:rsidRPr="007B010A" w:rsidRDefault="00EA373F" w:rsidP="00EA373F">
            <w:pPr>
              <w:jc w:val="center"/>
              <w:rPr>
                <w:sz w:val="16"/>
                <w:szCs w:val="16"/>
              </w:rPr>
            </w:pPr>
            <w:r w:rsidRPr="007B010A">
              <w:rPr>
                <w:sz w:val="16"/>
                <w:szCs w:val="16"/>
              </w:rPr>
              <w:t>4</w:t>
            </w:r>
          </w:p>
        </w:tc>
        <w:tc>
          <w:tcPr>
            <w:tcW w:w="841" w:type="dxa"/>
            <w:shd w:val="clear" w:color="000000" w:fill="92D050"/>
            <w:vAlign w:val="center"/>
          </w:tcPr>
          <w:p w14:paraId="7BB77FEB" w14:textId="2D2360B9" w:rsidR="00EA373F" w:rsidRPr="007B010A" w:rsidRDefault="00EA373F" w:rsidP="00EA373F">
            <w:pPr>
              <w:jc w:val="center"/>
              <w:rPr>
                <w:sz w:val="16"/>
                <w:szCs w:val="16"/>
              </w:rPr>
            </w:pPr>
            <w:r w:rsidRPr="007B010A">
              <w:rPr>
                <w:sz w:val="16"/>
                <w:szCs w:val="16"/>
              </w:rPr>
              <w:t>5</w:t>
            </w:r>
          </w:p>
        </w:tc>
        <w:tc>
          <w:tcPr>
            <w:tcW w:w="879" w:type="dxa"/>
            <w:shd w:val="clear" w:color="000000" w:fill="92D050"/>
            <w:vAlign w:val="center"/>
          </w:tcPr>
          <w:p w14:paraId="49B34990" w14:textId="2BFF93A6" w:rsidR="00EA373F" w:rsidRPr="007B010A" w:rsidRDefault="00EA373F" w:rsidP="00EA373F">
            <w:pPr>
              <w:jc w:val="center"/>
              <w:rPr>
                <w:sz w:val="16"/>
                <w:szCs w:val="16"/>
              </w:rPr>
            </w:pPr>
            <w:r w:rsidRPr="007B010A">
              <w:rPr>
                <w:sz w:val="16"/>
                <w:szCs w:val="16"/>
              </w:rPr>
              <w:t>6</w:t>
            </w:r>
          </w:p>
        </w:tc>
        <w:tc>
          <w:tcPr>
            <w:tcW w:w="1123" w:type="dxa"/>
            <w:shd w:val="clear" w:color="000000" w:fill="92D050"/>
            <w:vAlign w:val="center"/>
          </w:tcPr>
          <w:p w14:paraId="7E1A086D" w14:textId="748F73EB" w:rsidR="00EA373F" w:rsidRPr="007B010A" w:rsidRDefault="00EA373F" w:rsidP="00EA373F">
            <w:pPr>
              <w:jc w:val="center"/>
              <w:rPr>
                <w:sz w:val="16"/>
                <w:szCs w:val="16"/>
              </w:rPr>
            </w:pPr>
            <w:r w:rsidRPr="007B010A">
              <w:rPr>
                <w:sz w:val="16"/>
                <w:szCs w:val="16"/>
              </w:rPr>
              <w:t>7</w:t>
            </w:r>
          </w:p>
        </w:tc>
        <w:tc>
          <w:tcPr>
            <w:tcW w:w="911" w:type="dxa"/>
            <w:shd w:val="clear" w:color="000000" w:fill="92D050"/>
            <w:vAlign w:val="center"/>
          </w:tcPr>
          <w:p w14:paraId="47C24C1C" w14:textId="166126B7" w:rsidR="00EA373F" w:rsidRPr="007B010A" w:rsidRDefault="00EA373F" w:rsidP="00EA373F">
            <w:pPr>
              <w:jc w:val="center"/>
              <w:rPr>
                <w:sz w:val="16"/>
                <w:szCs w:val="16"/>
              </w:rPr>
            </w:pPr>
            <w:r w:rsidRPr="007B010A">
              <w:rPr>
                <w:sz w:val="16"/>
                <w:szCs w:val="16"/>
              </w:rPr>
              <w:t>8=7/</w:t>
            </w:r>
            <w:r w:rsidR="00586A7E" w:rsidRPr="007B010A">
              <w:rPr>
                <w:sz w:val="16"/>
                <w:szCs w:val="16"/>
              </w:rPr>
              <w:t>5</w:t>
            </w:r>
            <w:r w:rsidRPr="007B010A">
              <w:rPr>
                <w:sz w:val="16"/>
                <w:szCs w:val="16"/>
              </w:rPr>
              <w:t>*100</w:t>
            </w:r>
          </w:p>
        </w:tc>
        <w:tc>
          <w:tcPr>
            <w:tcW w:w="1271" w:type="dxa"/>
            <w:shd w:val="clear" w:color="000000" w:fill="92D050"/>
            <w:vAlign w:val="center"/>
          </w:tcPr>
          <w:p w14:paraId="03EEBA99" w14:textId="2579B121" w:rsidR="00EA373F" w:rsidRPr="007B010A" w:rsidRDefault="00343FFF" w:rsidP="00EA373F">
            <w:pPr>
              <w:jc w:val="center"/>
              <w:rPr>
                <w:sz w:val="16"/>
                <w:szCs w:val="16"/>
              </w:rPr>
            </w:pPr>
            <w:r w:rsidRPr="007B010A">
              <w:rPr>
                <w:sz w:val="16"/>
                <w:szCs w:val="16"/>
              </w:rPr>
              <w:t>9=6/11</w:t>
            </w:r>
            <w:r w:rsidR="002545D1" w:rsidRPr="007B010A">
              <w:rPr>
                <w:sz w:val="16"/>
                <w:szCs w:val="16"/>
              </w:rPr>
              <w:t>5</w:t>
            </w:r>
            <w:r w:rsidR="007E6069">
              <w:rPr>
                <w:sz w:val="16"/>
                <w:szCs w:val="16"/>
              </w:rPr>
              <w:t>,</w:t>
            </w:r>
            <w:r w:rsidRPr="007B010A">
              <w:rPr>
                <w:sz w:val="16"/>
                <w:szCs w:val="16"/>
              </w:rPr>
              <w:t>68</w:t>
            </w:r>
            <w:r w:rsidR="00EA373F" w:rsidRPr="007B010A">
              <w:rPr>
                <w:sz w:val="16"/>
                <w:szCs w:val="16"/>
              </w:rPr>
              <w:t>*100</w:t>
            </w:r>
          </w:p>
        </w:tc>
        <w:tc>
          <w:tcPr>
            <w:tcW w:w="1123" w:type="dxa"/>
            <w:shd w:val="clear" w:color="000000" w:fill="92D050"/>
            <w:vAlign w:val="center"/>
          </w:tcPr>
          <w:p w14:paraId="78792CB0" w14:textId="1FA00E8E" w:rsidR="00EA373F" w:rsidRPr="007B010A" w:rsidRDefault="00EA373F" w:rsidP="00EA373F">
            <w:pPr>
              <w:jc w:val="center"/>
              <w:rPr>
                <w:sz w:val="16"/>
                <w:szCs w:val="16"/>
              </w:rPr>
            </w:pPr>
            <w:r w:rsidRPr="007B010A">
              <w:rPr>
                <w:sz w:val="16"/>
                <w:szCs w:val="16"/>
              </w:rPr>
              <w:t>10=5-9</w:t>
            </w:r>
          </w:p>
        </w:tc>
      </w:tr>
      <w:tr w:rsidR="007E6069" w:rsidRPr="007B010A" w14:paraId="36EC999F" w14:textId="77777777" w:rsidTr="001E6F28">
        <w:trPr>
          <w:trHeight w:val="290"/>
          <w:jc w:val="center"/>
        </w:trPr>
        <w:tc>
          <w:tcPr>
            <w:tcW w:w="1025" w:type="dxa"/>
            <w:shd w:val="clear" w:color="000000" w:fill="92D050"/>
            <w:noWrap/>
            <w:vAlign w:val="center"/>
            <w:hideMark/>
          </w:tcPr>
          <w:p w14:paraId="50B01E39" w14:textId="77777777" w:rsidR="00D923AA" w:rsidRPr="007B010A" w:rsidRDefault="00D923AA" w:rsidP="00376CF0">
            <w:pPr>
              <w:jc w:val="center"/>
              <w:rPr>
                <w:sz w:val="16"/>
                <w:szCs w:val="16"/>
              </w:rPr>
            </w:pPr>
            <w:r w:rsidRPr="007B010A">
              <w:rPr>
                <w:sz w:val="16"/>
                <w:szCs w:val="16"/>
              </w:rPr>
              <w:t>Ārstniecības iestādes</w:t>
            </w:r>
          </w:p>
        </w:tc>
        <w:tc>
          <w:tcPr>
            <w:tcW w:w="1052" w:type="dxa"/>
            <w:shd w:val="clear" w:color="000000" w:fill="92D050"/>
            <w:noWrap/>
            <w:vAlign w:val="center"/>
            <w:hideMark/>
          </w:tcPr>
          <w:p w14:paraId="0F8442C2" w14:textId="77777777" w:rsidR="00D923AA" w:rsidRPr="007B010A" w:rsidRDefault="00D923AA" w:rsidP="00376CF0">
            <w:pPr>
              <w:jc w:val="center"/>
              <w:rPr>
                <w:sz w:val="16"/>
                <w:szCs w:val="16"/>
              </w:rPr>
            </w:pPr>
            <w:r w:rsidRPr="007B010A">
              <w:rPr>
                <w:sz w:val="16"/>
                <w:szCs w:val="16"/>
              </w:rPr>
              <w:t>535 232</w:t>
            </w:r>
          </w:p>
        </w:tc>
        <w:tc>
          <w:tcPr>
            <w:tcW w:w="999" w:type="dxa"/>
            <w:shd w:val="clear" w:color="000000" w:fill="92D050"/>
            <w:vAlign w:val="center"/>
          </w:tcPr>
          <w:p w14:paraId="6001BBFB" w14:textId="02D656DB" w:rsidR="00D923AA" w:rsidRPr="007B010A" w:rsidRDefault="00F87841" w:rsidP="00376CF0">
            <w:pPr>
              <w:jc w:val="center"/>
              <w:rPr>
                <w:sz w:val="16"/>
                <w:szCs w:val="16"/>
              </w:rPr>
            </w:pPr>
            <w:r w:rsidRPr="007B010A">
              <w:rPr>
                <w:sz w:val="16"/>
                <w:szCs w:val="16"/>
              </w:rPr>
              <w:t>551 264</w:t>
            </w:r>
          </w:p>
        </w:tc>
        <w:tc>
          <w:tcPr>
            <w:tcW w:w="990" w:type="dxa"/>
            <w:shd w:val="clear" w:color="000000" w:fill="92D050"/>
            <w:noWrap/>
            <w:vAlign w:val="center"/>
            <w:hideMark/>
          </w:tcPr>
          <w:p w14:paraId="3D956C2B" w14:textId="77777777" w:rsidR="00D923AA" w:rsidRPr="007B010A" w:rsidRDefault="00D923AA" w:rsidP="00376CF0">
            <w:pPr>
              <w:jc w:val="center"/>
              <w:rPr>
                <w:sz w:val="16"/>
                <w:szCs w:val="16"/>
              </w:rPr>
            </w:pPr>
            <w:r w:rsidRPr="007B010A">
              <w:rPr>
                <w:sz w:val="16"/>
                <w:szCs w:val="16"/>
              </w:rPr>
              <w:t>12 698 580</w:t>
            </w:r>
          </w:p>
        </w:tc>
        <w:tc>
          <w:tcPr>
            <w:tcW w:w="1032" w:type="dxa"/>
            <w:shd w:val="clear" w:color="000000" w:fill="92D050"/>
            <w:noWrap/>
            <w:vAlign w:val="center"/>
            <w:hideMark/>
          </w:tcPr>
          <w:p w14:paraId="28637B40" w14:textId="5C9EB325" w:rsidR="00D923AA" w:rsidRPr="007B010A" w:rsidRDefault="00F87841" w:rsidP="00376CF0">
            <w:pPr>
              <w:jc w:val="center"/>
              <w:rPr>
                <w:sz w:val="16"/>
                <w:szCs w:val="16"/>
              </w:rPr>
            </w:pPr>
            <w:r w:rsidRPr="007B010A">
              <w:rPr>
                <w:sz w:val="16"/>
                <w:szCs w:val="16"/>
              </w:rPr>
              <w:t>12 698 580</w:t>
            </w:r>
          </w:p>
        </w:tc>
        <w:tc>
          <w:tcPr>
            <w:tcW w:w="841" w:type="dxa"/>
            <w:shd w:val="clear" w:color="000000" w:fill="92D050"/>
            <w:vAlign w:val="center"/>
            <w:hideMark/>
          </w:tcPr>
          <w:p w14:paraId="0B7C009F" w14:textId="0737A9AA" w:rsidR="00D923AA" w:rsidRPr="007B010A" w:rsidRDefault="00D923AA" w:rsidP="00376CF0">
            <w:pPr>
              <w:jc w:val="center"/>
              <w:rPr>
                <w:sz w:val="16"/>
                <w:szCs w:val="16"/>
              </w:rPr>
            </w:pPr>
            <w:r w:rsidRPr="007B010A">
              <w:rPr>
                <w:sz w:val="16"/>
                <w:szCs w:val="16"/>
              </w:rPr>
              <w:t>40</w:t>
            </w:r>
            <w:r w:rsidR="00BE0484">
              <w:rPr>
                <w:sz w:val="16"/>
                <w:szCs w:val="16"/>
              </w:rPr>
              <w:t>,</w:t>
            </w:r>
            <w:r w:rsidRPr="007B010A">
              <w:rPr>
                <w:sz w:val="16"/>
                <w:szCs w:val="16"/>
              </w:rPr>
              <w:t>39</w:t>
            </w:r>
          </w:p>
        </w:tc>
        <w:tc>
          <w:tcPr>
            <w:tcW w:w="879" w:type="dxa"/>
            <w:shd w:val="clear" w:color="000000" w:fill="92D050"/>
            <w:vAlign w:val="center"/>
            <w:hideMark/>
          </w:tcPr>
          <w:p w14:paraId="2F309A58" w14:textId="79D353B8" w:rsidR="00D923AA" w:rsidRPr="007B010A" w:rsidRDefault="00D923AA" w:rsidP="00376CF0">
            <w:pPr>
              <w:jc w:val="center"/>
              <w:rPr>
                <w:sz w:val="16"/>
                <w:szCs w:val="16"/>
              </w:rPr>
            </w:pPr>
            <w:r w:rsidRPr="007B010A">
              <w:rPr>
                <w:sz w:val="16"/>
                <w:szCs w:val="16"/>
              </w:rPr>
              <w:t>36</w:t>
            </w:r>
            <w:r w:rsidR="00BE0484">
              <w:rPr>
                <w:sz w:val="16"/>
                <w:szCs w:val="16"/>
              </w:rPr>
              <w:t>,</w:t>
            </w:r>
            <w:r w:rsidR="00221677" w:rsidRPr="007B010A">
              <w:rPr>
                <w:sz w:val="16"/>
                <w:szCs w:val="16"/>
              </w:rPr>
              <w:t>30</w:t>
            </w:r>
          </w:p>
        </w:tc>
        <w:tc>
          <w:tcPr>
            <w:tcW w:w="1123" w:type="dxa"/>
            <w:shd w:val="clear" w:color="000000" w:fill="92D050"/>
            <w:vAlign w:val="center"/>
            <w:hideMark/>
          </w:tcPr>
          <w:p w14:paraId="769DFFDA" w14:textId="15A63D8F" w:rsidR="00D923AA" w:rsidRPr="007B010A" w:rsidRDefault="002545D1" w:rsidP="00376CF0">
            <w:pPr>
              <w:jc w:val="center"/>
              <w:rPr>
                <w:sz w:val="16"/>
                <w:szCs w:val="16"/>
              </w:rPr>
            </w:pPr>
            <w:r w:rsidRPr="007B010A">
              <w:rPr>
                <w:sz w:val="16"/>
                <w:szCs w:val="16"/>
              </w:rPr>
              <w:t>4</w:t>
            </w:r>
            <w:r w:rsidR="00BE0484">
              <w:rPr>
                <w:sz w:val="16"/>
                <w:szCs w:val="16"/>
              </w:rPr>
              <w:t>,</w:t>
            </w:r>
            <w:r w:rsidRPr="007B010A">
              <w:rPr>
                <w:sz w:val="16"/>
                <w:szCs w:val="16"/>
              </w:rPr>
              <w:t>09</w:t>
            </w:r>
          </w:p>
        </w:tc>
        <w:tc>
          <w:tcPr>
            <w:tcW w:w="911" w:type="dxa"/>
            <w:shd w:val="clear" w:color="000000" w:fill="92D050"/>
            <w:vAlign w:val="center"/>
          </w:tcPr>
          <w:p w14:paraId="266D3EE4" w14:textId="46EF12A3" w:rsidR="00D923AA" w:rsidRPr="007B010A" w:rsidRDefault="002545D1" w:rsidP="00376CF0">
            <w:pPr>
              <w:jc w:val="center"/>
              <w:rPr>
                <w:sz w:val="16"/>
                <w:szCs w:val="16"/>
              </w:rPr>
            </w:pPr>
            <w:r w:rsidRPr="007B010A">
              <w:rPr>
                <w:sz w:val="16"/>
                <w:szCs w:val="16"/>
              </w:rPr>
              <w:t>10</w:t>
            </w:r>
            <w:r w:rsidR="00BE0484">
              <w:rPr>
                <w:sz w:val="16"/>
                <w:szCs w:val="16"/>
              </w:rPr>
              <w:t>,</w:t>
            </w:r>
            <w:r w:rsidR="00D923AA" w:rsidRPr="007B010A">
              <w:rPr>
                <w:sz w:val="16"/>
                <w:szCs w:val="16"/>
              </w:rPr>
              <w:t>1</w:t>
            </w:r>
            <w:r w:rsidRPr="007B010A">
              <w:rPr>
                <w:sz w:val="16"/>
                <w:szCs w:val="16"/>
              </w:rPr>
              <w:t>3</w:t>
            </w:r>
          </w:p>
        </w:tc>
        <w:tc>
          <w:tcPr>
            <w:tcW w:w="1271" w:type="dxa"/>
            <w:shd w:val="clear" w:color="000000" w:fill="92D050"/>
            <w:vAlign w:val="center"/>
          </w:tcPr>
          <w:p w14:paraId="48126B7F" w14:textId="2139AB37" w:rsidR="00D923AA" w:rsidRPr="007B010A" w:rsidRDefault="00D923AA" w:rsidP="00376CF0">
            <w:pPr>
              <w:jc w:val="center"/>
              <w:rPr>
                <w:sz w:val="16"/>
                <w:szCs w:val="16"/>
              </w:rPr>
            </w:pPr>
            <w:r w:rsidRPr="007B010A">
              <w:rPr>
                <w:sz w:val="16"/>
                <w:szCs w:val="16"/>
              </w:rPr>
              <w:t>3</w:t>
            </w:r>
            <w:r w:rsidR="00226307" w:rsidRPr="007B010A">
              <w:rPr>
                <w:sz w:val="16"/>
                <w:szCs w:val="16"/>
              </w:rPr>
              <w:t>1</w:t>
            </w:r>
            <w:r w:rsidR="00BE0484">
              <w:rPr>
                <w:sz w:val="16"/>
                <w:szCs w:val="16"/>
              </w:rPr>
              <w:t>,</w:t>
            </w:r>
            <w:r w:rsidR="002545D1" w:rsidRPr="007B010A">
              <w:rPr>
                <w:sz w:val="16"/>
                <w:szCs w:val="16"/>
              </w:rPr>
              <w:t>38</w:t>
            </w:r>
          </w:p>
        </w:tc>
        <w:tc>
          <w:tcPr>
            <w:tcW w:w="1123" w:type="dxa"/>
            <w:shd w:val="clear" w:color="000000" w:fill="92D050"/>
            <w:vAlign w:val="center"/>
          </w:tcPr>
          <w:p w14:paraId="05B2C999" w14:textId="4F4AA48B" w:rsidR="00D923AA" w:rsidRPr="007B010A" w:rsidRDefault="002545D1" w:rsidP="00376CF0">
            <w:pPr>
              <w:jc w:val="center"/>
              <w:rPr>
                <w:sz w:val="16"/>
                <w:szCs w:val="16"/>
              </w:rPr>
            </w:pPr>
            <w:r w:rsidRPr="007B010A">
              <w:rPr>
                <w:sz w:val="16"/>
                <w:szCs w:val="16"/>
              </w:rPr>
              <w:t>9</w:t>
            </w:r>
            <w:r w:rsidR="00BE0484">
              <w:rPr>
                <w:sz w:val="16"/>
                <w:szCs w:val="16"/>
              </w:rPr>
              <w:t>,</w:t>
            </w:r>
            <w:r w:rsidRPr="007B010A">
              <w:rPr>
                <w:sz w:val="16"/>
                <w:szCs w:val="16"/>
              </w:rPr>
              <w:t>01</w:t>
            </w:r>
          </w:p>
        </w:tc>
      </w:tr>
    </w:tbl>
    <w:p w14:paraId="5AC457CD" w14:textId="008FE543" w:rsidR="00D923AA" w:rsidRPr="007B010A" w:rsidRDefault="00D923AA" w:rsidP="00B14649">
      <w:pPr>
        <w:autoSpaceDE w:val="0"/>
        <w:autoSpaceDN w:val="0"/>
        <w:adjustRightInd w:val="0"/>
        <w:spacing w:line="293" w:lineRule="atLeast"/>
        <w:jc w:val="both"/>
        <w:rPr>
          <w:lang w:bidi="lo-LA"/>
        </w:rPr>
      </w:pPr>
      <w:r w:rsidRPr="007B010A">
        <w:rPr>
          <w:i/>
          <w:sz w:val="20"/>
          <w:szCs w:val="20"/>
        </w:rPr>
        <w:lastRenderedPageBreak/>
        <w:t>Avots: NVD</w:t>
      </w:r>
    </w:p>
    <w:p w14:paraId="0BAAF641" w14:textId="77777777" w:rsidR="009B1859" w:rsidRPr="007B010A" w:rsidRDefault="009B1859" w:rsidP="00D923AA">
      <w:pPr>
        <w:autoSpaceDE w:val="0"/>
        <w:autoSpaceDN w:val="0"/>
        <w:adjustRightInd w:val="0"/>
        <w:spacing w:line="293" w:lineRule="atLeast"/>
        <w:ind w:firstLine="720"/>
        <w:jc w:val="both"/>
      </w:pPr>
    </w:p>
    <w:p w14:paraId="7695FAB9" w14:textId="6EBD9708" w:rsidR="0039696A" w:rsidRPr="007B010A" w:rsidRDefault="00D923AA" w:rsidP="00D923AA">
      <w:pPr>
        <w:autoSpaceDE w:val="0"/>
        <w:autoSpaceDN w:val="0"/>
        <w:adjustRightInd w:val="0"/>
        <w:spacing w:line="293" w:lineRule="atLeast"/>
        <w:ind w:firstLine="720"/>
        <w:jc w:val="both"/>
      </w:pPr>
      <w:r w:rsidRPr="007B010A">
        <w:t xml:space="preserve">Atbilstoši 2018.gada  faktiskajai izpildei </w:t>
      </w:r>
      <w:r w:rsidRPr="007B010A">
        <w:rPr>
          <w:lang w:bidi="lo-LA"/>
        </w:rPr>
        <w:t xml:space="preserve">ambulatoro izmeklējumu </w:t>
      </w:r>
      <w:r w:rsidRPr="007B010A">
        <w:t xml:space="preserve">pieaugums īstenots </w:t>
      </w:r>
      <w:r w:rsidR="00E85F82" w:rsidRPr="007B010A">
        <w:t>103</w:t>
      </w:r>
      <w:r w:rsidRPr="007B010A">
        <w:t>,</w:t>
      </w:r>
      <w:r w:rsidR="00E85F82" w:rsidRPr="007B010A">
        <w:t>00</w:t>
      </w:r>
      <w:r w:rsidRPr="007B010A">
        <w:t xml:space="preserve">% apmērā no gada plānotā </w:t>
      </w:r>
      <w:r w:rsidRPr="007B010A">
        <w:rPr>
          <w:lang w:bidi="lo-LA"/>
        </w:rPr>
        <w:t>izmeklējumu</w:t>
      </w:r>
      <w:r w:rsidRPr="007B010A">
        <w:t xml:space="preserve"> pieauguma apjoma. Līdz ar to secināms, ka laika periodā no 2018.gada janvāra līdz </w:t>
      </w:r>
      <w:r w:rsidR="00E41105" w:rsidRPr="007B010A">
        <w:t>decembra</w:t>
      </w:r>
      <w:r w:rsidRPr="007B010A">
        <w:t xml:space="preserve"> beigām rindu samazinājums nodrošināts ārstniecības iestāžu iespēju robežās, atbilstoši cilvēkresursu kapacitātei, vidēji samazinot rindu garumu uz izmeklējumiem par </w:t>
      </w:r>
      <w:r w:rsidR="00E85F82" w:rsidRPr="007B010A">
        <w:t>10</w:t>
      </w:r>
      <w:r w:rsidRPr="007B010A">
        <w:t>,</w:t>
      </w:r>
      <w:r w:rsidR="00E85F82" w:rsidRPr="007B010A">
        <w:t>13</w:t>
      </w:r>
      <w:r w:rsidRPr="007B010A">
        <w:t xml:space="preserve">%. </w:t>
      </w:r>
      <w:r w:rsidR="007E21B3" w:rsidRPr="007B010A">
        <w:t xml:space="preserve">Biežāk izmantotie izmeklējumi, kā, piemēram, rentgens un </w:t>
      </w:r>
      <w:proofErr w:type="spellStart"/>
      <w:r w:rsidR="007E21B3" w:rsidRPr="007B010A">
        <w:t>elektrokardiogrāfija</w:t>
      </w:r>
      <w:proofErr w:type="spellEnd"/>
      <w:r w:rsidR="007E21B3" w:rsidRPr="007B010A">
        <w:t xml:space="preserve"> iedzīvotājiem </w:t>
      </w:r>
      <w:r w:rsidR="00643A03" w:rsidRPr="007B010A">
        <w:t>ir</w:t>
      </w:r>
      <w:r w:rsidR="007E21B3" w:rsidRPr="007B010A">
        <w:t xml:space="preserve"> pieejama</w:t>
      </w:r>
      <w:r w:rsidR="00643A03" w:rsidRPr="007B010A">
        <w:t xml:space="preserve"> 10 dienu laikā vismaz 97% ārstniecības iestāžu.</w:t>
      </w:r>
    </w:p>
    <w:p w14:paraId="3969303C" w14:textId="54F89BDF" w:rsidR="00D923AA" w:rsidRPr="007B010A" w:rsidRDefault="0039696A" w:rsidP="00D923AA">
      <w:pPr>
        <w:autoSpaceDE w:val="0"/>
        <w:autoSpaceDN w:val="0"/>
        <w:adjustRightInd w:val="0"/>
        <w:spacing w:line="293" w:lineRule="atLeast"/>
        <w:ind w:firstLine="720"/>
        <w:jc w:val="both"/>
      </w:pPr>
      <w:r w:rsidRPr="007B010A">
        <w:t>Ņemot vērā</w:t>
      </w:r>
      <w:r w:rsidR="00D923AA" w:rsidRPr="007B010A">
        <w:t xml:space="preserve"> pacientu uzvedības maiņas pieņēmum</w:t>
      </w:r>
      <w:r w:rsidRPr="007B010A">
        <w:t>u</w:t>
      </w:r>
      <w:r w:rsidR="00D923AA" w:rsidRPr="007B010A">
        <w:t>, minētā situācija liecina, ka valsts apmaksāto pakalpojumu rindā sāk iekļauties tie iedzīvotāji, kas iepriekš dažādu iemeslu dēļ ir izvēlējušies saņemt veselības aprūpes pakalpojumus maksājot tiešos maksājumus. Šo situāciju apstiprina arī fakts, ka lielākajās Latvijas klīniskajās universitātes slimnīcās (</w:t>
      </w:r>
      <w:r w:rsidR="00671D8E" w:rsidRPr="007B010A">
        <w:t>SIA “</w:t>
      </w:r>
      <w:r w:rsidR="00D923AA" w:rsidRPr="007B010A">
        <w:t>Rīgas Austrumu klīniskā universitātes slimnīca</w:t>
      </w:r>
      <w:r w:rsidR="00671D8E" w:rsidRPr="007B010A">
        <w:t>”</w:t>
      </w:r>
      <w:r w:rsidR="00D923AA" w:rsidRPr="007B010A">
        <w:t xml:space="preserve"> un </w:t>
      </w:r>
      <w:r w:rsidR="00671D8E" w:rsidRPr="007B010A">
        <w:t>VSIA “</w:t>
      </w:r>
      <w:r w:rsidR="00D923AA" w:rsidRPr="007B010A">
        <w:t>Paula Stradiņa klīniskā universitātes slimnīca</w:t>
      </w:r>
      <w:r w:rsidR="00671D8E" w:rsidRPr="007B010A">
        <w:t>”</w:t>
      </w:r>
      <w:r w:rsidR="00D923AA" w:rsidRPr="007B010A">
        <w:t xml:space="preserve">) būtiski samazinājies 2018.gadā sniegto maksas pakalpojumu skaits, attiecīgi par </w:t>
      </w:r>
      <w:r w:rsidR="00C6780C" w:rsidRPr="007B010A">
        <w:t>24</w:t>
      </w:r>
      <w:r w:rsidR="00D923AA" w:rsidRPr="007B010A">
        <w:t>,</w:t>
      </w:r>
      <w:r w:rsidR="00C6780C" w:rsidRPr="007B010A">
        <w:t>72</w:t>
      </w:r>
      <w:r w:rsidR="00D923AA" w:rsidRPr="007B010A">
        <w:t xml:space="preserve">% un </w:t>
      </w:r>
      <w:r w:rsidR="00C010BE" w:rsidRPr="007B010A">
        <w:t>18</w:t>
      </w:r>
      <w:r w:rsidR="00D923AA" w:rsidRPr="007B010A">
        <w:t>,5</w:t>
      </w:r>
      <w:r w:rsidR="00C010BE" w:rsidRPr="007B010A">
        <w:t>7</w:t>
      </w:r>
      <w:r w:rsidR="00D923AA" w:rsidRPr="007B010A">
        <w:t>%, līdz ar to arī samazinājušies ieņēmumi par sniegtajiem veselības aprūpes pakalpojumiem salīdzinot ar iepriekšējo periodu. Tāpat ir konstatēts, ka būtiski nav pieaugušas privātās veselības apdrošināšanas polises izmaksātās atlīdzības salīdzinot ar iepriekšējā perioda datiem</w:t>
      </w:r>
      <w:r w:rsidR="00D923AA" w:rsidRPr="007B010A">
        <w:rPr>
          <w:rStyle w:val="FootnoteReference"/>
        </w:rPr>
        <w:footnoteReference w:id="7"/>
      </w:r>
      <w:r w:rsidR="00D923AA" w:rsidRPr="007B010A">
        <w:t xml:space="preserve">, kas var liecināt, ka iedzīvotāji vairāk izvēlas saņemt valsts apmaksātus veselības aprūpes pakalpojumus un gala rezultātā gaidīšanas laiks samazinās lēnāk kā iepriekš plānots, jo prognozēšanā netika ņemta vērā pacientu uzvedības maiņa. Tāpat papildus ietekmi rindu garuma samazinājumam </w:t>
      </w:r>
      <w:r w:rsidR="00E4262F" w:rsidRPr="007B010A">
        <w:t xml:space="preserve">gada griezumā </w:t>
      </w:r>
      <w:r w:rsidR="00D923AA" w:rsidRPr="007B010A">
        <w:t xml:space="preserve">dod ārstniecības personu atvaļinājumi vasaras periodā, kas savukārt samazina iespēju nokļūt pie speciālista. Papildus tam tika konstatēts, ka ir samazinājies to pacientu skaits, kas nav varējuši saņemt veselības aprūpes pakalpojumus, tādejādi palielinot pieprasījumu pēc valsts apmaksātas veselības aprūpes. Līdz ar to ir nepieciešams turpināt iesāktās intervences arī turpmāk un </w:t>
      </w:r>
      <w:r w:rsidR="00AA5406" w:rsidRPr="007B010A">
        <w:t>turpināt</w:t>
      </w:r>
      <w:r w:rsidR="00D923AA" w:rsidRPr="007B010A">
        <w:t xml:space="preserve"> palielināt ārstniecības personām atalgojumu, lai saglabātu un tuvākajos gados palielinātu cilvēkresursu kapacitāti, tādejādi atbilstoši pacientu veselības stāvokļa uzlabošanas vai saglabāšanas vajadzībai nodrošinot nepieciešamo izmeklējumu skaitu.</w:t>
      </w:r>
    </w:p>
    <w:p w14:paraId="136C42B2" w14:textId="78215D6A" w:rsidR="00D923AA" w:rsidRPr="007B010A" w:rsidRDefault="00D923AA" w:rsidP="00977BC9">
      <w:pPr>
        <w:shd w:val="clear" w:color="auto" w:fill="FFFFFF"/>
        <w:spacing w:line="285" w:lineRule="atLeast"/>
        <w:ind w:firstLine="720"/>
        <w:jc w:val="both"/>
      </w:pPr>
      <w:r w:rsidRPr="007B010A">
        <w:t xml:space="preserve">Ārstniecības iestādēm pēc nepieciešamības ir iespēja pielietot dažādas </w:t>
      </w:r>
      <w:r w:rsidR="004F2FB0" w:rsidRPr="007B010A">
        <w:t xml:space="preserve">tehnoloģijas un metodes </w:t>
      </w:r>
      <w:r w:rsidRPr="007B010A">
        <w:t xml:space="preserve">(t.sk. piemaksu manipulācijas, piemēram par kontrastvielām), jo vairāk pielieto “dārgās manipulācijas“, jo vairāk pieaug viena izmeklējuma vidējā izmaksa. Kā arī mainoties tarifiem un mērķtiecīgi palielinot valsts apmaksāto izmeklējumu skaitu, būtiski ir pieaudzis pakalpojumu veida - </w:t>
      </w:r>
      <w:r w:rsidR="004255F0" w:rsidRPr="007B010A">
        <w:t>Datortomogrāfijas</w:t>
      </w:r>
      <w:r w:rsidRPr="007B010A">
        <w:t xml:space="preserve"> īpatsvars ar augstu vidējo viena izmeklējuma izmaksu (2018.gada </w:t>
      </w:r>
      <w:r w:rsidR="004255F0" w:rsidRPr="007B010A">
        <w:t>12</w:t>
      </w:r>
      <w:r w:rsidRPr="007B010A">
        <w:t xml:space="preserve"> mēnešos šī pakalpojumu veida izmeklējumu skaits, salīdzinoši ar 2017.gada </w:t>
      </w:r>
      <w:r w:rsidR="004255F0" w:rsidRPr="007B010A">
        <w:t>12</w:t>
      </w:r>
      <w:r w:rsidRPr="007B010A">
        <w:t xml:space="preserve"> mēnešiem ir pieaudzis par </w:t>
      </w:r>
      <w:r w:rsidR="00F8502D" w:rsidRPr="007B010A">
        <w:t>42,25</w:t>
      </w:r>
      <w:r w:rsidRPr="007B010A">
        <w:t>%).</w:t>
      </w:r>
    </w:p>
    <w:p w14:paraId="3B47526C" w14:textId="65B7A365" w:rsidR="00D923AA" w:rsidRPr="007B010A" w:rsidRDefault="00D923AA" w:rsidP="00977BC9">
      <w:pPr>
        <w:shd w:val="clear" w:color="auto" w:fill="FFFFFF"/>
        <w:spacing w:line="285" w:lineRule="atLeast"/>
        <w:ind w:firstLine="720"/>
        <w:jc w:val="both"/>
        <w:rPr>
          <w:shd w:val="clear" w:color="auto" w:fill="FFFFFF"/>
        </w:rPr>
      </w:pPr>
      <w:r w:rsidRPr="007B010A">
        <w:rPr>
          <w:shd w:val="clear" w:color="auto" w:fill="FFFFFF"/>
        </w:rPr>
        <w:t xml:space="preserve">No 2018.gada pakalpojumu veidam </w:t>
      </w:r>
      <w:proofErr w:type="spellStart"/>
      <w:r w:rsidRPr="007B010A">
        <w:rPr>
          <w:b/>
          <w:bCs/>
          <w:i/>
          <w:iCs/>
          <w:shd w:val="clear" w:color="auto" w:fill="FFFFFF"/>
        </w:rPr>
        <w:t>Mammogrāfija</w:t>
      </w:r>
      <w:proofErr w:type="spellEnd"/>
      <w:r w:rsidRPr="007B010A">
        <w:rPr>
          <w:shd w:val="clear" w:color="auto" w:fill="FFFFFF"/>
        </w:rPr>
        <w:t> izmeklējumi ārstniecības iestādēm tiek apmaksāti pēc principa “nauda seko pacientam” un vairāk kā 70% ārstniecīb</w:t>
      </w:r>
      <w:r w:rsidR="007C1385" w:rsidRPr="007B010A">
        <w:rPr>
          <w:shd w:val="clear" w:color="auto" w:fill="FFFFFF"/>
        </w:rPr>
        <w:t>as iestādē</w:t>
      </w:r>
      <w:r w:rsidRPr="007B010A">
        <w:rPr>
          <w:shd w:val="clear" w:color="auto" w:fill="FFFFFF"/>
        </w:rPr>
        <w:t xml:space="preserve">s </w:t>
      </w:r>
      <w:proofErr w:type="spellStart"/>
      <w:r w:rsidRPr="007B010A">
        <w:rPr>
          <w:shd w:val="clear" w:color="auto" w:fill="FFFFFF"/>
        </w:rPr>
        <w:t>mamogrāfijas</w:t>
      </w:r>
      <w:proofErr w:type="spellEnd"/>
      <w:r w:rsidRPr="007B010A">
        <w:rPr>
          <w:shd w:val="clear" w:color="auto" w:fill="FFFFFF"/>
        </w:rPr>
        <w:t xml:space="preserve"> izmeklējumi ir pieejami 10 darba dienu laikā, savukārt no 2018.gada 1.janvāra vairs nav pakalpojumu veids - </w:t>
      </w:r>
      <w:r w:rsidRPr="007B010A">
        <w:rPr>
          <w:b/>
          <w:bCs/>
          <w:i/>
          <w:iCs/>
          <w:shd w:val="clear" w:color="auto" w:fill="FFFFFF"/>
        </w:rPr>
        <w:t>Sirds asinsvadu sistēmas funkcionālie izmeklējumi</w:t>
      </w:r>
      <w:r w:rsidRPr="007B010A">
        <w:rPr>
          <w:shd w:val="clear" w:color="auto" w:fill="FFFFFF"/>
        </w:rPr>
        <w:t>, bet tā vietā ir divi jauni pakalpojumu veidi – </w:t>
      </w:r>
      <w:proofErr w:type="spellStart"/>
      <w:r w:rsidRPr="007B010A">
        <w:rPr>
          <w:b/>
          <w:bCs/>
          <w:i/>
          <w:iCs/>
          <w:shd w:val="clear" w:color="auto" w:fill="FFFFFF"/>
        </w:rPr>
        <w:t>Elektrokardiogrāfija</w:t>
      </w:r>
      <w:proofErr w:type="spellEnd"/>
      <w:r w:rsidRPr="007B010A">
        <w:rPr>
          <w:shd w:val="clear" w:color="auto" w:fill="FFFFFF"/>
        </w:rPr>
        <w:t> un - </w:t>
      </w:r>
      <w:r w:rsidRPr="007B010A">
        <w:rPr>
          <w:b/>
          <w:bCs/>
          <w:i/>
          <w:iCs/>
          <w:shd w:val="clear" w:color="auto" w:fill="FFFFFF"/>
        </w:rPr>
        <w:t xml:space="preserve">Pārējie sirds asinsvadu sistēmas funkcionālie izmeklējumi </w:t>
      </w:r>
      <w:r w:rsidRPr="007B010A">
        <w:t>(skat.5.tabulu)</w:t>
      </w:r>
      <w:r w:rsidRPr="007B010A">
        <w:rPr>
          <w:b/>
          <w:bCs/>
          <w:i/>
          <w:iCs/>
          <w:shd w:val="clear" w:color="auto" w:fill="FFFFFF"/>
        </w:rPr>
        <w:t>.</w:t>
      </w:r>
    </w:p>
    <w:p w14:paraId="1F0B1AF5" w14:textId="77777777" w:rsidR="00D709F7" w:rsidRDefault="00D709F7" w:rsidP="00D923AA">
      <w:pPr>
        <w:ind w:firstLine="720"/>
        <w:jc w:val="right"/>
        <w:rPr>
          <w:i/>
        </w:rPr>
      </w:pPr>
    </w:p>
    <w:p w14:paraId="49E62A49" w14:textId="77777777" w:rsidR="00D709F7" w:rsidRDefault="00D709F7" w:rsidP="00D923AA">
      <w:pPr>
        <w:ind w:firstLine="720"/>
        <w:jc w:val="right"/>
        <w:rPr>
          <w:i/>
        </w:rPr>
      </w:pPr>
    </w:p>
    <w:p w14:paraId="4500A53F" w14:textId="68709480" w:rsidR="00D709F7" w:rsidRDefault="00D709F7" w:rsidP="00D923AA">
      <w:pPr>
        <w:ind w:firstLine="720"/>
        <w:jc w:val="right"/>
        <w:rPr>
          <w:i/>
        </w:rPr>
      </w:pPr>
    </w:p>
    <w:p w14:paraId="41FDD21C" w14:textId="41724D52" w:rsidR="005405AA" w:rsidRDefault="005405AA" w:rsidP="00D923AA">
      <w:pPr>
        <w:ind w:firstLine="720"/>
        <w:jc w:val="right"/>
        <w:rPr>
          <w:i/>
        </w:rPr>
      </w:pPr>
    </w:p>
    <w:p w14:paraId="590D11C3" w14:textId="77777777" w:rsidR="005405AA" w:rsidRDefault="005405AA" w:rsidP="00D923AA">
      <w:pPr>
        <w:ind w:firstLine="720"/>
        <w:jc w:val="right"/>
        <w:rPr>
          <w:i/>
        </w:rPr>
      </w:pPr>
    </w:p>
    <w:p w14:paraId="24EE4C67" w14:textId="1DF116B3" w:rsidR="00D923AA" w:rsidRPr="007B010A" w:rsidRDefault="00D923AA" w:rsidP="00D923AA">
      <w:pPr>
        <w:ind w:firstLine="720"/>
        <w:jc w:val="right"/>
        <w:rPr>
          <w:i/>
        </w:rPr>
      </w:pPr>
      <w:r w:rsidRPr="007B010A">
        <w:rPr>
          <w:i/>
        </w:rPr>
        <w:lastRenderedPageBreak/>
        <w:t xml:space="preserve">5.tabula </w:t>
      </w:r>
    </w:p>
    <w:p w14:paraId="64F5D96B" w14:textId="008A53F6" w:rsidR="00D923AA" w:rsidRPr="007B010A" w:rsidRDefault="00D923AA" w:rsidP="00D923AA">
      <w:pPr>
        <w:autoSpaceDE w:val="0"/>
        <w:autoSpaceDN w:val="0"/>
        <w:adjustRightInd w:val="0"/>
        <w:spacing w:line="293" w:lineRule="atLeast"/>
        <w:ind w:firstLine="720"/>
        <w:jc w:val="center"/>
      </w:pPr>
      <w:r w:rsidRPr="007B010A">
        <w:t>Faktiski veiktie izmeklējumi 2018.gadā</w:t>
      </w:r>
    </w:p>
    <w:p w14:paraId="46A2BB15" w14:textId="77777777" w:rsidR="00D923AA" w:rsidRPr="007B010A" w:rsidRDefault="00D923AA" w:rsidP="00D923AA">
      <w:pPr>
        <w:autoSpaceDE w:val="0"/>
        <w:autoSpaceDN w:val="0"/>
        <w:adjustRightInd w:val="0"/>
        <w:spacing w:line="293" w:lineRule="atLeast"/>
        <w:ind w:firstLine="720"/>
        <w:jc w:val="center"/>
      </w:pPr>
    </w:p>
    <w:tbl>
      <w:tblPr>
        <w:tblW w:w="9066" w:type="dxa"/>
        <w:jc w:val="center"/>
        <w:tblLook w:val="04A0" w:firstRow="1" w:lastRow="0" w:firstColumn="1" w:lastColumn="0" w:noHBand="0" w:noVBand="1"/>
      </w:tblPr>
      <w:tblGrid>
        <w:gridCol w:w="592"/>
        <w:gridCol w:w="3407"/>
        <w:gridCol w:w="2915"/>
        <w:gridCol w:w="2152"/>
      </w:tblGrid>
      <w:tr w:rsidR="007E6069" w:rsidRPr="007B010A" w14:paraId="6B2726F0" w14:textId="77777777" w:rsidTr="00376CF0">
        <w:trPr>
          <w:trHeight w:val="1560"/>
          <w:jc w:val="center"/>
        </w:trPr>
        <w:tc>
          <w:tcPr>
            <w:tcW w:w="592" w:type="dxa"/>
            <w:vMerge w:val="restart"/>
            <w:tcBorders>
              <w:top w:val="single" w:sz="4" w:space="0" w:color="auto"/>
              <w:left w:val="nil"/>
              <w:right w:val="single" w:sz="4" w:space="0" w:color="auto"/>
            </w:tcBorders>
            <w:shd w:val="clear" w:color="000000" w:fill="92D050"/>
            <w:noWrap/>
            <w:textDirection w:val="btLr"/>
            <w:vAlign w:val="center"/>
            <w:hideMark/>
          </w:tcPr>
          <w:p w14:paraId="6BEFECF8" w14:textId="77777777" w:rsidR="00D923AA" w:rsidRPr="007B010A" w:rsidRDefault="00D923AA" w:rsidP="00376CF0">
            <w:pPr>
              <w:jc w:val="center"/>
            </w:pPr>
            <w:r w:rsidRPr="007B010A">
              <w:t>Ambulatorie izmeklējumi</w:t>
            </w:r>
          </w:p>
        </w:tc>
        <w:tc>
          <w:tcPr>
            <w:tcW w:w="3407" w:type="dxa"/>
            <w:tcBorders>
              <w:top w:val="single" w:sz="4" w:space="0" w:color="auto"/>
              <w:left w:val="nil"/>
              <w:bottom w:val="single" w:sz="4" w:space="0" w:color="auto"/>
              <w:right w:val="single" w:sz="4" w:space="0" w:color="auto"/>
            </w:tcBorders>
            <w:shd w:val="clear" w:color="000000" w:fill="92D050"/>
            <w:vAlign w:val="center"/>
            <w:hideMark/>
          </w:tcPr>
          <w:p w14:paraId="6E62C5DA" w14:textId="77777777" w:rsidR="00D923AA" w:rsidRPr="007B010A" w:rsidRDefault="00D923AA" w:rsidP="00376CF0">
            <w:pPr>
              <w:jc w:val="center"/>
              <w:rPr>
                <w:b/>
                <w:bCs/>
                <w:sz w:val="20"/>
                <w:szCs w:val="20"/>
              </w:rPr>
            </w:pPr>
            <w:r w:rsidRPr="007B010A">
              <w:rPr>
                <w:b/>
                <w:bCs/>
                <w:sz w:val="20"/>
                <w:szCs w:val="20"/>
              </w:rPr>
              <w:t>Pakalpojumu veida nosaukums</w:t>
            </w:r>
          </w:p>
        </w:tc>
        <w:tc>
          <w:tcPr>
            <w:tcW w:w="2915" w:type="dxa"/>
            <w:tcBorders>
              <w:top w:val="single" w:sz="4" w:space="0" w:color="auto"/>
              <w:left w:val="nil"/>
              <w:bottom w:val="single" w:sz="4" w:space="0" w:color="auto"/>
              <w:right w:val="single" w:sz="4" w:space="0" w:color="auto"/>
            </w:tcBorders>
            <w:shd w:val="clear" w:color="000000" w:fill="92D050"/>
            <w:vAlign w:val="center"/>
            <w:hideMark/>
          </w:tcPr>
          <w:p w14:paraId="5E4D1B6D" w14:textId="55C3AE1A" w:rsidR="00D923AA" w:rsidRPr="007B010A" w:rsidRDefault="00D923AA" w:rsidP="00376CF0">
            <w:pPr>
              <w:jc w:val="center"/>
              <w:rPr>
                <w:b/>
                <w:bCs/>
                <w:sz w:val="20"/>
                <w:szCs w:val="20"/>
              </w:rPr>
            </w:pPr>
            <w:r w:rsidRPr="007B010A">
              <w:rPr>
                <w:b/>
                <w:bCs/>
                <w:sz w:val="20"/>
                <w:szCs w:val="20"/>
              </w:rPr>
              <w:t xml:space="preserve">Faktiski veiktais darbs 2018.gadā (t.sk. pacienta iemaksas kompensācija), gaidīšanas rindu mazināšanas finansējums, </w:t>
            </w:r>
            <w:proofErr w:type="spellStart"/>
            <w:r w:rsidR="00A93B6D" w:rsidRPr="007B010A">
              <w:rPr>
                <w:b/>
                <w:bCs/>
                <w:i/>
                <w:sz w:val="20"/>
                <w:szCs w:val="20"/>
              </w:rPr>
              <w:t>euro</w:t>
            </w:r>
            <w:proofErr w:type="spellEnd"/>
          </w:p>
        </w:tc>
        <w:tc>
          <w:tcPr>
            <w:tcW w:w="2152" w:type="dxa"/>
            <w:tcBorders>
              <w:top w:val="single" w:sz="4" w:space="0" w:color="auto"/>
              <w:left w:val="nil"/>
              <w:bottom w:val="single" w:sz="4" w:space="0" w:color="auto"/>
              <w:right w:val="single" w:sz="4" w:space="0" w:color="auto"/>
            </w:tcBorders>
            <w:shd w:val="clear" w:color="000000" w:fill="92D050"/>
            <w:vAlign w:val="center"/>
            <w:hideMark/>
          </w:tcPr>
          <w:p w14:paraId="4F221FB4" w14:textId="4EFAFBF4" w:rsidR="00D923AA" w:rsidRPr="007B010A" w:rsidRDefault="00D923AA" w:rsidP="00376CF0">
            <w:pPr>
              <w:jc w:val="center"/>
              <w:rPr>
                <w:b/>
                <w:bCs/>
                <w:sz w:val="20"/>
                <w:szCs w:val="20"/>
              </w:rPr>
            </w:pPr>
            <w:r w:rsidRPr="007B010A">
              <w:rPr>
                <w:b/>
                <w:bCs/>
                <w:sz w:val="20"/>
                <w:szCs w:val="20"/>
              </w:rPr>
              <w:t>Faktiski veiktais izmeklējumu skaits 2018.gadā</w:t>
            </w:r>
          </w:p>
        </w:tc>
      </w:tr>
      <w:tr w:rsidR="007E6069" w:rsidRPr="007B010A" w14:paraId="70597609" w14:textId="77777777" w:rsidTr="00376CF0">
        <w:trPr>
          <w:trHeight w:val="300"/>
          <w:jc w:val="center"/>
        </w:trPr>
        <w:tc>
          <w:tcPr>
            <w:tcW w:w="592" w:type="dxa"/>
            <w:vMerge/>
            <w:tcBorders>
              <w:left w:val="nil"/>
              <w:right w:val="single" w:sz="4" w:space="0" w:color="auto"/>
            </w:tcBorders>
            <w:vAlign w:val="center"/>
            <w:hideMark/>
          </w:tcPr>
          <w:p w14:paraId="580DAA44"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1F49CDE5" w14:textId="77777777" w:rsidR="00D923AA" w:rsidRPr="007B010A" w:rsidRDefault="00D923AA" w:rsidP="00376CF0">
            <w:pPr>
              <w:rPr>
                <w:sz w:val="20"/>
                <w:szCs w:val="20"/>
              </w:rPr>
            </w:pPr>
            <w:r w:rsidRPr="007B010A">
              <w:rPr>
                <w:sz w:val="20"/>
                <w:szCs w:val="20"/>
              </w:rPr>
              <w:t>Datortomogrāfija</w:t>
            </w:r>
          </w:p>
        </w:tc>
        <w:tc>
          <w:tcPr>
            <w:tcW w:w="2915" w:type="dxa"/>
            <w:tcBorders>
              <w:top w:val="nil"/>
              <w:left w:val="nil"/>
              <w:bottom w:val="single" w:sz="4" w:space="0" w:color="auto"/>
              <w:right w:val="single" w:sz="4" w:space="0" w:color="auto"/>
            </w:tcBorders>
            <w:shd w:val="clear" w:color="auto" w:fill="auto"/>
            <w:noWrap/>
            <w:vAlign w:val="center"/>
            <w:hideMark/>
          </w:tcPr>
          <w:p w14:paraId="6D6C7FD6" w14:textId="0DA0A326" w:rsidR="00D923AA" w:rsidRPr="007B010A" w:rsidRDefault="009B205C" w:rsidP="00376CF0">
            <w:pPr>
              <w:jc w:val="center"/>
              <w:rPr>
                <w:sz w:val="20"/>
                <w:szCs w:val="20"/>
              </w:rPr>
            </w:pPr>
            <w:r w:rsidRPr="007B010A">
              <w:rPr>
                <w:sz w:val="20"/>
                <w:szCs w:val="20"/>
              </w:rPr>
              <w:t>3 470 282</w:t>
            </w:r>
          </w:p>
        </w:tc>
        <w:tc>
          <w:tcPr>
            <w:tcW w:w="2152" w:type="dxa"/>
            <w:tcBorders>
              <w:top w:val="nil"/>
              <w:left w:val="nil"/>
              <w:bottom w:val="single" w:sz="4" w:space="0" w:color="auto"/>
              <w:right w:val="single" w:sz="4" w:space="0" w:color="auto"/>
            </w:tcBorders>
            <w:shd w:val="clear" w:color="auto" w:fill="auto"/>
            <w:noWrap/>
            <w:vAlign w:val="center"/>
            <w:hideMark/>
          </w:tcPr>
          <w:p w14:paraId="7671370A" w14:textId="669FA4AC" w:rsidR="00D923AA" w:rsidRPr="007B010A" w:rsidRDefault="009B205C" w:rsidP="00376CF0">
            <w:pPr>
              <w:jc w:val="center"/>
              <w:rPr>
                <w:sz w:val="22"/>
                <w:szCs w:val="22"/>
              </w:rPr>
            </w:pPr>
            <w:r w:rsidRPr="007B010A">
              <w:rPr>
                <w:sz w:val="20"/>
                <w:szCs w:val="20"/>
              </w:rPr>
              <w:t>45 668</w:t>
            </w:r>
          </w:p>
        </w:tc>
      </w:tr>
      <w:tr w:rsidR="007E6069" w:rsidRPr="007B010A" w14:paraId="5A3842AE" w14:textId="77777777" w:rsidTr="00376CF0">
        <w:trPr>
          <w:trHeight w:val="300"/>
          <w:jc w:val="center"/>
        </w:trPr>
        <w:tc>
          <w:tcPr>
            <w:tcW w:w="592" w:type="dxa"/>
            <w:vMerge/>
            <w:tcBorders>
              <w:left w:val="nil"/>
              <w:right w:val="single" w:sz="4" w:space="0" w:color="auto"/>
            </w:tcBorders>
            <w:vAlign w:val="center"/>
            <w:hideMark/>
          </w:tcPr>
          <w:p w14:paraId="33123DC4"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5DD863D7" w14:textId="77777777" w:rsidR="00D923AA" w:rsidRPr="007B010A" w:rsidRDefault="00D923AA" w:rsidP="00376CF0">
            <w:pPr>
              <w:rPr>
                <w:sz w:val="20"/>
                <w:szCs w:val="20"/>
              </w:rPr>
            </w:pPr>
            <w:proofErr w:type="spellStart"/>
            <w:r w:rsidRPr="007B010A">
              <w:rPr>
                <w:sz w:val="20"/>
                <w:szCs w:val="20"/>
              </w:rPr>
              <w:t>Doplerogrāfija</w:t>
            </w:r>
            <w:proofErr w:type="spellEnd"/>
          </w:p>
        </w:tc>
        <w:tc>
          <w:tcPr>
            <w:tcW w:w="2915" w:type="dxa"/>
            <w:tcBorders>
              <w:top w:val="nil"/>
              <w:left w:val="nil"/>
              <w:bottom w:val="single" w:sz="4" w:space="0" w:color="auto"/>
              <w:right w:val="single" w:sz="4" w:space="0" w:color="auto"/>
            </w:tcBorders>
            <w:shd w:val="clear" w:color="auto" w:fill="auto"/>
            <w:noWrap/>
            <w:vAlign w:val="center"/>
            <w:hideMark/>
          </w:tcPr>
          <w:p w14:paraId="517B0E90" w14:textId="157D3959" w:rsidR="00D923AA" w:rsidRPr="007B010A" w:rsidRDefault="009B205C" w:rsidP="00376CF0">
            <w:pPr>
              <w:jc w:val="center"/>
              <w:rPr>
                <w:sz w:val="20"/>
                <w:szCs w:val="20"/>
              </w:rPr>
            </w:pPr>
            <w:r w:rsidRPr="007B010A">
              <w:rPr>
                <w:sz w:val="20"/>
                <w:szCs w:val="20"/>
              </w:rPr>
              <w:t>817 891</w:t>
            </w:r>
          </w:p>
        </w:tc>
        <w:tc>
          <w:tcPr>
            <w:tcW w:w="2152" w:type="dxa"/>
            <w:tcBorders>
              <w:top w:val="nil"/>
              <w:left w:val="nil"/>
              <w:bottom w:val="single" w:sz="4" w:space="0" w:color="auto"/>
              <w:right w:val="single" w:sz="4" w:space="0" w:color="auto"/>
            </w:tcBorders>
            <w:shd w:val="clear" w:color="auto" w:fill="auto"/>
            <w:noWrap/>
            <w:vAlign w:val="center"/>
            <w:hideMark/>
          </w:tcPr>
          <w:p w14:paraId="78EA93E2" w14:textId="000DBD2A" w:rsidR="00D923AA" w:rsidRPr="007B010A" w:rsidRDefault="009B205C" w:rsidP="00376CF0">
            <w:pPr>
              <w:jc w:val="center"/>
              <w:rPr>
                <w:sz w:val="22"/>
                <w:szCs w:val="22"/>
              </w:rPr>
            </w:pPr>
            <w:r w:rsidRPr="007B010A">
              <w:rPr>
                <w:sz w:val="20"/>
                <w:szCs w:val="20"/>
              </w:rPr>
              <w:t>35 345</w:t>
            </w:r>
          </w:p>
        </w:tc>
      </w:tr>
      <w:tr w:rsidR="007E6069" w:rsidRPr="007B010A" w14:paraId="3962407E" w14:textId="77777777" w:rsidTr="00376CF0">
        <w:trPr>
          <w:trHeight w:val="300"/>
          <w:jc w:val="center"/>
        </w:trPr>
        <w:tc>
          <w:tcPr>
            <w:tcW w:w="592" w:type="dxa"/>
            <w:vMerge/>
            <w:tcBorders>
              <w:left w:val="nil"/>
              <w:right w:val="single" w:sz="4" w:space="0" w:color="auto"/>
            </w:tcBorders>
            <w:vAlign w:val="center"/>
            <w:hideMark/>
          </w:tcPr>
          <w:p w14:paraId="3B62F789"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5EBF12F1" w14:textId="77777777" w:rsidR="00D923AA" w:rsidRPr="007B010A" w:rsidRDefault="00D923AA" w:rsidP="00376CF0">
            <w:pPr>
              <w:rPr>
                <w:sz w:val="20"/>
                <w:szCs w:val="20"/>
              </w:rPr>
            </w:pPr>
            <w:proofErr w:type="spellStart"/>
            <w:r w:rsidRPr="007B010A">
              <w:rPr>
                <w:sz w:val="20"/>
                <w:szCs w:val="20"/>
              </w:rPr>
              <w:t>Elektrokardiogrāfija</w:t>
            </w:r>
            <w:proofErr w:type="spellEnd"/>
          </w:p>
        </w:tc>
        <w:tc>
          <w:tcPr>
            <w:tcW w:w="2915" w:type="dxa"/>
            <w:tcBorders>
              <w:top w:val="nil"/>
              <w:left w:val="nil"/>
              <w:bottom w:val="single" w:sz="4" w:space="0" w:color="auto"/>
              <w:right w:val="single" w:sz="4" w:space="0" w:color="auto"/>
            </w:tcBorders>
            <w:shd w:val="clear" w:color="auto" w:fill="auto"/>
            <w:noWrap/>
            <w:vAlign w:val="center"/>
            <w:hideMark/>
          </w:tcPr>
          <w:p w14:paraId="63468F06" w14:textId="2A1E9FB8" w:rsidR="00D923AA" w:rsidRPr="007B010A" w:rsidRDefault="009B205C" w:rsidP="00376CF0">
            <w:pPr>
              <w:jc w:val="center"/>
              <w:rPr>
                <w:sz w:val="20"/>
                <w:szCs w:val="20"/>
              </w:rPr>
            </w:pPr>
            <w:r w:rsidRPr="007B010A">
              <w:rPr>
                <w:sz w:val="20"/>
                <w:szCs w:val="20"/>
              </w:rPr>
              <w:t>316 202</w:t>
            </w:r>
          </w:p>
        </w:tc>
        <w:tc>
          <w:tcPr>
            <w:tcW w:w="2152" w:type="dxa"/>
            <w:tcBorders>
              <w:top w:val="nil"/>
              <w:left w:val="nil"/>
              <w:bottom w:val="single" w:sz="4" w:space="0" w:color="auto"/>
              <w:right w:val="single" w:sz="4" w:space="0" w:color="auto"/>
            </w:tcBorders>
            <w:shd w:val="clear" w:color="auto" w:fill="auto"/>
            <w:noWrap/>
            <w:vAlign w:val="center"/>
            <w:hideMark/>
          </w:tcPr>
          <w:p w14:paraId="24E9D377" w14:textId="4391D6D2" w:rsidR="00D923AA" w:rsidRPr="007B010A" w:rsidRDefault="009B205C" w:rsidP="00376CF0">
            <w:pPr>
              <w:jc w:val="center"/>
              <w:rPr>
                <w:sz w:val="22"/>
                <w:szCs w:val="22"/>
              </w:rPr>
            </w:pPr>
            <w:r w:rsidRPr="007B010A">
              <w:rPr>
                <w:sz w:val="20"/>
                <w:szCs w:val="20"/>
              </w:rPr>
              <w:t>65 602</w:t>
            </w:r>
          </w:p>
        </w:tc>
      </w:tr>
      <w:tr w:rsidR="007E6069" w:rsidRPr="007B010A" w14:paraId="53CB969D" w14:textId="77777777" w:rsidTr="00376CF0">
        <w:trPr>
          <w:trHeight w:val="300"/>
          <w:jc w:val="center"/>
        </w:trPr>
        <w:tc>
          <w:tcPr>
            <w:tcW w:w="592" w:type="dxa"/>
            <w:vMerge/>
            <w:tcBorders>
              <w:left w:val="nil"/>
              <w:right w:val="single" w:sz="4" w:space="0" w:color="auto"/>
            </w:tcBorders>
            <w:vAlign w:val="center"/>
            <w:hideMark/>
          </w:tcPr>
          <w:p w14:paraId="0950E776"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7FCC4A7E" w14:textId="77777777" w:rsidR="00D923AA" w:rsidRPr="007B010A" w:rsidRDefault="00D923AA" w:rsidP="00376CF0">
            <w:pPr>
              <w:rPr>
                <w:sz w:val="20"/>
                <w:szCs w:val="20"/>
              </w:rPr>
            </w:pPr>
            <w:proofErr w:type="spellStart"/>
            <w:r w:rsidRPr="007B010A">
              <w:rPr>
                <w:sz w:val="20"/>
                <w:szCs w:val="20"/>
              </w:rPr>
              <w:t>Endoskopija</w:t>
            </w:r>
            <w:proofErr w:type="spellEnd"/>
          </w:p>
        </w:tc>
        <w:tc>
          <w:tcPr>
            <w:tcW w:w="2915" w:type="dxa"/>
            <w:tcBorders>
              <w:top w:val="nil"/>
              <w:left w:val="nil"/>
              <w:bottom w:val="single" w:sz="4" w:space="0" w:color="auto"/>
              <w:right w:val="single" w:sz="4" w:space="0" w:color="auto"/>
            </w:tcBorders>
            <w:shd w:val="clear" w:color="auto" w:fill="auto"/>
            <w:noWrap/>
            <w:vAlign w:val="center"/>
            <w:hideMark/>
          </w:tcPr>
          <w:p w14:paraId="5B52BF8E" w14:textId="4CEB050A" w:rsidR="00D923AA" w:rsidRPr="007B010A" w:rsidRDefault="009B205C" w:rsidP="00376CF0">
            <w:pPr>
              <w:jc w:val="center"/>
              <w:rPr>
                <w:sz w:val="20"/>
                <w:szCs w:val="20"/>
              </w:rPr>
            </w:pPr>
            <w:r w:rsidRPr="007B010A">
              <w:rPr>
                <w:sz w:val="20"/>
                <w:szCs w:val="20"/>
              </w:rPr>
              <w:t>1 103 521</w:t>
            </w:r>
          </w:p>
        </w:tc>
        <w:tc>
          <w:tcPr>
            <w:tcW w:w="2152" w:type="dxa"/>
            <w:tcBorders>
              <w:top w:val="nil"/>
              <w:left w:val="nil"/>
              <w:bottom w:val="single" w:sz="4" w:space="0" w:color="auto"/>
              <w:right w:val="single" w:sz="4" w:space="0" w:color="auto"/>
            </w:tcBorders>
            <w:shd w:val="clear" w:color="auto" w:fill="auto"/>
            <w:noWrap/>
            <w:vAlign w:val="center"/>
            <w:hideMark/>
          </w:tcPr>
          <w:p w14:paraId="108B8720" w14:textId="6F2D26CC" w:rsidR="00D923AA" w:rsidRPr="007B010A" w:rsidRDefault="00771C87" w:rsidP="00376CF0">
            <w:pPr>
              <w:jc w:val="center"/>
              <w:rPr>
                <w:sz w:val="22"/>
                <w:szCs w:val="22"/>
              </w:rPr>
            </w:pPr>
            <w:r w:rsidRPr="007B010A">
              <w:rPr>
                <w:sz w:val="20"/>
                <w:szCs w:val="20"/>
              </w:rPr>
              <w:t>19 046</w:t>
            </w:r>
          </w:p>
        </w:tc>
      </w:tr>
      <w:tr w:rsidR="007E6069" w:rsidRPr="007B010A" w14:paraId="1C978C74" w14:textId="77777777" w:rsidTr="00376CF0">
        <w:trPr>
          <w:trHeight w:val="300"/>
          <w:jc w:val="center"/>
        </w:trPr>
        <w:tc>
          <w:tcPr>
            <w:tcW w:w="592" w:type="dxa"/>
            <w:vMerge/>
            <w:tcBorders>
              <w:left w:val="nil"/>
              <w:right w:val="single" w:sz="4" w:space="0" w:color="auto"/>
            </w:tcBorders>
            <w:vAlign w:val="center"/>
            <w:hideMark/>
          </w:tcPr>
          <w:p w14:paraId="445DE385"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60EE4107" w14:textId="77777777" w:rsidR="00D923AA" w:rsidRPr="007B010A" w:rsidRDefault="00D923AA" w:rsidP="00376CF0">
            <w:pPr>
              <w:rPr>
                <w:sz w:val="20"/>
                <w:szCs w:val="20"/>
              </w:rPr>
            </w:pPr>
            <w:r w:rsidRPr="007B010A">
              <w:rPr>
                <w:sz w:val="20"/>
                <w:szCs w:val="20"/>
              </w:rPr>
              <w:t>Kodolmagnētiskās rezonanse</w:t>
            </w:r>
          </w:p>
        </w:tc>
        <w:tc>
          <w:tcPr>
            <w:tcW w:w="2915" w:type="dxa"/>
            <w:tcBorders>
              <w:top w:val="nil"/>
              <w:left w:val="nil"/>
              <w:bottom w:val="single" w:sz="4" w:space="0" w:color="auto"/>
              <w:right w:val="single" w:sz="4" w:space="0" w:color="auto"/>
            </w:tcBorders>
            <w:shd w:val="clear" w:color="auto" w:fill="auto"/>
            <w:noWrap/>
            <w:vAlign w:val="center"/>
            <w:hideMark/>
          </w:tcPr>
          <w:p w14:paraId="2F418FF9" w14:textId="32365BF8" w:rsidR="00D923AA" w:rsidRPr="007B010A" w:rsidRDefault="00771C87" w:rsidP="00376CF0">
            <w:pPr>
              <w:jc w:val="center"/>
              <w:rPr>
                <w:sz w:val="20"/>
                <w:szCs w:val="20"/>
              </w:rPr>
            </w:pPr>
            <w:r w:rsidRPr="007B010A">
              <w:rPr>
                <w:sz w:val="20"/>
                <w:szCs w:val="20"/>
              </w:rPr>
              <w:t>1 588 994</w:t>
            </w:r>
          </w:p>
        </w:tc>
        <w:tc>
          <w:tcPr>
            <w:tcW w:w="2152" w:type="dxa"/>
            <w:tcBorders>
              <w:top w:val="nil"/>
              <w:left w:val="nil"/>
              <w:bottom w:val="single" w:sz="4" w:space="0" w:color="auto"/>
              <w:right w:val="single" w:sz="4" w:space="0" w:color="auto"/>
            </w:tcBorders>
            <w:shd w:val="clear" w:color="auto" w:fill="auto"/>
            <w:noWrap/>
            <w:vAlign w:val="center"/>
            <w:hideMark/>
          </w:tcPr>
          <w:p w14:paraId="013D028D" w14:textId="6A72F64F" w:rsidR="00D923AA" w:rsidRPr="007B010A" w:rsidRDefault="00771C87" w:rsidP="00376CF0">
            <w:pPr>
              <w:jc w:val="center"/>
              <w:rPr>
                <w:sz w:val="22"/>
                <w:szCs w:val="22"/>
              </w:rPr>
            </w:pPr>
            <w:r w:rsidRPr="007B010A">
              <w:rPr>
                <w:sz w:val="20"/>
                <w:szCs w:val="20"/>
              </w:rPr>
              <w:t>13 977</w:t>
            </w:r>
          </w:p>
        </w:tc>
      </w:tr>
      <w:tr w:rsidR="007E6069" w:rsidRPr="007B010A" w14:paraId="76D063A2" w14:textId="77777777" w:rsidTr="00376CF0">
        <w:trPr>
          <w:trHeight w:val="300"/>
          <w:jc w:val="center"/>
        </w:trPr>
        <w:tc>
          <w:tcPr>
            <w:tcW w:w="592" w:type="dxa"/>
            <w:vMerge/>
            <w:tcBorders>
              <w:left w:val="nil"/>
              <w:right w:val="single" w:sz="4" w:space="0" w:color="auto"/>
            </w:tcBorders>
            <w:vAlign w:val="center"/>
            <w:hideMark/>
          </w:tcPr>
          <w:p w14:paraId="7CF3FE94"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377A6133" w14:textId="77777777" w:rsidR="00D923AA" w:rsidRPr="007B010A" w:rsidRDefault="00D923AA" w:rsidP="00376CF0">
            <w:pPr>
              <w:rPr>
                <w:sz w:val="20"/>
                <w:szCs w:val="20"/>
              </w:rPr>
            </w:pPr>
            <w:proofErr w:type="spellStart"/>
            <w:r w:rsidRPr="007B010A">
              <w:rPr>
                <w:sz w:val="20"/>
                <w:szCs w:val="20"/>
              </w:rPr>
              <w:t>Neiroelektrofizioloģiskie</w:t>
            </w:r>
            <w:proofErr w:type="spellEnd"/>
            <w:r w:rsidRPr="007B010A">
              <w:rPr>
                <w:sz w:val="20"/>
                <w:szCs w:val="20"/>
              </w:rPr>
              <w:t xml:space="preserve"> funkcionālie izmeklējumi</w:t>
            </w:r>
          </w:p>
        </w:tc>
        <w:tc>
          <w:tcPr>
            <w:tcW w:w="2915" w:type="dxa"/>
            <w:tcBorders>
              <w:top w:val="nil"/>
              <w:left w:val="nil"/>
              <w:bottom w:val="single" w:sz="4" w:space="0" w:color="auto"/>
              <w:right w:val="single" w:sz="4" w:space="0" w:color="auto"/>
            </w:tcBorders>
            <w:shd w:val="clear" w:color="auto" w:fill="auto"/>
            <w:noWrap/>
            <w:vAlign w:val="center"/>
            <w:hideMark/>
          </w:tcPr>
          <w:p w14:paraId="6CEFB346" w14:textId="57601DE6" w:rsidR="00D923AA" w:rsidRPr="007B010A" w:rsidRDefault="00771C87" w:rsidP="00376CF0">
            <w:pPr>
              <w:jc w:val="center"/>
              <w:rPr>
                <w:sz w:val="20"/>
                <w:szCs w:val="20"/>
              </w:rPr>
            </w:pPr>
            <w:r w:rsidRPr="007B010A">
              <w:rPr>
                <w:sz w:val="20"/>
                <w:szCs w:val="20"/>
              </w:rPr>
              <w:t>197 135</w:t>
            </w:r>
          </w:p>
        </w:tc>
        <w:tc>
          <w:tcPr>
            <w:tcW w:w="2152" w:type="dxa"/>
            <w:tcBorders>
              <w:top w:val="nil"/>
              <w:left w:val="nil"/>
              <w:bottom w:val="single" w:sz="4" w:space="0" w:color="auto"/>
              <w:right w:val="single" w:sz="4" w:space="0" w:color="auto"/>
            </w:tcBorders>
            <w:shd w:val="clear" w:color="auto" w:fill="auto"/>
            <w:noWrap/>
            <w:vAlign w:val="center"/>
            <w:hideMark/>
          </w:tcPr>
          <w:p w14:paraId="42BD64CA" w14:textId="1D67DB4C" w:rsidR="00D923AA" w:rsidRPr="007B010A" w:rsidRDefault="00771C87" w:rsidP="00376CF0">
            <w:pPr>
              <w:jc w:val="center"/>
              <w:rPr>
                <w:sz w:val="22"/>
                <w:szCs w:val="22"/>
              </w:rPr>
            </w:pPr>
            <w:r w:rsidRPr="007B010A">
              <w:rPr>
                <w:sz w:val="20"/>
                <w:szCs w:val="20"/>
              </w:rPr>
              <w:t>5 302</w:t>
            </w:r>
          </w:p>
        </w:tc>
      </w:tr>
      <w:tr w:rsidR="007E6069" w:rsidRPr="007B010A" w14:paraId="6E3A8074" w14:textId="77777777" w:rsidTr="00376CF0">
        <w:trPr>
          <w:trHeight w:val="300"/>
          <w:jc w:val="center"/>
        </w:trPr>
        <w:tc>
          <w:tcPr>
            <w:tcW w:w="592" w:type="dxa"/>
            <w:vMerge/>
            <w:tcBorders>
              <w:left w:val="nil"/>
              <w:right w:val="single" w:sz="4" w:space="0" w:color="auto"/>
            </w:tcBorders>
            <w:vAlign w:val="center"/>
            <w:hideMark/>
          </w:tcPr>
          <w:p w14:paraId="338B3E48"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7FE11084" w14:textId="77777777" w:rsidR="00D923AA" w:rsidRPr="007B010A" w:rsidRDefault="00D923AA" w:rsidP="00376CF0">
            <w:pPr>
              <w:rPr>
                <w:sz w:val="20"/>
                <w:szCs w:val="20"/>
              </w:rPr>
            </w:pPr>
            <w:proofErr w:type="spellStart"/>
            <w:r w:rsidRPr="007B010A">
              <w:rPr>
                <w:sz w:val="20"/>
                <w:szCs w:val="20"/>
              </w:rPr>
              <w:t>Osteodensitometrija</w:t>
            </w:r>
            <w:proofErr w:type="spellEnd"/>
          </w:p>
        </w:tc>
        <w:tc>
          <w:tcPr>
            <w:tcW w:w="2915" w:type="dxa"/>
            <w:tcBorders>
              <w:top w:val="nil"/>
              <w:left w:val="nil"/>
              <w:bottom w:val="single" w:sz="4" w:space="0" w:color="auto"/>
              <w:right w:val="single" w:sz="4" w:space="0" w:color="auto"/>
            </w:tcBorders>
            <w:shd w:val="clear" w:color="auto" w:fill="auto"/>
            <w:noWrap/>
            <w:vAlign w:val="center"/>
            <w:hideMark/>
          </w:tcPr>
          <w:p w14:paraId="78439947" w14:textId="3454A4D0" w:rsidR="00D923AA" w:rsidRPr="007B010A" w:rsidRDefault="00771C87" w:rsidP="00376CF0">
            <w:pPr>
              <w:jc w:val="center"/>
              <w:rPr>
                <w:sz w:val="20"/>
                <w:szCs w:val="20"/>
              </w:rPr>
            </w:pPr>
            <w:r w:rsidRPr="007B010A">
              <w:rPr>
                <w:sz w:val="20"/>
                <w:szCs w:val="20"/>
              </w:rPr>
              <w:t>224 349</w:t>
            </w:r>
          </w:p>
        </w:tc>
        <w:tc>
          <w:tcPr>
            <w:tcW w:w="2152" w:type="dxa"/>
            <w:tcBorders>
              <w:top w:val="nil"/>
              <w:left w:val="nil"/>
              <w:bottom w:val="single" w:sz="4" w:space="0" w:color="auto"/>
              <w:right w:val="single" w:sz="4" w:space="0" w:color="auto"/>
            </w:tcBorders>
            <w:shd w:val="clear" w:color="auto" w:fill="auto"/>
            <w:noWrap/>
            <w:vAlign w:val="center"/>
            <w:hideMark/>
          </w:tcPr>
          <w:p w14:paraId="545C266A" w14:textId="2E438DDD" w:rsidR="00D923AA" w:rsidRPr="007B010A" w:rsidRDefault="00771C87" w:rsidP="00376CF0">
            <w:pPr>
              <w:jc w:val="center"/>
              <w:rPr>
                <w:sz w:val="22"/>
                <w:szCs w:val="22"/>
              </w:rPr>
            </w:pPr>
            <w:r w:rsidRPr="007B010A">
              <w:rPr>
                <w:sz w:val="20"/>
                <w:szCs w:val="20"/>
              </w:rPr>
              <w:t>9 767</w:t>
            </w:r>
          </w:p>
        </w:tc>
      </w:tr>
      <w:tr w:rsidR="007E6069" w:rsidRPr="007B010A" w14:paraId="3A838628" w14:textId="77777777" w:rsidTr="00376CF0">
        <w:trPr>
          <w:trHeight w:val="300"/>
          <w:jc w:val="center"/>
        </w:trPr>
        <w:tc>
          <w:tcPr>
            <w:tcW w:w="592" w:type="dxa"/>
            <w:vMerge/>
            <w:tcBorders>
              <w:left w:val="nil"/>
              <w:right w:val="single" w:sz="4" w:space="0" w:color="auto"/>
            </w:tcBorders>
            <w:vAlign w:val="center"/>
            <w:hideMark/>
          </w:tcPr>
          <w:p w14:paraId="555EDB13"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33074856" w14:textId="77777777" w:rsidR="00D923AA" w:rsidRPr="007B010A" w:rsidRDefault="00D923AA" w:rsidP="00376CF0">
            <w:pPr>
              <w:rPr>
                <w:sz w:val="20"/>
                <w:szCs w:val="20"/>
              </w:rPr>
            </w:pPr>
            <w:r w:rsidRPr="007B010A">
              <w:rPr>
                <w:sz w:val="20"/>
                <w:szCs w:val="20"/>
              </w:rPr>
              <w:t>Radionuklīdā diagnostika</w:t>
            </w:r>
          </w:p>
        </w:tc>
        <w:tc>
          <w:tcPr>
            <w:tcW w:w="2915" w:type="dxa"/>
            <w:tcBorders>
              <w:top w:val="nil"/>
              <w:left w:val="nil"/>
              <w:bottom w:val="single" w:sz="4" w:space="0" w:color="auto"/>
              <w:right w:val="single" w:sz="4" w:space="0" w:color="auto"/>
            </w:tcBorders>
            <w:shd w:val="clear" w:color="auto" w:fill="auto"/>
            <w:noWrap/>
            <w:vAlign w:val="center"/>
            <w:hideMark/>
          </w:tcPr>
          <w:p w14:paraId="396EDC51" w14:textId="70A62A01" w:rsidR="00D923AA" w:rsidRPr="007B010A" w:rsidRDefault="00771C87" w:rsidP="00376CF0">
            <w:pPr>
              <w:jc w:val="center"/>
              <w:rPr>
                <w:sz w:val="20"/>
                <w:szCs w:val="20"/>
              </w:rPr>
            </w:pPr>
            <w:r w:rsidRPr="007B010A">
              <w:rPr>
                <w:sz w:val="20"/>
                <w:szCs w:val="20"/>
              </w:rPr>
              <w:t>206 147</w:t>
            </w:r>
          </w:p>
        </w:tc>
        <w:tc>
          <w:tcPr>
            <w:tcW w:w="2152" w:type="dxa"/>
            <w:tcBorders>
              <w:top w:val="nil"/>
              <w:left w:val="nil"/>
              <w:bottom w:val="single" w:sz="4" w:space="0" w:color="auto"/>
              <w:right w:val="single" w:sz="4" w:space="0" w:color="auto"/>
            </w:tcBorders>
            <w:shd w:val="clear" w:color="auto" w:fill="auto"/>
            <w:noWrap/>
            <w:vAlign w:val="center"/>
            <w:hideMark/>
          </w:tcPr>
          <w:p w14:paraId="6D06D76E" w14:textId="31A65696" w:rsidR="00D923AA" w:rsidRPr="007B010A" w:rsidRDefault="00771C87" w:rsidP="00376CF0">
            <w:pPr>
              <w:jc w:val="center"/>
              <w:rPr>
                <w:sz w:val="22"/>
                <w:szCs w:val="22"/>
              </w:rPr>
            </w:pPr>
            <w:r w:rsidRPr="007B010A">
              <w:rPr>
                <w:sz w:val="20"/>
                <w:szCs w:val="20"/>
              </w:rPr>
              <w:t>2 542</w:t>
            </w:r>
          </w:p>
        </w:tc>
      </w:tr>
      <w:tr w:rsidR="007E6069" w:rsidRPr="007B010A" w14:paraId="62106B20" w14:textId="77777777" w:rsidTr="00376CF0">
        <w:trPr>
          <w:trHeight w:val="300"/>
          <w:jc w:val="center"/>
        </w:trPr>
        <w:tc>
          <w:tcPr>
            <w:tcW w:w="592" w:type="dxa"/>
            <w:vMerge/>
            <w:tcBorders>
              <w:left w:val="nil"/>
              <w:right w:val="single" w:sz="4" w:space="0" w:color="auto"/>
            </w:tcBorders>
            <w:vAlign w:val="center"/>
            <w:hideMark/>
          </w:tcPr>
          <w:p w14:paraId="62BE7549"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3FA659AC" w14:textId="77777777" w:rsidR="00D923AA" w:rsidRPr="007B010A" w:rsidRDefault="00D923AA" w:rsidP="00376CF0">
            <w:pPr>
              <w:rPr>
                <w:sz w:val="20"/>
                <w:szCs w:val="20"/>
              </w:rPr>
            </w:pPr>
            <w:r w:rsidRPr="007B010A">
              <w:rPr>
                <w:sz w:val="20"/>
                <w:szCs w:val="20"/>
              </w:rPr>
              <w:t>Rentgenoloģija</w:t>
            </w:r>
          </w:p>
        </w:tc>
        <w:tc>
          <w:tcPr>
            <w:tcW w:w="2915" w:type="dxa"/>
            <w:tcBorders>
              <w:top w:val="nil"/>
              <w:left w:val="nil"/>
              <w:bottom w:val="single" w:sz="4" w:space="0" w:color="auto"/>
              <w:right w:val="single" w:sz="4" w:space="0" w:color="auto"/>
            </w:tcBorders>
            <w:shd w:val="clear" w:color="auto" w:fill="auto"/>
            <w:noWrap/>
            <w:vAlign w:val="center"/>
            <w:hideMark/>
          </w:tcPr>
          <w:p w14:paraId="6BCAE164" w14:textId="55547376" w:rsidR="00D923AA" w:rsidRPr="007B010A" w:rsidRDefault="00771C87" w:rsidP="00376CF0">
            <w:pPr>
              <w:jc w:val="center"/>
              <w:rPr>
                <w:sz w:val="20"/>
                <w:szCs w:val="20"/>
              </w:rPr>
            </w:pPr>
            <w:r w:rsidRPr="007B010A">
              <w:rPr>
                <w:sz w:val="20"/>
                <w:szCs w:val="20"/>
              </w:rPr>
              <w:t>2 548 410</w:t>
            </w:r>
          </w:p>
        </w:tc>
        <w:tc>
          <w:tcPr>
            <w:tcW w:w="2152" w:type="dxa"/>
            <w:tcBorders>
              <w:top w:val="nil"/>
              <w:left w:val="nil"/>
              <w:bottom w:val="single" w:sz="4" w:space="0" w:color="auto"/>
              <w:right w:val="single" w:sz="4" w:space="0" w:color="auto"/>
            </w:tcBorders>
            <w:shd w:val="clear" w:color="auto" w:fill="auto"/>
            <w:noWrap/>
            <w:vAlign w:val="center"/>
            <w:hideMark/>
          </w:tcPr>
          <w:p w14:paraId="6135A539" w14:textId="23DE4DD6" w:rsidR="00D923AA" w:rsidRPr="007B010A" w:rsidRDefault="00771C87" w:rsidP="00376CF0">
            <w:pPr>
              <w:jc w:val="center"/>
              <w:rPr>
                <w:sz w:val="22"/>
                <w:szCs w:val="22"/>
              </w:rPr>
            </w:pPr>
            <w:r w:rsidRPr="007B010A">
              <w:rPr>
                <w:sz w:val="20"/>
                <w:szCs w:val="20"/>
              </w:rPr>
              <w:t>210 265</w:t>
            </w:r>
          </w:p>
        </w:tc>
      </w:tr>
      <w:tr w:rsidR="007E6069" w:rsidRPr="007B010A" w14:paraId="498153AC" w14:textId="77777777" w:rsidTr="00376CF0">
        <w:trPr>
          <w:trHeight w:val="300"/>
          <w:jc w:val="center"/>
        </w:trPr>
        <w:tc>
          <w:tcPr>
            <w:tcW w:w="592" w:type="dxa"/>
            <w:vMerge/>
            <w:tcBorders>
              <w:left w:val="nil"/>
              <w:right w:val="single" w:sz="4" w:space="0" w:color="auto"/>
            </w:tcBorders>
            <w:vAlign w:val="center"/>
            <w:hideMark/>
          </w:tcPr>
          <w:p w14:paraId="2AEA8849"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027B3450" w14:textId="77777777" w:rsidR="00D923AA" w:rsidRPr="007B010A" w:rsidRDefault="00D923AA" w:rsidP="00376CF0">
            <w:pPr>
              <w:rPr>
                <w:sz w:val="20"/>
                <w:szCs w:val="20"/>
              </w:rPr>
            </w:pPr>
            <w:r w:rsidRPr="007B010A">
              <w:rPr>
                <w:sz w:val="20"/>
                <w:szCs w:val="20"/>
              </w:rPr>
              <w:t>Pārējie sirds asinsvadu sistēmas funkcionālie izmeklējumi</w:t>
            </w:r>
          </w:p>
        </w:tc>
        <w:tc>
          <w:tcPr>
            <w:tcW w:w="2915" w:type="dxa"/>
            <w:tcBorders>
              <w:top w:val="nil"/>
              <w:left w:val="nil"/>
              <w:bottom w:val="single" w:sz="4" w:space="0" w:color="auto"/>
              <w:right w:val="single" w:sz="4" w:space="0" w:color="auto"/>
            </w:tcBorders>
            <w:shd w:val="clear" w:color="auto" w:fill="auto"/>
            <w:noWrap/>
            <w:vAlign w:val="center"/>
            <w:hideMark/>
          </w:tcPr>
          <w:p w14:paraId="4B9281BB" w14:textId="225CC7A9" w:rsidR="00D923AA" w:rsidRPr="007B010A" w:rsidRDefault="00771C87" w:rsidP="00376CF0">
            <w:pPr>
              <w:jc w:val="center"/>
              <w:rPr>
                <w:sz w:val="20"/>
                <w:szCs w:val="20"/>
              </w:rPr>
            </w:pPr>
            <w:r w:rsidRPr="007B010A">
              <w:rPr>
                <w:sz w:val="20"/>
                <w:szCs w:val="20"/>
              </w:rPr>
              <w:t>955 545</w:t>
            </w:r>
          </w:p>
        </w:tc>
        <w:tc>
          <w:tcPr>
            <w:tcW w:w="2152" w:type="dxa"/>
            <w:tcBorders>
              <w:top w:val="nil"/>
              <w:left w:val="nil"/>
              <w:bottom w:val="single" w:sz="4" w:space="0" w:color="auto"/>
              <w:right w:val="single" w:sz="4" w:space="0" w:color="auto"/>
            </w:tcBorders>
            <w:shd w:val="clear" w:color="auto" w:fill="auto"/>
            <w:noWrap/>
            <w:vAlign w:val="center"/>
            <w:hideMark/>
          </w:tcPr>
          <w:p w14:paraId="4E87C444" w14:textId="5C646BB8" w:rsidR="00D923AA" w:rsidRPr="007B010A" w:rsidRDefault="00771C87" w:rsidP="00376CF0">
            <w:pPr>
              <w:jc w:val="center"/>
              <w:rPr>
                <w:sz w:val="22"/>
                <w:szCs w:val="22"/>
              </w:rPr>
            </w:pPr>
            <w:r w:rsidRPr="007B010A">
              <w:rPr>
                <w:sz w:val="20"/>
                <w:szCs w:val="20"/>
              </w:rPr>
              <w:t>35 748</w:t>
            </w:r>
          </w:p>
        </w:tc>
      </w:tr>
      <w:tr w:rsidR="007E6069" w:rsidRPr="007B010A" w14:paraId="63C86FAA" w14:textId="77777777" w:rsidTr="00376CF0">
        <w:trPr>
          <w:trHeight w:val="300"/>
          <w:jc w:val="center"/>
        </w:trPr>
        <w:tc>
          <w:tcPr>
            <w:tcW w:w="592" w:type="dxa"/>
            <w:vMerge/>
            <w:tcBorders>
              <w:left w:val="nil"/>
              <w:right w:val="single" w:sz="4" w:space="0" w:color="auto"/>
            </w:tcBorders>
            <w:vAlign w:val="center"/>
            <w:hideMark/>
          </w:tcPr>
          <w:p w14:paraId="0173C7B4" w14:textId="77777777" w:rsidR="00D923AA" w:rsidRPr="007B010A" w:rsidRDefault="00D923AA" w:rsidP="00376CF0"/>
        </w:tc>
        <w:tc>
          <w:tcPr>
            <w:tcW w:w="3407" w:type="dxa"/>
            <w:tcBorders>
              <w:top w:val="nil"/>
              <w:left w:val="nil"/>
              <w:bottom w:val="single" w:sz="4" w:space="0" w:color="auto"/>
              <w:right w:val="single" w:sz="4" w:space="0" w:color="auto"/>
            </w:tcBorders>
            <w:shd w:val="clear" w:color="auto" w:fill="auto"/>
            <w:noWrap/>
            <w:vAlign w:val="bottom"/>
            <w:hideMark/>
          </w:tcPr>
          <w:p w14:paraId="51C0EC2D" w14:textId="77777777" w:rsidR="00D923AA" w:rsidRPr="007B010A" w:rsidRDefault="00D923AA" w:rsidP="00376CF0">
            <w:pPr>
              <w:rPr>
                <w:b/>
                <w:sz w:val="20"/>
                <w:szCs w:val="20"/>
              </w:rPr>
            </w:pPr>
            <w:r w:rsidRPr="007B010A">
              <w:rPr>
                <w:sz w:val="20"/>
                <w:szCs w:val="20"/>
              </w:rPr>
              <w:t>Ultrasonogrāfija</w:t>
            </w:r>
          </w:p>
        </w:tc>
        <w:tc>
          <w:tcPr>
            <w:tcW w:w="2915" w:type="dxa"/>
            <w:tcBorders>
              <w:top w:val="nil"/>
              <w:left w:val="nil"/>
              <w:bottom w:val="single" w:sz="4" w:space="0" w:color="auto"/>
              <w:right w:val="single" w:sz="4" w:space="0" w:color="auto"/>
            </w:tcBorders>
            <w:shd w:val="clear" w:color="auto" w:fill="auto"/>
            <w:noWrap/>
            <w:vAlign w:val="center"/>
            <w:hideMark/>
          </w:tcPr>
          <w:p w14:paraId="7131657E" w14:textId="13855D12" w:rsidR="00D923AA" w:rsidRPr="007B010A" w:rsidRDefault="00771C87" w:rsidP="00376CF0">
            <w:pPr>
              <w:jc w:val="center"/>
              <w:rPr>
                <w:b/>
                <w:sz w:val="20"/>
                <w:szCs w:val="20"/>
              </w:rPr>
            </w:pPr>
            <w:r w:rsidRPr="007B010A">
              <w:rPr>
                <w:sz w:val="20"/>
                <w:szCs w:val="20"/>
              </w:rPr>
              <w:t>1 270 104</w:t>
            </w:r>
          </w:p>
        </w:tc>
        <w:tc>
          <w:tcPr>
            <w:tcW w:w="2152" w:type="dxa"/>
            <w:tcBorders>
              <w:top w:val="nil"/>
              <w:left w:val="nil"/>
              <w:bottom w:val="single" w:sz="4" w:space="0" w:color="auto"/>
              <w:right w:val="single" w:sz="4" w:space="0" w:color="auto"/>
            </w:tcBorders>
            <w:shd w:val="clear" w:color="auto" w:fill="auto"/>
            <w:noWrap/>
            <w:vAlign w:val="center"/>
            <w:hideMark/>
          </w:tcPr>
          <w:p w14:paraId="0F0F94B4" w14:textId="7E502C3D" w:rsidR="00D923AA" w:rsidRPr="007B010A" w:rsidRDefault="00771C87" w:rsidP="00376CF0">
            <w:pPr>
              <w:jc w:val="center"/>
              <w:rPr>
                <w:b/>
                <w:bCs/>
                <w:sz w:val="20"/>
                <w:szCs w:val="20"/>
              </w:rPr>
            </w:pPr>
            <w:r w:rsidRPr="007B010A">
              <w:rPr>
                <w:sz w:val="20"/>
                <w:szCs w:val="20"/>
              </w:rPr>
              <w:t>108 002</w:t>
            </w:r>
          </w:p>
        </w:tc>
      </w:tr>
      <w:tr w:rsidR="007E6069" w:rsidRPr="007B010A" w14:paraId="7F4F4C05" w14:textId="77777777" w:rsidTr="00376CF0">
        <w:trPr>
          <w:trHeight w:val="300"/>
          <w:jc w:val="center"/>
        </w:trPr>
        <w:tc>
          <w:tcPr>
            <w:tcW w:w="592" w:type="dxa"/>
            <w:vMerge/>
            <w:tcBorders>
              <w:left w:val="nil"/>
              <w:bottom w:val="nil"/>
              <w:right w:val="single" w:sz="4" w:space="0" w:color="auto"/>
            </w:tcBorders>
            <w:vAlign w:val="center"/>
          </w:tcPr>
          <w:p w14:paraId="1B70C864" w14:textId="77777777" w:rsidR="00D923AA" w:rsidRPr="007B010A" w:rsidRDefault="00D923AA" w:rsidP="00376CF0"/>
        </w:tc>
        <w:tc>
          <w:tcPr>
            <w:tcW w:w="3407" w:type="dxa"/>
            <w:tcBorders>
              <w:top w:val="single" w:sz="4" w:space="0" w:color="auto"/>
              <w:left w:val="nil"/>
              <w:bottom w:val="single" w:sz="4" w:space="0" w:color="auto"/>
              <w:right w:val="single" w:sz="4" w:space="0" w:color="auto"/>
            </w:tcBorders>
            <w:shd w:val="clear" w:color="auto" w:fill="auto"/>
            <w:noWrap/>
            <w:vAlign w:val="bottom"/>
          </w:tcPr>
          <w:p w14:paraId="50C472ED" w14:textId="77777777" w:rsidR="00D923AA" w:rsidRPr="007B010A" w:rsidRDefault="00D923AA" w:rsidP="00376CF0">
            <w:pPr>
              <w:jc w:val="right"/>
              <w:rPr>
                <w:sz w:val="20"/>
                <w:szCs w:val="20"/>
              </w:rPr>
            </w:pPr>
            <w:r w:rsidRPr="007B010A">
              <w:rPr>
                <w:sz w:val="20"/>
                <w:szCs w:val="20"/>
              </w:rPr>
              <w:t>Kopā:</w:t>
            </w:r>
          </w:p>
        </w:tc>
        <w:tc>
          <w:tcPr>
            <w:tcW w:w="2915" w:type="dxa"/>
            <w:tcBorders>
              <w:top w:val="single" w:sz="4" w:space="0" w:color="auto"/>
              <w:left w:val="nil"/>
              <w:bottom w:val="single" w:sz="4" w:space="0" w:color="auto"/>
              <w:right w:val="single" w:sz="4" w:space="0" w:color="auto"/>
            </w:tcBorders>
            <w:shd w:val="clear" w:color="auto" w:fill="auto"/>
            <w:noWrap/>
            <w:vAlign w:val="center"/>
          </w:tcPr>
          <w:p w14:paraId="1B79DCB2" w14:textId="6D4E1D22" w:rsidR="00D923AA" w:rsidRPr="007B010A" w:rsidRDefault="00771C87" w:rsidP="00376CF0">
            <w:pPr>
              <w:jc w:val="center"/>
              <w:rPr>
                <w:sz w:val="20"/>
                <w:szCs w:val="20"/>
              </w:rPr>
            </w:pPr>
            <w:r w:rsidRPr="007B010A">
              <w:rPr>
                <w:b/>
                <w:bCs/>
                <w:sz w:val="20"/>
                <w:szCs w:val="20"/>
              </w:rPr>
              <w:t>12 698 580</w:t>
            </w:r>
          </w:p>
        </w:tc>
        <w:tc>
          <w:tcPr>
            <w:tcW w:w="2152" w:type="dxa"/>
            <w:tcBorders>
              <w:top w:val="single" w:sz="4" w:space="0" w:color="auto"/>
              <w:left w:val="nil"/>
              <w:bottom w:val="single" w:sz="4" w:space="0" w:color="auto"/>
              <w:right w:val="single" w:sz="4" w:space="0" w:color="auto"/>
            </w:tcBorders>
            <w:shd w:val="clear" w:color="auto" w:fill="auto"/>
            <w:noWrap/>
            <w:vAlign w:val="center"/>
          </w:tcPr>
          <w:p w14:paraId="2D14500A" w14:textId="355B1060" w:rsidR="00D923AA" w:rsidRPr="007B010A" w:rsidRDefault="00771C87" w:rsidP="00376CF0">
            <w:pPr>
              <w:jc w:val="center"/>
              <w:rPr>
                <w:sz w:val="20"/>
                <w:szCs w:val="20"/>
              </w:rPr>
            </w:pPr>
            <w:r w:rsidRPr="007B010A">
              <w:rPr>
                <w:b/>
                <w:bCs/>
                <w:sz w:val="20"/>
                <w:szCs w:val="20"/>
              </w:rPr>
              <w:t>551 264</w:t>
            </w:r>
          </w:p>
        </w:tc>
      </w:tr>
    </w:tbl>
    <w:p w14:paraId="20246B75" w14:textId="77777777" w:rsidR="00D923AA" w:rsidRPr="007B010A" w:rsidRDefault="00D923AA" w:rsidP="00D923AA">
      <w:pPr>
        <w:autoSpaceDE w:val="0"/>
        <w:autoSpaceDN w:val="0"/>
        <w:adjustRightInd w:val="0"/>
        <w:spacing w:line="293" w:lineRule="atLeast"/>
        <w:jc w:val="both"/>
        <w:rPr>
          <w:i/>
          <w:sz w:val="20"/>
          <w:szCs w:val="20"/>
        </w:rPr>
      </w:pPr>
      <w:r w:rsidRPr="007B010A">
        <w:rPr>
          <w:i/>
          <w:sz w:val="20"/>
          <w:szCs w:val="20"/>
        </w:rPr>
        <w:t>Avots: NVD</w:t>
      </w:r>
    </w:p>
    <w:p w14:paraId="303B22EC" w14:textId="77777777" w:rsidR="00D923AA" w:rsidRPr="007B010A" w:rsidRDefault="00D923AA" w:rsidP="00D923AA">
      <w:pPr>
        <w:autoSpaceDE w:val="0"/>
        <w:autoSpaceDN w:val="0"/>
        <w:adjustRightInd w:val="0"/>
        <w:spacing w:line="293" w:lineRule="atLeast"/>
        <w:ind w:firstLine="720"/>
        <w:jc w:val="both"/>
      </w:pPr>
    </w:p>
    <w:p w14:paraId="195DA745" w14:textId="77777777" w:rsidR="00BE5358" w:rsidRPr="007B010A" w:rsidRDefault="00BE5358" w:rsidP="00BE5358">
      <w:pPr>
        <w:autoSpaceDE w:val="0"/>
        <w:autoSpaceDN w:val="0"/>
        <w:adjustRightInd w:val="0"/>
        <w:spacing w:line="293" w:lineRule="atLeast"/>
        <w:ind w:firstLine="720"/>
        <w:jc w:val="both"/>
      </w:pPr>
      <w:r w:rsidRPr="007B010A">
        <w:t xml:space="preserve">2019.gadā tiks turpinātas iesāktās intervences, palielinot pakalpojumu apjomu, atbilstoši nepieciešamībai sarežģītākos gadījumos ārstam pacientu nosūtīt uz izmeklējumu vai uzsākt terapiju, lai savlaicīgi diagnosticētu saslimšanu un uzsāktu pēc iespējas ātrāku ārstēšanās procesu, kā rezultātā palielinātu iespēju darbspējīgo iedzīvotāju atgriešanai darba tirgū un dot pienesumu tautsaimniecībā. </w:t>
      </w:r>
    </w:p>
    <w:p w14:paraId="09058225" w14:textId="6DA48EF4" w:rsidR="005B0950" w:rsidRPr="007B010A" w:rsidRDefault="005B0950" w:rsidP="00965EB1">
      <w:pPr>
        <w:autoSpaceDE w:val="0"/>
        <w:autoSpaceDN w:val="0"/>
        <w:adjustRightInd w:val="0"/>
        <w:ind w:firstLine="720"/>
        <w:jc w:val="both"/>
      </w:pPr>
      <w:r w:rsidRPr="007B010A">
        <w:t>2018.gadā par 305,70% ir pieaudzis veikto rentgenoloģi</w:t>
      </w:r>
      <w:r w:rsidR="004F2FB0" w:rsidRPr="007B010A">
        <w:t>sko izmeklējumu</w:t>
      </w:r>
      <w:r w:rsidRPr="007B010A">
        <w:t xml:space="preserve"> skaits – 2018.gada 12 mēnešos ir veikti 210 265 izmeklējusi salīdzinot ar 2017.gada 12 mēnešiem, kuros veikti 68 782 izmeklējumi.</w:t>
      </w:r>
    </w:p>
    <w:p w14:paraId="67B79325" w14:textId="6337312D" w:rsidR="00D923AA" w:rsidRPr="007B010A" w:rsidRDefault="00502517" w:rsidP="00502517">
      <w:pPr>
        <w:autoSpaceDE w:val="0"/>
        <w:autoSpaceDN w:val="0"/>
        <w:adjustRightInd w:val="0"/>
        <w:spacing w:line="293" w:lineRule="atLeast"/>
        <w:ind w:firstLine="720"/>
        <w:jc w:val="both"/>
      </w:pPr>
      <w:r w:rsidRPr="007B010A">
        <w:t>A</w:t>
      </w:r>
      <w:r w:rsidR="00B15904" w:rsidRPr="007B010A">
        <w:t xml:space="preserve">tbilstoši </w:t>
      </w:r>
      <w:r w:rsidR="00056687" w:rsidRPr="007B010A">
        <w:t>konceptuālajam ziņojumam “Par veselības aprūpes sistēmas reformu”</w:t>
      </w:r>
      <w:r w:rsidR="004F2FB0" w:rsidRPr="007B010A">
        <w:t xml:space="preserve"> (turpmāk – Konceptuālais ziņojums)</w:t>
      </w:r>
      <w:r w:rsidR="00B15904" w:rsidRPr="007B010A">
        <w:t xml:space="preserve"> </w:t>
      </w:r>
      <w:r w:rsidR="005D6C6D" w:rsidRPr="007B010A">
        <w:t xml:space="preserve">līdz </w:t>
      </w:r>
      <w:r w:rsidR="00B15904" w:rsidRPr="007B010A">
        <w:t>2019.gada beigā</w:t>
      </w:r>
      <w:r w:rsidR="0091792D" w:rsidRPr="007B010A">
        <w:t>m</w:t>
      </w:r>
      <w:r w:rsidR="00B15904" w:rsidRPr="007B010A">
        <w:t xml:space="preserve"> </w:t>
      </w:r>
      <w:r w:rsidR="004F2FB0" w:rsidRPr="007B010A">
        <w:t xml:space="preserve">plānots </w:t>
      </w:r>
      <w:r w:rsidR="00B15904" w:rsidRPr="007B010A">
        <w:t>sasniegt kopēj</w:t>
      </w:r>
      <w:r w:rsidR="004F2FB0" w:rsidRPr="007B010A">
        <w:t>o</w:t>
      </w:r>
      <w:r w:rsidR="00B15904" w:rsidRPr="007B010A">
        <w:t xml:space="preserve"> veselības aprūpes reformu mērķ</w:t>
      </w:r>
      <w:r w:rsidR="00811A4E" w:rsidRPr="007B010A">
        <w:t>i samazino</w:t>
      </w:r>
      <w:r w:rsidR="00B15904" w:rsidRPr="007B010A">
        <w:t>t gaidīšanas rind</w:t>
      </w:r>
      <w:r w:rsidR="00A21254" w:rsidRPr="007B010A">
        <w:t>u</w:t>
      </w:r>
      <w:r w:rsidR="00B15904" w:rsidRPr="007B010A">
        <w:t xml:space="preserve"> par 50%.</w:t>
      </w:r>
    </w:p>
    <w:p w14:paraId="15ED6CC8" w14:textId="77777777" w:rsidR="00BE5358" w:rsidRPr="007B010A" w:rsidRDefault="00BE5358" w:rsidP="00D923AA">
      <w:pPr>
        <w:autoSpaceDE w:val="0"/>
        <w:autoSpaceDN w:val="0"/>
        <w:adjustRightInd w:val="0"/>
        <w:spacing w:line="293" w:lineRule="atLeast"/>
        <w:jc w:val="center"/>
        <w:rPr>
          <w:u w:val="single"/>
          <w:lang w:bidi="lo-LA"/>
        </w:rPr>
      </w:pPr>
    </w:p>
    <w:p w14:paraId="52E30FFF" w14:textId="3309B18E" w:rsidR="00D923AA" w:rsidRPr="007B010A" w:rsidRDefault="00D923AA" w:rsidP="00D923AA">
      <w:pPr>
        <w:autoSpaceDE w:val="0"/>
        <w:autoSpaceDN w:val="0"/>
        <w:adjustRightInd w:val="0"/>
        <w:spacing w:line="293" w:lineRule="atLeast"/>
        <w:jc w:val="center"/>
        <w:rPr>
          <w:u w:val="single"/>
          <w:lang w:bidi="lo-LA"/>
        </w:rPr>
      </w:pPr>
      <w:r w:rsidRPr="007B010A">
        <w:rPr>
          <w:u w:val="single"/>
          <w:lang w:bidi="lo-LA"/>
        </w:rPr>
        <w:t>Dienas stacionārs</w:t>
      </w:r>
    </w:p>
    <w:p w14:paraId="6BE97FBA" w14:textId="77777777" w:rsidR="00D923AA" w:rsidRPr="007B010A" w:rsidRDefault="00D923AA" w:rsidP="00D923AA">
      <w:pPr>
        <w:autoSpaceDE w:val="0"/>
        <w:autoSpaceDN w:val="0"/>
        <w:adjustRightInd w:val="0"/>
        <w:spacing w:line="293" w:lineRule="atLeast"/>
        <w:jc w:val="both"/>
        <w:rPr>
          <w:u w:val="single"/>
          <w:lang w:bidi="lo-LA"/>
        </w:rPr>
      </w:pPr>
    </w:p>
    <w:p w14:paraId="77D5F775" w14:textId="77777777" w:rsidR="00D923AA" w:rsidRPr="007B010A" w:rsidRDefault="00D923AA" w:rsidP="00D923AA">
      <w:pPr>
        <w:autoSpaceDE w:val="0"/>
        <w:autoSpaceDN w:val="0"/>
        <w:adjustRightInd w:val="0"/>
        <w:spacing w:line="293" w:lineRule="atLeast"/>
        <w:ind w:firstLine="720"/>
        <w:jc w:val="both"/>
        <w:rPr>
          <w:lang w:bidi="lo-LA"/>
        </w:rPr>
      </w:pPr>
      <w:r w:rsidRPr="007B010A">
        <w:rPr>
          <w:lang w:bidi="lo-LA"/>
        </w:rPr>
        <w:t>Dienas stacionāra pakalpojums ir ārstniecības vai diagnostikas pakalpojums ārstniecības iestādē, kur pacientam ārstēšanu un veselības aprūpi nodrošina nepilnu diennakti (ne agrāk kā no plkst. 6:00 un ne vēlāk kā līdz plkst. 22:00) un ne mazāk kā trīs stundas veic manipulācijas vai nodrošina pacienta novērošanu pēc manipulāciju veikšanas.</w:t>
      </w:r>
    </w:p>
    <w:p w14:paraId="66832B21" w14:textId="3299EE3C" w:rsidR="00D923AA" w:rsidRPr="007B010A" w:rsidRDefault="00D923AA" w:rsidP="00D923AA">
      <w:pPr>
        <w:autoSpaceDE w:val="0"/>
        <w:autoSpaceDN w:val="0"/>
        <w:adjustRightInd w:val="0"/>
        <w:spacing w:line="293" w:lineRule="atLeast"/>
        <w:ind w:firstLine="720"/>
        <w:jc w:val="both"/>
        <w:rPr>
          <w:lang w:bidi="lo-LA"/>
        </w:rPr>
      </w:pPr>
      <w:r w:rsidRPr="007B010A">
        <w:rPr>
          <w:lang w:bidi="lo-LA"/>
        </w:rPr>
        <w:t xml:space="preserve">Dienas stacionārā sniedz ārstniecības pakalpojumus, kurus to sarežģītības, risku vai </w:t>
      </w:r>
      <w:proofErr w:type="spellStart"/>
      <w:r w:rsidRPr="007B010A">
        <w:rPr>
          <w:lang w:bidi="lo-LA"/>
        </w:rPr>
        <w:t>laikietilpības</w:t>
      </w:r>
      <w:proofErr w:type="spellEnd"/>
      <w:r w:rsidRPr="007B010A">
        <w:rPr>
          <w:lang w:bidi="lo-LA"/>
        </w:rPr>
        <w:t xml:space="preserve"> dēļ nav iespējams sniegt ambulatori, tomēr nav nepieciešama pacienta uzņemšana stacionārā diennakts uzraudzībai. Dienas stacionāri var būt gan slimnīcu, gan ambulatoro ārstniecības iestāžu struktūrvienības.</w:t>
      </w:r>
    </w:p>
    <w:p w14:paraId="7773A5B0" w14:textId="7C8E6384" w:rsidR="00E33FAC" w:rsidRPr="007B010A" w:rsidRDefault="00E33FAC" w:rsidP="00E33FAC">
      <w:pPr>
        <w:autoSpaceDE w:val="0"/>
        <w:autoSpaceDN w:val="0"/>
        <w:adjustRightInd w:val="0"/>
        <w:ind w:firstLine="720"/>
        <w:jc w:val="both"/>
      </w:pPr>
      <w:r w:rsidRPr="007B010A">
        <w:rPr>
          <w:bCs/>
          <w:kern w:val="1"/>
          <w:lang w:eastAsia="ar-SA"/>
        </w:rPr>
        <w:t xml:space="preserve">Lai samazinātu gaidīšanas rindā laiku un padarītu ķirurģiskos pakalpojumus oftalmoloģijas dienas stacionārā pieejamākus, </w:t>
      </w:r>
      <w:r w:rsidRPr="007B010A">
        <w:t xml:space="preserve">līdz 2018.gada beigām papildus tika piešķirti </w:t>
      </w:r>
      <w:r w:rsidRPr="007B010A">
        <w:lastRenderedPageBreak/>
        <w:t xml:space="preserve">577 577 </w:t>
      </w:r>
      <w:proofErr w:type="spellStart"/>
      <w:r w:rsidRPr="007B010A">
        <w:rPr>
          <w:i/>
        </w:rPr>
        <w:t>euro</w:t>
      </w:r>
      <w:proofErr w:type="spellEnd"/>
      <w:r w:rsidRPr="007B010A">
        <w:t xml:space="preserve">, kuri tika novirzīti no 2018.gadam plānotās līdzekļu ekonomijas hronisko pacientu aprūpei, atbilstoši Ministru kabineta 2018.gada 28.augusta sēdes protokola Nr.40 30§ 3.1.3.apakšpunktā noteiktajam, ka </w:t>
      </w:r>
      <w:r w:rsidRPr="007B010A">
        <w:rPr>
          <w:shd w:val="clear" w:color="auto" w:fill="FFFFFF"/>
        </w:rPr>
        <w:t xml:space="preserve">577 577 </w:t>
      </w:r>
      <w:proofErr w:type="spellStart"/>
      <w:r w:rsidRPr="007B010A">
        <w:rPr>
          <w:i/>
          <w:shd w:val="clear" w:color="auto" w:fill="FFFFFF"/>
        </w:rPr>
        <w:t>euro</w:t>
      </w:r>
      <w:proofErr w:type="spellEnd"/>
      <w:r w:rsidRPr="007B010A">
        <w:rPr>
          <w:shd w:val="clear" w:color="auto" w:fill="FFFFFF"/>
        </w:rPr>
        <w:t xml:space="preserve"> apmērā attiecīgi apakšprogrammā 33.16.00 "Pārējo ambulatoro veselības aprūpes pakalpojumu nodrošināšana" palielinot dotāciju no vispārējiem ieņēmumiem un izdevumus subsīdijām un dotācijām, lai Eiropas Komisijas pieļautās budžeta deficīta veselības aprūpes reformas ietvaros nodrošinātu dienas stacionārā sniegto pakalpojumu pieejamību (tai skaitā kataraktas operācijas)</w:t>
      </w:r>
      <w:r w:rsidRPr="007B010A">
        <w:t xml:space="preserve">. </w:t>
      </w:r>
    </w:p>
    <w:p w14:paraId="7D8CB9FB" w14:textId="64400743" w:rsidR="0068422F" w:rsidRPr="007B010A" w:rsidRDefault="0068422F" w:rsidP="00E33FAC">
      <w:pPr>
        <w:autoSpaceDE w:val="0"/>
        <w:autoSpaceDN w:val="0"/>
        <w:adjustRightInd w:val="0"/>
        <w:ind w:firstLine="720"/>
        <w:jc w:val="both"/>
      </w:pPr>
      <w:r w:rsidRPr="007B010A">
        <w:rPr>
          <w:bCs/>
        </w:rPr>
        <w:t>Rindu mazināšanai dienas stacionārā</w:t>
      </w:r>
      <w:r w:rsidRPr="007B010A">
        <w:t xml:space="preserve"> 2018.gadā no Eiropas Komisijas pieļautās budžeta deficīta atkāpes tika paredzēti 9</w:t>
      </w:r>
      <w:r w:rsidR="00D709F7">
        <w:t> </w:t>
      </w:r>
      <w:r w:rsidRPr="007B010A">
        <w:t>613</w:t>
      </w:r>
      <w:r w:rsidR="00D709F7">
        <w:t> </w:t>
      </w:r>
      <w:r w:rsidRPr="007B010A">
        <w:t xml:space="preserve">311 </w:t>
      </w:r>
      <w:proofErr w:type="spellStart"/>
      <w:r w:rsidRPr="007B010A">
        <w:rPr>
          <w:i/>
        </w:rPr>
        <w:t>euro</w:t>
      </w:r>
      <w:proofErr w:type="spellEnd"/>
      <w:r w:rsidR="00D07E2B" w:rsidRPr="007B010A">
        <w:rPr>
          <w:i/>
        </w:rPr>
        <w:t>.</w:t>
      </w:r>
    </w:p>
    <w:p w14:paraId="49EF2BE4" w14:textId="54C430AD" w:rsidR="00E33FAC" w:rsidRPr="007B010A" w:rsidRDefault="00E33FAC" w:rsidP="00076483">
      <w:pPr>
        <w:autoSpaceDE w:val="0"/>
        <w:autoSpaceDN w:val="0"/>
        <w:adjustRightInd w:val="0"/>
        <w:spacing w:line="293" w:lineRule="atLeast"/>
        <w:ind w:firstLine="720"/>
        <w:jc w:val="both"/>
      </w:pPr>
      <w:r w:rsidRPr="007B010A">
        <w:t xml:space="preserve">Līdz ar to, </w:t>
      </w:r>
      <w:r w:rsidR="006A6B17" w:rsidRPr="007B010A">
        <w:t>l</w:t>
      </w:r>
      <w:r w:rsidRPr="007B010A">
        <w:t>ai turpinātu palielināt pieejamību valsts apmaksāto dienas stacionāra pakalpojumu saņemšanā, 2018.gadā tika plānots kopējais pakalpojuma apjoma pieaugums par 97,5 tūkstošiem pakalpojumu.</w:t>
      </w:r>
    </w:p>
    <w:p w14:paraId="62519D84" w14:textId="77777777" w:rsidR="00D923AA" w:rsidRPr="007B010A" w:rsidRDefault="00D923AA" w:rsidP="00D923AA">
      <w:pPr>
        <w:ind w:firstLine="720"/>
        <w:jc w:val="right"/>
        <w:rPr>
          <w:i/>
        </w:rPr>
      </w:pPr>
      <w:r w:rsidRPr="007B010A">
        <w:rPr>
          <w:i/>
        </w:rPr>
        <w:t xml:space="preserve">6.tabula </w:t>
      </w:r>
    </w:p>
    <w:p w14:paraId="7014C7B6" w14:textId="15951BE0" w:rsidR="00D923AA" w:rsidRPr="007B010A" w:rsidRDefault="00D923AA" w:rsidP="00D923AA">
      <w:pPr>
        <w:jc w:val="center"/>
      </w:pPr>
      <w:r w:rsidRPr="007B010A">
        <w:rPr>
          <w:lang w:bidi="lo-LA"/>
        </w:rPr>
        <w:t>Dienas stacionārā veikto pakalpojumu</w:t>
      </w:r>
      <w:r w:rsidRPr="007B010A">
        <w:t xml:space="preserve"> 2018.gada</w:t>
      </w:r>
      <w:r w:rsidRPr="007B010A" w:rsidDel="000323BD">
        <w:rPr>
          <w:lang w:bidi="lo-LA"/>
        </w:rPr>
        <w:t xml:space="preserve"> </w:t>
      </w:r>
      <w:r w:rsidRPr="007B010A">
        <w:t>izpilde</w:t>
      </w:r>
    </w:p>
    <w:p w14:paraId="683E8D7F" w14:textId="77777777" w:rsidR="00D923AA" w:rsidRPr="007B010A" w:rsidRDefault="00D923AA" w:rsidP="00D923AA">
      <w:pPr>
        <w:autoSpaceDE w:val="0"/>
        <w:autoSpaceDN w:val="0"/>
        <w:adjustRightInd w:val="0"/>
        <w:spacing w:line="293" w:lineRule="atLeast"/>
        <w:ind w:firstLine="720"/>
        <w:jc w:val="both"/>
        <w:rPr>
          <w:lang w:bidi="lo-LA"/>
        </w:rPr>
      </w:pPr>
    </w:p>
    <w:tbl>
      <w:tblPr>
        <w:tblW w:w="10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1052"/>
        <w:gridCol w:w="999"/>
        <w:gridCol w:w="990"/>
        <w:gridCol w:w="928"/>
        <w:gridCol w:w="945"/>
        <w:gridCol w:w="879"/>
        <w:gridCol w:w="1123"/>
        <w:gridCol w:w="911"/>
        <w:gridCol w:w="1271"/>
        <w:gridCol w:w="1123"/>
      </w:tblGrid>
      <w:tr w:rsidR="007E6069" w:rsidRPr="007B010A" w14:paraId="065A7A68" w14:textId="77777777" w:rsidTr="00376CF0">
        <w:trPr>
          <w:trHeight w:val="216"/>
          <w:jc w:val="center"/>
        </w:trPr>
        <w:tc>
          <w:tcPr>
            <w:tcW w:w="1016" w:type="dxa"/>
            <w:vMerge w:val="restart"/>
            <w:shd w:val="clear" w:color="000000" w:fill="FCE4D6"/>
            <w:vAlign w:val="center"/>
            <w:hideMark/>
          </w:tcPr>
          <w:p w14:paraId="42C72F0F" w14:textId="77777777" w:rsidR="00D923AA" w:rsidRPr="007B010A" w:rsidRDefault="00D923AA" w:rsidP="00376CF0">
            <w:pPr>
              <w:jc w:val="center"/>
              <w:rPr>
                <w:sz w:val="16"/>
                <w:szCs w:val="16"/>
              </w:rPr>
            </w:pPr>
            <w:r w:rsidRPr="007B010A">
              <w:rPr>
                <w:sz w:val="16"/>
                <w:szCs w:val="16"/>
              </w:rPr>
              <w:t>Dienas stacionāra pakalpojumi</w:t>
            </w:r>
          </w:p>
        </w:tc>
        <w:tc>
          <w:tcPr>
            <w:tcW w:w="1052" w:type="dxa"/>
            <w:vMerge w:val="restart"/>
            <w:shd w:val="clear" w:color="000000" w:fill="FCE4D6"/>
            <w:vAlign w:val="center"/>
            <w:hideMark/>
          </w:tcPr>
          <w:p w14:paraId="6E6517D5" w14:textId="4D81854F" w:rsidR="00D923AA" w:rsidRPr="007B010A" w:rsidRDefault="00D923AA" w:rsidP="00376CF0">
            <w:pPr>
              <w:jc w:val="center"/>
              <w:rPr>
                <w:sz w:val="16"/>
                <w:szCs w:val="16"/>
              </w:rPr>
            </w:pPr>
            <w:r w:rsidRPr="007B010A">
              <w:rPr>
                <w:sz w:val="16"/>
                <w:szCs w:val="16"/>
              </w:rPr>
              <w:t xml:space="preserve">Vidējais plānotais pakalpojumu skaits </w:t>
            </w:r>
            <w:r w:rsidR="00485D70" w:rsidRPr="007B010A">
              <w:rPr>
                <w:sz w:val="16"/>
                <w:szCs w:val="16"/>
              </w:rPr>
              <w:t>2018.gadā</w:t>
            </w:r>
          </w:p>
        </w:tc>
        <w:tc>
          <w:tcPr>
            <w:tcW w:w="1052" w:type="dxa"/>
            <w:vMerge w:val="restart"/>
            <w:shd w:val="clear" w:color="000000" w:fill="FCE4D6"/>
            <w:vAlign w:val="center"/>
          </w:tcPr>
          <w:p w14:paraId="375027DD" w14:textId="145B1474" w:rsidR="00D923AA" w:rsidRPr="007B010A" w:rsidRDefault="00D923AA" w:rsidP="00376CF0">
            <w:pPr>
              <w:jc w:val="center"/>
              <w:rPr>
                <w:sz w:val="16"/>
                <w:szCs w:val="16"/>
              </w:rPr>
            </w:pPr>
            <w:r w:rsidRPr="007B010A">
              <w:rPr>
                <w:sz w:val="16"/>
                <w:szCs w:val="16"/>
              </w:rPr>
              <w:t>Faktiskais konsultāciju skaits 2018.gadā</w:t>
            </w:r>
          </w:p>
        </w:tc>
        <w:tc>
          <w:tcPr>
            <w:tcW w:w="990" w:type="dxa"/>
            <w:vMerge w:val="restart"/>
            <w:shd w:val="clear" w:color="000000" w:fill="FCE4D6"/>
            <w:vAlign w:val="center"/>
            <w:hideMark/>
          </w:tcPr>
          <w:p w14:paraId="191608E7" w14:textId="77777777" w:rsidR="00D923AA" w:rsidRPr="007B010A" w:rsidRDefault="00D923AA" w:rsidP="00376CF0">
            <w:pPr>
              <w:jc w:val="center"/>
              <w:rPr>
                <w:sz w:val="16"/>
                <w:szCs w:val="16"/>
              </w:rPr>
            </w:pPr>
            <w:r w:rsidRPr="007B010A">
              <w:rPr>
                <w:sz w:val="16"/>
                <w:szCs w:val="16"/>
              </w:rPr>
              <w:t xml:space="preserve">Plānotais finansējums  </w:t>
            </w:r>
            <w:proofErr w:type="spellStart"/>
            <w:r w:rsidRPr="007B010A">
              <w:rPr>
                <w:i/>
                <w:iCs/>
                <w:sz w:val="16"/>
                <w:szCs w:val="16"/>
              </w:rPr>
              <w:t>euro</w:t>
            </w:r>
            <w:proofErr w:type="spellEnd"/>
          </w:p>
        </w:tc>
        <w:tc>
          <w:tcPr>
            <w:tcW w:w="928" w:type="dxa"/>
            <w:vMerge w:val="restart"/>
            <w:shd w:val="clear" w:color="000000" w:fill="FCE4D6"/>
            <w:vAlign w:val="center"/>
            <w:hideMark/>
          </w:tcPr>
          <w:p w14:paraId="7D60418F" w14:textId="052C62D6" w:rsidR="00D923AA" w:rsidRPr="007B010A" w:rsidRDefault="00D923AA" w:rsidP="00376CF0">
            <w:pPr>
              <w:jc w:val="center"/>
              <w:rPr>
                <w:sz w:val="16"/>
                <w:szCs w:val="16"/>
              </w:rPr>
            </w:pPr>
            <w:r w:rsidRPr="007B010A">
              <w:rPr>
                <w:sz w:val="16"/>
                <w:szCs w:val="16"/>
              </w:rPr>
              <w:t xml:space="preserve">Finanšu izlietojums 2018.gadā </w:t>
            </w:r>
            <w:proofErr w:type="spellStart"/>
            <w:r w:rsidRPr="007B010A">
              <w:rPr>
                <w:i/>
                <w:iCs/>
                <w:sz w:val="16"/>
                <w:szCs w:val="16"/>
              </w:rPr>
              <w:t>euro</w:t>
            </w:r>
            <w:proofErr w:type="spellEnd"/>
          </w:p>
        </w:tc>
        <w:tc>
          <w:tcPr>
            <w:tcW w:w="3027" w:type="dxa"/>
            <w:gridSpan w:val="3"/>
            <w:shd w:val="clear" w:color="000000" w:fill="FCE4D6"/>
            <w:vAlign w:val="center"/>
            <w:hideMark/>
          </w:tcPr>
          <w:p w14:paraId="70BFFB44" w14:textId="77777777" w:rsidR="00D923AA" w:rsidRPr="007B010A" w:rsidRDefault="00D923AA" w:rsidP="00376CF0">
            <w:pPr>
              <w:jc w:val="center"/>
              <w:rPr>
                <w:sz w:val="16"/>
                <w:szCs w:val="16"/>
              </w:rPr>
            </w:pPr>
            <w:r w:rsidRPr="007B010A">
              <w:rPr>
                <w:sz w:val="16"/>
                <w:szCs w:val="16"/>
              </w:rPr>
              <w:t>Vidējais rindu garums dienās</w:t>
            </w:r>
          </w:p>
        </w:tc>
        <w:tc>
          <w:tcPr>
            <w:tcW w:w="879" w:type="dxa"/>
            <w:vMerge w:val="restart"/>
            <w:shd w:val="clear" w:color="000000" w:fill="FCE4D6"/>
            <w:vAlign w:val="center"/>
          </w:tcPr>
          <w:p w14:paraId="10174456" w14:textId="12D8642B" w:rsidR="00D923AA" w:rsidRPr="007B010A" w:rsidRDefault="00D923AA" w:rsidP="00376CF0">
            <w:pPr>
              <w:jc w:val="center"/>
              <w:rPr>
                <w:sz w:val="16"/>
                <w:szCs w:val="16"/>
              </w:rPr>
            </w:pPr>
            <w:r w:rsidRPr="007B010A">
              <w:rPr>
                <w:sz w:val="16"/>
                <w:szCs w:val="16"/>
              </w:rPr>
              <w:t xml:space="preserve">Rindu </w:t>
            </w:r>
            <w:proofErr w:type="spellStart"/>
            <w:r w:rsidRPr="007B010A">
              <w:rPr>
                <w:sz w:val="16"/>
                <w:szCs w:val="16"/>
              </w:rPr>
              <w:t>samazinā</w:t>
            </w:r>
            <w:proofErr w:type="spellEnd"/>
            <w:r w:rsidRPr="007B010A">
              <w:rPr>
                <w:sz w:val="16"/>
                <w:szCs w:val="16"/>
              </w:rPr>
              <w:t>-jums 2018.gadā %</w:t>
            </w:r>
          </w:p>
        </w:tc>
        <w:tc>
          <w:tcPr>
            <w:tcW w:w="879" w:type="dxa"/>
            <w:vMerge w:val="restart"/>
            <w:shd w:val="clear" w:color="000000" w:fill="FCE4D6"/>
            <w:vAlign w:val="center"/>
          </w:tcPr>
          <w:p w14:paraId="67A5489E" w14:textId="1287707C" w:rsidR="00D923AA" w:rsidRPr="007B010A" w:rsidRDefault="00D923AA" w:rsidP="00376CF0">
            <w:pPr>
              <w:jc w:val="center"/>
              <w:rPr>
                <w:sz w:val="16"/>
                <w:szCs w:val="16"/>
              </w:rPr>
            </w:pPr>
            <w:r w:rsidRPr="007B010A">
              <w:rPr>
                <w:sz w:val="16"/>
                <w:szCs w:val="16"/>
              </w:rPr>
              <w:t>Rindas garums  bez pacientu uzvedības maiņas 2018.gadā</w:t>
            </w:r>
          </w:p>
        </w:tc>
        <w:tc>
          <w:tcPr>
            <w:tcW w:w="1123" w:type="dxa"/>
            <w:vMerge w:val="restart"/>
            <w:shd w:val="clear" w:color="000000" w:fill="FCE4D6"/>
            <w:vAlign w:val="center"/>
          </w:tcPr>
          <w:p w14:paraId="4ADFCA23" w14:textId="70F2F4A0" w:rsidR="00D923AA" w:rsidRPr="007B010A" w:rsidRDefault="00D923AA" w:rsidP="00376CF0">
            <w:pPr>
              <w:jc w:val="center"/>
              <w:rPr>
                <w:sz w:val="16"/>
                <w:szCs w:val="16"/>
              </w:rPr>
            </w:pPr>
            <w:r w:rsidRPr="007B010A">
              <w:rPr>
                <w:sz w:val="16"/>
                <w:szCs w:val="16"/>
              </w:rPr>
              <w:t>Rindu samazinājums bez pacientu uzvedības maiņas 2018.gadā</w:t>
            </w:r>
          </w:p>
        </w:tc>
      </w:tr>
      <w:tr w:rsidR="007E6069" w:rsidRPr="007B010A" w14:paraId="5DABB021" w14:textId="77777777" w:rsidTr="00376CF0">
        <w:trPr>
          <w:trHeight w:val="619"/>
          <w:jc w:val="center"/>
        </w:trPr>
        <w:tc>
          <w:tcPr>
            <w:tcW w:w="1016" w:type="dxa"/>
            <w:vMerge/>
            <w:vAlign w:val="center"/>
            <w:hideMark/>
          </w:tcPr>
          <w:p w14:paraId="5816AB84" w14:textId="77777777" w:rsidR="00D923AA" w:rsidRPr="007B010A" w:rsidRDefault="00D923AA" w:rsidP="00376CF0">
            <w:pPr>
              <w:rPr>
                <w:sz w:val="16"/>
                <w:szCs w:val="16"/>
              </w:rPr>
            </w:pPr>
          </w:p>
        </w:tc>
        <w:tc>
          <w:tcPr>
            <w:tcW w:w="1052" w:type="dxa"/>
            <w:vMerge/>
            <w:vAlign w:val="center"/>
            <w:hideMark/>
          </w:tcPr>
          <w:p w14:paraId="78BEC895" w14:textId="77777777" w:rsidR="00D923AA" w:rsidRPr="007B010A" w:rsidRDefault="00D923AA" w:rsidP="00376CF0">
            <w:pPr>
              <w:rPr>
                <w:sz w:val="16"/>
                <w:szCs w:val="16"/>
              </w:rPr>
            </w:pPr>
          </w:p>
        </w:tc>
        <w:tc>
          <w:tcPr>
            <w:tcW w:w="1052" w:type="dxa"/>
            <w:vMerge/>
            <w:vAlign w:val="center"/>
          </w:tcPr>
          <w:p w14:paraId="4A21EFF8" w14:textId="77777777" w:rsidR="00D923AA" w:rsidRPr="007B010A" w:rsidRDefault="00D923AA" w:rsidP="00376CF0">
            <w:pPr>
              <w:rPr>
                <w:sz w:val="16"/>
                <w:szCs w:val="16"/>
              </w:rPr>
            </w:pPr>
          </w:p>
        </w:tc>
        <w:tc>
          <w:tcPr>
            <w:tcW w:w="990" w:type="dxa"/>
            <w:vMerge/>
            <w:vAlign w:val="center"/>
            <w:hideMark/>
          </w:tcPr>
          <w:p w14:paraId="12FFD00B" w14:textId="77777777" w:rsidR="00D923AA" w:rsidRPr="007B010A" w:rsidRDefault="00D923AA" w:rsidP="00376CF0">
            <w:pPr>
              <w:rPr>
                <w:sz w:val="16"/>
                <w:szCs w:val="16"/>
              </w:rPr>
            </w:pPr>
          </w:p>
        </w:tc>
        <w:tc>
          <w:tcPr>
            <w:tcW w:w="928" w:type="dxa"/>
            <w:vMerge/>
            <w:vAlign w:val="center"/>
            <w:hideMark/>
          </w:tcPr>
          <w:p w14:paraId="7ADCEC64" w14:textId="77777777" w:rsidR="00D923AA" w:rsidRPr="007B010A" w:rsidRDefault="00D923AA" w:rsidP="00376CF0">
            <w:pPr>
              <w:rPr>
                <w:sz w:val="16"/>
                <w:szCs w:val="16"/>
              </w:rPr>
            </w:pPr>
          </w:p>
        </w:tc>
        <w:tc>
          <w:tcPr>
            <w:tcW w:w="1025" w:type="dxa"/>
            <w:shd w:val="clear" w:color="000000" w:fill="FCE4D6"/>
            <w:vAlign w:val="center"/>
            <w:hideMark/>
          </w:tcPr>
          <w:p w14:paraId="0865B397" w14:textId="77777777" w:rsidR="00D923AA" w:rsidRPr="007B010A" w:rsidRDefault="00D923AA" w:rsidP="00376CF0">
            <w:pPr>
              <w:jc w:val="center"/>
              <w:rPr>
                <w:sz w:val="16"/>
                <w:szCs w:val="16"/>
              </w:rPr>
            </w:pPr>
            <w:r w:rsidRPr="007B010A">
              <w:rPr>
                <w:sz w:val="16"/>
                <w:szCs w:val="16"/>
              </w:rPr>
              <w:t>Pirms reformu īstenošanas</w:t>
            </w:r>
          </w:p>
        </w:tc>
        <w:tc>
          <w:tcPr>
            <w:tcW w:w="879" w:type="dxa"/>
            <w:shd w:val="clear" w:color="000000" w:fill="FCE4D6"/>
            <w:vAlign w:val="center"/>
            <w:hideMark/>
          </w:tcPr>
          <w:p w14:paraId="40A753B0" w14:textId="09C119EC" w:rsidR="00D923AA" w:rsidRPr="007B010A" w:rsidRDefault="00D923AA" w:rsidP="00376CF0">
            <w:pPr>
              <w:jc w:val="center"/>
              <w:rPr>
                <w:sz w:val="16"/>
                <w:szCs w:val="16"/>
              </w:rPr>
            </w:pPr>
            <w:r w:rsidRPr="007B010A">
              <w:rPr>
                <w:sz w:val="16"/>
                <w:szCs w:val="16"/>
              </w:rPr>
              <w:t>Uz 201</w:t>
            </w:r>
            <w:r w:rsidR="00DA3A47" w:rsidRPr="007B010A">
              <w:rPr>
                <w:sz w:val="16"/>
                <w:szCs w:val="16"/>
              </w:rPr>
              <w:t>9</w:t>
            </w:r>
            <w:r w:rsidRPr="007B010A">
              <w:rPr>
                <w:sz w:val="16"/>
                <w:szCs w:val="16"/>
              </w:rPr>
              <w:t>.gada 1.j</w:t>
            </w:r>
            <w:r w:rsidR="00DA3A47" w:rsidRPr="007B010A">
              <w:rPr>
                <w:sz w:val="16"/>
                <w:szCs w:val="16"/>
              </w:rPr>
              <w:t>anvāri</w:t>
            </w:r>
          </w:p>
        </w:tc>
        <w:tc>
          <w:tcPr>
            <w:tcW w:w="1123" w:type="dxa"/>
            <w:shd w:val="clear" w:color="000000" w:fill="FCE4D6"/>
            <w:vAlign w:val="center"/>
            <w:hideMark/>
          </w:tcPr>
          <w:p w14:paraId="6E426ABD" w14:textId="500C3B6A" w:rsidR="00D923AA" w:rsidRPr="007B010A" w:rsidRDefault="00D923AA" w:rsidP="00376CF0">
            <w:pPr>
              <w:jc w:val="center"/>
              <w:rPr>
                <w:sz w:val="16"/>
                <w:szCs w:val="16"/>
              </w:rPr>
            </w:pPr>
            <w:r w:rsidRPr="007B010A">
              <w:rPr>
                <w:sz w:val="16"/>
                <w:szCs w:val="16"/>
              </w:rPr>
              <w:t>Rindu samazinājums 2018.gadā</w:t>
            </w:r>
          </w:p>
        </w:tc>
        <w:tc>
          <w:tcPr>
            <w:tcW w:w="879" w:type="dxa"/>
            <w:vMerge/>
            <w:shd w:val="clear" w:color="000000" w:fill="FCE4D6"/>
          </w:tcPr>
          <w:p w14:paraId="0505D2C5" w14:textId="77777777" w:rsidR="00D923AA" w:rsidRPr="007B010A" w:rsidRDefault="00D923AA" w:rsidP="00376CF0">
            <w:pPr>
              <w:jc w:val="center"/>
              <w:rPr>
                <w:sz w:val="16"/>
                <w:szCs w:val="16"/>
              </w:rPr>
            </w:pPr>
          </w:p>
        </w:tc>
        <w:tc>
          <w:tcPr>
            <w:tcW w:w="879" w:type="dxa"/>
            <w:vMerge/>
            <w:shd w:val="clear" w:color="000000" w:fill="FCE4D6"/>
          </w:tcPr>
          <w:p w14:paraId="4B7377A7" w14:textId="77777777" w:rsidR="00D923AA" w:rsidRPr="007B010A" w:rsidRDefault="00D923AA" w:rsidP="00376CF0">
            <w:pPr>
              <w:jc w:val="center"/>
              <w:rPr>
                <w:sz w:val="16"/>
                <w:szCs w:val="16"/>
              </w:rPr>
            </w:pPr>
          </w:p>
        </w:tc>
        <w:tc>
          <w:tcPr>
            <w:tcW w:w="1123" w:type="dxa"/>
            <w:vMerge/>
            <w:shd w:val="clear" w:color="000000" w:fill="FCE4D6"/>
            <w:vAlign w:val="center"/>
          </w:tcPr>
          <w:p w14:paraId="27C22254" w14:textId="77777777" w:rsidR="00D923AA" w:rsidRPr="007B010A" w:rsidRDefault="00D923AA" w:rsidP="00376CF0">
            <w:pPr>
              <w:jc w:val="center"/>
              <w:rPr>
                <w:sz w:val="16"/>
                <w:szCs w:val="16"/>
              </w:rPr>
            </w:pPr>
          </w:p>
        </w:tc>
      </w:tr>
      <w:tr w:rsidR="007E6069" w:rsidRPr="007B010A" w14:paraId="49763D9B" w14:textId="77777777" w:rsidTr="00376CF0">
        <w:trPr>
          <w:trHeight w:val="216"/>
          <w:jc w:val="center"/>
        </w:trPr>
        <w:tc>
          <w:tcPr>
            <w:tcW w:w="1016" w:type="dxa"/>
            <w:shd w:val="clear" w:color="000000" w:fill="92D050"/>
            <w:noWrap/>
            <w:vAlign w:val="center"/>
          </w:tcPr>
          <w:p w14:paraId="264FC9D9" w14:textId="77777777" w:rsidR="00EA373F" w:rsidRPr="007B010A" w:rsidRDefault="00EA373F" w:rsidP="00EA373F">
            <w:pPr>
              <w:jc w:val="center"/>
              <w:rPr>
                <w:sz w:val="16"/>
                <w:szCs w:val="16"/>
              </w:rPr>
            </w:pPr>
          </w:p>
        </w:tc>
        <w:tc>
          <w:tcPr>
            <w:tcW w:w="1052" w:type="dxa"/>
            <w:shd w:val="clear" w:color="000000" w:fill="92D050"/>
            <w:noWrap/>
            <w:vAlign w:val="center"/>
          </w:tcPr>
          <w:p w14:paraId="5DFF53EF" w14:textId="19699D6F" w:rsidR="00EA373F" w:rsidRPr="007B010A" w:rsidRDefault="00EA373F" w:rsidP="00EA373F">
            <w:pPr>
              <w:jc w:val="center"/>
              <w:rPr>
                <w:sz w:val="16"/>
                <w:szCs w:val="16"/>
              </w:rPr>
            </w:pPr>
            <w:r w:rsidRPr="007B010A">
              <w:rPr>
                <w:sz w:val="16"/>
                <w:szCs w:val="16"/>
              </w:rPr>
              <w:t>1</w:t>
            </w:r>
          </w:p>
        </w:tc>
        <w:tc>
          <w:tcPr>
            <w:tcW w:w="1052" w:type="dxa"/>
            <w:shd w:val="clear" w:color="000000" w:fill="92D050"/>
            <w:vAlign w:val="center"/>
          </w:tcPr>
          <w:p w14:paraId="2743EA51" w14:textId="61FE50D9" w:rsidR="00EA373F" w:rsidRPr="007B010A" w:rsidRDefault="00EA373F" w:rsidP="00EA373F">
            <w:pPr>
              <w:jc w:val="center"/>
              <w:rPr>
                <w:sz w:val="16"/>
                <w:szCs w:val="16"/>
              </w:rPr>
            </w:pPr>
            <w:r w:rsidRPr="007B010A">
              <w:rPr>
                <w:sz w:val="16"/>
                <w:szCs w:val="16"/>
              </w:rPr>
              <w:t>2</w:t>
            </w:r>
          </w:p>
        </w:tc>
        <w:tc>
          <w:tcPr>
            <w:tcW w:w="990" w:type="dxa"/>
            <w:shd w:val="clear" w:color="000000" w:fill="92D050"/>
            <w:noWrap/>
            <w:vAlign w:val="center"/>
          </w:tcPr>
          <w:p w14:paraId="7380EDE1" w14:textId="18470EAD" w:rsidR="00EA373F" w:rsidRPr="007B010A" w:rsidRDefault="00EA373F" w:rsidP="00EA373F">
            <w:pPr>
              <w:jc w:val="center"/>
              <w:rPr>
                <w:sz w:val="16"/>
                <w:szCs w:val="16"/>
              </w:rPr>
            </w:pPr>
            <w:r w:rsidRPr="007B010A">
              <w:rPr>
                <w:sz w:val="16"/>
                <w:szCs w:val="16"/>
              </w:rPr>
              <w:t>3</w:t>
            </w:r>
          </w:p>
        </w:tc>
        <w:tc>
          <w:tcPr>
            <w:tcW w:w="928" w:type="dxa"/>
            <w:shd w:val="clear" w:color="000000" w:fill="92D050"/>
            <w:noWrap/>
            <w:vAlign w:val="center"/>
          </w:tcPr>
          <w:p w14:paraId="3432C361" w14:textId="2D6E43E4" w:rsidR="00EA373F" w:rsidRPr="007B010A" w:rsidRDefault="00EA373F" w:rsidP="00EA373F">
            <w:pPr>
              <w:jc w:val="center"/>
              <w:rPr>
                <w:sz w:val="16"/>
                <w:szCs w:val="16"/>
              </w:rPr>
            </w:pPr>
            <w:r w:rsidRPr="007B010A">
              <w:rPr>
                <w:sz w:val="16"/>
                <w:szCs w:val="16"/>
              </w:rPr>
              <w:t>4</w:t>
            </w:r>
          </w:p>
        </w:tc>
        <w:tc>
          <w:tcPr>
            <w:tcW w:w="1025" w:type="dxa"/>
            <w:shd w:val="clear" w:color="000000" w:fill="92D050"/>
            <w:vAlign w:val="center"/>
          </w:tcPr>
          <w:p w14:paraId="1A7E36C8" w14:textId="04A60EC4" w:rsidR="00EA373F" w:rsidRPr="007B010A" w:rsidRDefault="00EA373F" w:rsidP="00EA373F">
            <w:pPr>
              <w:jc w:val="center"/>
              <w:rPr>
                <w:sz w:val="16"/>
                <w:szCs w:val="16"/>
              </w:rPr>
            </w:pPr>
            <w:r w:rsidRPr="007B010A">
              <w:rPr>
                <w:sz w:val="16"/>
                <w:szCs w:val="16"/>
              </w:rPr>
              <w:t>5</w:t>
            </w:r>
          </w:p>
        </w:tc>
        <w:tc>
          <w:tcPr>
            <w:tcW w:w="879" w:type="dxa"/>
            <w:shd w:val="clear" w:color="000000" w:fill="92D050"/>
            <w:vAlign w:val="center"/>
          </w:tcPr>
          <w:p w14:paraId="770868A0" w14:textId="667C87C8" w:rsidR="00EA373F" w:rsidRPr="007B010A" w:rsidRDefault="00EA373F" w:rsidP="00EA373F">
            <w:pPr>
              <w:jc w:val="center"/>
              <w:rPr>
                <w:sz w:val="16"/>
                <w:szCs w:val="16"/>
              </w:rPr>
            </w:pPr>
            <w:r w:rsidRPr="007B010A">
              <w:rPr>
                <w:sz w:val="16"/>
                <w:szCs w:val="16"/>
              </w:rPr>
              <w:t>6</w:t>
            </w:r>
          </w:p>
        </w:tc>
        <w:tc>
          <w:tcPr>
            <w:tcW w:w="1123" w:type="dxa"/>
            <w:shd w:val="clear" w:color="000000" w:fill="92D050"/>
            <w:vAlign w:val="center"/>
          </w:tcPr>
          <w:p w14:paraId="18A2B764" w14:textId="77398C90" w:rsidR="00EA373F" w:rsidRPr="007B010A" w:rsidRDefault="00EA373F" w:rsidP="00EA373F">
            <w:pPr>
              <w:jc w:val="center"/>
              <w:rPr>
                <w:sz w:val="16"/>
                <w:szCs w:val="16"/>
              </w:rPr>
            </w:pPr>
            <w:r w:rsidRPr="007B010A">
              <w:rPr>
                <w:sz w:val="16"/>
                <w:szCs w:val="16"/>
              </w:rPr>
              <w:t>7</w:t>
            </w:r>
          </w:p>
        </w:tc>
        <w:tc>
          <w:tcPr>
            <w:tcW w:w="879" w:type="dxa"/>
            <w:shd w:val="clear" w:color="000000" w:fill="92D050"/>
            <w:vAlign w:val="center"/>
          </w:tcPr>
          <w:p w14:paraId="35623525" w14:textId="0A485732" w:rsidR="00EA373F" w:rsidRPr="007B010A" w:rsidRDefault="00EA373F" w:rsidP="00EA373F">
            <w:pPr>
              <w:jc w:val="center"/>
              <w:rPr>
                <w:sz w:val="16"/>
                <w:szCs w:val="16"/>
              </w:rPr>
            </w:pPr>
            <w:r w:rsidRPr="007B010A">
              <w:rPr>
                <w:sz w:val="16"/>
                <w:szCs w:val="16"/>
              </w:rPr>
              <w:t>8=7</w:t>
            </w:r>
            <w:r w:rsidR="00586A7E" w:rsidRPr="007B010A">
              <w:rPr>
                <w:sz w:val="16"/>
                <w:szCs w:val="16"/>
              </w:rPr>
              <w:t>/5</w:t>
            </w:r>
            <w:r w:rsidRPr="007B010A">
              <w:rPr>
                <w:sz w:val="16"/>
                <w:szCs w:val="16"/>
              </w:rPr>
              <w:t>*100</w:t>
            </w:r>
          </w:p>
        </w:tc>
        <w:tc>
          <w:tcPr>
            <w:tcW w:w="879" w:type="dxa"/>
            <w:shd w:val="clear" w:color="000000" w:fill="92D050"/>
            <w:vAlign w:val="center"/>
          </w:tcPr>
          <w:p w14:paraId="139DA0AA" w14:textId="64CDE34F" w:rsidR="00EA373F" w:rsidRPr="007B010A" w:rsidRDefault="009517D9" w:rsidP="00EA373F">
            <w:pPr>
              <w:jc w:val="center"/>
              <w:rPr>
                <w:sz w:val="16"/>
                <w:szCs w:val="16"/>
              </w:rPr>
            </w:pPr>
            <w:r w:rsidRPr="007B010A">
              <w:rPr>
                <w:sz w:val="16"/>
                <w:szCs w:val="16"/>
              </w:rPr>
              <w:t>9=6/1</w:t>
            </w:r>
            <w:r w:rsidR="00343FFF" w:rsidRPr="007B010A">
              <w:rPr>
                <w:sz w:val="16"/>
                <w:szCs w:val="16"/>
              </w:rPr>
              <w:t>1</w:t>
            </w:r>
            <w:r w:rsidR="005844B6" w:rsidRPr="007B010A">
              <w:rPr>
                <w:sz w:val="16"/>
                <w:szCs w:val="16"/>
              </w:rPr>
              <w:t>5</w:t>
            </w:r>
            <w:r w:rsidR="007E6069">
              <w:rPr>
                <w:sz w:val="16"/>
                <w:szCs w:val="16"/>
              </w:rPr>
              <w:t>,</w:t>
            </w:r>
            <w:r w:rsidR="00343FFF" w:rsidRPr="007B010A">
              <w:rPr>
                <w:sz w:val="16"/>
                <w:szCs w:val="16"/>
              </w:rPr>
              <w:t>68</w:t>
            </w:r>
            <w:r w:rsidR="00EA373F" w:rsidRPr="007B010A">
              <w:rPr>
                <w:sz w:val="16"/>
                <w:szCs w:val="16"/>
              </w:rPr>
              <w:t>*100</w:t>
            </w:r>
          </w:p>
        </w:tc>
        <w:tc>
          <w:tcPr>
            <w:tcW w:w="1123" w:type="dxa"/>
            <w:shd w:val="clear" w:color="000000" w:fill="92D050"/>
            <w:vAlign w:val="center"/>
          </w:tcPr>
          <w:p w14:paraId="21295388" w14:textId="4F96E02B" w:rsidR="00EA373F" w:rsidRPr="007B010A" w:rsidRDefault="00EA373F" w:rsidP="00EA373F">
            <w:pPr>
              <w:jc w:val="center"/>
              <w:rPr>
                <w:sz w:val="16"/>
                <w:szCs w:val="16"/>
              </w:rPr>
            </w:pPr>
            <w:r w:rsidRPr="007B010A">
              <w:rPr>
                <w:sz w:val="16"/>
                <w:szCs w:val="16"/>
              </w:rPr>
              <w:t>10=5-9</w:t>
            </w:r>
          </w:p>
        </w:tc>
      </w:tr>
      <w:tr w:rsidR="007E6069" w:rsidRPr="007B010A" w14:paraId="03680180" w14:textId="77777777" w:rsidTr="00376CF0">
        <w:trPr>
          <w:trHeight w:val="216"/>
          <w:jc w:val="center"/>
        </w:trPr>
        <w:tc>
          <w:tcPr>
            <w:tcW w:w="1016" w:type="dxa"/>
            <w:shd w:val="clear" w:color="000000" w:fill="92D050"/>
            <w:noWrap/>
            <w:vAlign w:val="center"/>
            <w:hideMark/>
          </w:tcPr>
          <w:p w14:paraId="1E90C3FF" w14:textId="77777777" w:rsidR="00D923AA" w:rsidRPr="007B010A" w:rsidRDefault="00D923AA" w:rsidP="00376CF0">
            <w:pPr>
              <w:jc w:val="center"/>
              <w:rPr>
                <w:sz w:val="16"/>
                <w:szCs w:val="16"/>
              </w:rPr>
            </w:pPr>
            <w:r w:rsidRPr="007B010A">
              <w:rPr>
                <w:sz w:val="16"/>
                <w:szCs w:val="16"/>
              </w:rPr>
              <w:t>Ārstniecības iestādes</w:t>
            </w:r>
          </w:p>
        </w:tc>
        <w:tc>
          <w:tcPr>
            <w:tcW w:w="1052" w:type="dxa"/>
            <w:shd w:val="clear" w:color="000000" w:fill="92D050"/>
            <w:noWrap/>
            <w:vAlign w:val="center"/>
            <w:hideMark/>
          </w:tcPr>
          <w:p w14:paraId="32BBD798" w14:textId="77777777" w:rsidR="00D923AA" w:rsidRPr="007B010A" w:rsidRDefault="00D923AA" w:rsidP="00376CF0">
            <w:pPr>
              <w:jc w:val="center"/>
              <w:rPr>
                <w:sz w:val="16"/>
                <w:szCs w:val="16"/>
              </w:rPr>
            </w:pPr>
            <w:r w:rsidRPr="007B010A">
              <w:rPr>
                <w:sz w:val="16"/>
                <w:szCs w:val="16"/>
              </w:rPr>
              <w:t>97 561</w:t>
            </w:r>
          </w:p>
        </w:tc>
        <w:tc>
          <w:tcPr>
            <w:tcW w:w="1052" w:type="dxa"/>
            <w:shd w:val="clear" w:color="000000" w:fill="92D050"/>
            <w:vAlign w:val="center"/>
          </w:tcPr>
          <w:p w14:paraId="6B4AA068" w14:textId="1FB57A55" w:rsidR="00D923AA" w:rsidRPr="007B010A" w:rsidRDefault="0008685B" w:rsidP="00376CF0">
            <w:pPr>
              <w:jc w:val="center"/>
              <w:rPr>
                <w:sz w:val="16"/>
                <w:szCs w:val="16"/>
              </w:rPr>
            </w:pPr>
            <w:r w:rsidRPr="007B010A">
              <w:rPr>
                <w:sz w:val="16"/>
                <w:szCs w:val="16"/>
              </w:rPr>
              <w:t>64 326</w:t>
            </w:r>
          </w:p>
        </w:tc>
        <w:tc>
          <w:tcPr>
            <w:tcW w:w="990" w:type="dxa"/>
            <w:shd w:val="clear" w:color="000000" w:fill="92D050"/>
            <w:noWrap/>
            <w:vAlign w:val="center"/>
            <w:hideMark/>
          </w:tcPr>
          <w:p w14:paraId="28F8ACD8" w14:textId="1022D40B" w:rsidR="00D923AA" w:rsidRPr="007B010A" w:rsidRDefault="00D923AA" w:rsidP="00376CF0">
            <w:pPr>
              <w:jc w:val="center"/>
              <w:rPr>
                <w:sz w:val="16"/>
                <w:szCs w:val="16"/>
              </w:rPr>
            </w:pPr>
            <w:r w:rsidRPr="007B010A">
              <w:rPr>
                <w:sz w:val="16"/>
                <w:szCs w:val="16"/>
              </w:rPr>
              <w:t xml:space="preserve">9 </w:t>
            </w:r>
            <w:r w:rsidR="005A71EB" w:rsidRPr="007B010A">
              <w:rPr>
                <w:sz w:val="16"/>
                <w:szCs w:val="16"/>
              </w:rPr>
              <w:t>613 310</w:t>
            </w:r>
          </w:p>
        </w:tc>
        <w:tc>
          <w:tcPr>
            <w:tcW w:w="928" w:type="dxa"/>
            <w:shd w:val="clear" w:color="000000" w:fill="92D050"/>
            <w:noWrap/>
            <w:vAlign w:val="center"/>
            <w:hideMark/>
          </w:tcPr>
          <w:p w14:paraId="670BA612" w14:textId="1E92DAB1" w:rsidR="00D923AA" w:rsidRPr="007B010A" w:rsidRDefault="0008685B" w:rsidP="00376CF0">
            <w:pPr>
              <w:jc w:val="center"/>
              <w:rPr>
                <w:sz w:val="16"/>
                <w:szCs w:val="16"/>
              </w:rPr>
            </w:pPr>
            <w:r w:rsidRPr="007B010A">
              <w:rPr>
                <w:sz w:val="16"/>
                <w:szCs w:val="16"/>
              </w:rPr>
              <w:t>9 613 311</w:t>
            </w:r>
          </w:p>
        </w:tc>
        <w:tc>
          <w:tcPr>
            <w:tcW w:w="1025" w:type="dxa"/>
            <w:shd w:val="clear" w:color="000000" w:fill="92D050"/>
            <w:vAlign w:val="center"/>
            <w:hideMark/>
          </w:tcPr>
          <w:p w14:paraId="44EEE4F1" w14:textId="7872ED0C" w:rsidR="00D923AA" w:rsidRPr="007B010A" w:rsidRDefault="00D923AA" w:rsidP="00376CF0">
            <w:pPr>
              <w:jc w:val="center"/>
              <w:rPr>
                <w:sz w:val="16"/>
                <w:szCs w:val="16"/>
              </w:rPr>
            </w:pPr>
            <w:r w:rsidRPr="007B010A">
              <w:rPr>
                <w:sz w:val="16"/>
                <w:szCs w:val="16"/>
              </w:rPr>
              <w:t>407</w:t>
            </w:r>
            <w:r w:rsidR="00090401">
              <w:rPr>
                <w:sz w:val="16"/>
                <w:szCs w:val="16"/>
              </w:rPr>
              <w:t>,</w:t>
            </w:r>
            <w:r w:rsidRPr="007B010A">
              <w:rPr>
                <w:sz w:val="16"/>
                <w:szCs w:val="16"/>
              </w:rPr>
              <w:t>00</w:t>
            </w:r>
          </w:p>
        </w:tc>
        <w:tc>
          <w:tcPr>
            <w:tcW w:w="879" w:type="dxa"/>
            <w:shd w:val="clear" w:color="000000" w:fill="92D050"/>
            <w:vAlign w:val="center"/>
            <w:hideMark/>
          </w:tcPr>
          <w:p w14:paraId="1BD1DAAD" w14:textId="5EE5E3BB" w:rsidR="00D923AA" w:rsidRPr="007B010A" w:rsidRDefault="00D923AA" w:rsidP="00376CF0">
            <w:pPr>
              <w:jc w:val="center"/>
              <w:rPr>
                <w:sz w:val="16"/>
                <w:szCs w:val="16"/>
              </w:rPr>
            </w:pPr>
            <w:r w:rsidRPr="007B010A">
              <w:rPr>
                <w:sz w:val="16"/>
                <w:szCs w:val="16"/>
              </w:rPr>
              <w:t>14</w:t>
            </w:r>
            <w:r w:rsidR="005844B6" w:rsidRPr="007B010A">
              <w:rPr>
                <w:sz w:val="16"/>
                <w:szCs w:val="16"/>
              </w:rPr>
              <w:t>7</w:t>
            </w:r>
            <w:r w:rsidR="00090401">
              <w:rPr>
                <w:sz w:val="16"/>
                <w:szCs w:val="16"/>
              </w:rPr>
              <w:t>,</w:t>
            </w:r>
            <w:r w:rsidRPr="007B010A">
              <w:rPr>
                <w:sz w:val="16"/>
                <w:szCs w:val="16"/>
              </w:rPr>
              <w:t>50</w:t>
            </w:r>
          </w:p>
        </w:tc>
        <w:tc>
          <w:tcPr>
            <w:tcW w:w="1123" w:type="dxa"/>
            <w:shd w:val="clear" w:color="000000" w:fill="92D050"/>
            <w:vAlign w:val="center"/>
            <w:hideMark/>
          </w:tcPr>
          <w:p w14:paraId="5CBEF29E" w14:textId="11F9CC58" w:rsidR="00D923AA" w:rsidRPr="007B010A" w:rsidRDefault="00D923AA" w:rsidP="00376CF0">
            <w:pPr>
              <w:jc w:val="center"/>
              <w:rPr>
                <w:sz w:val="16"/>
                <w:szCs w:val="16"/>
              </w:rPr>
            </w:pPr>
            <w:r w:rsidRPr="007B010A">
              <w:rPr>
                <w:sz w:val="16"/>
                <w:szCs w:val="16"/>
              </w:rPr>
              <w:t>25</w:t>
            </w:r>
            <w:r w:rsidR="005844B6" w:rsidRPr="007B010A">
              <w:rPr>
                <w:sz w:val="16"/>
                <w:szCs w:val="16"/>
              </w:rPr>
              <w:t>9</w:t>
            </w:r>
            <w:r w:rsidR="00D709F7">
              <w:rPr>
                <w:sz w:val="16"/>
                <w:szCs w:val="16"/>
              </w:rPr>
              <w:t>,</w:t>
            </w:r>
            <w:r w:rsidRPr="007B010A">
              <w:rPr>
                <w:sz w:val="16"/>
                <w:szCs w:val="16"/>
              </w:rPr>
              <w:t>50</w:t>
            </w:r>
          </w:p>
        </w:tc>
        <w:tc>
          <w:tcPr>
            <w:tcW w:w="879" w:type="dxa"/>
            <w:shd w:val="clear" w:color="000000" w:fill="92D050"/>
            <w:vAlign w:val="center"/>
          </w:tcPr>
          <w:p w14:paraId="246E7416" w14:textId="09983735" w:rsidR="00D923AA" w:rsidRPr="007B010A" w:rsidRDefault="00D923AA" w:rsidP="00376CF0">
            <w:pPr>
              <w:jc w:val="center"/>
              <w:rPr>
                <w:sz w:val="16"/>
                <w:szCs w:val="16"/>
              </w:rPr>
            </w:pPr>
            <w:r w:rsidRPr="007B010A">
              <w:rPr>
                <w:sz w:val="16"/>
                <w:szCs w:val="16"/>
              </w:rPr>
              <w:t>63</w:t>
            </w:r>
            <w:r w:rsidR="00D709F7">
              <w:rPr>
                <w:sz w:val="16"/>
                <w:szCs w:val="16"/>
              </w:rPr>
              <w:t>,</w:t>
            </w:r>
            <w:r w:rsidR="005844B6" w:rsidRPr="007B010A">
              <w:rPr>
                <w:sz w:val="16"/>
                <w:szCs w:val="16"/>
              </w:rPr>
              <w:t>76</w:t>
            </w:r>
          </w:p>
        </w:tc>
        <w:tc>
          <w:tcPr>
            <w:tcW w:w="879" w:type="dxa"/>
            <w:shd w:val="clear" w:color="000000" w:fill="92D050"/>
            <w:vAlign w:val="center"/>
          </w:tcPr>
          <w:p w14:paraId="3C683DEB" w14:textId="75DF066D" w:rsidR="00D923AA" w:rsidRPr="007B010A" w:rsidRDefault="00D923AA" w:rsidP="00376CF0">
            <w:pPr>
              <w:jc w:val="center"/>
              <w:rPr>
                <w:sz w:val="16"/>
                <w:szCs w:val="16"/>
              </w:rPr>
            </w:pPr>
            <w:r w:rsidRPr="007B010A">
              <w:rPr>
                <w:sz w:val="16"/>
                <w:szCs w:val="16"/>
              </w:rPr>
              <w:t>1</w:t>
            </w:r>
            <w:r w:rsidR="00226307" w:rsidRPr="007B010A">
              <w:rPr>
                <w:sz w:val="16"/>
                <w:szCs w:val="16"/>
              </w:rPr>
              <w:t>27</w:t>
            </w:r>
            <w:r w:rsidR="00D709F7">
              <w:rPr>
                <w:sz w:val="16"/>
                <w:szCs w:val="16"/>
              </w:rPr>
              <w:t>,</w:t>
            </w:r>
            <w:r w:rsidR="00037BAA" w:rsidRPr="007B010A">
              <w:rPr>
                <w:sz w:val="16"/>
                <w:szCs w:val="16"/>
              </w:rPr>
              <w:t>51</w:t>
            </w:r>
          </w:p>
        </w:tc>
        <w:tc>
          <w:tcPr>
            <w:tcW w:w="1123" w:type="dxa"/>
            <w:shd w:val="clear" w:color="000000" w:fill="92D050"/>
            <w:vAlign w:val="center"/>
          </w:tcPr>
          <w:p w14:paraId="061C369E" w14:textId="7E4E51F5" w:rsidR="00D923AA" w:rsidRPr="007B010A" w:rsidRDefault="00D923AA" w:rsidP="00376CF0">
            <w:pPr>
              <w:jc w:val="center"/>
              <w:rPr>
                <w:sz w:val="16"/>
                <w:szCs w:val="16"/>
              </w:rPr>
            </w:pPr>
            <w:r w:rsidRPr="007B010A">
              <w:rPr>
                <w:sz w:val="16"/>
                <w:szCs w:val="16"/>
              </w:rPr>
              <w:t>27</w:t>
            </w:r>
            <w:r w:rsidR="00226307" w:rsidRPr="007B010A">
              <w:rPr>
                <w:sz w:val="16"/>
                <w:szCs w:val="16"/>
              </w:rPr>
              <w:t>9</w:t>
            </w:r>
            <w:r w:rsidR="00D709F7">
              <w:rPr>
                <w:sz w:val="16"/>
                <w:szCs w:val="16"/>
              </w:rPr>
              <w:t>,</w:t>
            </w:r>
            <w:r w:rsidR="00037BAA" w:rsidRPr="007B010A">
              <w:rPr>
                <w:sz w:val="16"/>
                <w:szCs w:val="16"/>
              </w:rPr>
              <w:t>49</w:t>
            </w:r>
          </w:p>
        </w:tc>
      </w:tr>
    </w:tbl>
    <w:p w14:paraId="480E4485" w14:textId="77777777" w:rsidR="00D923AA" w:rsidRPr="007B010A" w:rsidRDefault="00D923AA" w:rsidP="00D923AA">
      <w:pPr>
        <w:autoSpaceDE w:val="0"/>
        <w:autoSpaceDN w:val="0"/>
        <w:adjustRightInd w:val="0"/>
        <w:spacing w:line="293" w:lineRule="atLeast"/>
        <w:jc w:val="both"/>
        <w:rPr>
          <w:lang w:bidi="lo-LA"/>
        </w:rPr>
      </w:pPr>
      <w:r w:rsidRPr="007B010A">
        <w:rPr>
          <w:lang w:bidi="lo-LA"/>
        </w:rPr>
        <w:t>*t.sk. ķirurģiskie pakalpojumi oftalmoloģijā</w:t>
      </w:r>
    </w:p>
    <w:p w14:paraId="666784EC" w14:textId="77777777" w:rsidR="00D923AA" w:rsidRPr="007B010A" w:rsidRDefault="00D923AA" w:rsidP="00D923AA">
      <w:pPr>
        <w:autoSpaceDE w:val="0"/>
        <w:autoSpaceDN w:val="0"/>
        <w:adjustRightInd w:val="0"/>
        <w:spacing w:line="293" w:lineRule="atLeast"/>
        <w:jc w:val="both"/>
        <w:rPr>
          <w:u w:val="single"/>
          <w:lang w:bidi="lo-LA"/>
        </w:rPr>
      </w:pPr>
    </w:p>
    <w:p w14:paraId="2C632D13" w14:textId="37C9E1F7" w:rsidR="00D923AA" w:rsidRPr="007B010A" w:rsidRDefault="00D923AA" w:rsidP="00D923AA">
      <w:pPr>
        <w:autoSpaceDE w:val="0"/>
        <w:autoSpaceDN w:val="0"/>
        <w:adjustRightInd w:val="0"/>
        <w:spacing w:line="293" w:lineRule="atLeast"/>
        <w:ind w:firstLine="720"/>
        <w:jc w:val="both"/>
      </w:pPr>
      <w:r w:rsidRPr="007B010A">
        <w:t xml:space="preserve">Atbilstoši 2018.gadā faktiskajai izpildei valsts sniegto pakalpojumu apjoms dienas stacionārā īstenots </w:t>
      </w:r>
      <w:r w:rsidR="003D1538" w:rsidRPr="007B010A">
        <w:t>65,93</w:t>
      </w:r>
      <w:r w:rsidRPr="007B010A">
        <w:t xml:space="preserve">% apmērā no gada plānotā dienas stacionāra pieauguma apjoma. Līdz ar </w:t>
      </w:r>
      <w:r w:rsidR="007C1385" w:rsidRPr="007B010A">
        <w:t>t</w:t>
      </w:r>
      <w:r w:rsidRPr="007B010A">
        <w:t>o, secināms, ka laika periodā no 2018.gada 1.janvāra līdz 3</w:t>
      </w:r>
      <w:r w:rsidR="00137F65" w:rsidRPr="007B010A">
        <w:t>1</w:t>
      </w:r>
      <w:r w:rsidRPr="007B010A">
        <w:t>.</w:t>
      </w:r>
      <w:r w:rsidR="00E41105" w:rsidRPr="007B010A">
        <w:t>decembri</w:t>
      </w:r>
      <w:r w:rsidR="00137F65" w:rsidRPr="007B010A">
        <w:t>m</w:t>
      </w:r>
      <w:r w:rsidRPr="007B010A">
        <w:t xml:space="preserve"> rindu samazinājums nodrošināts ārstniecības iestāžu iespēju robežās, vidēji samazinot rindu garumu uz dienas stacionāra pakalpojumiem par 63,</w:t>
      </w:r>
      <w:r w:rsidR="00194223" w:rsidRPr="007B010A">
        <w:t>76</w:t>
      </w:r>
      <w:r w:rsidRPr="007B010A">
        <w:t xml:space="preserve">%. Katrā ārstniecības iestādē un pakalpojuma veidā rindu samazinājuma dinamika ir atšķirīga, tomēr par ļoti būtisku uzskatāms ieguvums </w:t>
      </w:r>
      <w:r w:rsidR="007C1385" w:rsidRPr="007B010A">
        <w:t xml:space="preserve">SIA </w:t>
      </w:r>
      <w:r w:rsidR="007A284B" w:rsidRPr="007B010A">
        <w:t>“Rīgas Austrumu klīniskā universitātes slimnīca”</w:t>
      </w:r>
      <w:r w:rsidR="00A254C8" w:rsidRPr="007B010A">
        <w:t xml:space="preserve"> stacionārā “Biķernieki” ķirurģisko pakalpojumu oftalmoloģijā rindu samazinājumam no 3000 līdz 965 dienām,</w:t>
      </w:r>
      <w:r w:rsidR="00E716AB" w:rsidRPr="007B010A">
        <w:t xml:space="preserve"> </w:t>
      </w:r>
      <w:r w:rsidR="00264B86" w:rsidRPr="007B010A">
        <w:t>Vidzemes</w:t>
      </w:r>
      <w:r w:rsidRPr="007B010A">
        <w:t xml:space="preserve"> slimnīcā</w:t>
      </w:r>
      <w:r w:rsidR="00247F6E" w:rsidRPr="007B010A">
        <w:t>”</w:t>
      </w:r>
      <w:r w:rsidR="00E716AB" w:rsidRPr="007B010A">
        <w:t xml:space="preserve"> </w:t>
      </w:r>
      <w:proofErr w:type="spellStart"/>
      <w:r w:rsidR="00264B86" w:rsidRPr="007B010A">
        <w:t>otolaringoloģijā</w:t>
      </w:r>
      <w:proofErr w:type="spellEnd"/>
      <w:r w:rsidR="00264B86" w:rsidRPr="007B010A">
        <w:t xml:space="preserve"> bērniem un pieaugušajiem</w:t>
      </w:r>
      <w:r w:rsidRPr="007B010A">
        <w:t xml:space="preserve"> rindu samazinājumam no </w:t>
      </w:r>
      <w:r w:rsidR="00264B86" w:rsidRPr="007B010A">
        <w:t>120</w:t>
      </w:r>
      <w:r w:rsidRPr="007B010A">
        <w:t xml:space="preserve"> dienām līdz </w:t>
      </w:r>
      <w:r w:rsidR="00264B86" w:rsidRPr="007B010A">
        <w:t>3</w:t>
      </w:r>
      <w:r w:rsidRPr="007B010A">
        <w:t>0</w:t>
      </w:r>
      <w:r w:rsidR="00025183" w:rsidRPr="007B010A">
        <w:t> </w:t>
      </w:r>
      <w:r w:rsidRPr="007B010A">
        <w:t>dienām</w:t>
      </w:r>
      <w:r w:rsidR="00D2029A" w:rsidRPr="007B010A">
        <w:t>, kā arī SIA “Vidzemes slimnīca” ortopēdijā rindu samazinājumam no 150 dienām līdz 90 dienām</w:t>
      </w:r>
      <w:r w:rsidRPr="007B010A">
        <w:t xml:space="preserve">. Iesāktās intervences tiks turpinātas </w:t>
      </w:r>
      <w:r w:rsidR="0081621E" w:rsidRPr="007B010A">
        <w:t>2019.gadā</w:t>
      </w:r>
      <w:r w:rsidRPr="007B010A">
        <w:t xml:space="preserve"> turpinot samazināt gaidīšanas rindas uz dienas stacionāra pakalpojumiem. 2018.gadā tika sniegti </w:t>
      </w:r>
      <w:r w:rsidR="0017515F" w:rsidRPr="007B010A">
        <w:t>64 326</w:t>
      </w:r>
      <w:r w:rsidRPr="007B010A">
        <w:t xml:space="preserve"> dienas stacionāra pakalpojumi (skat. 6.tabulu).</w:t>
      </w:r>
    </w:p>
    <w:p w14:paraId="73C4F57C" w14:textId="77777777" w:rsidR="00D923AA" w:rsidRPr="007B010A" w:rsidRDefault="00D923AA" w:rsidP="00D923AA">
      <w:pPr>
        <w:autoSpaceDE w:val="0"/>
        <w:autoSpaceDN w:val="0"/>
        <w:adjustRightInd w:val="0"/>
        <w:spacing w:line="293" w:lineRule="atLeast"/>
        <w:ind w:firstLine="720"/>
        <w:jc w:val="both"/>
      </w:pPr>
      <w:r w:rsidRPr="007B010A">
        <w:rPr>
          <w:shd w:val="clear" w:color="auto" w:fill="FFFFFF"/>
        </w:rPr>
        <w:t>No 2018.gada 1.marta ir izveidots jauns ķirurģiskā dienas stacionāra pakalpojumu veids - </w:t>
      </w:r>
      <w:r w:rsidRPr="007B010A">
        <w:rPr>
          <w:b/>
          <w:bCs/>
          <w:i/>
          <w:iCs/>
          <w:shd w:val="clear" w:color="auto" w:fill="FFFFFF"/>
        </w:rPr>
        <w:t>Bērnu ķirurģija dienas stacionārā</w:t>
      </w:r>
      <w:r w:rsidRPr="007B010A">
        <w:rPr>
          <w:shd w:val="clear" w:color="auto" w:fill="FFFFFF"/>
        </w:rPr>
        <w:t>. Līdz 2018.gada 28.februārim šī pakalpojumu veida apjoms tika iekļauts pakalpojumu veidā - </w:t>
      </w:r>
      <w:r w:rsidRPr="007B010A">
        <w:rPr>
          <w:b/>
          <w:bCs/>
          <w:shd w:val="clear" w:color="auto" w:fill="FFFFFF"/>
        </w:rPr>
        <w:t>Vispārējie ķirurģiskie pakalpojumi dienas stacionārā.</w:t>
      </w:r>
    </w:p>
    <w:p w14:paraId="660A901A" w14:textId="6093DD7E" w:rsidR="00D923AA" w:rsidRPr="007B010A" w:rsidRDefault="00D923AA" w:rsidP="00D923AA">
      <w:pPr>
        <w:ind w:firstLine="720"/>
        <w:jc w:val="right"/>
        <w:rPr>
          <w:i/>
        </w:rPr>
      </w:pPr>
      <w:r w:rsidRPr="007B010A">
        <w:rPr>
          <w:i/>
        </w:rPr>
        <w:t xml:space="preserve">7.tabula </w:t>
      </w:r>
    </w:p>
    <w:p w14:paraId="3E47319A" w14:textId="7D269F3A" w:rsidR="00D923AA" w:rsidRPr="007B010A" w:rsidRDefault="00D923AA" w:rsidP="00D923AA">
      <w:pPr>
        <w:autoSpaceDE w:val="0"/>
        <w:autoSpaceDN w:val="0"/>
        <w:adjustRightInd w:val="0"/>
        <w:spacing w:line="293" w:lineRule="atLeast"/>
        <w:jc w:val="center"/>
      </w:pPr>
      <w:r w:rsidRPr="007B010A">
        <w:t>Dienas stacionārā sniegtie pakalpojumi 2018.gadā</w:t>
      </w:r>
    </w:p>
    <w:p w14:paraId="4C46B9F6" w14:textId="77777777" w:rsidR="00D923AA" w:rsidRPr="007B010A" w:rsidRDefault="00D923AA" w:rsidP="00D923AA">
      <w:pPr>
        <w:autoSpaceDE w:val="0"/>
        <w:autoSpaceDN w:val="0"/>
        <w:adjustRightInd w:val="0"/>
        <w:spacing w:line="293" w:lineRule="atLeast"/>
        <w:jc w:val="center"/>
      </w:pPr>
    </w:p>
    <w:tbl>
      <w:tblPr>
        <w:tblW w:w="8800" w:type="dxa"/>
        <w:tblLook w:val="04A0" w:firstRow="1" w:lastRow="0" w:firstColumn="1" w:lastColumn="0" w:noHBand="0" w:noVBand="1"/>
      </w:tblPr>
      <w:tblGrid>
        <w:gridCol w:w="500"/>
        <w:gridCol w:w="3720"/>
        <w:gridCol w:w="2620"/>
        <w:gridCol w:w="1960"/>
      </w:tblGrid>
      <w:tr w:rsidR="00D923AA" w:rsidRPr="007B010A" w14:paraId="4D3E7CFC" w14:textId="77777777" w:rsidTr="00376CF0">
        <w:trPr>
          <w:trHeight w:val="1455"/>
        </w:trPr>
        <w:tc>
          <w:tcPr>
            <w:tcW w:w="500" w:type="dxa"/>
            <w:vMerge w:val="restart"/>
            <w:tcBorders>
              <w:top w:val="single" w:sz="4" w:space="0" w:color="auto"/>
              <w:left w:val="nil"/>
              <w:bottom w:val="nil"/>
              <w:right w:val="single" w:sz="4" w:space="0" w:color="auto"/>
            </w:tcBorders>
            <w:shd w:val="clear" w:color="000000" w:fill="92D050"/>
            <w:noWrap/>
            <w:vAlign w:val="center"/>
            <w:hideMark/>
          </w:tcPr>
          <w:p w14:paraId="5058E41D" w14:textId="77777777" w:rsidR="00D923AA" w:rsidRPr="007B010A" w:rsidRDefault="00D923AA" w:rsidP="00376CF0">
            <w:pPr>
              <w:jc w:val="center"/>
              <w:rPr>
                <w:sz w:val="20"/>
                <w:szCs w:val="20"/>
              </w:rPr>
            </w:pPr>
          </w:p>
        </w:tc>
        <w:tc>
          <w:tcPr>
            <w:tcW w:w="3720" w:type="dxa"/>
            <w:tcBorders>
              <w:top w:val="single" w:sz="4" w:space="0" w:color="auto"/>
              <w:left w:val="nil"/>
              <w:bottom w:val="single" w:sz="4" w:space="0" w:color="auto"/>
              <w:right w:val="single" w:sz="4" w:space="0" w:color="auto"/>
            </w:tcBorders>
            <w:shd w:val="clear" w:color="000000" w:fill="92D050"/>
            <w:vAlign w:val="center"/>
            <w:hideMark/>
          </w:tcPr>
          <w:p w14:paraId="7D340CE4" w14:textId="77777777" w:rsidR="00D923AA" w:rsidRPr="007B010A" w:rsidRDefault="00D923AA" w:rsidP="00376CF0">
            <w:pPr>
              <w:jc w:val="center"/>
              <w:rPr>
                <w:b/>
                <w:bCs/>
                <w:sz w:val="20"/>
                <w:szCs w:val="20"/>
              </w:rPr>
            </w:pPr>
            <w:r w:rsidRPr="007B010A">
              <w:rPr>
                <w:b/>
                <w:bCs/>
                <w:sz w:val="20"/>
                <w:szCs w:val="20"/>
              </w:rPr>
              <w:t>Pakalpojumu veida nosaukums</w:t>
            </w:r>
          </w:p>
        </w:tc>
        <w:tc>
          <w:tcPr>
            <w:tcW w:w="2620" w:type="dxa"/>
            <w:tcBorders>
              <w:top w:val="single" w:sz="4" w:space="0" w:color="auto"/>
              <w:left w:val="nil"/>
              <w:bottom w:val="single" w:sz="4" w:space="0" w:color="auto"/>
              <w:right w:val="single" w:sz="4" w:space="0" w:color="auto"/>
            </w:tcBorders>
            <w:shd w:val="clear" w:color="000000" w:fill="92D050"/>
            <w:vAlign w:val="center"/>
            <w:hideMark/>
          </w:tcPr>
          <w:p w14:paraId="50DF774B" w14:textId="1AA8A6C0" w:rsidR="00D923AA" w:rsidRPr="007B010A" w:rsidRDefault="00D923AA" w:rsidP="00376CF0">
            <w:pPr>
              <w:jc w:val="center"/>
              <w:rPr>
                <w:b/>
                <w:bCs/>
                <w:sz w:val="20"/>
                <w:szCs w:val="20"/>
              </w:rPr>
            </w:pPr>
            <w:r w:rsidRPr="007B010A">
              <w:rPr>
                <w:b/>
                <w:bCs/>
                <w:sz w:val="20"/>
                <w:szCs w:val="20"/>
              </w:rPr>
              <w:t xml:space="preserve">Faktiski veiktais darbs 2018.gadā (t.sk. pacienta iemaksas kompensācija), gaidīšanas rindu mazināšanas finansējums, </w:t>
            </w:r>
            <w:proofErr w:type="spellStart"/>
            <w:r w:rsidR="001E6F28" w:rsidRPr="007B010A">
              <w:rPr>
                <w:b/>
                <w:bCs/>
                <w:i/>
                <w:sz w:val="20"/>
                <w:szCs w:val="20"/>
              </w:rPr>
              <w:t>euro</w:t>
            </w:r>
            <w:proofErr w:type="spellEnd"/>
          </w:p>
        </w:tc>
        <w:tc>
          <w:tcPr>
            <w:tcW w:w="1960" w:type="dxa"/>
            <w:tcBorders>
              <w:top w:val="single" w:sz="4" w:space="0" w:color="auto"/>
              <w:left w:val="nil"/>
              <w:bottom w:val="single" w:sz="4" w:space="0" w:color="auto"/>
              <w:right w:val="single" w:sz="4" w:space="0" w:color="auto"/>
            </w:tcBorders>
            <w:shd w:val="clear" w:color="000000" w:fill="92D050"/>
            <w:vAlign w:val="center"/>
            <w:hideMark/>
          </w:tcPr>
          <w:p w14:paraId="27F06AD0" w14:textId="75E10958" w:rsidR="00D923AA" w:rsidRPr="007B010A" w:rsidRDefault="00D923AA" w:rsidP="00376CF0">
            <w:pPr>
              <w:jc w:val="center"/>
              <w:rPr>
                <w:b/>
                <w:bCs/>
                <w:sz w:val="20"/>
                <w:szCs w:val="20"/>
              </w:rPr>
            </w:pPr>
            <w:r w:rsidRPr="007B010A">
              <w:rPr>
                <w:b/>
                <w:bCs/>
                <w:sz w:val="20"/>
                <w:szCs w:val="20"/>
              </w:rPr>
              <w:t xml:space="preserve">Faktiski veiktais </w:t>
            </w:r>
            <w:r w:rsidR="0002665E" w:rsidRPr="007B010A">
              <w:rPr>
                <w:b/>
                <w:bCs/>
                <w:sz w:val="20"/>
                <w:szCs w:val="20"/>
              </w:rPr>
              <w:t>pakalpojumu</w:t>
            </w:r>
            <w:r w:rsidRPr="007B010A">
              <w:rPr>
                <w:b/>
                <w:bCs/>
                <w:sz w:val="20"/>
                <w:szCs w:val="20"/>
              </w:rPr>
              <w:t xml:space="preserve"> skaits 2018.gadā</w:t>
            </w:r>
          </w:p>
        </w:tc>
      </w:tr>
      <w:tr w:rsidR="00D923AA" w:rsidRPr="007B010A" w14:paraId="07B77326" w14:textId="77777777" w:rsidTr="00376CF0">
        <w:trPr>
          <w:trHeight w:val="525"/>
        </w:trPr>
        <w:tc>
          <w:tcPr>
            <w:tcW w:w="500" w:type="dxa"/>
            <w:vMerge/>
            <w:tcBorders>
              <w:top w:val="single" w:sz="4" w:space="0" w:color="auto"/>
              <w:left w:val="nil"/>
              <w:bottom w:val="nil"/>
              <w:right w:val="single" w:sz="4" w:space="0" w:color="auto"/>
            </w:tcBorders>
            <w:vAlign w:val="center"/>
            <w:hideMark/>
          </w:tcPr>
          <w:p w14:paraId="714DBE10"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4E8168F1" w14:textId="77777777" w:rsidR="00D923AA" w:rsidRPr="007B010A" w:rsidRDefault="00D923AA" w:rsidP="00376CF0">
            <w:pPr>
              <w:rPr>
                <w:sz w:val="20"/>
                <w:szCs w:val="20"/>
              </w:rPr>
            </w:pPr>
            <w:r w:rsidRPr="007B010A">
              <w:rPr>
                <w:sz w:val="20"/>
                <w:szCs w:val="20"/>
              </w:rPr>
              <w:t>Narkoloģisko slimnieku ārstēšana narkoloģiskā profila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55A3CC94" w14:textId="55307A0A" w:rsidR="00D923AA" w:rsidRPr="007B010A" w:rsidRDefault="00F87841" w:rsidP="00376CF0">
            <w:pPr>
              <w:jc w:val="center"/>
              <w:rPr>
                <w:sz w:val="20"/>
                <w:szCs w:val="20"/>
              </w:rPr>
            </w:pPr>
            <w:r w:rsidRPr="007B010A">
              <w:rPr>
                <w:sz w:val="20"/>
                <w:szCs w:val="20"/>
              </w:rPr>
              <w:t>26 736</w:t>
            </w:r>
          </w:p>
        </w:tc>
        <w:tc>
          <w:tcPr>
            <w:tcW w:w="1960" w:type="dxa"/>
            <w:tcBorders>
              <w:top w:val="nil"/>
              <w:left w:val="nil"/>
              <w:bottom w:val="single" w:sz="4" w:space="0" w:color="auto"/>
              <w:right w:val="single" w:sz="4" w:space="0" w:color="auto"/>
            </w:tcBorders>
            <w:shd w:val="clear" w:color="auto" w:fill="auto"/>
            <w:noWrap/>
            <w:vAlign w:val="center"/>
            <w:hideMark/>
          </w:tcPr>
          <w:p w14:paraId="07EC1A3E" w14:textId="3FC6C240" w:rsidR="00D923AA" w:rsidRPr="007B010A" w:rsidRDefault="00F87841" w:rsidP="00376CF0">
            <w:pPr>
              <w:jc w:val="center"/>
              <w:rPr>
                <w:sz w:val="20"/>
                <w:szCs w:val="20"/>
              </w:rPr>
            </w:pPr>
            <w:r w:rsidRPr="007B010A">
              <w:rPr>
                <w:sz w:val="20"/>
                <w:szCs w:val="20"/>
              </w:rPr>
              <w:t>1 663</w:t>
            </w:r>
          </w:p>
        </w:tc>
      </w:tr>
      <w:tr w:rsidR="00D923AA" w:rsidRPr="007B010A" w14:paraId="393B5ED1" w14:textId="77777777" w:rsidTr="00376CF0">
        <w:trPr>
          <w:trHeight w:val="525"/>
        </w:trPr>
        <w:tc>
          <w:tcPr>
            <w:tcW w:w="500" w:type="dxa"/>
            <w:vMerge/>
            <w:tcBorders>
              <w:top w:val="single" w:sz="4" w:space="0" w:color="auto"/>
              <w:left w:val="nil"/>
              <w:bottom w:val="nil"/>
              <w:right w:val="single" w:sz="4" w:space="0" w:color="auto"/>
            </w:tcBorders>
            <w:vAlign w:val="center"/>
            <w:hideMark/>
          </w:tcPr>
          <w:p w14:paraId="23C93C3E"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7A18DC47" w14:textId="77777777" w:rsidR="00D923AA" w:rsidRPr="007B010A" w:rsidRDefault="00D923AA" w:rsidP="00376CF0">
            <w:pPr>
              <w:rPr>
                <w:sz w:val="20"/>
                <w:szCs w:val="20"/>
              </w:rPr>
            </w:pPr>
            <w:r w:rsidRPr="007B010A">
              <w:rPr>
                <w:sz w:val="20"/>
                <w:szCs w:val="20"/>
              </w:rPr>
              <w:t>Neiroloģisko un iekšķīgo slimību ārstēšana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26C7941E" w14:textId="4716EB50" w:rsidR="00D923AA" w:rsidRPr="007B010A" w:rsidRDefault="00F87841" w:rsidP="00376CF0">
            <w:pPr>
              <w:jc w:val="center"/>
              <w:rPr>
                <w:sz w:val="20"/>
                <w:szCs w:val="20"/>
              </w:rPr>
            </w:pPr>
            <w:r w:rsidRPr="007B010A">
              <w:rPr>
                <w:sz w:val="20"/>
                <w:szCs w:val="20"/>
              </w:rPr>
              <w:t>956 615</w:t>
            </w:r>
          </w:p>
        </w:tc>
        <w:tc>
          <w:tcPr>
            <w:tcW w:w="1960" w:type="dxa"/>
            <w:tcBorders>
              <w:top w:val="nil"/>
              <w:left w:val="nil"/>
              <w:bottom w:val="single" w:sz="4" w:space="0" w:color="auto"/>
              <w:right w:val="single" w:sz="4" w:space="0" w:color="auto"/>
            </w:tcBorders>
            <w:shd w:val="clear" w:color="auto" w:fill="auto"/>
            <w:noWrap/>
            <w:vAlign w:val="center"/>
            <w:hideMark/>
          </w:tcPr>
          <w:p w14:paraId="518A1458" w14:textId="554E42A3" w:rsidR="00D923AA" w:rsidRPr="007B010A" w:rsidRDefault="00F87841" w:rsidP="00376CF0">
            <w:pPr>
              <w:jc w:val="center"/>
              <w:rPr>
                <w:sz w:val="20"/>
                <w:szCs w:val="20"/>
              </w:rPr>
            </w:pPr>
            <w:r w:rsidRPr="007B010A">
              <w:rPr>
                <w:sz w:val="20"/>
                <w:szCs w:val="20"/>
              </w:rPr>
              <w:t>30 388</w:t>
            </w:r>
          </w:p>
        </w:tc>
      </w:tr>
      <w:tr w:rsidR="00D923AA" w:rsidRPr="007B010A" w14:paraId="0AC93547" w14:textId="77777777" w:rsidTr="00376CF0">
        <w:trPr>
          <w:trHeight w:val="525"/>
        </w:trPr>
        <w:tc>
          <w:tcPr>
            <w:tcW w:w="500" w:type="dxa"/>
            <w:vMerge/>
            <w:tcBorders>
              <w:top w:val="single" w:sz="4" w:space="0" w:color="auto"/>
              <w:left w:val="nil"/>
              <w:bottom w:val="nil"/>
              <w:right w:val="single" w:sz="4" w:space="0" w:color="auto"/>
            </w:tcBorders>
            <w:vAlign w:val="center"/>
            <w:hideMark/>
          </w:tcPr>
          <w:p w14:paraId="35B15284"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6EB75C94" w14:textId="77777777" w:rsidR="00D923AA" w:rsidRPr="007B010A" w:rsidRDefault="00D923AA" w:rsidP="00376CF0">
            <w:pPr>
              <w:rPr>
                <w:sz w:val="20"/>
                <w:szCs w:val="20"/>
              </w:rPr>
            </w:pPr>
            <w:r w:rsidRPr="007B010A">
              <w:rPr>
                <w:sz w:val="20"/>
                <w:szCs w:val="20"/>
              </w:rPr>
              <w:t>Psihiatrisko slimnieku ārstēšana psihiatriskā profila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0B6796AD" w14:textId="4DB76B5B" w:rsidR="00D923AA" w:rsidRPr="007B010A" w:rsidRDefault="0056517D" w:rsidP="00376CF0">
            <w:pPr>
              <w:jc w:val="center"/>
              <w:rPr>
                <w:sz w:val="20"/>
                <w:szCs w:val="20"/>
              </w:rPr>
            </w:pPr>
            <w:r w:rsidRPr="007B010A">
              <w:rPr>
                <w:sz w:val="20"/>
                <w:szCs w:val="20"/>
              </w:rPr>
              <w:t>2</w:t>
            </w:r>
            <w:r w:rsidR="00F87841" w:rsidRPr="007B010A">
              <w:rPr>
                <w:sz w:val="20"/>
                <w:szCs w:val="20"/>
              </w:rPr>
              <w:t>96 001</w:t>
            </w:r>
          </w:p>
        </w:tc>
        <w:tc>
          <w:tcPr>
            <w:tcW w:w="1960" w:type="dxa"/>
            <w:tcBorders>
              <w:top w:val="nil"/>
              <w:left w:val="nil"/>
              <w:bottom w:val="single" w:sz="4" w:space="0" w:color="auto"/>
              <w:right w:val="single" w:sz="4" w:space="0" w:color="auto"/>
            </w:tcBorders>
            <w:shd w:val="clear" w:color="auto" w:fill="auto"/>
            <w:noWrap/>
            <w:vAlign w:val="center"/>
            <w:hideMark/>
          </w:tcPr>
          <w:p w14:paraId="200C1688" w14:textId="0323BBA9" w:rsidR="00D923AA" w:rsidRPr="007B010A" w:rsidRDefault="00F87841" w:rsidP="00376CF0">
            <w:pPr>
              <w:jc w:val="center"/>
              <w:rPr>
                <w:sz w:val="20"/>
                <w:szCs w:val="20"/>
              </w:rPr>
            </w:pPr>
            <w:r w:rsidRPr="007B010A">
              <w:rPr>
                <w:sz w:val="20"/>
                <w:szCs w:val="20"/>
              </w:rPr>
              <w:t>12 196</w:t>
            </w:r>
          </w:p>
        </w:tc>
      </w:tr>
      <w:tr w:rsidR="00D923AA" w:rsidRPr="007B010A" w14:paraId="0A593E29" w14:textId="77777777" w:rsidTr="00376CF0">
        <w:trPr>
          <w:trHeight w:val="525"/>
        </w:trPr>
        <w:tc>
          <w:tcPr>
            <w:tcW w:w="500" w:type="dxa"/>
            <w:vMerge/>
            <w:tcBorders>
              <w:top w:val="single" w:sz="4" w:space="0" w:color="auto"/>
              <w:left w:val="nil"/>
              <w:bottom w:val="nil"/>
              <w:right w:val="single" w:sz="4" w:space="0" w:color="auto"/>
            </w:tcBorders>
            <w:vAlign w:val="center"/>
            <w:hideMark/>
          </w:tcPr>
          <w:p w14:paraId="640D9E69"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79831621" w14:textId="77777777" w:rsidR="00D923AA" w:rsidRPr="007B010A" w:rsidRDefault="00D923AA" w:rsidP="00376CF0">
            <w:pPr>
              <w:rPr>
                <w:sz w:val="20"/>
                <w:szCs w:val="20"/>
              </w:rPr>
            </w:pPr>
            <w:proofErr w:type="spellStart"/>
            <w:r w:rsidRPr="007B010A">
              <w:rPr>
                <w:sz w:val="20"/>
                <w:szCs w:val="20"/>
              </w:rPr>
              <w:t>Gastrointestinālās</w:t>
            </w:r>
            <w:proofErr w:type="spellEnd"/>
            <w:r w:rsidRPr="007B010A">
              <w:rPr>
                <w:sz w:val="20"/>
                <w:szCs w:val="20"/>
              </w:rPr>
              <w:t xml:space="preserve"> </w:t>
            </w:r>
            <w:proofErr w:type="spellStart"/>
            <w:r w:rsidRPr="007B010A">
              <w:rPr>
                <w:sz w:val="20"/>
                <w:szCs w:val="20"/>
              </w:rPr>
              <w:t>endoskopijas</w:t>
            </w:r>
            <w:proofErr w:type="spellEnd"/>
            <w:r w:rsidRPr="007B010A">
              <w:rPr>
                <w:sz w:val="20"/>
                <w:szCs w:val="20"/>
              </w:rPr>
              <w:t xml:space="preserve">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34F4F716" w14:textId="0CE30396" w:rsidR="00D923AA" w:rsidRPr="007B010A" w:rsidRDefault="00F87841" w:rsidP="00376CF0">
            <w:pPr>
              <w:jc w:val="center"/>
              <w:rPr>
                <w:sz w:val="20"/>
                <w:szCs w:val="20"/>
              </w:rPr>
            </w:pPr>
            <w:r w:rsidRPr="007B010A">
              <w:rPr>
                <w:sz w:val="20"/>
                <w:szCs w:val="20"/>
              </w:rPr>
              <w:t>217 383</w:t>
            </w:r>
          </w:p>
        </w:tc>
        <w:tc>
          <w:tcPr>
            <w:tcW w:w="1960" w:type="dxa"/>
            <w:tcBorders>
              <w:top w:val="nil"/>
              <w:left w:val="nil"/>
              <w:bottom w:val="single" w:sz="4" w:space="0" w:color="auto"/>
              <w:right w:val="single" w:sz="4" w:space="0" w:color="auto"/>
            </w:tcBorders>
            <w:shd w:val="clear" w:color="auto" w:fill="auto"/>
            <w:noWrap/>
            <w:vAlign w:val="center"/>
            <w:hideMark/>
          </w:tcPr>
          <w:p w14:paraId="34B7CDA7" w14:textId="7C0D4604" w:rsidR="00D923AA" w:rsidRPr="007B010A" w:rsidRDefault="00F87841" w:rsidP="00376CF0">
            <w:pPr>
              <w:jc w:val="center"/>
              <w:rPr>
                <w:sz w:val="20"/>
                <w:szCs w:val="20"/>
              </w:rPr>
            </w:pPr>
            <w:r w:rsidRPr="007B010A">
              <w:rPr>
                <w:sz w:val="20"/>
                <w:szCs w:val="20"/>
              </w:rPr>
              <w:t>1 368</w:t>
            </w:r>
          </w:p>
        </w:tc>
      </w:tr>
      <w:tr w:rsidR="00D923AA" w:rsidRPr="007B010A" w14:paraId="2E5DE582" w14:textId="77777777" w:rsidTr="00376CF0">
        <w:trPr>
          <w:trHeight w:val="300"/>
        </w:trPr>
        <w:tc>
          <w:tcPr>
            <w:tcW w:w="500" w:type="dxa"/>
            <w:vMerge/>
            <w:tcBorders>
              <w:top w:val="single" w:sz="4" w:space="0" w:color="auto"/>
              <w:left w:val="nil"/>
              <w:bottom w:val="nil"/>
              <w:right w:val="single" w:sz="4" w:space="0" w:color="auto"/>
            </w:tcBorders>
            <w:vAlign w:val="center"/>
            <w:hideMark/>
          </w:tcPr>
          <w:p w14:paraId="1CB2711B"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04A9D3DB" w14:textId="77777777" w:rsidR="00D923AA" w:rsidRPr="007B010A" w:rsidRDefault="00D923AA" w:rsidP="00376CF0">
            <w:pPr>
              <w:rPr>
                <w:sz w:val="20"/>
                <w:szCs w:val="20"/>
              </w:rPr>
            </w:pPr>
            <w:r w:rsidRPr="007B010A">
              <w:rPr>
                <w:sz w:val="20"/>
                <w:szCs w:val="20"/>
              </w:rPr>
              <w:t>Ginekoloģija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02313122" w14:textId="244404F3" w:rsidR="00D923AA" w:rsidRPr="007B010A" w:rsidRDefault="00F87841" w:rsidP="00376CF0">
            <w:pPr>
              <w:jc w:val="center"/>
              <w:rPr>
                <w:sz w:val="20"/>
                <w:szCs w:val="20"/>
              </w:rPr>
            </w:pPr>
            <w:r w:rsidRPr="007B010A">
              <w:rPr>
                <w:sz w:val="20"/>
                <w:szCs w:val="20"/>
              </w:rPr>
              <w:t>657 451</w:t>
            </w:r>
          </w:p>
        </w:tc>
        <w:tc>
          <w:tcPr>
            <w:tcW w:w="1960" w:type="dxa"/>
            <w:tcBorders>
              <w:top w:val="nil"/>
              <w:left w:val="nil"/>
              <w:bottom w:val="single" w:sz="4" w:space="0" w:color="auto"/>
              <w:right w:val="single" w:sz="4" w:space="0" w:color="auto"/>
            </w:tcBorders>
            <w:shd w:val="clear" w:color="auto" w:fill="auto"/>
            <w:noWrap/>
            <w:vAlign w:val="center"/>
            <w:hideMark/>
          </w:tcPr>
          <w:p w14:paraId="34369E26" w14:textId="607EB26C" w:rsidR="00D923AA" w:rsidRPr="007B010A" w:rsidRDefault="00F87841" w:rsidP="00376CF0">
            <w:pPr>
              <w:jc w:val="center"/>
              <w:rPr>
                <w:sz w:val="20"/>
                <w:szCs w:val="20"/>
              </w:rPr>
            </w:pPr>
            <w:r w:rsidRPr="007B010A">
              <w:rPr>
                <w:sz w:val="20"/>
                <w:szCs w:val="20"/>
              </w:rPr>
              <w:t>2 431</w:t>
            </w:r>
          </w:p>
        </w:tc>
      </w:tr>
      <w:tr w:rsidR="00D923AA" w:rsidRPr="007B010A" w14:paraId="0D1BC633" w14:textId="77777777" w:rsidTr="00376CF0">
        <w:trPr>
          <w:trHeight w:val="300"/>
        </w:trPr>
        <w:tc>
          <w:tcPr>
            <w:tcW w:w="500" w:type="dxa"/>
            <w:vMerge/>
            <w:tcBorders>
              <w:top w:val="single" w:sz="4" w:space="0" w:color="auto"/>
              <w:left w:val="nil"/>
              <w:bottom w:val="nil"/>
              <w:right w:val="single" w:sz="4" w:space="0" w:color="auto"/>
            </w:tcBorders>
            <w:vAlign w:val="center"/>
            <w:hideMark/>
          </w:tcPr>
          <w:p w14:paraId="633A8491"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56FC8E6F" w14:textId="77777777" w:rsidR="00D923AA" w:rsidRPr="007B010A" w:rsidRDefault="00D923AA" w:rsidP="00376CF0">
            <w:pPr>
              <w:rPr>
                <w:sz w:val="20"/>
                <w:szCs w:val="20"/>
              </w:rPr>
            </w:pPr>
            <w:proofErr w:type="spellStart"/>
            <w:r w:rsidRPr="007B010A">
              <w:rPr>
                <w:sz w:val="20"/>
                <w:szCs w:val="20"/>
              </w:rPr>
              <w:t>Invazīvā</w:t>
            </w:r>
            <w:proofErr w:type="spellEnd"/>
            <w:r w:rsidRPr="007B010A">
              <w:rPr>
                <w:sz w:val="20"/>
                <w:szCs w:val="20"/>
              </w:rPr>
              <w:t xml:space="preserve"> radioloģija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31F11769" w14:textId="778FB265" w:rsidR="00D923AA" w:rsidRPr="007B010A" w:rsidRDefault="00F87841" w:rsidP="00376CF0">
            <w:pPr>
              <w:jc w:val="center"/>
              <w:rPr>
                <w:sz w:val="20"/>
                <w:szCs w:val="20"/>
              </w:rPr>
            </w:pPr>
            <w:r w:rsidRPr="007B010A">
              <w:rPr>
                <w:sz w:val="20"/>
                <w:szCs w:val="20"/>
              </w:rPr>
              <w:t>250 176</w:t>
            </w:r>
          </w:p>
        </w:tc>
        <w:tc>
          <w:tcPr>
            <w:tcW w:w="1960" w:type="dxa"/>
            <w:tcBorders>
              <w:top w:val="nil"/>
              <w:left w:val="nil"/>
              <w:bottom w:val="single" w:sz="4" w:space="0" w:color="auto"/>
              <w:right w:val="single" w:sz="4" w:space="0" w:color="auto"/>
            </w:tcBorders>
            <w:shd w:val="clear" w:color="auto" w:fill="auto"/>
            <w:noWrap/>
            <w:vAlign w:val="center"/>
            <w:hideMark/>
          </w:tcPr>
          <w:p w14:paraId="091BDDE1" w14:textId="5EBBD2BD" w:rsidR="00D923AA" w:rsidRPr="007B010A" w:rsidRDefault="00F87841" w:rsidP="00376CF0">
            <w:pPr>
              <w:jc w:val="center"/>
              <w:rPr>
                <w:sz w:val="20"/>
                <w:szCs w:val="20"/>
              </w:rPr>
            </w:pPr>
            <w:r w:rsidRPr="007B010A">
              <w:rPr>
                <w:sz w:val="20"/>
                <w:szCs w:val="20"/>
              </w:rPr>
              <w:t>92</w:t>
            </w:r>
          </w:p>
        </w:tc>
      </w:tr>
      <w:tr w:rsidR="00D923AA" w:rsidRPr="007B010A" w14:paraId="1AE4334F" w14:textId="77777777" w:rsidTr="00376CF0">
        <w:trPr>
          <w:trHeight w:val="525"/>
        </w:trPr>
        <w:tc>
          <w:tcPr>
            <w:tcW w:w="500" w:type="dxa"/>
            <w:vMerge/>
            <w:tcBorders>
              <w:top w:val="single" w:sz="4" w:space="0" w:color="auto"/>
              <w:left w:val="nil"/>
              <w:bottom w:val="nil"/>
              <w:right w:val="single" w:sz="4" w:space="0" w:color="auto"/>
            </w:tcBorders>
            <w:vAlign w:val="center"/>
            <w:hideMark/>
          </w:tcPr>
          <w:p w14:paraId="7D8F549C"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7EADECD0" w14:textId="77777777" w:rsidR="00D923AA" w:rsidRPr="007B010A" w:rsidRDefault="00D923AA" w:rsidP="00376CF0">
            <w:pPr>
              <w:rPr>
                <w:sz w:val="20"/>
                <w:szCs w:val="20"/>
              </w:rPr>
            </w:pPr>
            <w:r w:rsidRPr="007B010A">
              <w:rPr>
                <w:sz w:val="20"/>
                <w:szCs w:val="20"/>
              </w:rPr>
              <w:t>Ķirurģiskie pakalpojumi oftalmoloģijas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7162E969" w14:textId="669074D9" w:rsidR="00D923AA" w:rsidRPr="007B010A" w:rsidRDefault="00F87841" w:rsidP="00376CF0">
            <w:pPr>
              <w:jc w:val="center"/>
              <w:rPr>
                <w:sz w:val="20"/>
                <w:szCs w:val="20"/>
              </w:rPr>
            </w:pPr>
            <w:r w:rsidRPr="007B010A">
              <w:rPr>
                <w:sz w:val="20"/>
                <w:szCs w:val="20"/>
              </w:rPr>
              <w:t>2 176 978</w:t>
            </w:r>
          </w:p>
        </w:tc>
        <w:tc>
          <w:tcPr>
            <w:tcW w:w="1960" w:type="dxa"/>
            <w:tcBorders>
              <w:top w:val="nil"/>
              <w:left w:val="nil"/>
              <w:bottom w:val="single" w:sz="4" w:space="0" w:color="auto"/>
              <w:right w:val="single" w:sz="4" w:space="0" w:color="auto"/>
            </w:tcBorders>
            <w:shd w:val="clear" w:color="auto" w:fill="auto"/>
            <w:noWrap/>
            <w:vAlign w:val="center"/>
            <w:hideMark/>
          </w:tcPr>
          <w:p w14:paraId="7AA1591A" w14:textId="4EDFA104" w:rsidR="00D923AA" w:rsidRPr="007B010A" w:rsidRDefault="00F87841" w:rsidP="00376CF0">
            <w:pPr>
              <w:jc w:val="center"/>
              <w:rPr>
                <w:sz w:val="20"/>
                <w:szCs w:val="20"/>
              </w:rPr>
            </w:pPr>
            <w:r w:rsidRPr="007B010A">
              <w:rPr>
                <w:sz w:val="20"/>
                <w:szCs w:val="20"/>
              </w:rPr>
              <w:t>5 724</w:t>
            </w:r>
          </w:p>
        </w:tc>
      </w:tr>
      <w:tr w:rsidR="00D923AA" w:rsidRPr="007B010A" w14:paraId="30076360" w14:textId="77777777" w:rsidTr="00376CF0">
        <w:trPr>
          <w:trHeight w:val="300"/>
        </w:trPr>
        <w:tc>
          <w:tcPr>
            <w:tcW w:w="500" w:type="dxa"/>
            <w:vMerge/>
            <w:tcBorders>
              <w:top w:val="single" w:sz="4" w:space="0" w:color="auto"/>
              <w:left w:val="nil"/>
              <w:bottom w:val="nil"/>
              <w:right w:val="single" w:sz="4" w:space="0" w:color="auto"/>
            </w:tcBorders>
            <w:vAlign w:val="center"/>
            <w:hideMark/>
          </w:tcPr>
          <w:p w14:paraId="3F9110BA"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3B3B7DCC" w14:textId="77777777" w:rsidR="00D923AA" w:rsidRPr="007B010A" w:rsidRDefault="00D923AA" w:rsidP="00376CF0">
            <w:pPr>
              <w:rPr>
                <w:sz w:val="20"/>
                <w:szCs w:val="20"/>
              </w:rPr>
            </w:pPr>
            <w:proofErr w:type="spellStart"/>
            <w:r w:rsidRPr="007B010A">
              <w:rPr>
                <w:sz w:val="20"/>
                <w:szCs w:val="20"/>
              </w:rPr>
              <w:t>Otolaringoloģija</w:t>
            </w:r>
            <w:proofErr w:type="spellEnd"/>
            <w:r w:rsidRPr="007B010A">
              <w:rPr>
                <w:sz w:val="20"/>
                <w:szCs w:val="20"/>
              </w:rPr>
              <w:t xml:space="preserve"> bērniem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7455C6DC" w14:textId="7430FDC7" w:rsidR="00D923AA" w:rsidRPr="007B010A" w:rsidRDefault="00F87841" w:rsidP="00376CF0">
            <w:pPr>
              <w:jc w:val="center"/>
              <w:rPr>
                <w:sz w:val="20"/>
                <w:szCs w:val="20"/>
              </w:rPr>
            </w:pPr>
            <w:r w:rsidRPr="007B010A">
              <w:rPr>
                <w:sz w:val="20"/>
                <w:szCs w:val="20"/>
              </w:rPr>
              <w:t>118 645</w:t>
            </w:r>
          </w:p>
        </w:tc>
        <w:tc>
          <w:tcPr>
            <w:tcW w:w="1960" w:type="dxa"/>
            <w:tcBorders>
              <w:top w:val="nil"/>
              <w:left w:val="nil"/>
              <w:bottom w:val="single" w:sz="4" w:space="0" w:color="auto"/>
              <w:right w:val="single" w:sz="4" w:space="0" w:color="auto"/>
            </w:tcBorders>
            <w:shd w:val="clear" w:color="auto" w:fill="auto"/>
            <w:noWrap/>
            <w:vAlign w:val="center"/>
            <w:hideMark/>
          </w:tcPr>
          <w:p w14:paraId="19BAD844" w14:textId="1684A7A4" w:rsidR="00D923AA" w:rsidRPr="007B010A" w:rsidRDefault="00F87841" w:rsidP="00376CF0">
            <w:pPr>
              <w:jc w:val="center"/>
              <w:rPr>
                <w:sz w:val="20"/>
                <w:szCs w:val="20"/>
              </w:rPr>
            </w:pPr>
            <w:r w:rsidRPr="007B010A">
              <w:rPr>
                <w:sz w:val="20"/>
                <w:szCs w:val="20"/>
              </w:rPr>
              <w:t>381</w:t>
            </w:r>
          </w:p>
        </w:tc>
      </w:tr>
      <w:tr w:rsidR="00D923AA" w:rsidRPr="007B010A" w14:paraId="377B3613" w14:textId="77777777" w:rsidTr="00376CF0">
        <w:trPr>
          <w:trHeight w:val="525"/>
        </w:trPr>
        <w:tc>
          <w:tcPr>
            <w:tcW w:w="500" w:type="dxa"/>
            <w:vMerge/>
            <w:tcBorders>
              <w:top w:val="single" w:sz="4" w:space="0" w:color="auto"/>
              <w:left w:val="nil"/>
              <w:bottom w:val="nil"/>
              <w:right w:val="single" w:sz="4" w:space="0" w:color="auto"/>
            </w:tcBorders>
            <w:vAlign w:val="center"/>
            <w:hideMark/>
          </w:tcPr>
          <w:p w14:paraId="267C15F8"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01639880" w14:textId="77777777" w:rsidR="00D923AA" w:rsidRPr="007B010A" w:rsidRDefault="00D923AA" w:rsidP="00376CF0">
            <w:pPr>
              <w:rPr>
                <w:sz w:val="20"/>
                <w:szCs w:val="20"/>
              </w:rPr>
            </w:pPr>
            <w:proofErr w:type="spellStart"/>
            <w:r w:rsidRPr="007B010A">
              <w:rPr>
                <w:sz w:val="20"/>
                <w:szCs w:val="20"/>
              </w:rPr>
              <w:t>Otolaringoloģija</w:t>
            </w:r>
            <w:proofErr w:type="spellEnd"/>
            <w:r w:rsidRPr="007B010A">
              <w:rPr>
                <w:sz w:val="20"/>
                <w:szCs w:val="20"/>
              </w:rPr>
              <w:t xml:space="preserve"> pieaugušajiem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64DE0BF6" w14:textId="7A200B3A" w:rsidR="00D923AA" w:rsidRPr="007B010A" w:rsidRDefault="00F87841" w:rsidP="00376CF0">
            <w:pPr>
              <w:jc w:val="center"/>
              <w:rPr>
                <w:sz w:val="20"/>
                <w:szCs w:val="20"/>
              </w:rPr>
            </w:pPr>
            <w:r w:rsidRPr="007B010A">
              <w:rPr>
                <w:sz w:val="20"/>
                <w:szCs w:val="20"/>
              </w:rPr>
              <w:t>165 694</w:t>
            </w:r>
          </w:p>
        </w:tc>
        <w:tc>
          <w:tcPr>
            <w:tcW w:w="1960" w:type="dxa"/>
            <w:tcBorders>
              <w:top w:val="nil"/>
              <w:left w:val="nil"/>
              <w:bottom w:val="single" w:sz="4" w:space="0" w:color="auto"/>
              <w:right w:val="single" w:sz="4" w:space="0" w:color="auto"/>
            </w:tcBorders>
            <w:shd w:val="clear" w:color="auto" w:fill="auto"/>
            <w:noWrap/>
            <w:vAlign w:val="center"/>
            <w:hideMark/>
          </w:tcPr>
          <w:p w14:paraId="357DD5AE" w14:textId="3A5BA94E" w:rsidR="00D923AA" w:rsidRPr="007B010A" w:rsidRDefault="00F87841" w:rsidP="00376CF0">
            <w:pPr>
              <w:jc w:val="center"/>
              <w:rPr>
                <w:sz w:val="20"/>
                <w:szCs w:val="20"/>
              </w:rPr>
            </w:pPr>
            <w:r w:rsidRPr="007B010A">
              <w:rPr>
                <w:sz w:val="20"/>
                <w:szCs w:val="20"/>
              </w:rPr>
              <w:t>711</w:t>
            </w:r>
          </w:p>
        </w:tc>
      </w:tr>
      <w:tr w:rsidR="00D923AA" w:rsidRPr="007B010A" w14:paraId="21D720FB" w14:textId="77777777" w:rsidTr="00376CF0">
        <w:trPr>
          <w:trHeight w:val="330"/>
        </w:trPr>
        <w:tc>
          <w:tcPr>
            <w:tcW w:w="500" w:type="dxa"/>
            <w:vMerge/>
            <w:tcBorders>
              <w:top w:val="single" w:sz="4" w:space="0" w:color="auto"/>
              <w:left w:val="nil"/>
              <w:bottom w:val="nil"/>
              <w:right w:val="single" w:sz="4" w:space="0" w:color="auto"/>
            </w:tcBorders>
            <w:vAlign w:val="center"/>
            <w:hideMark/>
          </w:tcPr>
          <w:p w14:paraId="0CD643C8"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12F31112" w14:textId="77777777" w:rsidR="00D923AA" w:rsidRPr="007B010A" w:rsidRDefault="00D923AA" w:rsidP="00376CF0">
            <w:pPr>
              <w:rPr>
                <w:sz w:val="20"/>
                <w:szCs w:val="20"/>
              </w:rPr>
            </w:pPr>
            <w:r w:rsidRPr="007B010A">
              <w:rPr>
                <w:sz w:val="20"/>
                <w:szCs w:val="20"/>
              </w:rPr>
              <w:t>Traumatoloģija, ortopēdija dienas stacionārā</w:t>
            </w:r>
          </w:p>
        </w:tc>
        <w:tc>
          <w:tcPr>
            <w:tcW w:w="2620" w:type="dxa"/>
            <w:tcBorders>
              <w:top w:val="nil"/>
              <w:left w:val="nil"/>
              <w:bottom w:val="single" w:sz="4" w:space="0" w:color="auto"/>
              <w:right w:val="single" w:sz="4" w:space="0" w:color="auto"/>
            </w:tcBorders>
            <w:shd w:val="clear" w:color="auto" w:fill="auto"/>
            <w:noWrap/>
            <w:vAlign w:val="center"/>
            <w:hideMark/>
          </w:tcPr>
          <w:p w14:paraId="11E2A8F9" w14:textId="697AEB47" w:rsidR="00D923AA" w:rsidRPr="007B010A" w:rsidRDefault="00F87841" w:rsidP="00376CF0">
            <w:pPr>
              <w:jc w:val="center"/>
              <w:rPr>
                <w:sz w:val="20"/>
                <w:szCs w:val="20"/>
              </w:rPr>
            </w:pPr>
            <w:r w:rsidRPr="007B010A">
              <w:rPr>
                <w:sz w:val="20"/>
                <w:szCs w:val="20"/>
              </w:rPr>
              <w:t>928 943</w:t>
            </w:r>
          </w:p>
        </w:tc>
        <w:tc>
          <w:tcPr>
            <w:tcW w:w="1960" w:type="dxa"/>
            <w:tcBorders>
              <w:top w:val="nil"/>
              <w:left w:val="nil"/>
              <w:bottom w:val="single" w:sz="4" w:space="0" w:color="auto"/>
              <w:right w:val="single" w:sz="4" w:space="0" w:color="auto"/>
            </w:tcBorders>
            <w:shd w:val="clear" w:color="auto" w:fill="auto"/>
            <w:noWrap/>
            <w:vAlign w:val="center"/>
            <w:hideMark/>
          </w:tcPr>
          <w:p w14:paraId="3F790C3C" w14:textId="2BA0E9BF" w:rsidR="00D923AA" w:rsidRPr="007B010A" w:rsidRDefault="00F87841" w:rsidP="00376CF0">
            <w:pPr>
              <w:jc w:val="center"/>
              <w:rPr>
                <w:sz w:val="20"/>
                <w:szCs w:val="20"/>
              </w:rPr>
            </w:pPr>
            <w:r w:rsidRPr="007B010A">
              <w:rPr>
                <w:sz w:val="20"/>
                <w:szCs w:val="20"/>
              </w:rPr>
              <w:t>1 833</w:t>
            </w:r>
          </w:p>
        </w:tc>
      </w:tr>
      <w:tr w:rsidR="00D923AA" w:rsidRPr="007B010A" w14:paraId="4BD56334" w14:textId="77777777" w:rsidTr="00376CF0">
        <w:trPr>
          <w:trHeight w:val="300"/>
        </w:trPr>
        <w:tc>
          <w:tcPr>
            <w:tcW w:w="500" w:type="dxa"/>
            <w:vMerge/>
            <w:tcBorders>
              <w:top w:val="single" w:sz="4" w:space="0" w:color="auto"/>
              <w:left w:val="nil"/>
              <w:bottom w:val="nil"/>
              <w:right w:val="single" w:sz="4" w:space="0" w:color="auto"/>
            </w:tcBorders>
            <w:vAlign w:val="center"/>
            <w:hideMark/>
          </w:tcPr>
          <w:p w14:paraId="55190616"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3C0B7014" w14:textId="77777777" w:rsidR="00D923AA" w:rsidRPr="007B010A" w:rsidRDefault="00D923AA" w:rsidP="00376CF0">
            <w:pPr>
              <w:rPr>
                <w:sz w:val="20"/>
                <w:szCs w:val="20"/>
              </w:rPr>
            </w:pPr>
            <w:r w:rsidRPr="007B010A">
              <w:rPr>
                <w:sz w:val="20"/>
                <w:szCs w:val="20"/>
              </w:rPr>
              <w:t>Uroloģija dienas stacionārā</w:t>
            </w:r>
          </w:p>
        </w:tc>
        <w:tc>
          <w:tcPr>
            <w:tcW w:w="2620" w:type="dxa"/>
            <w:tcBorders>
              <w:top w:val="nil"/>
              <w:left w:val="nil"/>
              <w:bottom w:val="single" w:sz="4" w:space="0" w:color="auto"/>
              <w:right w:val="single" w:sz="4" w:space="0" w:color="auto"/>
            </w:tcBorders>
            <w:shd w:val="clear" w:color="auto" w:fill="auto"/>
            <w:noWrap/>
            <w:vAlign w:val="bottom"/>
            <w:hideMark/>
          </w:tcPr>
          <w:p w14:paraId="1DD7934C" w14:textId="0305C4F0" w:rsidR="00D923AA" w:rsidRPr="007B010A" w:rsidRDefault="00F87841" w:rsidP="00376CF0">
            <w:pPr>
              <w:jc w:val="center"/>
              <w:rPr>
                <w:sz w:val="20"/>
                <w:szCs w:val="20"/>
              </w:rPr>
            </w:pPr>
            <w:r w:rsidRPr="007B010A">
              <w:rPr>
                <w:sz w:val="20"/>
                <w:szCs w:val="20"/>
              </w:rPr>
              <w:t>221 530</w:t>
            </w:r>
          </w:p>
        </w:tc>
        <w:tc>
          <w:tcPr>
            <w:tcW w:w="1960" w:type="dxa"/>
            <w:tcBorders>
              <w:top w:val="nil"/>
              <w:left w:val="nil"/>
              <w:bottom w:val="single" w:sz="4" w:space="0" w:color="auto"/>
              <w:right w:val="single" w:sz="4" w:space="0" w:color="auto"/>
            </w:tcBorders>
            <w:shd w:val="clear" w:color="auto" w:fill="auto"/>
            <w:noWrap/>
            <w:vAlign w:val="bottom"/>
            <w:hideMark/>
          </w:tcPr>
          <w:p w14:paraId="723A90E4" w14:textId="0F60EE40" w:rsidR="00D923AA" w:rsidRPr="007B010A" w:rsidRDefault="00F87841" w:rsidP="00376CF0">
            <w:pPr>
              <w:jc w:val="center"/>
              <w:rPr>
                <w:sz w:val="20"/>
                <w:szCs w:val="20"/>
              </w:rPr>
            </w:pPr>
            <w:r w:rsidRPr="007B010A">
              <w:rPr>
                <w:sz w:val="20"/>
                <w:szCs w:val="20"/>
              </w:rPr>
              <w:t>620</w:t>
            </w:r>
          </w:p>
        </w:tc>
      </w:tr>
      <w:tr w:rsidR="00D923AA" w:rsidRPr="007B010A" w14:paraId="17655668" w14:textId="77777777" w:rsidTr="00376CF0">
        <w:trPr>
          <w:trHeight w:val="525"/>
        </w:trPr>
        <w:tc>
          <w:tcPr>
            <w:tcW w:w="500" w:type="dxa"/>
            <w:vMerge/>
            <w:tcBorders>
              <w:top w:val="single" w:sz="4" w:space="0" w:color="auto"/>
              <w:left w:val="nil"/>
              <w:bottom w:val="nil"/>
              <w:right w:val="single" w:sz="4" w:space="0" w:color="auto"/>
            </w:tcBorders>
            <w:vAlign w:val="center"/>
            <w:hideMark/>
          </w:tcPr>
          <w:p w14:paraId="544B9CC7"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73CA64CB" w14:textId="77777777" w:rsidR="00D923AA" w:rsidRPr="007B010A" w:rsidRDefault="00D923AA" w:rsidP="00376CF0">
            <w:pPr>
              <w:rPr>
                <w:sz w:val="20"/>
                <w:szCs w:val="20"/>
              </w:rPr>
            </w:pPr>
            <w:r w:rsidRPr="007B010A">
              <w:rPr>
                <w:sz w:val="20"/>
                <w:szCs w:val="20"/>
              </w:rPr>
              <w:t>Vispārējie ķirurģiskie pakalpojumi  dienas stacionārā</w:t>
            </w:r>
          </w:p>
        </w:tc>
        <w:tc>
          <w:tcPr>
            <w:tcW w:w="2620" w:type="dxa"/>
            <w:tcBorders>
              <w:top w:val="nil"/>
              <w:left w:val="nil"/>
              <w:bottom w:val="single" w:sz="4" w:space="0" w:color="auto"/>
              <w:right w:val="single" w:sz="4" w:space="0" w:color="auto"/>
            </w:tcBorders>
            <w:shd w:val="clear" w:color="auto" w:fill="auto"/>
            <w:noWrap/>
            <w:vAlign w:val="bottom"/>
            <w:hideMark/>
          </w:tcPr>
          <w:p w14:paraId="3689AC2B" w14:textId="7953029C" w:rsidR="00D923AA" w:rsidRPr="007B010A" w:rsidRDefault="00F87841" w:rsidP="00376CF0">
            <w:pPr>
              <w:jc w:val="center"/>
              <w:rPr>
                <w:sz w:val="20"/>
                <w:szCs w:val="20"/>
              </w:rPr>
            </w:pPr>
            <w:r w:rsidRPr="007B010A">
              <w:rPr>
                <w:sz w:val="20"/>
                <w:szCs w:val="20"/>
              </w:rPr>
              <w:t>795 228</w:t>
            </w:r>
          </w:p>
        </w:tc>
        <w:tc>
          <w:tcPr>
            <w:tcW w:w="1960" w:type="dxa"/>
            <w:tcBorders>
              <w:top w:val="nil"/>
              <w:left w:val="nil"/>
              <w:bottom w:val="single" w:sz="4" w:space="0" w:color="auto"/>
              <w:right w:val="single" w:sz="4" w:space="0" w:color="auto"/>
            </w:tcBorders>
            <w:shd w:val="clear" w:color="auto" w:fill="auto"/>
            <w:noWrap/>
            <w:vAlign w:val="bottom"/>
            <w:hideMark/>
          </w:tcPr>
          <w:p w14:paraId="5A9EC12A" w14:textId="00980766" w:rsidR="00D923AA" w:rsidRPr="007B010A" w:rsidRDefault="00F87841" w:rsidP="00376CF0">
            <w:pPr>
              <w:jc w:val="center"/>
              <w:rPr>
                <w:sz w:val="20"/>
                <w:szCs w:val="20"/>
              </w:rPr>
            </w:pPr>
            <w:r w:rsidRPr="007B010A">
              <w:rPr>
                <w:sz w:val="20"/>
                <w:szCs w:val="20"/>
              </w:rPr>
              <w:t>2 812</w:t>
            </w:r>
          </w:p>
        </w:tc>
      </w:tr>
      <w:tr w:rsidR="00D923AA" w:rsidRPr="007B010A" w14:paraId="4CE3642C" w14:textId="77777777" w:rsidTr="00376CF0">
        <w:trPr>
          <w:trHeight w:val="300"/>
        </w:trPr>
        <w:tc>
          <w:tcPr>
            <w:tcW w:w="500" w:type="dxa"/>
            <w:vMerge/>
            <w:tcBorders>
              <w:top w:val="single" w:sz="4" w:space="0" w:color="auto"/>
              <w:left w:val="nil"/>
              <w:bottom w:val="nil"/>
              <w:right w:val="single" w:sz="4" w:space="0" w:color="auto"/>
            </w:tcBorders>
            <w:vAlign w:val="center"/>
            <w:hideMark/>
          </w:tcPr>
          <w:p w14:paraId="25B087B5"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0052FFE0" w14:textId="77777777" w:rsidR="00D923AA" w:rsidRPr="007B010A" w:rsidRDefault="00D923AA" w:rsidP="00376CF0">
            <w:pPr>
              <w:rPr>
                <w:sz w:val="20"/>
                <w:szCs w:val="20"/>
              </w:rPr>
            </w:pPr>
            <w:r w:rsidRPr="007B010A">
              <w:rPr>
                <w:sz w:val="20"/>
                <w:szCs w:val="20"/>
              </w:rPr>
              <w:t>Dienas stacionārs hronisko sāpju pacientu ārstēšanai</w:t>
            </w:r>
          </w:p>
        </w:tc>
        <w:tc>
          <w:tcPr>
            <w:tcW w:w="2620" w:type="dxa"/>
            <w:tcBorders>
              <w:top w:val="nil"/>
              <w:left w:val="nil"/>
              <w:bottom w:val="single" w:sz="4" w:space="0" w:color="auto"/>
              <w:right w:val="single" w:sz="4" w:space="0" w:color="auto"/>
            </w:tcBorders>
            <w:shd w:val="clear" w:color="auto" w:fill="auto"/>
            <w:noWrap/>
            <w:vAlign w:val="center"/>
            <w:hideMark/>
          </w:tcPr>
          <w:p w14:paraId="0B2EF50B" w14:textId="636076BF" w:rsidR="00D923AA" w:rsidRPr="007B010A" w:rsidRDefault="00F87841" w:rsidP="00376CF0">
            <w:pPr>
              <w:jc w:val="center"/>
              <w:rPr>
                <w:sz w:val="20"/>
                <w:szCs w:val="20"/>
              </w:rPr>
            </w:pPr>
            <w:r w:rsidRPr="007B010A">
              <w:rPr>
                <w:sz w:val="20"/>
                <w:szCs w:val="20"/>
              </w:rPr>
              <w:t>26 091</w:t>
            </w:r>
          </w:p>
        </w:tc>
        <w:tc>
          <w:tcPr>
            <w:tcW w:w="1960" w:type="dxa"/>
            <w:tcBorders>
              <w:top w:val="nil"/>
              <w:left w:val="nil"/>
              <w:bottom w:val="single" w:sz="4" w:space="0" w:color="auto"/>
              <w:right w:val="single" w:sz="4" w:space="0" w:color="auto"/>
            </w:tcBorders>
            <w:shd w:val="clear" w:color="auto" w:fill="auto"/>
            <w:noWrap/>
            <w:vAlign w:val="center"/>
            <w:hideMark/>
          </w:tcPr>
          <w:p w14:paraId="237B511C" w14:textId="06B85B0D" w:rsidR="00D923AA" w:rsidRPr="007B010A" w:rsidRDefault="00F87841" w:rsidP="00376CF0">
            <w:pPr>
              <w:jc w:val="center"/>
              <w:rPr>
                <w:sz w:val="20"/>
                <w:szCs w:val="20"/>
              </w:rPr>
            </w:pPr>
            <w:r w:rsidRPr="007B010A">
              <w:rPr>
                <w:sz w:val="20"/>
                <w:szCs w:val="20"/>
              </w:rPr>
              <w:t>379</w:t>
            </w:r>
          </w:p>
        </w:tc>
      </w:tr>
      <w:tr w:rsidR="00D923AA" w:rsidRPr="007B010A" w14:paraId="763C0373" w14:textId="77777777" w:rsidTr="00376CF0">
        <w:trPr>
          <w:trHeight w:val="300"/>
        </w:trPr>
        <w:tc>
          <w:tcPr>
            <w:tcW w:w="500" w:type="dxa"/>
            <w:vMerge/>
            <w:tcBorders>
              <w:top w:val="single" w:sz="4" w:space="0" w:color="auto"/>
              <w:left w:val="nil"/>
              <w:bottom w:val="nil"/>
              <w:right w:val="single" w:sz="4" w:space="0" w:color="auto"/>
            </w:tcBorders>
            <w:vAlign w:val="center"/>
          </w:tcPr>
          <w:p w14:paraId="4A86C1BD"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tcPr>
          <w:p w14:paraId="2EC35869" w14:textId="77777777" w:rsidR="00D923AA" w:rsidRPr="007B010A" w:rsidRDefault="00D923AA" w:rsidP="00376CF0">
            <w:pPr>
              <w:rPr>
                <w:sz w:val="20"/>
                <w:szCs w:val="20"/>
              </w:rPr>
            </w:pPr>
            <w:r w:rsidRPr="007B010A">
              <w:rPr>
                <w:sz w:val="20"/>
                <w:szCs w:val="20"/>
              </w:rPr>
              <w:t>Bērnu ķirurģija dienas stacionārā</w:t>
            </w:r>
          </w:p>
        </w:tc>
        <w:tc>
          <w:tcPr>
            <w:tcW w:w="2620" w:type="dxa"/>
            <w:tcBorders>
              <w:top w:val="nil"/>
              <w:left w:val="nil"/>
              <w:bottom w:val="single" w:sz="4" w:space="0" w:color="auto"/>
              <w:right w:val="single" w:sz="4" w:space="0" w:color="auto"/>
            </w:tcBorders>
            <w:shd w:val="clear" w:color="auto" w:fill="auto"/>
            <w:noWrap/>
            <w:vAlign w:val="center"/>
          </w:tcPr>
          <w:p w14:paraId="17238B70" w14:textId="6989C29C" w:rsidR="00D923AA" w:rsidRPr="007B010A" w:rsidRDefault="00F87841" w:rsidP="00376CF0">
            <w:pPr>
              <w:jc w:val="center"/>
              <w:rPr>
                <w:sz w:val="20"/>
                <w:szCs w:val="20"/>
              </w:rPr>
            </w:pPr>
            <w:r w:rsidRPr="007B010A">
              <w:rPr>
                <w:sz w:val="20"/>
                <w:szCs w:val="20"/>
              </w:rPr>
              <w:t>201 637</w:t>
            </w:r>
          </w:p>
        </w:tc>
        <w:tc>
          <w:tcPr>
            <w:tcW w:w="1960" w:type="dxa"/>
            <w:tcBorders>
              <w:top w:val="nil"/>
              <w:left w:val="nil"/>
              <w:bottom w:val="single" w:sz="4" w:space="0" w:color="auto"/>
              <w:right w:val="single" w:sz="4" w:space="0" w:color="auto"/>
            </w:tcBorders>
            <w:shd w:val="clear" w:color="auto" w:fill="auto"/>
            <w:noWrap/>
            <w:vAlign w:val="center"/>
          </w:tcPr>
          <w:p w14:paraId="49A9129E" w14:textId="64FBC00C" w:rsidR="00D923AA" w:rsidRPr="007B010A" w:rsidRDefault="00F87841" w:rsidP="00376CF0">
            <w:pPr>
              <w:jc w:val="center"/>
              <w:rPr>
                <w:sz w:val="20"/>
                <w:szCs w:val="20"/>
              </w:rPr>
            </w:pPr>
            <w:r w:rsidRPr="007B010A">
              <w:rPr>
                <w:sz w:val="20"/>
                <w:szCs w:val="20"/>
              </w:rPr>
              <w:t>1 034</w:t>
            </w:r>
          </w:p>
        </w:tc>
      </w:tr>
      <w:tr w:rsidR="00D923AA" w:rsidRPr="007B010A" w14:paraId="0F75A9FE" w14:textId="77777777" w:rsidTr="00376CF0">
        <w:trPr>
          <w:trHeight w:val="300"/>
        </w:trPr>
        <w:tc>
          <w:tcPr>
            <w:tcW w:w="500" w:type="dxa"/>
            <w:vMerge/>
            <w:tcBorders>
              <w:top w:val="single" w:sz="4" w:space="0" w:color="auto"/>
              <w:left w:val="nil"/>
              <w:bottom w:val="nil"/>
              <w:right w:val="single" w:sz="4" w:space="0" w:color="auto"/>
            </w:tcBorders>
            <w:vAlign w:val="center"/>
          </w:tcPr>
          <w:p w14:paraId="775D3AA0"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tcPr>
          <w:p w14:paraId="4E9F0309" w14:textId="77777777" w:rsidR="00D923AA" w:rsidRPr="007B010A" w:rsidRDefault="00D923AA" w:rsidP="00376CF0">
            <w:pPr>
              <w:rPr>
                <w:sz w:val="20"/>
                <w:szCs w:val="20"/>
              </w:rPr>
            </w:pPr>
            <w:proofErr w:type="spellStart"/>
            <w:r w:rsidRPr="007B010A">
              <w:rPr>
                <w:sz w:val="20"/>
                <w:szCs w:val="20"/>
              </w:rPr>
              <w:t>Invazīvā</w:t>
            </w:r>
            <w:proofErr w:type="spellEnd"/>
            <w:r w:rsidRPr="007B010A">
              <w:rPr>
                <w:sz w:val="20"/>
                <w:szCs w:val="20"/>
              </w:rPr>
              <w:t xml:space="preserve"> kardioloģija dienas stacionārā</w:t>
            </w:r>
          </w:p>
        </w:tc>
        <w:tc>
          <w:tcPr>
            <w:tcW w:w="2620" w:type="dxa"/>
            <w:tcBorders>
              <w:top w:val="nil"/>
              <w:left w:val="nil"/>
              <w:bottom w:val="single" w:sz="4" w:space="0" w:color="auto"/>
              <w:right w:val="single" w:sz="4" w:space="0" w:color="auto"/>
            </w:tcBorders>
            <w:shd w:val="clear" w:color="auto" w:fill="auto"/>
            <w:noWrap/>
            <w:vAlign w:val="bottom"/>
          </w:tcPr>
          <w:p w14:paraId="4544544C" w14:textId="06D2B1E5" w:rsidR="00D923AA" w:rsidRPr="007B010A" w:rsidRDefault="00F87841" w:rsidP="00376CF0">
            <w:pPr>
              <w:jc w:val="center"/>
              <w:rPr>
                <w:sz w:val="20"/>
                <w:szCs w:val="20"/>
              </w:rPr>
            </w:pPr>
            <w:r w:rsidRPr="007B010A">
              <w:rPr>
                <w:sz w:val="20"/>
                <w:szCs w:val="20"/>
              </w:rPr>
              <w:t>2 574 203</w:t>
            </w:r>
          </w:p>
        </w:tc>
        <w:tc>
          <w:tcPr>
            <w:tcW w:w="1960" w:type="dxa"/>
            <w:tcBorders>
              <w:top w:val="nil"/>
              <w:left w:val="nil"/>
              <w:bottom w:val="single" w:sz="4" w:space="0" w:color="auto"/>
              <w:right w:val="single" w:sz="4" w:space="0" w:color="auto"/>
            </w:tcBorders>
            <w:shd w:val="clear" w:color="auto" w:fill="auto"/>
            <w:noWrap/>
            <w:vAlign w:val="bottom"/>
          </w:tcPr>
          <w:p w14:paraId="6962D441" w14:textId="5BFF5962" w:rsidR="00D923AA" w:rsidRPr="007B010A" w:rsidRDefault="00F87841" w:rsidP="00376CF0">
            <w:pPr>
              <w:jc w:val="center"/>
              <w:rPr>
                <w:sz w:val="20"/>
                <w:szCs w:val="20"/>
              </w:rPr>
            </w:pPr>
            <w:r w:rsidRPr="007B010A">
              <w:rPr>
                <w:sz w:val="20"/>
                <w:szCs w:val="20"/>
              </w:rPr>
              <w:t>2 694</w:t>
            </w:r>
          </w:p>
        </w:tc>
      </w:tr>
      <w:tr w:rsidR="00D923AA" w:rsidRPr="007B010A" w14:paraId="05BCC340" w14:textId="77777777" w:rsidTr="00376CF0">
        <w:trPr>
          <w:trHeight w:val="300"/>
        </w:trPr>
        <w:tc>
          <w:tcPr>
            <w:tcW w:w="500" w:type="dxa"/>
            <w:vMerge/>
            <w:tcBorders>
              <w:top w:val="single" w:sz="4" w:space="0" w:color="auto"/>
              <w:left w:val="nil"/>
              <w:bottom w:val="nil"/>
              <w:right w:val="single" w:sz="4" w:space="0" w:color="auto"/>
            </w:tcBorders>
            <w:vAlign w:val="center"/>
            <w:hideMark/>
          </w:tcPr>
          <w:p w14:paraId="300729B9" w14:textId="77777777" w:rsidR="00D923AA" w:rsidRPr="007B010A" w:rsidRDefault="00D923AA" w:rsidP="00376CF0">
            <w:pPr>
              <w:rPr>
                <w:sz w:val="20"/>
                <w:szCs w:val="20"/>
              </w:rPr>
            </w:pPr>
          </w:p>
        </w:tc>
        <w:tc>
          <w:tcPr>
            <w:tcW w:w="3720" w:type="dxa"/>
            <w:tcBorders>
              <w:top w:val="nil"/>
              <w:left w:val="nil"/>
              <w:bottom w:val="single" w:sz="4" w:space="0" w:color="auto"/>
              <w:right w:val="single" w:sz="4" w:space="0" w:color="auto"/>
            </w:tcBorders>
            <w:shd w:val="clear" w:color="auto" w:fill="auto"/>
            <w:vAlign w:val="bottom"/>
            <w:hideMark/>
          </w:tcPr>
          <w:p w14:paraId="1DD87DBE" w14:textId="77777777" w:rsidR="00D923AA" w:rsidRPr="007B010A" w:rsidRDefault="00D923AA" w:rsidP="00376CF0">
            <w:pPr>
              <w:jc w:val="right"/>
              <w:rPr>
                <w:b/>
                <w:sz w:val="20"/>
                <w:szCs w:val="20"/>
              </w:rPr>
            </w:pPr>
            <w:r w:rsidRPr="007B010A">
              <w:rPr>
                <w:sz w:val="20"/>
                <w:szCs w:val="20"/>
              </w:rPr>
              <w:t>Kopā:</w:t>
            </w:r>
          </w:p>
        </w:tc>
        <w:tc>
          <w:tcPr>
            <w:tcW w:w="2620" w:type="dxa"/>
            <w:tcBorders>
              <w:top w:val="nil"/>
              <w:left w:val="nil"/>
              <w:bottom w:val="single" w:sz="4" w:space="0" w:color="auto"/>
              <w:right w:val="single" w:sz="4" w:space="0" w:color="auto"/>
            </w:tcBorders>
            <w:shd w:val="clear" w:color="auto" w:fill="auto"/>
            <w:noWrap/>
            <w:vAlign w:val="bottom"/>
            <w:hideMark/>
          </w:tcPr>
          <w:p w14:paraId="155CAC35" w14:textId="419CB0D3" w:rsidR="00D923AA" w:rsidRPr="007B010A" w:rsidRDefault="00F87841" w:rsidP="00376CF0">
            <w:pPr>
              <w:jc w:val="center"/>
              <w:rPr>
                <w:b/>
                <w:sz w:val="20"/>
                <w:szCs w:val="20"/>
              </w:rPr>
            </w:pPr>
            <w:r w:rsidRPr="007B010A">
              <w:rPr>
                <w:b/>
                <w:sz w:val="20"/>
                <w:szCs w:val="20"/>
              </w:rPr>
              <w:t>9 613 311</w:t>
            </w:r>
          </w:p>
        </w:tc>
        <w:tc>
          <w:tcPr>
            <w:tcW w:w="1960" w:type="dxa"/>
            <w:tcBorders>
              <w:top w:val="nil"/>
              <w:left w:val="nil"/>
              <w:bottom w:val="single" w:sz="4" w:space="0" w:color="auto"/>
              <w:right w:val="single" w:sz="4" w:space="0" w:color="auto"/>
            </w:tcBorders>
            <w:shd w:val="clear" w:color="auto" w:fill="auto"/>
            <w:noWrap/>
            <w:vAlign w:val="bottom"/>
            <w:hideMark/>
          </w:tcPr>
          <w:p w14:paraId="1F4719FD" w14:textId="33386F50" w:rsidR="00D923AA" w:rsidRPr="007B010A" w:rsidRDefault="00F87841" w:rsidP="00376CF0">
            <w:pPr>
              <w:jc w:val="center"/>
              <w:rPr>
                <w:b/>
                <w:sz w:val="20"/>
                <w:szCs w:val="20"/>
              </w:rPr>
            </w:pPr>
            <w:r w:rsidRPr="007B010A">
              <w:rPr>
                <w:b/>
                <w:sz w:val="20"/>
                <w:szCs w:val="20"/>
              </w:rPr>
              <w:t>64 326</w:t>
            </w:r>
          </w:p>
        </w:tc>
      </w:tr>
    </w:tbl>
    <w:p w14:paraId="359B148A" w14:textId="77777777" w:rsidR="00D923AA" w:rsidRPr="007B010A" w:rsidRDefault="00D923AA" w:rsidP="00D923AA">
      <w:pPr>
        <w:autoSpaceDE w:val="0"/>
        <w:autoSpaceDN w:val="0"/>
        <w:adjustRightInd w:val="0"/>
        <w:spacing w:line="293" w:lineRule="atLeast"/>
        <w:jc w:val="both"/>
        <w:rPr>
          <w:i/>
          <w:sz w:val="20"/>
          <w:szCs w:val="20"/>
        </w:rPr>
      </w:pPr>
      <w:r w:rsidRPr="007B010A">
        <w:rPr>
          <w:i/>
          <w:sz w:val="20"/>
          <w:szCs w:val="20"/>
        </w:rPr>
        <w:t>Avots: NVD</w:t>
      </w:r>
    </w:p>
    <w:p w14:paraId="196FC502" w14:textId="77777777" w:rsidR="00D923AA" w:rsidRPr="007B010A" w:rsidRDefault="00D923AA" w:rsidP="00D923AA">
      <w:pPr>
        <w:autoSpaceDE w:val="0"/>
        <w:autoSpaceDN w:val="0"/>
        <w:adjustRightInd w:val="0"/>
        <w:spacing w:line="293" w:lineRule="atLeast"/>
        <w:ind w:firstLine="720"/>
        <w:jc w:val="both"/>
      </w:pPr>
    </w:p>
    <w:p w14:paraId="238D4856" w14:textId="77777777" w:rsidR="00BE5358" w:rsidRPr="007B010A" w:rsidRDefault="00BE5358" w:rsidP="00BE5358">
      <w:pPr>
        <w:shd w:val="clear" w:color="auto" w:fill="FFFFFF"/>
        <w:ind w:firstLine="720"/>
        <w:jc w:val="both"/>
      </w:pPr>
      <w:r w:rsidRPr="007B010A">
        <w:t>Viena pakalpojuma vidējās izmaksas ir pieaugušas, jo no 2018.gada 1.janvāra ir pieaugušas dienas stacionāra izmaksas, tāpat no 2018.gada 1.marta ir veikta apjomīga ķirurģisko dienas stacionāru reforma, kuras rezultātā visi gadījumi, kur pacientam ārstniecības iestādē ir nepieciešams uzturēties ilgāk par vienu dienu tiek novirzītu uz stacionāra pakalpojumu veidu – </w:t>
      </w:r>
      <w:r w:rsidRPr="007B010A">
        <w:rPr>
          <w:b/>
          <w:bCs/>
          <w:i/>
          <w:iCs/>
        </w:rPr>
        <w:t>Plānveida īslaicīgā ķirurģija</w:t>
      </w:r>
      <w:r w:rsidRPr="007B010A">
        <w:t>.</w:t>
      </w:r>
    </w:p>
    <w:p w14:paraId="5465108C" w14:textId="15E9167E" w:rsidR="00D923AA" w:rsidRPr="007B010A" w:rsidRDefault="00D923AA" w:rsidP="0080224B">
      <w:pPr>
        <w:ind w:firstLine="720"/>
        <w:jc w:val="both"/>
      </w:pPr>
      <w:r w:rsidRPr="007B010A">
        <w:t xml:space="preserve">Viens no veselības aprūpes </w:t>
      </w:r>
      <w:r w:rsidR="007C1385" w:rsidRPr="007B010A">
        <w:t xml:space="preserve">sistēmas reformas virzieniem ir </w:t>
      </w:r>
      <w:r w:rsidR="004F2FB0" w:rsidRPr="007B010A">
        <w:t>K</w:t>
      </w:r>
      <w:r w:rsidR="007C1385" w:rsidRPr="007B010A">
        <w:t xml:space="preserve">onceptuālajā ziņojumā </w:t>
      </w:r>
      <w:r w:rsidRPr="007B010A">
        <w:t>iekļautā veselības aprūpes pakalpojumu pieejamības uzlabošana. Tā īstenošana ir uzsākta 2017.gadā reformai paredzēto līdzekļu no Eiropas Komisijas pieļautās budžeta deficīta atkāpes ietvaros un tik</w:t>
      </w:r>
      <w:r w:rsidR="005425B8" w:rsidRPr="007B010A">
        <w:t>s</w:t>
      </w:r>
      <w:r w:rsidRPr="007B010A">
        <w:t xml:space="preserve"> turpināta 201</w:t>
      </w:r>
      <w:r w:rsidR="005425B8" w:rsidRPr="007B010A">
        <w:t>9</w:t>
      </w:r>
      <w:r w:rsidRPr="007B010A">
        <w:t>.gadā, to paplašinot ar jaunām iniciatīvām veselības aprūpes efektivitātes un  ilgtspējas uzlabošanā.</w:t>
      </w:r>
      <w:r w:rsidRPr="007B010A">
        <w:rPr>
          <w:bCs/>
        </w:rPr>
        <w:t xml:space="preserve"> </w:t>
      </w:r>
    </w:p>
    <w:p w14:paraId="44389C9B" w14:textId="22C98E91" w:rsidR="00D923AA" w:rsidRPr="007B010A" w:rsidRDefault="00D923AA" w:rsidP="00D923AA">
      <w:pPr>
        <w:ind w:firstLine="720"/>
        <w:jc w:val="both"/>
      </w:pPr>
    </w:p>
    <w:p w14:paraId="37D303DA" w14:textId="170BD903" w:rsidR="007502AD" w:rsidRPr="007B010A" w:rsidRDefault="007502AD" w:rsidP="008A27C5">
      <w:pPr>
        <w:autoSpaceDE w:val="0"/>
        <w:autoSpaceDN w:val="0"/>
        <w:adjustRightInd w:val="0"/>
        <w:spacing w:line="293" w:lineRule="atLeast"/>
        <w:ind w:firstLine="720"/>
        <w:jc w:val="both"/>
      </w:pPr>
      <w:r w:rsidRPr="007B010A">
        <w:t>Atbilstoši konceptuālajam ziņojumam “Par veselības aprūpes sistēmas reformu” līdz 2019.gada beigām tiks sasniegts kopējais veselības aprūpes reformu mērķis samazinot gaidīšanas rindu par 50%.</w:t>
      </w:r>
    </w:p>
    <w:p w14:paraId="08DBEDFD" w14:textId="77777777" w:rsidR="00D923AA" w:rsidRPr="007B010A" w:rsidRDefault="00D923AA" w:rsidP="00D923AA">
      <w:pPr>
        <w:autoSpaceDE w:val="0"/>
        <w:autoSpaceDN w:val="0"/>
        <w:adjustRightInd w:val="0"/>
        <w:spacing w:line="293" w:lineRule="atLeast"/>
        <w:jc w:val="both"/>
        <w:rPr>
          <w:u w:val="single"/>
          <w:lang w:bidi="lo-LA"/>
        </w:rPr>
      </w:pPr>
    </w:p>
    <w:p w14:paraId="35120BA4" w14:textId="77777777" w:rsidR="009B1859" w:rsidRPr="007B010A" w:rsidRDefault="009B1859" w:rsidP="00D923AA">
      <w:pPr>
        <w:autoSpaceDE w:val="0"/>
        <w:autoSpaceDN w:val="0"/>
        <w:adjustRightInd w:val="0"/>
        <w:spacing w:line="293" w:lineRule="atLeast"/>
        <w:jc w:val="center"/>
        <w:rPr>
          <w:u w:val="single"/>
          <w:lang w:bidi="lo-LA"/>
        </w:rPr>
      </w:pPr>
    </w:p>
    <w:p w14:paraId="7845A8D2" w14:textId="1C5647ED" w:rsidR="00D923AA" w:rsidRPr="007B010A" w:rsidRDefault="00D923AA" w:rsidP="00D923AA">
      <w:pPr>
        <w:autoSpaceDE w:val="0"/>
        <w:autoSpaceDN w:val="0"/>
        <w:adjustRightInd w:val="0"/>
        <w:spacing w:line="293" w:lineRule="atLeast"/>
        <w:jc w:val="center"/>
        <w:rPr>
          <w:u w:val="single"/>
          <w:lang w:bidi="lo-LA"/>
        </w:rPr>
      </w:pPr>
      <w:r w:rsidRPr="007B010A">
        <w:rPr>
          <w:u w:val="single"/>
          <w:lang w:bidi="lo-LA"/>
        </w:rPr>
        <w:t>Ambulatorā rehabilitācija</w:t>
      </w:r>
    </w:p>
    <w:p w14:paraId="236A7D0C" w14:textId="77777777" w:rsidR="00D923AA" w:rsidRPr="007B010A" w:rsidRDefault="00D923AA" w:rsidP="00D923AA">
      <w:pPr>
        <w:autoSpaceDE w:val="0"/>
        <w:autoSpaceDN w:val="0"/>
        <w:adjustRightInd w:val="0"/>
        <w:spacing w:line="293" w:lineRule="atLeast"/>
        <w:jc w:val="both"/>
        <w:rPr>
          <w:u w:val="single"/>
          <w:lang w:bidi="lo-LA"/>
        </w:rPr>
      </w:pPr>
    </w:p>
    <w:p w14:paraId="474BF978" w14:textId="77777777" w:rsidR="00D923AA" w:rsidRPr="007B010A" w:rsidRDefault="00D923AA" w:rsidP="00D923AA">
      <w:pPr>
        <w:pStyle w:val="NormalWeb"/>
        <w:shd w:val="clear" w:color="auto" w:fill="FFFFFF"/>
        <w:spacing w:before="0" w:beforeAutospacing="0" w:after="0" w:afterAutospacing="0"/>
        <w:ind w:firstLine="720"/>
        <w:jc w:val="both"/>
        <w:textAlignment w:val="baseline"/>
      </w:pPr>
      <w:r w:rsidRPr="007B010A">
        <w:t xml:space="preserve">Ambulatorā rehabilitācija ir pakalpojumu kopums, ko sniedz fizikālās un rehabilitācijas medicīnas ārsti, funkcionālie speciālisti konsultāciju, </w:t>
      </w:r>
      <w:proofErr w:type="spellStart"/>
      <w:r w:rsidRPr="007B010A">
        <w:t>multiprofesionālu</w:t>
      </w:r>
      <w:proofErr w:type="spellEnd"/>
      <w:r w:rsidRPr="007B010A">
        <w:t xml:space="preserve"> vai </w:t>
      </w:r>
      <w:proofErr w:type="spellStart"/>
      <w:r w:rsidRPr="007B010A">
        <w:t>monoprofesionālu</w:t>
      </w:r>
      <w:proofErr w:type="spellEnd"/>
      <w:r w:rsidRPr="007B010A">
        <w:t xml:space="preserve"> medicīniskās rehabilitācijas pakalpojumu veidā, piedaloties citām ārstniecības un ārstniecības atbalsta personām ambulatorā veidā. Ambulatorās rehabilitācijas mērķis ir nodrošināt personām ar noteiktiem funkcionāliem ierobežojumiem šo ierobežojumu mazināšanu vai novēršanu, kā arī komplikāciju riska novērtēšanu un mazināšanu. </w:t>
      </w:r>
    </w:p>
    <w:p w14:paraId="02CDC406" w14:textId="01CD0C19" w:rsidR="0078375E" w:rsidRPr="007B010A" w:rsidRDefault="00D923AA" w:rsidP="00B14649">
      <w:pPr>
        <w:autoSpaceDE w:val="0"/>
        <w:autoSpaceDN w:val="0"/>
        <w:adjustRightInd w:val="0"/>
        <w:ind w:firstLine="720"/>
        <w:jc w:val="both"/>
      </w:pPr>
      <w:r w:rsidRPr="007B010A">
        <w:lastRenderedPageBreak/>
        <w:t xml:space="preserve">Lai turpinātu palielināt pieejamību ambulatorajā rehabilitācijā 2018.gadā plānots pakalpojuma apjoma pieaugums par 99,5 tūkst. pakalpojumu. </w:t>
      </w:r>
    </w:p>
    <w:p w14:paraId="620E2E9F" w14:textId="32DFCAA8" w:rsidR="00D923AA" w:rsidRPr="007B010A" w:rsidRDefault="00D923AA" w:rsidP="00D923AA">
      <w:pPr>
        <w:jc w:val="right"/>
        <w:rPr>
          <w:i/>
        </w:rPr>
      </w:pPr>
      <w:r w:rsidRPr="007B010A">
        <w:rPr>
          <w:i/>
        </w:rPr>
        <w:t xml:space="preserve">8.tabula </w:t>
      </w:r>
    </w:p>
    <w:p w14:paraId="551F84CB" w14:textId="4FC2FF7E" w:rsidR="00D923AA" w:rsidRPr="007B010A" w:rsidRDefault="00D923AA" w:rsidP="00D923AA">
      <w:pPr>
        <w:jc w:val="center"/>
      </w:pPr>
      <w:r w:rsidRPr="007B010A">
        <w:rPr>
          <w:lang w:bidi="lo-LA"/>
        </w:rPr>
        <w:t>Ambulatorās rehabilitācijas</w:t>
      </w:r>
      <w:r w:rsidRPr="007B010A">
        <w:t xml:space="preserve"> pakalpojumu 2018.gada izpilde</w:t>
      </w:r>
    </w:p>
    <w:p w14:paraId="35364354" w14:textId="77777777" w:rsidR="00D923AA" w:rsidRPr="007B010A" w:rsidRDefault="00D923AA" w:rsidP="00D923AA">
      <w:pPr>
        <w:autoSpaceDE w:val="0"/>
        <w:autoSpaceDN w:val="0"/>
        <w:adjustRightInd w:val="0"/>
        <w:jc w:val="both"/>
        <w:rPr>
          <w:lang w:bidi="lo-LA"/>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8"/>
        <w:gridCol w:w="1017"/>
        <w:gridCol w:w="850"/>
        <w:gridCol w:w="993"/>
        <w:gridCol w:w="992"/>
        <w:gridCol w:w="923"/>
        <w:gridCol w:w="897"/>
        <w:gridCol w:w="1015"/>
        <w:gridCol w:w="992"/>
        <w:gridCol w:w="992"/>
      </w:tblGrid>
      <w:tr w:rsidR="00D923AA" w:rsidRPr="007B010A" w14:paraId="46BD2B28" w14:textId="77777777" w:rsidTr="00376CF0">
        <w:trPr>
          <w:trHeight w:val="61"/>
          <w:jc w:val="center"/>
        </w:trPr>
        <w:tc>
          <w:tcPr>
            <w:tcW w:w="1134" w:type="dxa"/>
            <w:vMerge w:val="restart"/>
            <w:shd w:val="clear" w:color="000000" w:fill="FCE4D6"/>
            <w:vAlign w:val="center"/>
            <w:hideMark/>
          </w:tcPr>
          <w:p w14:paraId="7DC1B059" w14:textId="77777777" w:rsidR="00D923AA" w:rsidRPr="007B010A" w:rsidRDefault="00D923AA" w:rsidP="00376CF0">
            <w:pPr>
              <w:jc w:val="center"/>
              <w:rPr>
                <w:sz w:val="16"/>
                <w:szCs w:val="16"/>
              </w:rPr>
            </w:pPr>
            <w:r w:rsidRPr="007B010A">
              <w:rPr>
                <w:sz w:val="16"/>
                <w:szCs w:val="16"/>
              </w:rPr>
              <w:t>Ambulatorās rehabilitācijas pakalpojumi</w:t>
            </w:r>
          </w:p>
        </w:tc>
        <w:tc>
          <w:tcPr>
            <w:tcW w:w="968" w:type="dxa"/>
            <w:vMerge w:val="restart"/>
            <w:shd w:val="clear" w:color="000000" w:fill="FCE4D6"/>
            <w:vAlign w:val="center"/>
            <w:hideMark/>
          </w:tcPr>
          <w:p w14:paraId="0A974770" w14:textId="62FBCB61" w:rsidR="00D923AA" w:rsidRPr="007B010A" w:rsidRDefault="00D923AA" w:rsidP="00376CF0">
            <w:pPr>
              <w:jc w:val="center"/>
              <w:rPr>
                <w:sz w:val="16"/>
                <w:szCs w:val="16"/>
              </w:rPr>
            </w:pPr>
            <w:r w:rsidRPr="007B010A">
              <w:rPr>
                <w:sz w:val="16"/>
                <w:szCs w:val="16"/>
              </w:rPr>
              <w:t>Vidējais plānotais pakalpojumu skaits</w:t>
            </w:r>
            <w:r w:rsidR="00485D70" w:rsidRPr="007B010A">
              <w:rPr>
                <w:sz w:val="16"/>
                <w:szCs w:val="16"/>
              </w:rPr>
              <w:t xml:space="preserve"> 2018.gadā</w:t>
            </w:r>
            <w:r w:rsidRPr="007B010A">
              <w:rPr>
                <w:sz w:val="16"/>
                <w:szCs w:val="16"/>
              </w:rPr>
              <w:t xml:space="preserve"> </w:t>
            </w:r>
          </w:p>
        </w:tc>
        <w:tc>
          <w:tcPr>
            <w:tcW w:w="1017" w:type="dxa"/>
            <w:vMerge w:val="restart"/>
            <w:shd w:val="clear" w:color="000000" w:fill="FCE4D6"/>
            <w:vAlign w:val="center"/>
          </w:tcPr>
          <w:p w14:paraId="689C45F6" w14:textId="06D0527A" w:rsidR="00D923AA" w:rsidRPr="007B010A" w:rsidRDefault="00D923AA" w:rsidP="00376CF0">
            <w:pPr>
              <w:jc w:val="center"/>
              <w:rPr>
                <w:sz w:val="16"/>
                <w:szCs w:val="16"/>
              </w:rPr>
            </w:pPr>
            <w:r w:rsidRPr="007B010A">
              <w:rPr>
                <w:sz w:val="16"/>
                <w:szCs w:val="16"/>
              </w:rPr>
              <w:t>Faktiskais konsultāciju skaits 2018.gadā</w:t>
            </w:r>
          </w:p>
        </w:tc>
        <w:tc>
          <w:tcPr>
            <w:tcW w:w="850" w:type="dxa"/>
            <w:vMerge w:val="restart"/>
            <w:shd w:val="clear" w:color="000000" w:fill="FCE4D6"/>
            <w:vAlign w:val="center"/>
            <w:hideMark/>
          </w:tcPr>
          <w:p w14:paraId="4E34EA00" w14:textId="77777777" w:rsidR="00D923AA" w:rsidRPr="007B010A" w:rsidRDefault="00D923AA" w:rsidP="00376CF0">
            <w:pPr>
              <w:jc w:val="center"/>
              <w:rPr>
                <w:sz w:val="16"/>
                <w:szCs w:val="16"/>
              </w:rPr>
            </w:pPr>
            <w:r w:rsidRPr="007B010A">
              <w:rPr>
                <w:sz w:val="16"/>
                <w:szCs w:val="16"/>
              </w:rPr>
              <w:t xml:space="preserve">Plānotais finansējums  </w:t>
            </w:r>
            <w:proofErr w:type="spellStart"/>
            <w:r w:rsidRPr="007B010A">
              <w:rPr>
                <w:i/>
                <w:iCs/>
                <w:sz w:val="16"/>
                <w:szCs w:val="16"/>
              </w:rPr>
              <w:t>euro</w:t>
            </w:r>
            <w:proofErr w:type="spellEnd"/>
          </w:p>
        </w:tc>
        <w:tc>
          <w:tcPr>
            <w:tcW w:w="993" w:type="dxa"/>
            <w:vMerge w:val="restart"/>
            <w:shd w:val="clear" w:color="000000" w:fill="FCE4D6"/>
            <w:vAlign w:val="center"/>
            <w:hideMark/>
          </w:tcPr>
          <w:p w14:paraId="5F01D099" w14:textId="00F8D3A9" w:rsidR="00D923AA" w:rsidRPr="007B010A" w:rsidRDefault="00D923AA" w:rsidP="00376CF0">
            <w:pPr>
              <w:jc w:val="center"/>
              <w:rPr>
                <w:sz w:val="16"/>
                <w:szCs w:val="16"/>
              </w:rPr>
            </w:pPr>
            <w:r w:rsidRPr="007B010A">
              <w:rPr>
                <w:sz w:val="16"/>
                <w:szCs w:val="16"/>
              </w:rPr>
              <w:t xml:space="preserve">Finanšu izlietojums 2018.gadā </w:t>
            </w:r>
            <w:proofErr w:type="spellStart"/>
            <w:r w:rsidRPr="007B010A">
              <w:rPr>
                <w:i/>
                <w:iCs/>
                <w:sz w:val="16"/>
                <w:szCs w:val="16"/>
              </w:rPr>
              <w:t>euro</w:t>
            </w:r>
            <w:proofErr w:type="spellEnd"/>
          </w:p>
        </w:tc>
        <w:tc>
          <w:tcPr>
            <w:tcW w:w="2812" w:type="dxa"/>
            <w:gridSpan w:val="3"/>
            <w:shd w:val="clear" w:color="000000" w:fill="FCE4D6"/>
            <w:vAlign w:val="center"/>
            <w:hideMark/>
          </w:tcPr>
          <w:p w14:paraId="63AC6C2D" w14:textId="77777777" w:rsidR="00D923AA" w:rsidRPr="007B010A" w:rsidRDefault="00D923AA" w:rsidP="00376CF0">
            <w:pPr>
              <w:jc w:val="center"/>
              <w:rPr>
                <w:sz w:val="16"/>
                <w:szCs w:val="16"/>
              </w:rPr>
            </w:pPr>
            <w:r w:rsidRPr="007B010A">
              <w:rPr>
                <w:sz w:val="16"/>
                <w:szCs w:val="16"/>
              </w:rPr>
              <w:t>Vidējais rindu garums dienās</w:t>
            </w:r>
          </w:p>
        </w:tc>
        <w:tc>
          <w:tcPr>
            <w:tcW w:w="1015" w:type="dxa"/>
            <w:vMerge w:val="restart"/>
            <w:shd w:val="clear" w:color="000000" w:fill="FCE4D6"/>
            <w:vAlign w:val="center"/>
          </w:tcPr>
          <w:p w14:paraId="68BED815" w14:textId="64DCBCDB" w:rsidR="00D923AA" w:rsidRPr="007B010A" w:rsidRDefault="00D923AA" w:rsidP="00376CF0">
            <w:pPr>
              <w:jc w:val="center"/>
              <w:rPr>
                <w:sz w:val="16"/>
                <w:szCs w:val="16"/>
              </w:rPr>
            </w:pPr>
            <w:r w:rsidRPr="007B010A">
              <w:rPr>
                <w:sz w:val="16"/>
                <w:szCs w:val="16"/>
              </w:rPr>
              <w:t xml:space="preserve">Rindu </w:t>
            </w:r>
            <w:proofErr w:type="spellStart"/>
            <w:r w:rsidRPr="007B010A">
              <w:rPr>
                <w:sz w:val="16"/>
                <w:szCs w:val="16"/>
              </w:rPr>
              <w:t>samazinā</w:t>
            </w:r>
            <w:proofErr w:type="spellEnd"/>
            <w:r w:rsidRPr="007B010A">
              <w:rPr>
                <w:sz w:val="16"/>
                <w:szCs w:val="16"/>
              </w:rPr>
              <w:t>-jums 2018.gadā %</w:t>
            </w:r>
          </w:p>
        </w:tc>
        <w:tc>
          <w:tcPr>
            <w:tcW w:w="992" w:type="dxa"/>
            <w:vMerge w:val="restart"/>
            <w:shd w:val="clear" w:color="000000" w:fill="FCE4D6"/>
            <w:vAlign w:val="center"/>
          </w:tcPr>
          <w:p w14:paraId="7C748062" w14:textId="0345FBD3" w:rsidR="00D923AA" w:rsidRPr="007B010A" w:rsidRDefault="00D923AA" w:rsidP="00376CF0">
            <w:pPr>
              <w:jc w:val="center"/>
              <w:rPr>
                <w:sz w:val="16"/>
                <w:szCs w:val="16"/>
              </w:rPr>
            </w:pPr>
            <w:r w:rsidRPr="007B010A">
              <w:rPr>
                <w:sz w:val="16"/>
                <w:szCs w:val="16"/>
              </w:rPr>
              <w:t>Rindas garums  bez pacientu uzvedības maiņas 2018.gadā</w:t>
            </w:r>
          </w:p>
        </w:tc>
        <w:tc>
          <w:tcPr>
            <w:tcW w:w="992" w:type="dxa"/>
            <w:vMerge w:val="restart"/>
            <w:shd w:val="clear" w:color="000000" w:fill="FCE4D6"/>
            <w:vAlign w:val="center"/>
          </w:tcPr>
          <w:p w14:paraId="1C6E18E1" w14:textId="2EDA7990" w:rsidR="00D923AA" w:rsidRPr="007B010A" w:rsidRDefault="00D923AA" w:rsidP="00376CF0">
            <w:pPr>
              <w:jc w:val="center"/>
              <w:rPr>
                <w:sz w:val="16"/>
                <w:szCs w:val="16"/>
              </w:rPr>
            </w:pPr>
            <w:r w:rsidRPr="007B010A">
              <w:rPr>
                <w:sz w:val="16"/>
                <w:szCs w:val="16"/>
              </w:rPr>
              <w:t>Rindu samazinājums bez pacientu uzvedības maiņas 2018.gadā</w:t>
            </w:r>
          </w:p>
        </w:tc>
      </w:tr>
      <w:tr w:rsidR="00D923AA" w:rsidRPr="007B010A" w14:paraId="040FA63A" w14:textId="77777777" w:rsidTr="00376CF0">
        <w:trPr>
          <w:trHeight w:val="1163"/>
          <w:jc w:val="center"/>
        </w:trPr>
        <w:tc>
          <w:tcPr>
            <w:tcW w:w="1134" w:type="dxa"/>
            <w:vMerge/>
            <w:vAlign w:val="center"/>
            <w:hideMark/>
          </w:tcPr>
          <w:p w14:paraId="622D78F1" w14:textId="77777777" w:rsidR="00D923AA" w:rsidRPr="007B010A" w:rsidRDefault="00D923AA" w:rsidP="00376CF0">
            <w:pPr>
              <w:jc w:val="center"/>
              <w:rPr>
                <w:sz w:val="16"/>
                <w:szCs w:val="16"/>
              </w:rPr>
            </w:pPr>
          </w:p>
        </w:tc>
        <w:tc>
          <w:tcPr>
            <w:tcW w:w="968" w:type="dxa"/>
            <w:vMerge/>
            <w:vAlign w:val="center"/>
            <w:hideMark/>
          </w:tcPr>
          <w:p w14:paraId="0585A679" w14:textId="77777777" w:rsidR="00D923AA" w:rsidRPr="007B010A" w:rsidRDefault="00D923AA" w:rsidP="00376CF0">
            <w:pPr>
              <w:rPr>
                <w:sz w:val="16"/>
                <w:szCs w:val="16"/>
              </w:rPr>
            </w:pPr>
          </w:p>
        </w:tc>
        <w:tc>
          <w:tcPr>
            <w:tcW w:w="1017" w:type="dxa"/>
            <w:vMerge/>
          </w:tcPr>
          <w:p w14:paraId="7350192A" w14:textId="77777777" w:rsidR="00D923AA" w:rsidRPr="007B010A" w:rsidRDefault="00D923AA" w:rsidP="00376CF0">
            <w:pPr>
              <w:rPr>
                <w:sz w:val="16"/>
                <w:szCs w:val="16"/>
              </w:rPr>
            </w:pPr>
          </w:p>
        </w:tc>
        <w:tc>
          <w:tcPr>
            <w:tcW w:w="850" w:type="dxa"/>
            <w:vMerge/>
            <w:vAlign w:val="center"/>
            <w:hideMark/>
          </w:tcPr>
          <w:p w14:paraId="62E25CB6" w14:textId="77777777" w:rsidR="00D923AA" w:rsidRPr="007B010A" w:rsidRDefault="00D923AA" w:rsidP="00376CF0">
            <w:pPr>
              <w:rPr>
                <w:sz w:val="16"/>
                <w:szCs w:val="16"/>
              </w:rPr>
            </w:pPr>
          </w:p>
        </w:tc>
        <w:tc>
          <w:tcPr>
            <w:tcW w:w="993" w:type="dxa"/>
            <w:vMerge/>
            <w:vAlign w:val="center"/>
            <w:hideMark/>
          </w:tcPr>
          <w:p w14:paraId="210BA715" w14:textId="77777777" w:rsidR="00D923AA" w:rsidRPr="007B010A" w:rsidRDefault="00D923AA" w:rsidP="00376CF0">
            <w:pPr>
              <w:rPr>
                <w:sz w:val="16"/>
                <w:szCs w:val="16"/>
              </w:rPr>
            </w:pPr>
          </w:p>
        </w:tc>
        <w:tc>
          <w:tcPr>
            <w:tcW w:w="992" w:type="dxa"/>
            <w:shd w:val="clear" w:color="000000" w:fill="FCE4D6"/>
            <w:vAlign w:val="center"/>
            <w:hideMark/>
          </w:tcPr>
          <w:p w14:paraId="571598DC" w14:textId="77777777" w:rsidR="00D923AA" w:rsidRPr="007B010A" w:rsidRDefault="00D923AA" w:rsidP="00376CF0">
            <w:pPr>
              <w:jc w:val="center"/>
              <w:rPr>
                <w:sz w:val="16"/>
                <w:szCs w:val="16"/>
              </w:rPr>
            </w:pPr>
            <w:r w:rsidRPr="007B010A">
              <w:rPr>
                <w:sz w:val="16"/>
                <w:szCs w:val="16"/>
              </w:rPr>
              <w:t>Pirms reformu īstenošanas</w:t>
            </w:r>
          </w:p>
        </w:tc>
        <w:tc>
          <w:tcPr>
            <w:tcW w:w="923" w:type="dxa"/>
            <w:shd w:val="clear" w:color="000000" w:fill="FCE4D6"/>
            <w:vAlign w:val="center"/>
            <w:hideMark/>
          </w:tcPr>
          <w:p w14:paraId="72960DA8" w14:textId="6B909CD4" w:rsidR="00D923AA" w:rsidRPr="007B010A" w:rsidRDefault="00D923AA" w:rsidP="00376CF0">
            <w:pPr>
              <w:jc w:val="center"/>
              <w:rPr>
                <w:sz w:val="16"/>
                <w:szCs w:val="16"/>
              </w:rPr>
            </w:pPr>
            <w:r w:rsidRPr="007B010A">
              <w:rPr>
                <w:sz w:val="16"/>
                <w:szCs w:val="16"/>
              </w:rPr>
              <w:t>Uz 201</w:t>
            </w:r>
            <w:r w:rsidR="00AB1EBD" w:rsidRPr="007B010A">
              <w:rPr>
                <w:sz w:val="16"/>
                <w:szCs w:val="16"/>
              </w:rPr>
              <w:t>9</w:t>
            </w:r>
            <w:r w:rsidRPr="007B010A">
              <w:rPr>
                <w:sz w:val="16"/>
                <w:szCs w:val="16"/>
              </w:rPr>
              <w:t>.gada 1.j</w:t>
            </w:r>
            <w:r w:rsidR="00AB1EBD" w:rsidRPr="007B010A">
              <w:rPr>
                <w:sz w:val="16"/>
                <w:szCs w:val="16"/>
              </w:rPr>
              <w:t>anvāri</w:t>
            </w:r>
          </w:p>
        </w:tc>
        <w:tc>
          <w:tcPr>
            <w:tcW w:w="897" w:type="dxa"/>
            <w:shd w:val="clear" w:color="000000" w:fill="FCE4D6"/>
            <w:vAlign w:val="center"/>
            <w:hideMark/>
          </w:tcPr>
          <w:p w14:paraId="0196C8CA" w14:textId="25DD5D10" w:rsidR="00D923AA" w:rsidRPr="007B010A" w:rsidRDefault="00D923AA" w:rsidP="00376CF0">
            <w:pPr>
              <w:jc w:val="center"/>
              <w:rPr>
                <w:sz w:val="16"/>
                <w:szCs w:val="16"/>
              </w:rPr>
            </w:pPr>
            <w:r w:rsidRPr="007B010A">
              <w:rPr>
                <w:sz w:val="16"/>
                <w:szCs w:val="16"/>
              </w:rPr>
              <w:t xml:space="preserve">Rindu </w:t>
            </w:r>
            <w:proofErr w:type="spellStart"/>
            <w:r w:rsidRPr="007B010A">
              <w:rPr>
                <w:sz w:val="16"/>
                <w:szCs w:val="16"/>
              </w:rPr>
              <w:t>samazi-nājums</w:t>
            </w:r>
            <w:proofErr w:type="spellEnd"/>
            <w:r w:rsidRPr="007B010A">
              <w:rPr>
                <w:sz w:val="16"/>
                <w:szCs w:val="16"/>
              </w:rPr>
              <w:t xml:space="preserve"> 2018.gadā</w:t>
            </w:r>
          </w:p>
        </w:tc>
        <w:tc>
          <w:tcPr>
            <w:tcW w:w="1015" w:type="dxa"/>
            <w:vMerge/>
            <w:shd w:val="clear" w:color="000000" w:fill="FCE4D6"/>
          </w:tcPr>
          <w:p w14:paraId="10A1B072" w14:textId="77777777" w:rsidR="00D923AA" w:rsidRPr="007B010A" w:rsidRDefault="00D923AA" w:rsidP="00376CF0">
            <w:pPr>
              <w:jc w:val="center"/>
              <w:rPr>
                <w:sz w:val="16"/>
                <w:szCs w:val="16"/>
              </w:rPr>
            </w:pPr>
          </w:p>
        </w:tc>
        <w:tc>
          <w:tcPr>
            <w:tcW w:w="992" w:type="dxa"/>
            <w:vMerge/>
            <w:shd w:val="clear" w:color="000000" w:fill="FCE4D6"/>
          </w:tcPr>
          <w:p w14:paraId="25FACEB2" w14:textId="77777777" w:rsidR="00D923AA" w:rsidRPr="007B010A" w:rsidRDefault="00D923AA" w:rsidP="00376CF0">
            <w:pPr>
              <w:jc w:val="center"/>
              <w:rPr>
                <w:sz w:val="16"/>
                <w:szCs w:val="16"/>
              </w:rPr>
            </w:pPr>
          </w:p>
        </w:tc>
        <w:tc>
          <w:tcPr>
            <w:tcW w:w="992" w:type="dxa"/>
            <w:vMerge/>
            <w:shd w:val="clear" w:color="000000" w:fill="FCE4D6"/>
            <w:vAlign w:val="center"/>
          </w:tcPr>
          <w:p w14:paraId="21D85A5F" w14:textId="77777777" w:rsidR="00D923AA" w:rsidRPr="007B010A" w:rsidRDefault="00D923AA" w:rsidP="00376CF0">
            <w:pPr>
              <w:jc w:val="center"/>
              <w:rPr>
                <w:sz w:val="16"/>
                <w:szCs w:val="16"/>
              </w:rPr>
            </w:pPr>
          </w:p>
        </w:tc>
      </w:tr>
      <w:tr w:rsidR="00EA373F" w:rsidRPr="007B010A" w14:paraId="4F30FA29" w14:textId="77777777" w:rsidTr="00376CF0">
        <w:trPr>
          <w:trHeight w:val="61"/>
          <w:jc w:val="center"/>
        </w:trPr>
        <w:tc>
          <w:tcPr>
            <w:tcW w:w="1134" w:type="dxa"/>
            <w:shd w:val="clear" w:color="000000" w:fill="92D050"/>
            <w:noWrap/>
            <w:vAlign w:val="bottom"/>
          </w:tcPr>
          <w:p w14:paraId="60334E4E" w14:textId="77777777" w:rsidR="00EA373F" w:rsidRPr="007B010A" w:rsidRDefault="00EA373F" w:rsidP="00EA373F">
            <w:pPr>
              <w:jc w:val="center"/>
              <w:rPr>
                <w:sz w:val="16"/>
                <w:szCs w:val="16"/>
              </w:rPr>
            </w:pPr>
          </w:p>
        </w:tc>
        <w:tc>
          <w:tcPr>
            <w:tcW w:w="968" w:type="dxa"/>
            <w:shd w:val="clear" w:color="000000" w:fill="92D050"/>
            <w:noWrap/>
            <w:vAlign w:val="center"/>
          </w:tcPr>
          <w:p w14:paraId="2B4FEABE" w14:textId="6CADDE97" w:rsidR="00EA373F" w:rsidRPr="007B010A" w:rsidRDefault="00EA373F" w:rsidP="00EA373F">
            <w:pPr>
              <w:jc w:val="center"/>
              <w:rPr>
                <w:sz w:val="16"/>
                <w:szCs w:val="16"/>
              </w:rPr>
            </w:pPr>
            <w:r w:rsidRPr="007B010A">
              <w:rPr>
                <w:sz w:val="16"/>
                <w:szCs w:val="16"/>
              </w:rPr>
              <w:t>1</w:t>
            </w:r>
          </w:p>
        </w:tc>
        <w:tc>
          <w:tcPr>
            <w:tcW w:w="1017" w:type="dxa"/>
            <w:shd w:val="clear" w:color="000000" w:fill="92D050"/>
            <w:vAlign w:val="center"/>
          </w:tcPr>
          <w:p w14:paraId="33ED3DC9" w14:textId="1397E47A" w:rsidR="00EA373F" w:rsidRPr="007B010A" w:rsidRDefault="00EA373F" w:rsidP="00EA373F">
            <w:pPr>
              <w:jc w:val="center"/>
              <w:rPr>
                <w:sz w:val="16"/>
                <w:szCs w:val="16"/>
              </w:rPr>
            </w:pPr>
            <w:r w:rsidRPr="007B010A">
              <w:rPr>
                <w:sz w:val="16"/>
                <w:szCs w:val="16"/>
              </w:rPr>
              <w:t>2</w:t>
            </w:r>
          </w:p>
        </w:tc>
        <w:tc>
          <w:tcPr>
            <w:tcW w:w="850" w:type="dxa"/>
            <w:shd w:val="clear" w:color="000000" w:fill="92D050"/>
            <w:noWrap/>
            <w:vAlign w:val="center"/>
          </w:tcPr>
          <w:p w14:paraId="2F681BCA" w14:textId="3086B3CF" w:rsidR="00EA373F" w:rsidRPr="007B010A" w:rsidRDefault="00EA373F" w:rsidP="00EA373F">
            <w:pPr>
              <w:jc w:val="center"/>
              <w:rPr>
                <w:sz w:val="16"/>
                <w:szCs w:val="16"/>
              </w:rPr>
            </w:pPr>
            <w:r w:rsidRPr="007B010A">
              <w:rPr>
                <w:sz w:val="16"/>
                <w:szCs w:val="16"/>
              </w:rPr>
              <w:t>3</w:t>
            </w:r>
          </w:p>
        </w:tc>
        <w:tc>
          <w:tcPr>
            <w:tcW w:w="993" w:type="dxa"/>
            <w:shd w:val="clear" w:color="000000" w:fill="92D050"/>
            <w:noWrap/>
            <w:vAlign w:val="center"/>
          </w:tcPr>
          <w:p w14:paraId="47FEF112" w14:textId="133BDF40" w:rsidR="00EA373F" w:rsidRPr="007B010A" w:rsidRDefault="00EA373F" w:rsidP="00EA373F">
            <w:pPr>
              <w:jc w:val="center"/>
              <w:rPr>
                <w:sz w:val="16"/>
                <w:szCs w:val="16"/>
              </w:rPr>
            </w:pPr>
            <w:r w:rsidRPr="007B010A">
              <w:rPr>
                <w:sz w:val="16"/>
                <w:szCs w:val="16"/>
              </w:rPr>
              <w:t>4</w:t>
            </w:r>
          </w:p>
        </w:tc>
        <w:tc>
          <w:tcPr>
            <w:tcW w:w="992" w:type="dxa"/>
            <w:shd w:val="clear" w:color="000000" w:fill="92D050"/>
            <w:vAlign w:val="center"/>
          </w:tcPr>
          <w:p w14:paraId="1A730D78" w14:textId="72E227B6" w:rsidR="00EA373F" w:rsidRPr="007B010A" w:rsidRDefault="00EA373F" w:rsidP="00EA373F">
            <w:pPr>
              <w:jc w:val="center"/>
              <w:rPr>
                <w:sz w:val="16"/>
                <w:szCs w:val="16"/>
              </w:rPr>
            </w:pPr>
            <w:r w:rsidRPr="007B010A">
              <w:rPr>
                <w:sz w:val="16"/>
                <w:szCs w:val="16"/>
              </w:rPr>
              <w:t>5</w:t>
            </w:r>
          </w:p>
        </w:tc>
        <w:tc>
          <w:tcPr>
            <w:tcW w:w="923" w:type="dxa"/>
            <w:shd w:val="clear" w:color="000000" w:fill="92D050"/>
            <w:vAlign w:val="center"/>
          </w:tcPr>
          <w:p w14:paraId="4AD86479" w14:textId="32809651" w:rsidR="00EA373F" w:rsidRPr="007B010A" w:rsidRDefault="00EA373F" w:rsidP="00EA373F">
            <w:pPr>
              <w:jc w:val="center"/>
              <w:rPr>
                <w:sz w:val="16"/>
                <w:szCs w:val="16"/>
              </w:rPr>
            </w:pPr>
            <w:r w:rsidRPr="007B010A">
              <w:rPr>
                <w:sz w:val="16"/>
                <w:szCs w:val="16"/>
              </w:rPr>
              <w:t>6</w:t>
            </w:r>
          </w:p>
        </w:tc>
        <w:tc>
          <w:tcPr>
            <w:tcW w:w="897" w:type="dxa"/>
            <w:shd w:val="clear" w:color="000000" w:fill="92D050"/>
            <w:vAlign w:val="center"/>
          </w:tcPr>
          <w:p w14:paraId="6A93526B" w14:textId="298F0451" w:rsidR="00EA373F" w:rsidRPr="007B010A" w:rsidRDefault="00EA373F" w:rsidP="00EA373F">
            <w:pPr>
              <w:jc w:val="center"/>
              <w:rPr>
                <w:sz w:val="16"/>
                <w:szCs w:val="16"/>
              </w:rPr>
            </w:pPr>
            <w:r w:rsidRPr="007B010A">
              <w:rPr>
                <w:sz w:val="16"/>
                <w:szCs w:val="16"/>
              </w:rPr>
              <w:t>7</w:t>
            </w:r>
          </w:p>
        </w:tc>
        <w:tc>
          <w:tcPr>
            <w:tcW w:w="1015" w:type="dxa"/>
            <w:shd w:val="clear" w:color="000000" w:fill="92D050"/>
            <w:vAlign w:val="center"/>
          </w:tcPr>
          <w:p w14:paraId="30CDB242" w14:textId="55949811" w:rsidR="00EA373F" w:rsidRPr="007B010A" w:rsidRDefault="00EA373F" w:rsidP="00EA373F">
            <w:pPr>
              <w:jc w:val="center"/>
              <w:rPr>
                <w:sz w:val="16"/>
                <w:szCs w:val="16"/>
              </w:rPr>
            </w:pPr>
            <w:r w:rsidRPr="007B010A">
              <w:rPr>
                <w:sz w:val="16"/>
                <w:szCs w:val="16"/>
              </w:rPr>
              <w:t>8=7/</w:t>
            </w:r>
            <w:r w:rsidR="00586A7E" w:rsidRPr="007B010A">
              <w:rPr>
                <w:sz w:val="16"/>
                <w:szCs w:val="16"/>
              </w:rPr>
              <w:t>5</w:t>
            </w:r>
            <w:r w:rsidRPr="007B010A">
              <w:rPr>
                <w:sz w:val="16"/>
                <w:szCs w:val="16"/>
              </w:rPr>
              <w:t>*100</w:t>
            </w:r>
          </w:p>
        </w:tc>
        <w:tc>
          <w:tcPr>
            <w:tcW w:w="992" w:type="dxa"/>
            <w:shd w:val="clear" w:color="000000" w:fill="92D050"/>
            <w:vAlign w:val="center"/>
          </w:tcPr>
          <w:p w14:paraId="5E3C4A38" w14:textId="4185490B" w:rsidR="00EA373F" w:rsidRPr="007B010A" w:rsidRDefault="00EA373F" w:rsidP="00EA373F">
            <w:pPr>
              <w:jc w:val="center"/>
              <w:rPr>
                <w:sz w:val="16"/>
                <w:szCs w:val="16"/>
              </w:rPr>
            </w:pPr>
            <w:r w:rsidRPr="007B010A">
              <w:rPr>
                <w:sz w:val="16"/>
                <w:szCs w:val="16"/>
              </w:rPr>
              <w:t>9=6/1</w:t>
            </w:r>
            <w:r w:rsidR="00343FFF" w:rsidRPr="007B010A">
              <w:rPr>
                <w:sz w:val="16"/>
                <w:szCs w:val="16"/>
              </w:rPr>
              <w:t>1</w:t>
            </w:r>
            <w:r w:rsidR="00EB1C9A" w:rsidRPr="007B010A">
              <w:rPr>
                <w:sz w:val="16"/>
                <w:szCs w:val="16"/>
              </w:rPr>
              <w:t>5</w:t>
            </w:r>
            <w:r w:rsidR="007E6069">
              <w:rPr>
                <w:sz w:val="16"/>
                <w:szCs w:val="16"/>
              </w:rPr>
              <w:t>,</w:t>
            </w:r>
            <w:r w:rsidR="00343FFF" w:rsidRPr="007B010A">
              <w:rPr>
                <w:sz w:val="16"/>
                <w:szCs w:val="16"/>
              </w:rPr>
              <w:t>68</w:t>
            </w:r>
            <w:r w:rsidRPr="007B010A">
              <w:rPr>
                <w:sz w:val="16"/>
                <w:szCs w:val="16"/>
              </w:rPr>
              <w:t>*100</w:t>
            </w:r>
          </w:p>
        </w:tc>
        <w:tc>
          <w:tcPr>
            <w:tcW w:w="992" w:type="dxa"/>
            <w:shd w:val="clear" w:color="000000" w:fill="92D050"/>
            <w:vAlign w:val="center"/>
          </w:tcPr>
          <w:p w14:paraId="49F821AE" w14:textId="570ECF6B" w:rsidR="00EA373F" w:rsidRPr="007B010A" w:rsidRDefault="00EA373F" w:rsidP="00EA373F">
            <w:pPr>
              <w:jc w:val="center"/>
              <w:rPr>
                <w:sz w:val="16"/>
                <w:szCs w:val="16"/>
              </w:rPr>
            </w:pPr>
            <w:r w:rsidRPr="007B010A">
              <w:rPr>
                <w:sz w:val="16"/>
                <w:szCs w:val="16"/>
              </w:rPr>
              <w:t>10=5-9</w:t>
            </w:r>
          </w:p>
        </w:tc>
      </w:tr>
      <w:tr w:rsidR="00D923AA" w:rsidRPr="007B010A" w14:paraId="3B4F8C02" w14:textId="77777777" w:rsidTr="00376CF0">
        <w:trPr>
          <w:trHeight w:val="61"/>
          <w:jc w:val="center"/>
        </w:trPr>
        <w:tc>
          <w:tcPr>
            <w:tcW w:w="1134" w:type="dxa"/>
            <w:shd w:val="clear" w:color="000000" w:fill="92D050"/>
            <w:noWrap/>
            <w:vAlign w:val="bottom"/>
            <w:hideMark/>
          </w:tcPr>
          <w:p w14:paraId="6768A146" w14:textId="77777777" w:rsidR="00D923AA" w:rsidRPr="007B010A" w:rsidRDefault="00D923AA" w:rsidP="00376CF0">
            <w:pPr>
              <w:jc w:val="center"/>
              <w:rPr>
                <w:sz w:val="16"/>
                <w:szCs w:val="16"/>
              </w:rPr>
            </w:pPr>
            <w:r w:rsidRPr="007B010A">
              <w:rPr>
                <w:sz w:val="16"/>
                <w:szCs w:val="16"/>
              </w:rPr>
              <w:t>252 ārstniecības iestādes</w:t>
            </w:r>
          </w:p>
        </w:tc>
        <w:tc>
          <w:tcPr>
            <w:tcW w:w="968" w:type="dxa"/>
            <w:shd w:val="clear" w:color="000000" w:fill="92D050"/>
            <w:noWrap/>
            <w:vAlign w:val="center"/>
            <w:hideMark/>
          </w:tcPr>
          <w:p w14:paraId="33FFE458" w14:textId="77777777" w:rsidR="00D923AA" w:rsidRPr="007B010A" w:rsidRDefault="00D923AA" w:rsidP="00376CF0">
            <w:pPr>
              <w:jc w:val="center"/>
              <w:rPr>
                <w:sz w:val="16"/>
                <w:szCs w:val="16"/>
              </w:rPr>
            </w:pPr>
            <w:r w:rsidRPr="007B010A">
              <w:rPr>
                <w:sz w:val="16"/>
                <w:szCs w:val="16"/>
              </w:rPr>
              <w:t>99 554</w:t>
            </w:r>
          </w:p>
        </w:tc>
        <w:tc>
          <w:tcPr>
            <w:tcW w:w="1017" w:type="dxa"/>
            <w:shd w:val="clear" w:color="000000" w:fill="92D050"/>
            <w:vAlign w:val="center"/>
          </w:tcPr>
          <w:p w14:paraId="7AE7C0F5" w14:textId="3E1944FF" w:rsidR="00D923AA" w:rsidRPr="007B010A" w:rsidRDefault="008A1C89" w:rsidP="00376CF0">
            <w:pPr>
              <w:jc w:val="center"/>
              <w:rPr>
                <w:sz w:val="16"/>
                <w:szCs w:val="16"/>
              </w:rPr>
            </w:pPr>
            <w:r w:rsidRPr="007B010A">
              <w:rPr>
                <w:sz w:val="16"/>
                <w:szCs w:val="16"/>
              </w:rPr>
              <w:t>72 174</w:t>
            </w:r>
          </w:p>
        </w:tc>
        <w:tc>
          <w:tcPr>
            <w:tcW w:w="850" w:type="dxa"/>
            <w:shd w:val="clear" w:color="000000" w:fill="92D050"/>
            <w:noWrap/>
            <w:vAlign w:val="center"/>
            <w:hideMark/>
          </w:tcPr>
          <w:p w14:paraId="27E271AA" w14:textId="77777777" w:rsidR="00D923AA" w:rsidRPr="007B010A" w:rsidRDefault="00D923AA" w:rsidP="00376CF0">
            <w:pPr>
              <w:jc w:val="center"/>
              <w:rPr>
                <w:sz w:val="16"/>
                <w:szCs w:val="16"/>
              </w:rPr>
            </w:pPr>
            <w:r w:rsidRPr="007B010A">
              <w:rPr>
                <w:sz w:val="16"/>
                <w:szCs w:val="16"/>
              </w:rPr>
              <w:t>889 879</w:t>
            </w:r>
          </w:p>
        </w:tc>
        <w:tc>
          <w:tcPr>
            <w:tcW w:w="993" w:type="dxa"/>
            <w:shd w:val="clear" w:color="000000" w:fill="92D050"/>
            <w:noWrap/>
            <w:vAlign w:val="center"/>
            <w:hideMark/>
          </w:tcPr>
          <w:p w14:paraId="352F4792" w14:textId="6A78BEEE" w:rsidR="00D923AA" w:rsidRPr="007B010A" w:rsidRDefault="008A1C89" w:rsidP="00376CF0">
            <w:pPr>
              <w:jc w:val="center"/>
              <w:rPr>
                <w:sz w:val="16"/>
                <w:szCs w:val="16"/>
              </w:rPr>
            </w:pPr>
            <w:r w:rsidRPr="007B010A">
              <w:rPr>
                <w:sz w:val="16"/>
                <w:szCs w:val="16"/>
              </w:rPr>
              <w:t>889 879</w:t>
            </w:r>
          </w:p>
        </w:tc>
        <w:tc>
          <w:tcPr>
            <w:tcW w:w="992" w:type="dxa"/>
            <w:shd w:val="clear" w:color="000000" w:fill="92D050"/>
            <w:vAlign w:val="center"/>
            <w:hideMark/>
          </w:tcPr>
          <w:p w14:paraId="71D98A72" w14:textId="4CB4870E" w:rsidR="00D923AA" w:rsidRPr="007B010A" w:rsidRDefault="00D923AA" w:rsidP="00376CF0">
            <w:pPr>
              <w:jc w:val="center"/>
              <w:rPr>
                <w:sz w:val="16"/>
                <w:szCs w:val="16"/>
              </w:rPr>
            </w:pPr>
            <w:r w:rsidRPr="007B010A">
              <w:rPr>
                <w:sz w:val="16"/>
                <w:szCs w:val="16"/>
              </w:rPr>
              <w:t>500</w:t>
            </w:r>
            <w:r w:rsidR="007E6069">
              <w:rPr>
                <w:sz w:val="16"/>
                <w:szCs w:val="16"/>
              </w:rPr>
              <w:t>,</w:t>
            </w:r>
            <w:r w:rsidRPr="007B010A">
              <w:rPr>
                <w:sz w:val="16"/>
                <w:szCs w:val="16"/>
              </w:rPr>
              <w:t>20</w:t>
            </w:r>
          </w:p>
        </w:tc>
        <w:tc>
          <w:tcPr>
            <w:tcW w:w="923" w:type="dxa"/>
            <w:shd w:val="clear" w:color="000000" w:fill="92D050"/>
            <w:vAlign w:val="center"/>
            <w:hideMark/>
          </w:tcPr>
          <w:p w14:paraId="41A13285" w14:textId="63466F82" w:rsidR="00D923AA" w:rsidRPr="007B010A" w:rsidRDefault="00EB1C9A" w:rsidP="00376CF0">
            <w:pPr>
              <w:jc w:val="center"/>
              <w:rPr>
                <w:sz w:val="16"/>
                <w:szCs w:val="16"/>
              </w:rPr>
            </w:pPr>
            <w:r w:rsidRPr="007B010A">
              <w:rPr>
                <w:sz w:val="16"/>
                <w:szCs w:val="16"/>
              </w:rPr>
              <w:t>345</w:t>
            </w:r>
            <w:r w:rsidR="007E6069">
              <w:rPr>
                <w:sz w:val="16"/>
                <w:szCs w:val="16"/>
              </w:rPr>
              <w:t>,</w:t>
            </w:r>
            <w:r w:rsidRPr="007B010A">
              <w:rPr>
                <w:sz w:val="16"/>
                <w:szCs w:val="16"/>
              </w:rPr>
              <w:t>20</w:t>
            </w:r>
          </w:p>
        </w:tc>
        <w:tc>
          <w:tcPr>
            <w:tcW w:w="897" w:type="dxa"/>
            <w:shd w:val="clear" w:color="000000" w:fill="92D050"/>
            <w:vAlign w:val="center"/>
            <w:hideMark/>
          </w:tcPr>
          <w:p w14:paraId="601C02F0" w14:textId="07785129" w:rsidR="00D923AA" w:rsidRPr="007B010A" w:rsidRDefault="00EB1C9A" w:rsidP="00376CF0">
            <w:pPr>
              <w:jc w:val="center"/>
              <w:rPr>
                <w:sz w:val="16"/>
                <w:szCs w:val="16"/>
              </w:rPr>
            </w:pPr>
            <w:r w:rsidRPr="007B010A">
              <w:rPr>
                <w:sz w:val="16"/>
                <w:szCs w:val="16"/>
              </w:rPr>
              <w:t>155</w:t>
            </w:r>
            <w:r w:rsidR="007E6069">
              <w:rPr>
                <w:sz w:val="16"/>
                <w:szCs w:val="16"/>
              </w:rPr>
              <w:t>,</w:t>
            </w:r>
            <w:r w:rsidRPr="007B010A">
              <w:rPr>
                <w:sz w:val="16"/>
                <w:szCs w:val="16"/>
              </w:rPr>
              <w:t>0</w:t>
            </w:r>
            <w:r w:rsidR="00D923AA" w:rsidRPr="007B010A">
              <w:rPr>
                <w:sz w:val="16"/>
                <w:szCs w:val="16"/>
              </w:rPr>
              <w:t>0</w:t>
            </w:r>
          </w:p>
        </w:tc>
        <w:tc>
          <w:tcPr>
            <w:tcW w:w="1015" w:type="dxa"/>
            <w:shd w:val="clear" w:color="000000" w:fill="92D050"/>
            <w:vAlign w:val="center"/>
          </w:tcPr>
          <w:p w14:paraId="2DA99D3C" w14:textId="5C22EC60" w:rsidR="00D923AA" w:rsidRPr="007B010A" w:rsidRDefault="00EB1C9A" w:rsidP="00376CF0">
            <w:pPr>
              <w:jc w:val="center"/>
              <w:rPr>
                <w:sz w:val="16"/>
                <w:szCs w:val="16"/>
              </w:rPr>
            </w:pPr>
            <w:r w:rsidRPr="007B010A">
              <w:rPr>
                <w:sz w:val="16"/>
                <w:szCs w:val="16"/>
              </w:rPr>
              <w:t>30</w:t>
            </w:r>
            <w:r w:rsidR="007E6069">
              <w:rPr>
                <w:sz w:val="16"/>
                <w:szCs w:val="16"/>
              </w:rPr>
              <w:t>,</w:t>
            </w:r>
            <w:r w:rsidRPr="007B010A">
              <w:rPr>
                <w:sz w:val="16"/>
                <w:szCs w:val="16"/>
              </w:rPr>
              <w:t>99</w:t>
            </w:r>
          </w:p>
        </w:tc>
        <w:tc>
          <w:tcPr>
            <w:tcW w:w="992" w:type="dxa"/>
            <w:shd w:val="clear" w:color="000000" w:fill="92D050"/>
            <w:vAlign w:val="center"/>
          </w:tcPr>
          <w:p w14:paraId="5F01DDC9" w14:textId="324BD9C6" w:rsidR="00D923AA" w:rsidRPr="007B010A" w:rsidRDefault="00D923AA" w:rsidP="00376CF0">
            <w:pPr>
              <w:jc w:val="center"/>
              <w:rPr>
                <w:sz w:val="16"/>
                <w:szCs w:val="16"/>
              </w:rPr>
            </w:pPr>
            <w:r w:rsidRPr="007B010A">
              <w:rPr>
                <w:sz w:val="16"/>
                <w:szCs w:val="16"/>
              </w:rPr>
              <w:t>2</w:t>
            </w:r>
            <w:r w:rsidR="00EB1C9A" w:rsidRPr="007B010A">
              <w:rPr>
                <w:sz w:val="16"/>
                <w:szCs w:val="16"/>
              </w:rPr>
              <w:t>98</w:t>
            </w:r>
            <w:r w:rsidR="007E6069">
              <w:rPr>
                <w:sz w:val="16"/>
                <w:szCs w:val="16"/>
              </w:rPr>
              <w:t>,</w:t>
            </w:r>
            <w:r w:rsidR="00EB1C9A" w:rsidRPr="007B010A">
              <w:rPr>
                <w:sz w:val="16"/>
                <w:szCs w:val="16"/>
              </w:rPr>
              <w:t>41</w:t>
            </w:r>
          </w:p>
        </w:tc>
        <w:tc>
          <w:tcPr>
            <w:tcW w:w="992" w:type="dxa"/>
            <w:shd w:val="clear" w:color="000000" w:fill="92D050"/>
            <w:vAlign w:val="center"/>
          </w:tcPr>
          <w:p w14:paraId="65A663CD" w14:textId="2D174980" w:rsidR="00D923AA" w:rsidRPr="007B010A" w:rsidRDefault="00D923AA" w:rsidP="00376CF0">
            <w:pPr>
              <w:jc w:val="center"/>
              <w:rPr>
                <w:sz w:val="16"/>
                <w:szCs w:val="16"/>
              </w:rPr>
            </w:pPr>
            <w:r w:rsidRPr="007B010A">
              <w:rPr>
                <w:sz w:val="16"/>
                <w:szCs w:val="16"/>
              </w:rPr>
              <w:t>2</w:t>
            </w:r>
            <w:r w:rsidR="00EB1C9A" w:rsidRPr="007B010A">
              <w:rPr>
                <w:sz w:val="16"/>
                <w:szCs w:val="16"/>
              </w:rPr>
              <w:t>01</w:t>
            </w:r>
            <w:r w:rsidR="007E6069">
              <w:rPr>
                <w:sz w:val="16"/>
                <w:szCs w:val="16"/>
              </w:rPr>
              <w:t>,</w:t>
            </w:r>
            <w:r w:rsidR="00EB1C9A" w:rsidRPr="007B010A">
              <w:rPr>
                <w:sz w:val="16"/>
                <w:szCs w:val="16"/>
              </w:rPr>
              <w:t>79</w:t>
            </w:r>
          </w:p>
        </w:tc>
      </w:tr>
    </w:tbl>
    <w:p w14:paraId="75BB0F13" w14:textId="77777777" w:rsidR="00D923AA" w:rsidRPr="007B010A" w:rsidRDefault="00D923AA" w:rsidP="00D923AA">
      <w:pPr>
        <w:autoSpaceDE w:val="0"/>
        <w:autoSpaceDN w:val="0"/>
        <w:adjustRightInd w:val="0"/>
        <w:spacing w:line="293" w:lineRule="atLeast"/>
        <w:jc w:val="both"/>
        <w:rPr>
          <w:sz w:val="22"/>
          <w:szCs w:val="22"/>
          <w:u w:val="single"/>
          <w:lang w:bidi="lo-LA"/>
        </w:rPr>
      </w:pPr>
    </w:p>
    <w:p w14:paraId="243E50C1" w14:textId="23048C41" w:rsidR="00D923AA" w:rsidRPr="007B010A" w:rsidRDefault="00D923AA" w:rsidP="00D923AA">
      <w:pPr>
        <w:autoSpaceDE w:val="0"/>
        <w:autoSpaceDN w:val="0"/>
        <w:adjustRightInd w:val="0"/>
        <w:spacing w:line="293" w:lineRule="atLeast"/>
        <w:ind w:firstLine="720"/>
        <w:jc w:val="both"/>
      </w:pPr>
      <w:r w:rsidRPr="007B010A">
        <w:t xml:space="preserve">Atbilstoši 2018.gada faktiskajai izpildei </w:t>
      </w:r>
      <w:r w:rsidRPr="007B010A">
        <w:rPr>
          <w:lang w:bidi="lo-LA"/>
        </w:rPr>
        <w:t xml:space="preserve">ambulatorās rehabilitācijas  </w:t>
      </w:r>
      <w:r w:rsidRPr="007B010A">
        <w:t xml:space="preserve">pieaugums īstenots </w:t>
      </w:r>
      <w:r w:rsidR="008A1C89" w:rsidRPr="007B010A">
        <w:t>72,50</w:t>
      </w:r>
      <w:r w:rsidRPr="007B010A">
        <w:t>% apmērā no gada plānotā pieauguma apjoma rehabilitācijā. Līdz ar to secināms, ka laika periodā no 2018.gada 1.janvāra līdz 3</w:t>
      </w:r>
      <w:r w:rsidR="00370B0A" w:rsidRPr="007B010A">
        <w:t>1</w:t>
      </w:r>
      <w:r w:rsidRPr="007B010A">
        <w:t>.</w:t>
      </w:r>
      <w:r w:rsidR="00370B0A" w:rsidRPr="007B010A">
        <w:t>decembrim</w:t>
      </w:r>
      <w:r w:rsidRPr="007B010A">
        <w:t xml:space="preserve"> ir nodrošināts būtisks rindu samazinājums ārstniecības iestāžu iespēju un pieejamā finansējuma robežās, vidēji samazinot rindu garumu uz rehabilitācijas pakalpojumiem par </w:t>
      </w:r>
      <w:r w:rsidR="005A71EB" w:rsidRPr="007B010A">
        <w:t>30</w:t>
      </w:r>
      <w:r w:rsidRPr="007B010A">
        <w:t>,</w:t>
      </w:r>
      <w:r w:rsidR="005A71EB" w:rsidRPr="007B010A">
        <w:t>99</w:t>
      </w:r>
      <w:r w:rsidRPr="007B010A">
        <w:t xml:space="preserve">%. Papildus atzīmējam, ka ne visas ārstniecības iestādes nodrošina ambulatoro rehabilitāciju, kā rezultātā rindu samazinājums par </w:t>
      </w:r>
      <w:r w:rsidR="00FE709F" w:rsidRPr="007B010A">
        <w:t>30</w:t>
      </w:r>
      <w:r w:rsidRPr="007B010A">
        <w:t>,</w:t>
      </w:r>
      <w:r w:rsidR="00FE709F" w:rsidRPr="007B010A">
        <w:t>99</w:t>
      </w:r>
      <w:r w:rsidRPr="007B010A">
        <w:t xml:space="preserve">% vidēji ir ļoti būtisks, piemēram, </w:t>
      </w:r>
      <w:r w:rsidR="007C1385" w:rsidRPr="007B010A">
        <w:t xml:space="preserve">SIA </w:t>
      </w:r>
      <w:r w:rsidRPr="007B010A">
        <w:t xml:space="preserve">"Rīgas Austrumu </w:t>
      </w:r>
      <w:r w:rsidR="007C1385" w:rsidRPr="007B010A">
        <w:t>klīniskā universitātes slimnīca</w:t>
      </w:r>
      <w:r w:rsidRPr="007B010A">
        <w:t xml:space="preserve">" stacionārā ''Biķernieki" ambulatoro </w:t>
      </w:r>
      <w:proofErr w:type="spellStart"/>
      <w:r w:rsidRPr="007B010A">
        <w:t>rehabilitologa</w:t>
      </w:r>
      <w:proofErr w:type="spellEnd"/>
      <w:r w:rsidRPr="007B010A">
        <w:t xml:space="preserve"> pakalpojumu pieejamība samazinājusies līdz </w:t>
      </w:r>
      <w:r w:rsidR="00320325" w:rsidRPr="007B010A">
        <w:t>21</w:t>
      </w:r>
      <w:r w:rsidRPr="007B010A">
        <w:t xml:space="preserve"> gaidīšanas dienām salīdzinoši ar pirms reformu perioda 181</w:t>
      </w:r>
      <w:r w:rsidR="009B1859" w:rsidRPr="007B010A">
        <w:t xml:space="preserve"> </w:t>
      </w:r>
      <w:r w:rsidRPr="007B010A">
        <w:t xml:space="preserve">dienu. Tāpat </w:t>
      </w:r>
      <w:r w:rsidR="008A2315" w:rsidRPr="007B010A">
        <w:t xml:space="preserve">gaidīšanas laiks uz </w:t>
      </w:r>
      <w:proofErr w:type="spellStart"/>
      <w:r w:rsidR="005F2D10" w:rsidRPr="007B010A">
        <w:t>audiologopēda</w:t>
      </w:r>
      <w:proofErr w:type="spellEnd"/>
      <w:r w:rsidR="005F2D10" w:rsidRPr="007B010A">
        <w:t xml:space="preserve"> </w:t>
      </w:r>
      <w:r w:rsidRPr="007B010A">
        <w:t xml:space="preserve"> pakalpojumu </w:t>
      </w:r>
      <w:r w:rsidR="008A2315" w:rsidRPr="007B010A">
        <w:t>samazinājies</w:t>
      </w:r>
      <w:r w:rsidRPr="007B010A">
        <w:t xml:space="preserve"> par </w:t>
      </w:r>
      <w:r w:rsidR="005F2D10" w:rsidRPr="007B010A">
        <w:t>1</w:t>
      </w:r>
      <w:r w:rsidRPr="007B010A">
        <w:t>3</w:t>
      </w:r>
      <w:r w:rsidR="005F2D10" w:rsidRPr="007B010A">
        <w:t>5</w:t>
      </w:r>
      <w:r w:rsidRPr="007B010A">
        <w:t xml:space="preserve"> dienām salīdzinoši ar </w:t>
      </w:r>
      <w:r w:rsidR="0027286F" w:rsidRPr="007B010A">
        <w:t xml:space="preserve">pirms reformas perioda </w:t>
      </w:r>
      <w:r w:rsidR="005F2D10" w:rsidRPr="007B010A">
        <w:t>3</w:t>
      </w:r>
      <w:r w:rsidR="0027286F" w:rsidRPr="007B010A">
        <w:t>50 dienām</w:t>
      </w:r>
      <w:r w:rsidRPr="007B010A">
        <w:t>, savukārt</w:t>
      </w:r>
      <w:r w:rsidR="00AF4D9F" w:rsidRPr="007B010A">
        <w:t xml:space="preserve"> gaidīšanas laiks uz</w:t>
      </w:r>
      <w:r w:rsidRPr="007B010A">
        <w:t xml:space="preserve"> ambulatoro fizioterapeitu pakalpojumu </w:t>
      </w:r>
      <w:r w:rsidR="00111B18" w:rsidRPr="007B010A">
        <w:t>samazinājies</w:t>
      </w:r>
      <w:r w:rsidRPr="007B010A">
        <w:t xml:space="preserve"> par </w:t>
      </w:r>
      <w:r w:rsidR="005F2D10" w:rsidRPr="007B010A">
        <w:t xml:space="preserve">270 </w:t>
      </w:r>
      <w:r w:rsidRPr="007B010A">
        <w:t xml:space="preserve">dienām salīdzinoši ar pirms reformas perioda 600 dienām. </w:t>
      </w:r>
    </w:p>
    <w:p w14:paraId="05ACB18B" w14:textId="4EDA41B6" w:rsidR="00D923AA" w:rsidRPr="007B010A" w:rsidRDefault="00D923AA" w:rsidP="00D923AA">
      <w:pPr>
        <w:autoSpaceDE w:val="0"/>
        <w:autoSpaceDN w:val="0"/>
        <w:adjustRightInd w:val="0"/>
        <w:spacing w:line="293" w:lineRule="atLeast"/>
        <w:ind w:firstLine="720"/>
        <w:jc w:val="both"/>
      </w:pPr>
      <w:r w:rsidRPr="007B010A">
        <w:t xml:space="preserve">Ambulatorās rehabilitācijas pakalpojumu izpilde un rindu samazinājums vērtējams  ļoti pozitīvi, kopumā pārsniedzot sākotnēji plānoto kopējo rindu samazinājumu </w:t>
      </w:r>
      <w:r w:rsidR="007708C2" w:rsidRPr="007B010A">
        <w:t>30</w:t>
      </w:r>
      <w:r w:rsidRPr="007B010A">
        <w:t>,</w:t>
      </w:r>
      <w:r w:rsidR="007708C2" w:rsidRPr="007B010A">
        <w:t>99</w:t>
      </w:r>
      <w:r w:rsidRPr="007B010A">
        <w:t xml:space="preserve">% apmērā. 2018.gadā tika sniegti </w:t>
      </w:r>
      <w:r w:rsidR="00267066" w:rsidRPr="007B010A">
        <w:t>72 174</w:t>
      </w:r>
      <w:r w:rsidRPr="007B010A">
        <w:t xml:space="preserve"> ambulatorās rehabilitācijas pakalpojumi (skat.9.tabulu).</w:t>
      </w:r>
    </w:p>
    <w:p w14:paraId="4D23C22A" w14:textId="0A4CFC26" w:rsidR="00D923AA" w:rsidRPr="007B010A" w:rsidRDefault="00D923AA" w:rsidP="00D923AA">
      <w:pPr>
        <w:jc w:val="right"/>
        <w:rPr>
          <w:i/>
        </w:rPr>
      </w:pPr>
      <w:r w:rsidRPr="007B010A">
        <w:rPr>
          <w:i/>
        </w:rPr>
        <w:t xml:space="preserve">9.tabula </w:t>
      </w:r>
    </w:p>
    <w:p w14:paraId="6FDCA696" w14:textId="2617BE3B" w:rsidR="00D923AA" w:rsidRPr="007B010A" w:rsidRDefault="00D923AA" w:rsidP="00D923AA">
      <w:pPr>
        <w:jc w:val="center"/>
        <w:rPr>
          <w:bCs/>
        </w:rPr>
      </w:pPr>
      <w:r w:rsidRPr="007B010A">
        <w:t xml:space="preserve">Sniegtie ambulatorās rehabilitācijas pakalpojumi </w:t>
      </w:r>
      <w:r w:rsidRPr="007B010A">
        <w:rPr>
          <w:bCs/>
        </w:rPr>
        <w:t>2018.gadā</w:t>
      </w:r>
    </w:p>
    <w:p w14:paraId="7EEFC6D1" w14:textId="77777777" w:rsidR="00D923AA" w:rsidRPr="007B010A" w:rsidRDefault="00D923AA" w:rsidP="00D923AA">
      <w:pPr>
        <w:jc w:val="center"/>
      </w:pP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
        <w:gridCol w:w="2660"/>
        <w:gridCol w:w="2864"/>
        <w:gridCol w:w="1939"/>
      </w:tblGrid>
      <w:tr w:rsidR="007E6069" w:rsidRPr="007B010A" w14:paraId="124EAFE5" w14:textId="77777777" w:rsidTr="007E6069">
        <w:trPr>
          <w:trHeight w:val="1405"/>
          <w:jc w:val="center"/>
        </w:trPr>
        <w:tc>
          <w:tcPr>
            <w:tcW w:w="759" w:type="dxa"/>
            <w:vMerge w:val="restart"/>
            <w:shd w:val="clear" w:color="auto" w:fill="auto"/>
            <w:textDirection w:val="btLr"/>
            <w:vAlign w:val="center"/>
            <w:hideMark/>
          </w:tcPr>
          <w:p w14:paraId="4FAB49B8" w14:textId="77777777" w:rsidR="00D923AA" w:rsidRPr="007B010A" w:rsidRDefault="00D923AA" w:rsidP="00376CF0">
            <w:pPr>
              <w:jc w:val="center"/>
              <w:rPr>
                <w:sz w:val="20"/>
                <w:szCs w:val="20"/>
              </w:rPr>
            </w:pPr>
            <w:r w:rsidRPr="007B010A">
              <w:rPr>
                <w:sz w:val="20"/>
                <w:szCs w:val="20"/>
              </w:rPr>
              <w:t>Ambulatorās rehabilitācijas pakalpojumi</w:t>
            </w:r>
          </w:p>
        </w:tc>
        <w:tc>
          <w:tcPr>
            <w:tcW w:w="2660" w:type="dxa"/>
            <w:shd w:val="clear" w:color="auto" w:fill="auto"/>
            <w:vAlign w:val="center"/>
            <w:hideMark/>
          </w:tcPr>
          <w:p w14:paraId="7937F32E" w14:textId="77777777" w:rsidR="00D923AA" w:rsidRPr="007B010A" w:rsidRDefault="00D923AA" w:rsidP="00376CF0">
            <w:pPr>
              <w:jc w:val="center"/>
              <w:rPr>
                <w:b/>
                <w:bCs/>
                <w:sz w:val="20"/>
                <w:szCs w:val="20"/>
              </w:rPr>
            </w:pPr>
            <w:r w:rsidRPr="007B010A">
              <w:rPr>
                <w:b/>
                <w:bCs/>
                <w:sz w:val="20"/>
                <w:szCs w:val="20"/>
              </w:rPr>
              <w:t>Pakalpojumu veida nosaukums</w:t>
            </w:r>
          </w:p>
        </w:tc>
        <w:tc>
          <w:tcPr>
            <w:tcW w:w="2864" w:type="dxa"/>
            <w:shd w:val="clear" w:color="000000" w:fill="92D050"/>
            <w:vAlign w:val="center"/>
            <w:hideMark/>
          </w:tcPr>
          <w:p w14:paraId="727915A8" w14:textId="77E9B279" w:rsidR="00D923AA" w:rsidRPr="007B010A" w:rsidRDefault="00D923AA" w:rsidP="00376CF0">
            <w:pPr>
              <w:jc w:val="center"/>
              <w:rPr>
                <w:b/>
                <w:bCs/>
                <w:i/>
                <w:sz w:val="20"/>
                <w:szCs w:val="20"/>
              </w:rPr>
            </w:pPr>
            <w:r w:rsidRPr="007B010A">
              <w:rPr>
                <w:b/>
                <w:bCs/>
                <w:sz w:val="20"/>
                <w:szCs w:val="20"/>
              </w:rPr>
              <w:t xml:space="preserve">Faktiski veiktais darbs 2018.gadā (t.sk. pacienta iemaksas kompensācija), gaidīšanas rindu mazināšanas finansējums, </w:t>
            </w:r>
            <w:proofErr w:type="spellStart"/>
            <w:r w:rsidR="00730869" w:rsidRPr="007B010A">
              <w:rPr>
                <w:b/>
                <w:bCs/>
                <w:i/>
                <w:sz w:val="20"/>
                <w:szCs w:val="20"/>
              </w:rPr>
              <w:t>euro</w:t>
            </w:r>
            <w:proofErr w:type="spellEnd"/>
          </w:p>
        </w:tc>
        <w:tc>
          <w:tcPr>
            <w:tcW w:w="1939" w:type="dxa"/>
            <w:shd w:val="clear" w:color="000000" w:fill="92D050"/>
            <w:vAlign w:val="center"/>
            <w:hideMark/>
          </w:tcPr>
          <w:p w14:paraId="2A40C83E" w14:textId="5B70D261" w:rsidR="00D923AA" w:rsidRPr="007B010A" w:rsidRDefault="00D923AA" w:rsidP="00376CF0">
            <w:pPr>
              <w:jc w:val="center"/>
              <w:rPr>
                <w:b/>
                <w:bCs/>
                <w:sz w:val="20"/>
                <w:szCs w:val="20"/>
              </w:rPr>
            </w:pPr>
            <w:r w:rsidRPr="007B010A">
              <w:rPr>
                <w:b/>
                <w:bCs/>
                <w:sz w:val="20"/>
                <w:szCs w:val="20"/>
              </w:rPr>
              <w:t>Faktiski veiktais izmeklējumu skaits 2018.gadā</w:t>
            </w:r>
          </w:p>
        </w:tc>
      </w:tr>
      <w:tr w:rsidR="007E6069" w:rsidRPr="007B010A" w14:paraId="29176C6B" w14:textId="77777777" w:rsidTr="007E6069">
        <w:trPr>
          <w:trHeight w:val="300"/>
          <w:jc w:val="center"/>
        </w:trPr>
        <w:tc>
          <w:tcPr>
            <w:tcW w:w="759" w:type="dxa"/>
            <w:vMerge/>
            <w:vAlign w:val="center"/>
            <w:hideMark/>
          </w:tcPr>
          <w:p w14:paraId="6FBE8E99" w14:textId="77777777" w:rsidR="00D923AA" w:rsidRPr="007B010A" w:rsidRDefault="00D923AA" w:rsidP="00376CF0">
            <w:pPr>
              <w:rPr>
                <w:sz w:val="20"/>
                <w:szCs w:val="20"/>
              </w:rPr>
            </w:pPr>
          </w:p>
        </w:tc>
        <w:tc>
          <w:tcPr>
            <w:tcW w:w="2660" w:type="dxa"/>
            <w:shd w:val="clear" w:color="auto" w:fill="auto"/>
            <w:hideMark/>
          </w:tcPr>
          <w:p w14:paraId="7C717C70" w14:textId="77777777" w:rsidR="00D923AA" w:rsidRPr="007B010A" w:rsidRDefault="00D923AA" w:rsidP="00376CF0">
            <w:pPr>
              <w:rPr>
                <w:sz w:val="20"/>
                <w:szCs w:val="20"/>
              </w:rPr>
            </w:pPr>
            <w:r w:rsidRPr="007B010A">
              <w:rPr>
                <w:sz w:val="20"/>
                <w:szCs w:val="20"/>
              </w:rPr>
              <w:t>Rehabilitācija dienas stacionārā</w:t>
            </w:r>
          </w:p>
        </w:tc>
        <w:tc>
          <w:tcPr>
            <w:tcW w:w="2864" w:type="dxa"/>
            <w:shd w:val="clear" w:color="auto" w:fill="auto"/>
            <w:noWrap/>
            <w:vAlign w:val="center"/>
            <w:hideMark/>
          </w:tcPr>
          <w:p w14:paraId="28BFD471" w14:textId="1243A7FC" w:rsidR="00D923AA" w:rsidRPr="007B010A" w:rsidRDefault="00AB1EBD" w:rsidP="00376CF0">
            <w:pPr>
              <w:jc w:val="center"/>
              <w:rPr>
                <w:sz w:val="20"/>
                <w:szCs w:val="20"/>
              </w:rPr>
            </w:pPr>
            <w:r w:rsidRPr="007B010A">
              <w:rPr>
                <w:sz w:val="20"/>
                <w:szCs w:val="20"/>
              </w:rPr>
              <w:t>334 544</w:t>
            </w:r>
          </w:p>
        </w:tc>
        <w:tc>
          <w:tcPr>
            <w:tcW w:w="1939" w:type="dxa"/>
            <w:shd w:val="clear" w:color="auto" w:fill="auto"/>
            <w:noWrap/>
            <w:vAlign w:val="center"/>
            <w:hideMark/>
          </w:tcPr>
          <w:p w14:paraId="6245C159" w14:textId="489032BB" w:rsidR="00D923AA" w:rsidRPr="007B010A" w:rsidRDefault="00AB1EBD" w:rsidP="00376CF0">
            <w:pPr>
              <w:jc w:val="center"/>
              <w:rPr>
                <w:sz w:val="20"/>
                <w:szCs w:val="20"/>
              </w:rPr>
            </w:pPr>
            <w:r w:rsidRPr="007B010A">
              <w:rPr>
                <w:sz w:val="20"/>
                <w:szCs w:val="20"/>
              </w:rPr>
              <w:t>6 091</w:t>
            </w:r>
          </w:p>
        </w:tc>
      </w:tr>
      <w:tr w:rsidR="007E6069" w:rsidRPr="007B010A" w14:paraId="16882B06" w14:textId="77777777" w:rsidTr="007E6069">
        <w:trPr>
          <w:trHeight w:val="285"/>
          <w:jc w:val="center"/>
        </w:trPr>
        <w:tc>
          <w:tcPr>
            <w:tcW w:w="759" w:type="dxa"/>
            <w:vMerge/>
            <w:vAlign w:val="center"/>
            <w:hideMark/>
          </w:tcPr>
          <w:p w14:paraId="02A70CBB" w14:textId="77777777" w:rsidR="00D923AA" w:rsidRPr="007B010A" w:rsidRDefault="00D923AA" w:rsidP="00376CF0">
            <w:pPr>
              <w:rPr>
                <w:sz w:val="20"/>
                <w:szCs w:val="20"/>
              </w:rPr>
            </w:pPr>
          </w:p>
        </w:tc>
        <w:tc>
          <w:tcPr>
            <w:tcW w:w="2660" w:type="dxa"/>
            <w:shd w:val="clear" w:color="auto" w:fill="auto"/>
            <w:vAlign w:val="bottom"/>
            <w:hideMark/>
          </w:tcPr>
          <w:p w14:paraId="5DA01CD3" w14:textId="77777777" w:rsidR="00D923AA" w:rsidRPr="007B010A" w:rsidRDefault="00D923AA" w:rsidP="00376CF0">
            <w:pPr>
              <w:rPr>
                <w:sz w:val="20"/>
                <w:szCs w:val="20"/>
              </w:rPr>
            </w:pPr>
            <w:r w:rsidRPr="007B010A">
              <w:rPr>
                <w:sz w:val="20"/>
                <w:szCs w:val="20"/>
              </w:rPr>
              <w:t>Fizikālās medicīnas pakalpojumi</w:t>
            </w:r>
          </w:p>
        </w:tc>
        <w:tc>
          <w:tcPr>
            <w:tcW w:w="2864" w:type="dxa"/>
            <w:shd w:val="clear" w:color="auto" w:fill="auto"/>
            <w:noWrap/>
            <w:vAlign w:val="center"/>
            <w:hideMark/>
          </w:tcPr>
          <w:p w14:paraId="627EC204" w14:textId="5EF71503" w:rsidR="00D923AA" w:rsidRPr="007B010A" w:rsidRDefault="00AB1EBD" w:rsidP="00376CF0">
            <w:pPr>
              <w:jc w:val="center"/>
              <w:rPr>
                <w:sz w:val="20"/>
                <w:szCs w:val="20"/>
              </w:rPr>
            </w:pPr>
            <w:r w:rsidRPr="007B010A">
              <w:rPr>
                <w:sz w:val="20"/>
                <w:szCs w:val="20"/>
              </w:rPr>
              <w:t>15 612</w:t>
            </w:r>
          </w:p>
        </w:tc>
        <w:tc>
          <w:tcPr>
            <w:tcW w:w="1939" w:type="dxa"/>
            <w:shd w:val="clear" w:color="auto" w:fill="auto"/>
            <w:noWrap/>
            <w:vAlign w:val="center"/>
            <w:hideMark/>
          </w:tcPr>
          <w:p w14:paraId="33E5EB7F" w14:textId="47EDEF34" w:rsidR="00D923AA" w:rsidRPr="007B010A" w:rsidRDefault="00AB1EBD" w:rsidP="00376CF0">
            <w:pPr>
              <w:jc w:val="center"/>
              <w:rPr>
                <w:sz w:val="20"/>
                <w:szCs w:val="20"/>
              </w:rPr>
            </w:pPr>
            <w:r w:rsidRPr="007B010A">
              <w:rPr>
                <w:sz w:val="20"/>
                <w:szCs w:val="20"/>
              </w:rPr>
              <w:t>3 903</w:t>
            </w:r>
          </w:p>
        </w:tc>
      </w:tr>
      <w:tr w:rsidR="007E6069" w:rsidRPr="007B010A" w14:paraId="11D0ED14" w14:textId="77777777" w:rsidTr="007E6069">
        <w:trPr>
          <w:trHeight w:val="285"/>
          <w:jc w:val="center"/>
        </w:trPr>
        <w:tc>
          <w:tcPr>
            <w:tcW w:w="759" w:type="dxa"/>
            <w:vMerge/>
            <w:vAlign w:val="center"/>
            <w:hideMark/>
          </w:tcPr>
          <w:p w14:paraId="00E74E64" w14:textId="77777777" w:rsidR="00D923AA" w:rsidRPr="007B010A" w:rsidRDefault="00D923AA" w:rsidP="00376CF0">
            <w:pPr>
              <w:rPr>
                <w:sz w:val="20"/>
                <w:szCs w:val="20"/>
              </w:rPr>
            </w:pPr>
          </w:p>
        </w:tc>
        <w:tc>
          <w:tcPr>
            <w:tcW w:w="2660" w:type="dxa"/>
            <w:shd w:val="clear" w:color="auto" w:fill="auto"/>
            <w:vAlign w:val="bottom"/>
            <w:hideMark/>
          </w:tcPr>
          <w:p w14:paraId="44B6F133" w14:textId="77777777" w:rsidR="00D923AA" w:rsidRPr="007B010A" w:rsidRDefault="00D923AA" w:rsidP="00376CF0">
            <w:pPr>
              <w:rPr>
                <w:sz w:val="20"/>
                <w:szCs w:val="20"/>
              </w:rPr>
            </w:pPr>
            <w:r w:rsidRPr="007B010A">
              <w:rPr>
                <w:sz w:val="20"/>
                <w:szCs w:val="20"/>
              </w:rPr>
              <w:t>Rehabilitācijas pakalpojumi</w:t>
            </w:r>
          </w:p>
        </w:tc>
        <w:tc>
          <w:tcPr>
            <w:tcW w:w="2864" w:type="dxa"/>
            <w:shd w:val="clear" w:color="auto" w:fill="auto"/>
            <w:noWrap/>
            <w:vAlign w:val="center"/>
            <w:hideMark/>
          </w:tcPr>
          <w:p w14:paraId="39500513" w14:textId="0DFE72F0" w:rsidR="00D923AA" w:rsidRPr="007B010A" w:rsidRDefault="00AB1EBD" w:rsidP="00376CF0">
            <w:pPr>
              <w:jc w:val="center"/>
              <w:rPr>
                <w:sz w:val="20"/>
                <w:szCs w:val="20"/>
              </w:rPr>
            </w:pPr>
            <w:r w:rsidRPr="007B010A">
              <w:rPr>
                <w:sz w:val="20"/>
                <w:szCs w:val="20"/>
              </w:rPr>
              <w:t>539 723</w:t>
            </w:r>
          </w:p>
        </w:tc>
        <w:tc>
          <w:tcPr>
            <w:tcW w:w="1939" w:type="dxa"/>
            <w:shd w:val="clear" w:color="auto" w:fill="auto"/>
            <w:noWrap/>
            <w:vAlign w:val="center"/>
            <w:hideMark/>
          </w:tcPr>
          <w:p w14:paraId="4DDF7D26" w14:textId="758C1AE1" w:rsidR="00D923AA" w:rsidRPr="007B010A" w:rsidRDefault="00AB1EBD" w:rsidP="00376CF0">
            <w:pPr>
              <w:jc w:val="center"/>
              <w:rPr>
                <w:sz w:val="20"/>
                <w:szCs w:val="20"/>
              </w:rPr>
            </w:pPr>
            <w:r w:rsidRPr="007B010A">
              <w:rPr>
                <w:sz w:val="20"/>
                <w:szCs w:val="20"/>
              </w:rPr>
              <w:t>62 180</w:t>
            </w:r>
          </w:p>
        </w:tc>
      </w:tr>
      <w:tr w:rsidR="007E6069" w:rsidRPr="007B010A" w14:paraId="6C453835" w14:textId="77777777" w:rsidTr="007E6069">
        <w:trPr>
          <w:trHeight w:val="300"/>
          <w:jc w:val="center"/>
        </w:trPr>
        <w:tc>
          <w:tcPr>
            <w:tcW w:w="759" w:type="dxa"/>
            <w:vMerge/>
            <w:vAlign w:val="center"/>
            <w:hideMark/>
          </w:tcPr>
          <w:p w14:paraId="1723DCAE" w14:textId="77777777" w:rsidR="00D923AA" w:rsidRPr="007B010A" w:rsidRDefault="00D923AA" w:rsidP="00376CF0">
            <w:pPr>
              <w:rPr>
                <w:sz w:val="20"/>
                <w:szCs w:val="20"/>
              </w:rPr>
            </w:pPr>
          </w:p>
        </w:tc>
        <w:tc>
          <w:tcPr>
            <w:tcW w:w="2660" w:type="dxa"/>
            <w:shd w:val="clear" w:color="auto" w:fill="auto"/>
            <w:vAlign w:val="bottom"/>
            <w:hideMark/>
          </w:tcPr>
          <w:p w14:paraId="55D5AC77" w14:textId="77777777" w:rsidR="00D923AA" w:rsidRPr="007B010A" w:rsidRDefault="00D923AA" w:rsidP="00376CF0">
            <w:pPr>
              <w:jc w:val="right"/>
              <w:rPr>
                <w:b/>
                <w:sz w:val="20"/>
                <w:szCs w:val="20"/>
              </w:rPr>
            </w:pPr>
            <w:r w:rsidRPr="007B010A">
              <w:rPr>
                <w:b/>
                <w:sz w:val="20"/>
                <w:szCs w:val="20"/>
              </w:rPr>
              <w:t>Kopā:</w:t>
            </w:r>
          </w:p>
        </w:tc>
        <w:tc>
          <w:tcPr>
            <w:tcW w:w="2864" w:type="dxa"/>
            <w:shd w:val="clear" w:color="auto" w:fill="auto"/>
            <w:noWrap/>
            <w:vAlign w:val="bottom"/>
            <w:hideMark/>
          </w:tcPr>
          <w:p w14:paraId="01464659" w14:textId="1AF024B3" w:rsidR="00D923AA" w:rsidRPr="007B010A" w:rsidRDefault="00AB1EBD" w:rsidP="00376CF0">
            <w:pPr>
              <w:jc w:val="center"/>
              <w:rPr>
                <w:b/>
                <w:sz w:val="20"/>
                <w:szCs w:val="20"/>
              </w:rPr>
            </w:pPr>
            <w:r w:rsidRPr="007B010A">
              <w:rPr>
                <w:sz w:val="20"/>
                <w:szCs w:val="20"/>
              </w:rPr>
              <w:t>889 879</w:t>
            </w:r>
          </w:p>
        </w:tc>
        <w:tc>
          <w:tcPr>
            <w:tcW w:w="1939" w:type="dxa"/>
            <w:shd w:val="clear" w:color="auto" w:fill="auto"/>
            <w:noWrap/>
            <w:vAlign w:val="bottom"/>
            <w:hideMark/>
          </w:tcPr>
          <w:p w14:paraId="00057424" w14:textId="09BC9D5B" w:rsidR="00D923AA" w:rsidRPr="007B010A" w:rsidRDefault="00AB1EBD" w:rsidP="00376CF0">
            <w:pPr>
              <w:jc w:val="center"/>
              <w:rPr>
                <w:b/>
                <w:sz w:val="20"/>
                <w:szCs w:val="20"/>
              </w:rPr>
            </w:pPr>
            <w:r w:rsidRPr="007B010A">
              <w:rPr>
                <w:sz w:val="20"/>
                <w:szCs w:val="20"/>
              </w:rPr>
              <w:t>72 174</w:t>
            </w:r>
          </w:p>
        </w:tc>
      </w:tr>
    </w:tbl>
    <w:p w14:paraId="368A3842" w14:textId="77777777" w:rsidR="00D923AA" w:rsidRPr="007B010A" w:rsidRDefault="00D923AA" w:rsidP="00D923AA">
      <w:pPr>
        <w:autoSpaceDE w:val="0"/>
        <w:autoSpaceDN w:val="0"/>
        <w:adjustRightInd w:val="0"/>
        <w:spacing w:line="293" w:lineRule="atLeast"/>
        <w:jc w:val="both"/>
        <w:rPr>
          <w:i/>
          <w:sz w:val="20"/>
          <w:szCs w:val="20"/>
        </w:rPr>
      </w:pPr>
      <w:r w:rsidRPr="007B010A">
        <w:rPr>
          <w:i/>
          <w:sz w:val="20"/>
          <w:szCs w:val="20"/>
        </w:rPr>
        <w:t>Avots: NVD</w:t>
      </w:r>
    </w:p>
    <w:p w14:paraId="6F9D1836" w14:textId="77777777" w:rsidR="00D923AA" w:rsidRPr="007B010A" w:rsidRDefault="00D923AA" w:rsidP="00D923AA">
      <w:pPr>
        <w:autoSpaceDE w:val="0"/>
        <w:autoSpaceDN w:val="0"/>
        <w:adjustRightInd w:val="0"/>
        <w:spacing w:line="293" w:lineRule="atLeast"/>
        <w:jc w:val="both"/>
      </w:pPr>
    </w:p>
    <w:p w14:paraId="6E1CB6FC" w14:textId="23A7E3DF" w:rsidR="00D923AA" w:rsidRPr="007B010A" w:rsidRDefault="0036108D" w:rsidP="00D923AA">
      <w:pPr>
        <w:autoSpaceDE w:val="0"/>
        <w:autoSpaceDN w:val="0"/>
        <w:adjustRightInd w:val="0"/>
        <w:ind w:firstLine="720"/>
        <w:jc w:val="both"/>
        <w:rPr>
          <w:shd w:val="clear" w:color="auto" w:fill="FFFFFF"/>
        </w:rPr>
      </w:pPr>
      <w:r w:rsidRPr="007B010A">
        <w:rPr>
          <w:shd w:val="clear" w:color="auto" w:fill="FFFFFF"/>
        </w:rPr>
        <w:t>J</w:t>
      </w:r>
      <w:r w:rsidR="00D923AA" w:rsidRPr="007B010A">
        <w:rPr>
          <w:shd w:val="clear" w:color="auto" w:fill="FFFFFF"/>
        </w:rPr>
        <w:t>a skatās pakalpojumu grupās, tad var izcelt rehabilitācijas pakalpojumus (Rehabilitācija dienas stacionārā</w:t>
      </w:r>
      <w:r w:rsidR="007708C2" w:rsidRPr="007B010A">
        <w:rPr>
          <w:shd w:val="clear" w:color="auto" w:fill="FFFFFF"/>
        </w:rPr>
        <w:t xml:space="preserve"> un</w:t>
      </w:r>
      <w:r w:rsidR="00D923AA" w:rsidRPr="007B010A">
        <w:rPr>
          <w:shd w:val="clear" w:color="auto" w:fill="FFFFFF"/>
        </w:rPr>
        <w:t xml:space="preserve"> Rehabilitācijas pakalpojumi), kur ir ne tikai kopējais izmeklējumu skaita pieaugums, bet arī visos rehabilitācijas pakalpojumu veidos gaidīšanas laiks pakalpojumu saņemšanai ir samazinājies.</w:t>
      </w:r>
    </w:p>
    <w:p w14:paraId="5EA4D4C9" w14:textId="1F2E6A74" w:rsidR="00D923AA" w:rsidRPr="007B010A" w:rsidRDefault="00D923AA" w:rsidP="00D923AA">
      <w:pPr>
        <w:autoSpaceDE w:val="0"/>
        <w:autoSpaceDN w:val="0"/>
        <w:adjustRightInd w:val="0"/>
        <w:ind w:firstLine="720"/>
        <w:jc w:val="both"/>
        <w:rPr>
          <w:shd w:val="clear" w:color="auto" w:fill="FFFFFF"/>
        </w:rPr>
      </w:pPr>
      <w:r w:rsidRPr="007B010A">
        <w:rPr>
          <w:shd w:val="clear" w:color="auto" w:fill="FFFFFF"/>
        </w:rPr>
        <w:lastRenderedPageBreak/>
        <w:t xml:space="preserve">Pēc </w:t>
      </w:r>
      <w:r w:rsidR="00987582" w:rsidRPr="007B010A">
        <w:rPr>
          <w:shd w:val="clear" w:color="auto" w:fill="FFFFFF"/>
        </w:rPr>
        <w:t xml:space="preserve">2018.gada </w:t>
      </w:r>
      <w:r w:rsidRPr="007B010A">
        <w:rPr>
          <w:shd w:val="clear" w:color="auto" w:fill="FFFFFF"/>
        </w:rPr>
        <w:t xml:space="preserve">NVD ārstniecības iestāžu aptaujas </w:t>
      </w:r>
      <w:proofErr w:type="spellStart"/>
      <w:r w:rsidRPr="007B010A">
        <w:rPr>
          <w:i/>
          <w:shd w:val="clear" w:color="auto" w:fill="FFFFFF"/>
        </w:rPr>
        <w:t>online</w:t>
      </w:r>
      <w:proofErr w:type="spellEnd"/>
      <w:r w:rsidRPr="007B010A">
        <w:rPr>
          <w:shd w:val="clear" w:color="auto" w:fill="FFFFFF"/>
        </w:rPr>
        <w:t xml:space="preserve"> vidē datiem (ārstniecības iestādes, kuras nodrošina divus vai vairāk pakalpojumu veidus), var secināt, ka ārstniecības iestādēm 33%  gadījumos nav pietiekami ārstu resursi, lai mazinātu gaidīšanas rindas, kas liecina par to, ka steidzami ir nepieciešams palielināt atalgojumu ārst</w:t>
      </w:r>
      <w:r w:rsidR="007C1385" w:rsidRPr="007B010A">
        <w:rPr>
          <w:shd w:val="clear" w:color="auto" w:fill="FFFFFF"/>
        </w:rPr>
        <w:t>niecības personām, lai saglabātu</w:t>
      </w:r>
      <w:r w:rsidRPr="007B010A">
        <w:rPr>
          <w:shd w:val="clear" w:color="auto" w:fill="FFFFFF"/>
        </w:rPr>
        <w:t xml:space="preserve"> esošos un piesaistītu jaunus speciālistus un turpinātu iesāktās intervences mazināt gaidīšanas rindu garumu.</w:t>
      </w:r>
    </w:p>
    <w:p w14:paraId="32AD4969" w14:textId="77777777" w:rsidR="00BE5358" w:rsidRPr="007B010A" w:rsidRDefault="00BE5358" w:rsidP="00BE5358">
      <w:pPr>
        <w:autoSpaceDE w:val="0"/>
        <w:autoSpaceDN w:val="0"/>
        <w:adjustRightInd w:val="0"/>
        <w:ind w:firstLine="720"/>
        <w:jc w:val="both"/>
        <w:rPr>
          <w:shd w:val="clear" w:color="auto" w:fill="FFFFFF"/>
        </w:rPr>
      </w:pPr>
      <w:r w:rsidRPr="007B010A">
        <w:t>Līdz ar to, iesāktās reformas veselības aprūpes pakalpojumu pieejamības nodrošināšanā tiks turpinātas, samazinot gaidīšanas rindu apjomus un 2019.gadā uzsākot Rehabilitācijas stratēģisko iepirkumu, nodrošinot pakalpojumu apjoma pieaugumu.</w:t>
      </w:r>
    </w:p>
    <w:p w14:paraId="01667CB5" w14:textId="167BF261" w:rsidR="000535EA" w:rsidRPr="007B010A" w:rsidRDefault="002417F7" w:rsidP="008A27C5">
      <w:pPr>
        <w:autoSpaceDE w:val="0"/>
        <w:autoSpaceDN w:val="0"/>
        <w:adjustRightInd w:val="0"/>
        <w:spacing w:line="293" w:lineRule="atLeast"/>
        <w:ind w:firstLine="720"/>
        <w:jc w:val="both"/>
      </w:pPr>
      <w:r w:rsidRPr="007B010A">
        <w:t>Atbilstoši konceptuālajam ziņojumam “Par veselības aprūpes sistēmas reformu” līdz 2019.gada beigām tiks sasniegts kopējais veselības aprūpes reformu mērķis samazinot gaidīšanas rindu par 50%.</w:t>
      </w:r>
    </w:p>
    <w:p w14:paraId="08A4BD49" w14:textId="772CB070" w:rsidR="00D923AA" w:rsidRPr="007B010A" w:rsidRDefault="00D923AA" w:rsidP="002C697A">
      <w:pPr>
        <w:autoSpaceDE w:val="0"/>
        <w:autoSpaceDN w:val="0"/>
        <w:adjustRightInd w:val="0"/>
        <w:spacing w:line="293" w:lineRule="atLeast"/>
        <w:rPr>
          <w:u w:val="single"/>
        </w:rPr>
      </w:pPr>
    </w:p>
    <w:p w14:paraId="32FE4534" w14:textId="77777777" w:rsidR="00D923AA" w:rsidRPr="007B010A" w:rsidRDefault="00D923AA" w:rsidP="00D923AA">
      <w:pPr>
        <w:autoSpaceDE w:val="0"/>
        <w:autoSpaceDN w:val="0"/>
        <w:adjustRightInd w:val="0"/>
        <w:spacing w:line="293" w:lineRule="atLeast"/>
        <w:jc w:val="center"/>
        <w:rPr>
          <w:u w:val="single"/>
        </w:rPr>
      </w:pPr>
      <w:r w:rsidRPr="007B010A">
        <w:rPr>
          <w:u w:val="single"/>
        </w:rPr>
        <w:t>Diabēta apmācības kabinetu izveide</w:t>
      </w:r>
    </w:p>
    <w:p w14:paraId="5FB1B1C2" w14:textId="77777777" w:rsidR="00D923AA" w:rsidRPr="007B010A" w:rsidRDefault="00D923AA" w:rsidP="00D923AA">
      <w:pPr>
        <w:autoSpaceDE w:val="0"/>
        <w:autoSpaceDN w:val="0"/>
        <w:adjustRightInd w:val="0"/>
        <w:spacing w:line="293" w:lineRule="atLeast"/>
        <w:jc w:val="both"/>
      </w:pPr>
    </w:p>
    <w:p w14:paraId="3E4091D4" w14:textId="58A2B8BF" w:rsidR="00A624B3" w:rsidRPr="007B010A" w:rsidRDefault="00D923AA" w:rsidP="00AD009E">
      <w:pPr>
        <w:autoSpaceDE w:val="0"/>
        <w:autoSpaceDN w:val="0"/>
        <w:adjustRightInd w:val="0"/>
        <w:ind w:firstLine="720"/>
        <w:jc w:val="both"/>
      </w:pPr>
      <w:r w:rsidRPr="007B010A">
        <w:t>2018.gadā tika plānots apmaksāt 11 diabēta apmācības kabinetus (4 kabinetus universitātes slimnīcās un 7 reģionālās slimnīcās), par kopējo summu 139</w:t>
      </w:r>
      <w:r w:rsidR="009B1859" w:rsidRPr="007B010A">
        <w:t> </w:t>
      </w:r>
      <w:r w:rsidRPr="007B010A">
        <w:t xml:space="preserve">912 </w:t>
      </w:r>
      <w:proofErr w:type="spellStart"/>
      <w:r w:rsidRPr="007B010A">
        <w:rPr>
          <w:i/>
        </w:rPr>
        <w:t>euro</w:t>
      </w:r>
      <w:proofErr w:type="spellEnd"/>
      <w:r w:rsidRPr="007B010A">
        <w:t xml:space="preserve">. </w:t>
      </w:r>
      <w:r w:rsidR="00586048" w:rsidRPr="007B010A">
        <w:t>At</w:t>
      </w:r>
      <w:r w:rsidR="00AD009E" w:rsidRPr="007B010A">
        <w:t>bilstoši informatīvajā ziņojumā “Par veselības aprūpes reformas īstenošanu 2018.gadā”</w:t>
      </w:r>
      <w:r w:rsidR="005F3341" w:rsidRPr="007B010A">
        <w:t xml:space="preserve"> noteiktajam</w:t>
      </w:r>
      <w:r w:rsidR="00586048" w:rsidRPr="007B010A">
        <w:t>, kurā</w:t>
      </w:r>
      <w:r w:rsidR="00A624B3" w:rsidRPr="007B010A">
        <w:t xml:space="preserve"> atbilstoši </w:t>
      </w:r>
      <w:r w:rsidR="00AB0964" w:rsidRPr="007B010A">
        <w:t xml:space="preserve">NVD mājas lapā pieejamai </w:t>
      </w:r>
      <w:r w:rsidR="00A624B3" w:rsidRPr="007B010A">
        <w:t>apstiprinātajai</w:t>
      </w:r>
      <w:r w:rsidR="00AB0964" w:rsidRPr="007B010A">
        <w:t xml:space="preserve"> ārstniecībā izmantojamo medicīnisko </w:t>
      </w:r>
      <w:r w:rsidR="00A624B3" w:rsidRPr="007B010A">
        <w:t xml:space="preserve"> tehnoloģ</w:t>
      </w:r>
      <w:r w:rsidR="00AB0964" w:rsidRPr="007B010A">
        <w:t>u datu bāzē pieejamai cukura diabēta pacientu apmācības izvērsta</w:t>
      </w:r>
      <w:r w:rsidR="00965070" w:rsidRPr="007B010A">
        <w:t>m</w:t>
      </w:r>
      <w:r w:rsidR="00AB0964" w:rsidRPr="007B010A">
        <w:t xml:space="preserve"> medicīnas tehnoloģijas metodes apraksta</w:t>
      </w:r>
      <w:r w:rsidR="00613589" w:rsidRPr="007B010A">
        <w:rPr>
          <w:rStyle w:val="FootnoteReference"/>
        </w:rPr>
        <w:footnoteReference w:id="8"/>
      </w:r>
      <w:r w:rsidR="00A624B3" w:rsidRPr="007B010A">
        <w:t xml:space="preserve">  diabēta pacienta </w:t>
      </w:r>
      <w:r w:rsidR="00586048" w:rsidRPr="007B010A">
        <w:t>apmācības cikla ilgums ilgst 12 </w:t>
      </w:r>
      <w:r w:rsidR="00A624B3" w:rsidRPr="007B010A">
        <w:t>stundas. Lai izietu apmācības ciklu, katram pacientam nepieciešams apmeklēt diabēta kabinetu 4 reizes. Pirmreizējiem pacientu apmācībai tiek plānots 26 848 apmeklējumi (</w:t>
      </w:r>
      <w:r w:rsidR="00586048" w:rsidRPr="007B010A">
        <w:t>6 712 </w:t>
      </w:r>
      <w:r w:rsidR="00031978" w:rsidRPr="007B010A">
        <w:t>pirmreizējie pacienti </w:t>
      </w:r>
      <w:r w:rsidR="00A624B3" w:rsidRPr="007B010A">
        <w:t>x4 apmeklējumi). Savukārt atkārtotai jeb mērķtiecīgai apmācībai (1 reizi 5 gados) plānots 84 603 apmeklējumi (105 754x4:5). Papildus plānots, ka 5</w:t>
      </w:r>
      <w:r w:rsidR="009B1859" w:rsidRPr="007B010A">
        <w:t> </w:t>
      </w:r>
      <w:r w:rsidR="00A624B3" w:rsidRPr="007B010A">
        <w:t>500</w:t>
      </w:r>
      <w:r w:rsidR="009B1859" w:rsidRPr="007B010A">
        <w:t xml:space="preserve"> </w:t>
      </w:r>
      <w:r w:rsidR="00A624B3" w:rsidRPr="007B010A">
        <w:t>apmeklējumi būtu nepieciešami individuālai apmācībai. Kopā nepieciešams diabētu apmācības kabinetos diabētu pacientu apmācībai plānot 116</w:t>
      </w:r>
      <w:r w:rsidR="009B1859" w:rsidRPr="007B010A">
        <w:t> </w:t>
      </w:r>
      <w:r w:rsidR="00A624B3" w:rsidRPr="007B010A">
        <w:t>951 apmeklējumus gadā. Pieņemot, ka vidējais apmeklējumu skaits dienā vienā kabinetā ir 12 apmeklējumi, lai veiktu visu diabēta pacientu apmācību, valstī kopā būtu nepieciešami 38 kabineti</w:t>
      </w:r>
      <w:r w:rsidRPr="007B010A">
        <w:t xml:space="preserve">. </w:t>
      </w:r>
      <w:r w:rsidR="0016627D" w:rsidRPr="007B010A">
        <w:t>Vidēji vienā darba dienā uz vienu slodzi tiek plānotas 8 pacientu apmācības. Kopā 21</w:t>
      </w:r>
      <w:r w:rsidR="009B1859" w:rsidRPr="007B010A">
        <w:t> </w:t>
      </w:r>
      <w:r w:rsidR="0016627D" w:rsidRPr="007B010A">
        <w:t xml:space="preserve">917 reizes pacienti ir apmeklējuši diabēta apmācības kabinetus. Dienesta līgumos ar pakalpojumu sniedzējiem ir noteikts, ka prioritāri pacientu apmācība tiek veikta grupās, tāpēc apmeklējumu skaits ir lielāks. </w:t>
      </w:r>
      <w:r w:rsidR="00A624B3" w:rsidRPr="007B010A">
        <w:t xml:space="preserve">2018.gadā </w:t>
      </w:r>
      <w:r w:rsidR="00DE1220" w:rsidRPr="007B010A">
        <w:t xml:space="preserve">tika </w:t>
      </w:r>
      <w:r w:rsidR="00A624B3" w:rsidRPr="007B010A">
        <w:t xml:space="preserve">papildus plānots apmaksāt 11 diabēta apmācības kabinetus (4 kabinetus universitātes slimnīcās un 7 reģionālās slimnīcās), kas sastāda 29 348 </w:t>
      </w:r>
      <w:proofErr w:type="spellStart"/>
      <w:r w:rsidR="00A624B3" w:rsidRPr="007B010A">
        <w:rPr>
          <w:i/>
        </w:rPr>
        <w:t>euro</w:t>
      </w:r>
      <w:proofErr w:type="spellEnd"/>
      <w:r w:rsidR="00A624B3" w:rsidRPr="007B010A">
        <w:t>. Prognozētais apmeklējumu skaits šajos kabinetos – 33</w:t>
      </w:r>
      <w:r w:rsidR="009B1859" w:rsidRPr="007B010A">
        <w:t> </w:t>
      </w:r>
      <w:r w:rsidR="00A624B3" w:rsidRPr="007B010A">
        <w:t xml:space="preserve">264 apmeklējumi, kas nosedz 28,44% no kopējā plānotā diabēta </w:t>
      </w:r>
      <w:r w:rsidR="001E0F8B" w:rsidRPr="007B010A">
        <w:t>apmeklējumu</w:t>
      </w:r>
      <w:r w:rsidR="00A624B3" w:rsidRPr="007B010A">
        <w:t xml:space="preserve"> skaita. </w:t>
      </w:r>
    </w:p>
    <w:p w14:paraId="14785F7F" w14:textId="1F8732C7" w:rsidR="00D923AA" w:rsidRPr="007B010A" w:rsidRDefault="00D923AA" w:rsidP="001042CE">
      <w:pPr>
        <w:autoSpaceDE w:val="0"/>
        <w:autoSpaceDN w:val="0"/>
        <w:adjustRightInd w:val="0"/>
        <w:ind w:firstLine="720"/>
        <w:jc w:val="both"/>
      </w:pPr>
      <w:r w:rsidRPr="007B010A">
        <w:t xml:space="preserve">Līdz 2018.gada </w:t>
      </w:r>
      <w:r w:rsidR="004127A4" w:rsidRPr="007B010A">
        <w:t>3</w:t>
      </w:r>
      <w:r w:rsidRPr="007B010A">
        <w:t>1.</w:t>
      </w:r>
      <w:r w:rsidR="004127A4" w:rsidRPr="007B010A">
        <w:t>decembri</w:t>
      </w:r>
      <w:r w:rsidRPr="007B010A">
        <w:t>m ir izveidoti 1</w:t>
      </w:r>
      <w:r w:rsidR="00DC399B" w:rsidRPr="007B010A">
        <w:t>1</w:t>
      </w:r>
      <w:r w:rsidRPr="007B010A">
        <w:t xml:space="preserve"> diabēta apmācību kabineti. </w:t>
      </w:r>
      <w:r w:rsidR="00916B15" w:rsidRPr="007B010A">
        <w:t>S</w:t>
      </w:r>
      <w:r w:rsidR="007D4E49" w:rsidRPr="007B010A">
        <w:t>IA “</w:t>
      </w:r>
      <w:proofErr w:type="spellStart"/>
      <w:r w:rsidR="007D4E49" w:rsidRPr="007B010A">
        <w:t>Ziemeļkurzemes</w:t>
      </w:r>
      <w:proofErr w:type="spellEnd"/>
      <w:r w:rsidR="007D4E49" w:rsidRPr="007B010A">
        <w:t xml:space="preserve"> reģionālajā slimnīcā” viens apmācību kabinets uzsāka darbu no 2018.gada 1.septembra. </w:t>
      </w:r>
    </w:p>
    <w:p w14:paraId="6B493692" w14:textId="22819D54" w:rsidR="00D615B4" w:rsidRPr="007B010A" w:rsidRDefault="00D615B4" w:rsidP="008A27C5">
      <w:pPr>
        <w:autoSpaceDE w:val="0"/>
        <w:autoSpaceDN w:val="0"/>
        <w:adjustRightInd w:val="0"/>
        <w:ind w:firstLine="720"/>
        <w:jc w:val="both"/>
      </w:pPr>
      <w:r w:rsidRPr="007B010A">
        <w:t>VSIA “Bērnu klīniskā universitātes slimnīca” diabēta pacientu kabinetā 2018.gadā pacientu apmācība tika veikta 1810 reizes, 686 unikālajiem pacientiem.</w:t>
      </w:r>
    </w:p>
    <w:p w14:paraId="68F44581" w14:textId="5A20F880" w:rsidR="00D923AA" w:rsidRPr="007B010A" w:rsidRDefault="007C1385" w:rsidP="00D923AA">
      <w:pPr>
        <w:ind w:firstLine="709"/>
        <w:jc w:val="both"/>
      </w:pPr>
      <w:r w:rsidRPr="007B010A">
        <w:t xml:space="preserve">SIA "Rīgas Austrumu klīniskā universitātes slimnīca" </w:t>
      </w:r>
      <w:r w:rsidR="00D923AA" w:rsidRPr="007B010A">
        <w:t xml:space="preserve">divos diabēta pacientu kabinetos 2018.gadā pacientu apmācība tika veikta </w:t>
      </w:r>
      <w:r w:rsidR="00FF484E" w:rsidRPr="007B010A">
        <w:t>412</w:t>
      </w:r>
      <w:r w:rsidR="00D923AA" w:rsidRPr="007B010A">
        <w:t xml:space="preserve"> reizes, 3</w:t>
      </w:r>
      <w:r w:rsidR="00FF484E" w:rsidRPr="007B010A">
        <w:t>79</w:t>
      </w:r>
      <w:r w:rsidR="00D923AA" w:rsidRPr="007B010A">
        <w:t xml:space="preserve"> unikālajiem pacientiem.</w:t>
      </w:r>
    </w:p>
    <w:p w14:paraId="7E1B52CE" w14:textId="49F65BEA" w:rsidR="00D923AA" w:rsidRPr="007B010A" w:rsidRDefault="007C1385" w:rsidP="00D923AA">
      <w:pPr>
        <w:ind w:firstLine="709"/>
        <w:jc w:val="both"/>
      </w:pPr>
      <w:r w:rsidRPr="007B010A">
        <w:rPr>
          <w:bCs/>
          <w:kern w:val="1"/>
          <w:lang w:eastAsia="ar-SA"/>
        </w:rPr>
        <w:t xml:space="preserve">VSIA “Paula Stradiņa klīniskās universitātes slimnīca” </w:t>
      </w:r>
      <w:r w:rsidR="00D923AA" w:rsidRPr="007B010A">
        <w:t xml:space="preserve">divos diabēta pacientu kabinetos 2018.gadā pacientu apmācība tika veikta </w:t>
      </w:r>
      <w:r w:rsidR="00FF484E" w:rsidRPr="007B010A">
        <w:t>1085</w:t>
      </w:r>
      <w:r w:rsidR="00D923AA" w:rsidRPr="007B010A">
        <w:t xml:space="preserve"> reizes, </w:t>
      </w:r>
      <w:r w:rsidR="00FF484E" w:rsidRPr="007B010A">
        <w:t>821</w:t>
      </w:r>
      <w:r w:rsidR="00D923AA" w:rsidRPr="007B010A">
        <w:t xml:space="preserve"> unikālajiem pacientiem.</w:t>
      </w:r>
    </w:p>
    <w:p w14:paraId="7944AD15" w14:textId="057086E1" w:rsidR="00D923AA" w:rsidRPr="007B010A" w:rsidRDefault="00D923AA" w:rsidP="00D923AA">
      <w:pPr>
        <w:ind w:firstLine="709"/>
        <w:jc w:val="both"/>
      </w:pPr>
      <w:proofErr w:type="spellStart"/>
      <w:r w:rsidRPr="007B010A">
        <w:t>Jaunliepājas</w:t>
      </w:r>
      <w:proofErr w:type="spellEnd"/>
      <w:r w:rsidRPr="007B010A">
        <w:t xml:space="preserve"> primārās veselības aprūpes centrā diabēta pacientu kabinetā 2018.gadā pacientu apmācība tika veikta </w:t>
      </w:r>
      <w:r w:rsidR="00D615B4" w:rsidRPr="007B010A">
        <w:t>1411</w:t>
      </w:r>
      <w:r w:rsidRPr="007B010A">
        <w:t xml:space="preserve"> reizes, </w:t>
      </w:r>
      <w:r w:rsidR="00D615B4" w:rsidRPr="007B010A">
        <w:t>639</w:t>
      </w:r>
      <w:r w:rsidRPr="007B010A">
        <w:t xml:space="preserve"> unikālajiem pacientiem.</w:t>
      </w:r>
    </w:p>
    <w:p w14:paraId="5AB0EF65" w14:textId="7C83010B" w:rsidR="00D923AA" w:rsidRPr="007B010A" w:rsidRDefault="00D923AA" w:rsidP="00D923AA">
      <w:pPr>
        <w:autoSpaceDE w:val="0"/>
        <w:autoSpaceDN w:val="0"/>
        <w:adjustRightInd w:val="0"/>
        <w:ind w:firstLine="720"/>
        <w:jc w:val="both"/>
      </w:pPr>
      <w:r w:rsidRPr="007B010A">
        <w:lastRenderedPageBreak/>
        <w:t xml:space="preserve">Daugavpils reģionālā slimnīcā diabēta pacientu kabinetā 2018.gadā pacientu apmācība tika veikta </w:t>
      </w:r>
      <w:r w:rsidR="00D615B4" w:rsidRPr="007B010A">
        <w:t>937</w:t>
      </w:r>
      <w:r w:rsidR="007C1385" w:rsidRPr="007B010A">
        <w:t xml:space="preserve"> reizes, </w:t>
      </w:r>
      <w:r w:rsidR="00D615B4" w:rsidRPr="007B010A">
        <w:t>323</w:t>
      </w:r>
      <w:r w:rsidR="007C1385" w:rsidRPr="007B010A">
        <w:t xml:space="preserve"> unikālaja</w:t>
      </w:r>
      <w:r w:rsidRPr="007B010A">
        <w:t>m pacient</w:t>
      </w:r>
      <w:r w:rsidR="007C1385" w:rsidRPr="007B010A">
        <w:t>a</w:t>
      </w:r>
      <w:r w:rsidRPr="007B010A">
        <w:t>m.</w:t>
      </w:r>
    </w:p>
    <w:p w14:paraId="50DCDDC4" w14:textId="50FD81D2" w:rsidR="00D923AA" w:rsidRPr="007B010A" w:rsidRDefault="00D923AA" w:rsidP="00D923AA">
      <w:pPr>
        <w:autoSpaceDE w:val="0"/>
        <w:autoSpaceDN w:val="0"/>
        <w:adjustRightInd w:val="0"/>
        <w:ind w:firstLine="720"/>
        <w:jc w:val="both"/>
      </w:pPr>
      <w:r w:rsidRPr="007B010A">
        <w:t xml:space="preserve">Rēzeknes slimnīcā diabēta pacientu kabinetā 2018.gadā pacientu apmācība tika veikta </w:t>
      </w:r>
      <w:r w:rsidR="00D615B4" w:rsidRPr="007B010A">
        <w:t>3506</w:t>
      </w:r>
      <w:r w:rsidRPr="007B010A">
        <w:t xml:space="preserve"> reizes, </w:t>
      </w:r>
      <w:r w:rsidR="00D615B4" w:rsidRPr="007B010A">
        <w:t>931</w:t>
      </w:r>
      <w:r w:rsidRPr="007B010A">
        <w:t xml:space="preserve"> unikālajiem pacientiem.</w:t>
      </w:r>
    </w:p>
    <w:p w14:paraId="44348D82" w14:textId="6BA0A4EA" w:rsidR="00D923AA" w:rsidRPr="007B010A" w:rsidRDefault="00D923AA" w:rsidP="00D923AA">
      <w:pPr>
        <w:autoSpaceDE w:val="0"/>
        <w:autoSpaceDN w:val="0"/>
        <w:adjustRightInd w:val="0"/>
        <w:ind w:firstLine="720"/>
        <w:jc w:val="both"/>
      </w:pPr>
      <w:r w:rsidRPr="007B010A">
        <w:t xml:space="preserve">Vidzemes slimnīcā diabēta pacientu kabinetā 2018.gadā pacientu apmācība tika veikta </w:t>
      </w:r>
      <w:r w:rsidR="00D615B4" w:rsidRPr="007B010A">
        <w:t>43</w:t>
      </w:r>
      <w:r w:rsidRPr="007B010A">
        <w:t xml:space="preserve"> reizes, </w:t>
      </w:r>
      <w:r w:rsidR="00D615B4" w:rsidRPr="007B010A">
        <w:t>33</w:t>
      </w:r>
      <w:r w:rsidRPr="007B010A">
        <w:t xml:space="preserve"> unikālajiem pacientiem.</w:t>
      </w:r>
    </w:p>
    <w:p w14:paraId="2F257DE2" w14:textId="3B9817D8" w:rsidR="00D923AA" w:rsidRPr="007B010A" w:rsidRDefault="00D923AA" w:rsidP="00D923AA">
      <w:pPr>
        <w:autoSpaceDE w:val="0"/>
        <w:autoSpaceDN w:val="0"/>
        <w:adjustRightInd w:val="0"/>
        <w:ind w:firstLine="720"/>
        <w:jc w:val="both"/>
      </w:pPr>
      <w:r w:rsidRPr="007B010A">
        <w:t xml:space="preserve">Zemgales diabēta centrā diabēta pacientu kabinetā 2018.gadā pacientu apmācība tika veikta </w:t>
      </w:r>
      <w:r w:rsidR="00D615B4" w:rsidRPr="007B010A">
        <w:t>3669</w:t>
      </w:r>
      <w:r w:rsidRPr="007B010A">
        <w:t xml:space="preserve"> reizes, </w:t>
      </w:r>
      <w:r w:rsidR="00D615B4" w:rsidRPr="007B010A">
        <w:t>775</w:t>
      </w:r>
      <w:r w:rsidRPr="007B010A">
        <w:t xml:space="preserve"> unikālajiem pacientiem.</w:t>
      </w:r>
    </w:p>
    <w:p w14:paraId="4C5B0FC8" w14:textId="5AA2C7BE" w:rsidR="00D923AA" w:rsidRPr="007B010A" w:rsidRDefault="00D923AA" w:rsidP="00D923AA">
      <w:pPr>
        <w:autoSpaceDE w:val="0"/>
        <w:autoSpaceDN w:val="0"/>
        <w:adjustRightInd w:val="0"/>
        <w:ind w:firstLine="720"/>
        <w:jc w:val="both"/>
      </w:pPr>
      <w:r w:rsidRPr="007B010A">
        <w:t xml:space="preserve">Jelgavas poliklīnikā diabēta pacientu kabinetā 2018.gadā pacientu apmācība tika veikta </w:t>
      </w:r>
      <w:r w:rsidR="00D615B4" w:rsidRPr="007B010A">
        <w:t>325</w:t>
      </w:r>
      <w:r w:rsidRPr="007B010A">
        <w:t xml:space="preserve"> reizes, </w:t>
      </w:r>
      <w:r w:rsidR="00D615B4" w:rsidRPr="007B010A">
        <w:t>111</w:t>
      </w:r>
      <w:r w:rsidRPr="007B010A">
        <w:t xml:space="preserve"> unikālajiem pacientiem.</w:t>
      </w:r>
    </w:p>
    <w:p w14:paraId="5C794CD6" w14:textId="7BB2F776" w:rsidR="00D923AA" w:rsidRPr="007B010A" w:rsidRDefault="00D923AA" w:rsidP="00D923AA">
      <w:pPr>
        <w:autoSpaceDE w:val="0"/>
        <w:autoSpaceDN w:val="0"/>
        <w:adjustRightInd w:val="0"/>
        <w:ind w:firstLine="720"/>
        <w:jc w:val="both"/>
      </w:pPr>
      <w:r w:rsidRPr="007B010A">
        <w:t>Jēkabpils reģionālajā slimnīcā diabēta pacientu kabinetā 2018.gadā pacientu apmācība tika veikta 1</w:t>
      </w:r>
      <w:r w:rsidR="00D615B4" w:rsidRPr="007B010A">
        <w:t>731</w:t>
      </w:r>
      <w:r w:rsidRPr="007B010A">
        <w:t xml:space="preserve"> reizes, </w:t>
      </w:r>
      <w:r w:rsidR="00D615B4" w:rsidRPr="007B010A">
        <w:t>392</w:t>
      </w:r>
      <w:r w:rsidRPr="007B010A">
        <w:t xml:space="preserve"> unikālajiem pacientiem.</w:t>
      </w:r>
    </w:p>
    <w:p w14:paraId="3A71CABE" w14:textId="3598D5A7" w:rsidR="00684801" w:rsidRPr="007B010A" w:rsidRDefault="00684801" w:rsidP="00D923AA">
      <w:pPr>
        <w:autoSpaceDE w:val="0"/>
        <w:autoSpaceDN w:val="0"/>
        <w:adjustRightInd w:val="0"/>
        <w:ind w:firstLine="720"/>
        <w:jc w:val="both"/>
      </w:pPr>
      <w:proofErr w:type="spellStart"/>
      <w:r w:rsidRPr="007B010A">
        <w:t>Ziemeļkurzemes</w:t>
      </w:r>
      <w:proofErr w:type="spellEnd"/>
      <w:r w:rsidRPr="007B010A">
        <w:t xml:space="preserve"> reģionālajā slimnīcā diabēta pacientu kabinetā 2018.gadā pacientu apmācība tika veikta 15 reizes, </w:t>
      </w:r>
      <w:r w:rsidR="00D615B4" w:rsidRPr="007B010A">
        <w:t>15</w:t>
      </w:r>
      <w:r w:rsidRPr="007B010A">
        <w:t xml:space="preserve"> unikālajiem pacientiem.</w:t>
      </w:r>
    </w:p>
    <w:p w14:paraId="34859E23" w14:textId="1B9D2B26" w:rsidR="00D923AA" w:rsidRPr="007B010A" w:rsidRDefault="00D923AA" w:rsidP="00D923AA">
      <w:pPr>
        <w:autoSpaceDE w:val="0"/>
        <w:autoSpaceDN w:val="0"/>
        <w:adjustRightInd w:val="0"/>
        <w:ind w:firstLine="720"/>
        <w:jc w:val="both"/>
      </w:pPr>
      <w:r w:rsidRPr="007B010A">
        <w:t>Ņemot vērā iepriekš minēto informāciju 2018.gadā izveidotajos diabēta apmācību kabinetos pacientu a</w:t>
      </w:r>
      <w:r w:rsidR="007C1385" w:rsidRPr="007B010A">
        <w:t xml:space="preserve">pmācība tika veikta </w:t>
      </w:r>
      <w:r w:rsidR="00F76752" w:rsidRPr="007B010A">
        <w:t>13</w:t>
      </w:r>
      <w:r w:rsidR="009B1859" w:rsidRPr="007B010A">
        <w:t> </w:t>
      </w:r>
      <w:r w:rsidR="00F76752" w:rsidRPr="007B010A">
        <w:t>134</w:t>
      </w:r>
      <w:r w:rsidR="007C1385" w:rsidRPr="007B010A">
        <w:t xml:space="preserve"> reizi</w:t>
      </w:r>
      <w:r w:rsidRPr="007B010A">
        <w:t xml:space="preserve">, </w:t>
      </w:r>
      <w:r w:rsidR="00F76752" w:rsidRPr="007B010A">
        <w:t>4</w:t>
      </w:r>
      <w:r w:rsidR="009B1859" w:rsidRPr="007B010A">
        <w:t> </w:t>
      </w:r>
      <w:r w:rsidR="00F76752" w:rsidRPr="007B010A">
        <w:t>419</w:t>
      </w:r>
      <w:r w:rsidRPr="007B010A">
        <w:t xml:space="preserve"> unikālajiem pacientiem par kopējo summu </w:t>
      </w:r>
      <w:r w:rsidR="00D7714F" w:rsidRPr="007B010A">
        <w:t>116</w:t>
      </w:r>
      <w:r w:rsidR="009B1859" w:rsidRPr="007B010A">
        <w:t> </w:t>
      </w:r>
      <w:r w:rsidR="00D7714F" w:rsidRPr="007B010A">
        <w:t>859</w:t>
      </w:r>
      <w:r w:rsidRPr="007B010A">
        <w:t xml:space="preserve"> </w:t>
      </w:r>
      <w:proofErr w:type="spellStart"/>
      <w:r w:rsidRPr="007B010A">
        <w:rPr>
          <w:i/>
        </w:rPr>
        <w:t>euro</w:t>
      </w:r>
      <w:proofErr w:type="spellEnd"/>
      <w:r w:rsidRPr="007B010A">
        <w:t xml:space="preserve"> jeb </w:t>
      </w:r>
      <w:r w:rsidR="00D7714F" w:rsidRPr="007B010A">
        <w:t>83,52</w:t>
      </w:r>
      <w:r w:rsidRPr="007B010A">
        <w:t xml:space="preserve">% no gada plānotā finansējuma. </w:t>
      </w:r>
    </w:p>
    <w:p w14:paraId="0F6C3404" w14:textId="2A4006A6" w:rsidR="00617A80" w:rsidRPr="007B010A" w:rsidRDefault="00617A80" w:rsidP="00617A80">
      <w:pPr>
        <w:pStyle w:val="CommentText"/>
        <w:spacing w:after="0"/>
        <w:ind w:firstLine="720"/>
        <w:jc w:val="both"/>
        <w:rPr>
          <w:rFonts w:ascii="Times New Roman" w:hAnsi="Times New Roman" w:cs="Times New Roman"/>
          <w:sz w:val="24"/>
          <w:szCs w:val="24"/>
        </w:rPr>
      </w:pPr>
      <w:r w:rsidRPr="007B010A">
        <w:rPr>
          <w:rFonts w:ascii="Times New Roman" w:hAnsi="Times New Roman" w:cs="Times New Roman"/>
          <w:sz w:val="24"/>
          <w:szCs w:val="24"/>
        </w:rPr>
        <w:t>Ņemot vērā, ka šādu kabinetu izveide ir jauns</w:t>
      </w:r>
      <w:r w:rsidR="001E0F8B" w:rsidRPr="007B010A">
        <w:rPr>
          <w:rFonts w:ascii="Times New Roman" w:hAnsi="Times New Roman" w:cs="Times New Roman"/>
          <w:sz w:val="24"/>
          <w:szCs w:val="24"/>
        </w:rPr>
        <w:t xml:space="preserve"> pakalpojums</w:t>
      </w:r>
      <w:r w:rsidRPr="007B010A">
        <w:rPr>
          <w:rFonts w:ascii="Times New Roman" w:hAnsi="Times New Roman" w:cs="Times New Roman"/>
          <w:sz w:val="24"/>
          <w:szCs w:val="24"/>
        </w:rPr>
        <w:t xml:space="preserve"> Latvijas veselības aprūpes sistēmai, tas nerezultējas ar plānotajiem rezultātiem 2017.gadā, jo pakalpojums ir salīdzinoši jauns un ne visas ārstniecības personas un pacienti ir informēti par šāda pakalpojuma esamību un pieejamību, tāpēc apmeklējumu skaits pirmajā pakalpojuma ieviešanas gadā ir mazāks nekā tas bija plānots šāda veida pakalpojumu ieviešot.</w:t>
      </w:r>
    </w:p>
    <w:p w14:paraId="7EEB1206" w14:textId="5B59F973" w:rsidR="00617A80" w:rsidRPr="007B010A" w:rsidRDefault="00617A80" w:rsidP="002F6B01">
      <w:pPr>
        <w:pStyle w:val="CommentText"/>
        <w:spacing w:after="0"/>
        <w:ind w:firstLine="720"/>
        <w:jc w:val="both"/>
        <w:rPr>
          <w:rFonts w:ascii="Times New Roman" w:hAnsi="Times New Roman" w:cs="Times New Roman"/>
          <w:sz w:val="24"/>
          <w:szCs w:val="24"/>
        </w:rPr>
      </w:pPr>
      <w:r w:rsidRPr="007B010A">
        <w:rPr>
          <w:rFonts w:ascii="Times New Roman" w:hAnsi="Times New Roman" w:cs="Times New Roman"/>
          <w:sz w:val="24"/>
          <w:szCs w:val="24"/>
        </w:rPr>
        <w:t xml:space="preserve">Kopumā diabēta apmācības kabinetu ieviešana ir pietiekami sarežģīta un laikietilpīga, speciālistu trūkuma dēļ. Latvijā ir maz māsu, kas specializējušās diabēta apmācībā. </w:t>
      </w:r>
      <w:r w:rsidR="004E4045" w:rsidRPr="007B010A">
        <w:rPr>
          <w:rFonts w:ascii="Times New Roman" w:hAnsi="Times New Roman" w:cs="Times New Roman"/>
          <w:sz w:val="24"/>
          <w:szCs w:val="24"/>
        </w:rPr>
        <w:t xml:space="preserve">Līdz ar to pakāpeniski arī 2019.gadā tiks atvērti jauni diabēta kabineti, piesaistot jaunus speciālistus. </w:t>
      </w:r>
    </w:p>
    <w:p w14:paraId="45DB478D" w14:textId="77777777" w:rsidR="00802F84" w:rsidRPr="007B010A" w:rsidRDefault="00802F84" w:rsidP="008A27C5">
      <w:pPr>
        <w:autoSpaceDE w:val="0"/>
        <w:autoSpaceDN w:val="0"/>
        <w:adjustRightInd w:val="0"/>
        <w:spacing w:line="293" w:lineRule="atLeast"/>
        <w:rPr>
          <w:u w:val="single"/>
        </w:rPr>
      </w:pPr>
    </w:p>
    <w:p w14:paraId="61BA82F3" w14:textId="6B80C38F" w:rsidR="00D923AA" w:rsidRPr="007B010A" w:rsidRDefault="00D923AA" w:rsidP="00D923AA">
      <w:pPr>
        <w:autoSpaceDE w:val="0"/>
        <w:autoSpaceDN w:val="0"/>
        <w:adjustRightInd w:val="0"/>
        <w:spacing w:line="293" w:lineRule="atLeast"/>
        <w:jc w:val="center"/>
        <w:rPr>
          <w:u w:val="single"/>
        </w:rPr>
      </w:pPr>
      <w:proofErr w:type="spellStart"/>
      <w:r w:rsidRPr="007B010A">
        <w:rPr>
          <w:u w:val="single"/>
        </w:rPr>
        <w:t>Endoprotezēšanas</w:t>
      </w:r>
      <w:proofErr w:type="spellEnd"/>
      <w:r w:rsidRPr="007B010A">
        <w:rPr>
          <w:u w:val="single"/>
        </w:rPr>
        <w:t xml:space="preserve"> operācijas stacionārā</w:t>
      </w:r>
    </w:p>
    <w:p w14:paraId="4B3E968B" w14:textId="77777777" w:rsidR="00D923AA" w:rsidRPr="007B010A" w:rsidRDefault="00D923AA" w:rsidP="00D923AA">
      <w:pPr>
        <w:autoSpaceDE w:val="0"/>
        <w:autoSpaceDN w:val="0"/>
        <w:adjustRightInd w:val="0"/>
        <w:ind w:firstLine="720"/>
        <w:jc w:val="both"/>
        <w:rPr>
          <w:bCs/>
          <w:bdr w:val="none" w:sz="0" w:space="0" w:color="auto" w:frame="1"/>
          <w:lang w:bidi="lo-LA"/>
        </w:rPr>
      </w:pPr>
    </w:p>
    <w:p w14:paraId="3B222C69" w14:textId="778D12AA" w:rsidR="00D923AA" w:rsidRPr="007B010A" w:rsidRDefault="00D923AA" w:rsidP="00D923AA">
      <w:pPr>
        <w:autoSpaceDE w:val="0"/>
        <w:autoSpaceDN w:val="0"/>
        <w:adjustRightInd w:val="0"/>
        <w:ind w:firstLine="720"/>
        <w:jc w:val="both"/>
      </w:pPr>
      <w:r w:rsidRPr="007B010A">
        <w:t>2018.gadā tika plānots papildus apmaksāt</w:t>
      </w:r>
      <w:r w:rsidR="007C1385" w:rsidRPr="007B010A">
        <w:t xml:space="preserve"> 981 </w:t>
      </w:r>
      <w:proofErr w:type="spellStart"/>
      <w:r w:rsidR="007C1385" w:rsidRPr="007B010A">
        <w:t>endoprotezēšanas</w:t>
      </w:r>
      <w:proofErr w:type="spellEnd"/>
      <w:r w:rsidR="007C1385" w:rsidRPr="007B010A">
        <w:t xml:space="preserve"> operāciju</w:t>
      </w:r>
      <w:r w:rsidRPr="007B010A">
        <w:t xml:space="preserve">, par kopējo summu 2 614 685 </w:t>
      </w:r>
      <w:proofErr w:type="spellStart"/>
      <w:r w:rsidRPr="007B010A">
        <w:rPr>
          <w:i/>
        </w:rPr>
        <w:t>euro</w:t>
      </w:r>
      <w:proofErr w:type="spellEnd"/>
      <w:r w:rsidRPr="007B010A">
        <w:t xml:space="preserve">. </w:t>
      </w:r>
    </w:p>
    <w:p w14:paraId="290E90C9" w14:textId="77777777" w:rsidR="00D923AA" w:rsidRPr="007B010A" w:rsidRDefault="00D923AA" w:rsidP="00D923AA">
      <w:pPr>
        <w:autoSpaceDE w:val="0"/>
        <w:autoSpaceDN w:val="0"/>
        <w:adjustRightInd w:val="0"/>
        <w:ind w:firstLine="720"/>
        <w:jc w:val="both"/>
      </w:pPr>
      <w:r w:rsidRPr="007B010A">
        <w:rPr>
          <w:bCs/>
          <w:bdr w:val="none" w:sz="0" w:space="0" w:color="auto" w:frame="1"/>
          <w:lang w:bidi="lo-LA"/>
        </w:rPr>
        <w:t xml:space="preserve">Valsts apmaksātu lielo locītavu </w:t>
      </w:r>
      <w:proofErr w:type="spellStart"/>
      <w:r w:rsidRPr="007B010A">
        <w:rPr>
          <w:bCs/>
          <w:bdr w:val="none" w:sz="0" w:space="0" w:color="auto" w:frame="1"/>
          <w:lang w:bidi="lo-LA"/>
        </w:rPr>
        <w:t>endoprotezēšanas</w:t>
      </w:r>
      <w:proofErr w:type="spellEnd"/>
      <w:r w:rsidRPr="007B010A">
        <w:rPr>
          <w:bCs/>
          <w:bdr w:val="none" w:sz="0" w:space="0" w:color="auto" w:frame="1"/>
          <w:lang w:bidi="lo-LA"/>
        </w:rPr>
        <w:t xml:space="preserve"> (bojātās locītavas nomaiņa ar mākslīgu protēzi) operācijas</w:t>
      </w:r>
      <w:r w:rsidRPr="007B010A">
        <w:t xml:space="preserve"> veic 10 slimnīcās visā valstī.</w:t>
      </w:r>
    </w:p>
    <w:p w14:paraId="2ED5444A" w14:textId="77777777" w:rsidR="00D923AA" w:rsidRPr="007B010A" w:rsidRDefault="00D923AA" w:rsidP="00D923AA">
      <w:pPr>
        <w:autoSpaceDE w:val="0"/>
        <w:autoSpaceDN w:val="0"/>
        <w:adjustRightInd w:val="0"/>
        <w:ind w:firstLine="720"/>
        <w:jc w:val="right"/>
        <w:rPr>
          <w:i/>
        </w:rPr>
      </w:pPr>
      <w:r w:rsidRPr="007B010A">
        <w:rPr>
          <w:i/>
        </w:rPr>
        <w:t>10. tabula</w:t>
      </w:r>
    </w:p>
    <w:p w14:paraId="46A9997C" w14:textId="783183F5" w:rsidR="00D923AA" w:rsidRPr="007B010A" w:rsidRDefault="00D923AA" w:rsidP="00D923AA">
      <w:pPr>
        <w:autoSpaceDE w:val="0"/>
        <w:autoSpaceDN w:val="0"/>
        <w:adjustRightInd w:val="0"/>
        <w:spacing w:line="293" w:lineRule="atLeast"/>
        <w:jc w:val="center"/>
      </w:pPr>
      <w:proofErr w:type="spellStart"/>
      <w:r w:rsidRPr="007B010A">
        <w:t>Endoprotezēšanas</w:t>
      </w:r>
      <w:proofErr w:type="spellEnd"/>
      <w:r w:rsidRPr="007B010A">
        <w:t xml:space="preserve"> operācijas stacionārā 2018.gada izpilde</w:t>
      </w:r>
    </w:p>
    <w:p w14:paraId="7371F246" w14:textId="77777777" w:rsidR="00D923AA" w:rsidRPr="007B010A" w:rsidRDefault="00D923AA" w:rsidP="00D923AA">
      <w:pPr>
        <w:autoSpaceDE w:val="0"/>
        <w:autoSpaceDN w:val="0"/>
        <w:adjustRightInd w:val="0"/>
        <w:spacing w:line="293" w:lineRule="atLeast"/>
        <w:rPr>
          <w:b/>
          <w:i/>
        </w:rPr>
      </w:pPr>
    </w:p>
    <w:tbl>
      <w:tblPr>
        <w:tblW w:w="7928" w:type="dxa"/>
        <w:jc w:val="center"/>
        <w:tblLook w:val="04A0" w:firstRow="1" w:lastRow="0" w:firstColumn="1" w:lastColumn="0" w:noHBand="0" w:noVBand="1"/>
      </w:tblPr>
      <w:tblGrid>
        <w:gridCol w:w="3820"/>
        <w:gridCol w:w="990"/>
        <w:gridCol w:w="992"/>
        <w:gridCol w:w="992"/>
        <w:gridCol w:w="1134"/>
      </w:tblGrid>
      <w:tr w:rsidR="00D923AA" w:rsidRPr="007B010A" w14:paraId="0BF35C6F" w14:textId="77777777" w:rsidTr="00B14649">
        <w:trPr>
          <w:trHeight w:val="517"/>
          <w:jc w:val="center"/>
        </w:trPr>
        <w:tc>
          <w:tcPr>
            <w:tcW w:w="3820" w:type="dxa"/>
            <w:vMerge w:val="restart"/>
            <w:tcBorders>
              <w:top w:val="single" w:sz="8" w:space="0" w:color="auto"/>
              <w:left w:val="single" w:sz="8" w:space="0" w:color="auto"/>
              <w:bottom w:val="single" w:sz="4" w:space="0" w:color="auto"/>
              <w:right w:val="single" w:sz="4" w:space="0" w:color="auto"/>
            </w:tcBorders>
            <w:shd w:val="clear" w:color="auto" w:fill="92D050"/>
            <w:noWrap/>
            <w:vAlign w:val="center"/>
            <w:hideMark/>
          </w:tcPr>
          <w:p w14:paraId="75686B86" w14:textId="77777777" w:rsidR="00D923AA" w:rsidRPr="00191A85" w:rsidRDefault="00D923AA" w:rsidP="00376CF0">
            <w:pPr>
              <w:jc w:val="center"/>
              <w:rPr>
                <w:b/>
                <w:bCs/>
                <w:sz w:val="22"/>
                <w:szCs w:val="22"/>
              </w:rPr>
            </w:pPr>
            <w:r w:rsidRPr="00191A85">
              <w:rPr>
                <w:b/>
                <w:bCs/>
                <w:sz w:val="22"/>
                <w:szCs w:val="22"/>
              </w:rPr>
              <w:t>Pasākums</w:t>
            </w:r>
          </w:p>
        </w:tc>
        <w:tc>
          <w:tcPr>
            <w:tcW w:w="990" w:type="dxa"/>
            <w:vMerge w:val="restart"/>
            <w:tcBorders>
              <w:top w:val="single" w:sz="8" w:space="0" w:color="auto"/>
              <w:left w:val="single" w:sz="4" w:space="0" w:color="auto"/>
              <w:bottom w:val="single" w:sz="4" w:space="0" w:color="auto"/>
              <w:right w:val="single" w:sz="4" w:space="0" w:color="auto"/>
            </w:tcBorders>
            <w:shd w:val="clear" w:color="auto" w:fill="92D050"/>
            <w:textDirection w:val="btLr"/>
            <w:vAlign w:val="center"/>
            <w:hideMark/>
          </w:tcPr>
          <w:p w14:paraId="41F1FCE0" w14:textId="77777777" w:rsidR="00D923AA" w:rsidRPr="00191A85" w:rsidRDefault="00D923AA" w:rsidP="00376CF0">
            <w:pPr>
              <w:jc w:val="center"/>
              <w:rPr>
                <w:sz w:val="22"/>
                <w:szCs w:val="22"/>
              </w:rPr>
            </w:pPr>
            <w:r w:rsidRPr="00191A85">
              <w:rPr>
                <w:sz w:val="22"/>
                <w:szCs w:val="22"/>
              </w:rPr>
              <w:t>Pacientu skaits rindā uz 01.01.2018.</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92D050"/>
            <w:textDirection w:val="btLr"/>
            <w:vAlign w:val="center"/>
            <w:hideMark/>
          </w:tcPr>
          <w:p w14:paraId="7B7EE753" w14:textId="03EE3B26" w:rsidR="00D923AA" w:rsidRPr="00191A85" w:rsidRDefault="00D923AA" w:rsidP="00376CF0">
            <w:pPr>
              <w:jc w:val="center"/>
              <w:rPr>
                <w:sz w:val="22"/>
                <w:szCs w:val="22"/>
              </w:rPr>
            </w:pPr>
            <w:r w:rsidRPr="00191A85">
              <w:rPr>
                <w:sz w:val="22"/>
                <w:szCs w:val="22"/>
              </w:rPr>
              <w:t>Pacientu skaits rindā uz 01.0</w:t>
            </w:r>
            <w:r w:rsidR="00FC0EFA" w:rsidRPr="00191A85">
              <w:rPr>
                <w:sz w:val="22"/>
                <w:szCs w:val="22"/>
              </w:rPr>
              <w:t>1</w:t>
            </w:r>
            <w:r w:rsidRPr="00191A85">
              <w:rPr>
                <w:sz w:val="22"/>
                <w:szCs w:val="22"/>
              </w:rPr>
              <w:t>.201</w:t>
            </w:r>
            <w:r w:rsidR="00FC0EFA" w:rsidRPr="00191A85">
              <w:rPr>
                <w:sz w:val="22"/>
                <w:szCs w:val="22"/>
              </w:rPr>
              <w:t>9</w:t>
            </w:r>
            <w:r w:rsidRPr="00191A85">
              <w:rPr>
                <w:sz w:val="22"/>
                <w:szCs w:val="22"/>
              </w:rPr>
              <w:t>.</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92D050"/>
            <w:textDirection w:val="btLr"/>
            <w:vAlign w:val="center"/>
            <w:hideMark/>
          </w:tcPr>
          <w:p w14:paraId="43867DF0" w14:textId="77777777" w:rsidR="00B14649" w:rsidRPr="00191A85" w:rsidRDefault="00D923AA" w:rsidP="00965EB1">
            <w:pPr>
              <w:jc w:val="center"/>
              <w:rPr>
                <w:sz w:val="22"/>
                <w:szCs w:val="22"/>
              </w:rPr>
            </w:pPr>
            <w:r w:rsidRPr="00191A85">
              <w:rPr>
                <w:sz w:val="22"/>
                <w:szCs w:val="22"/>
              </w:rPr>
              <w:t xml:space="preserve">Rindas samazinājums </w:t>
            </w:r>
          </w:p>
          <w:p w14:paraId="4E7D6612" w14:textId="794ABECC" w:rsidR="00D923AA" w:rsidRPr="00191A85" w:rsidRDefault="00D923AA" w:rsidP="00965EB1">
            <w:pPr>
              <w:jc w:val="center"/>
              <w:rPr>
                <w:sz w:val="22"/>
                <w:szCs w:val="22"/>
              </w:rPr>
            </w:pPr>
            <w:r w:rsidRPr="00191A85">
              <w:rPr>
                <w:sz w:val="22"/>
                <w:szCs w:val="22"/>
              </w:rPr>
              <w:t>2018.gadā pacientu skaits</w:t>
            </w:r>
          </w:p>
        </w:tc>
        <w:tc>
          <w:tcPr>
            <w:tcW w:w="1134" w:type="dxa"/>
            <w:vMerge w:val="restart"/>
            <w:tcBorders>
              <w:top w:val="single" w:sz="8" w:space="0" w:color="auto"/>
              <w:left w:val="single" w:sz="4" w:space="0" w:color="auto"/>
              <w:bottom w:val="single" w:sz="4" w:space="0" w:color="auto"/>
              <w:right w:val="single" w:sz="8" w:space="0" w:color="auto"/>
            </w:tcBorders>
            <w:shd w:val="clear" w:color="auto" w:fill="92D050"/>
            <w:textDirection w:val="btLr"/>
            <w:vAlign w:val="center"/>
            <w:hideMark/>
          </w:tcPr>
          <w:p w14:paraId="3BC19163" w14:textId="25AADEFF" w:rsidR="00D923AA" w:rsidRPr="00191A85" w:rsidRDefault="00D923AA" w:rsidP="00376CF0">
            <w:pPr>
              <w:jc w:val="center"/>
              <w:rPr>
                <w:sz w:val="22"/>
                <w:szCs w:val="22"/>
              </w:rPr>
            </w:pPr>
            <w:r w:rsidRPr="00191A85">
              <w:rPr>
                <w:sz w:val="22"/>
                <w:szCs w:val="22"/>
              </w:rPr>
              <w:t>% rindas samazinājums 2018.gadā</w:t>
            </w:r>
          </w:p>
        </w:tc>
      </w:tr>
      <w:tr w:rsidR="00D923AA" w:rsidRPr="007B010A" w14:paraId="77E321A1" w14:textId="77777777" w:rsidTr="00B14649">
        <w:trPr>
          <w:trHeight w:val="517"/>
          <w:jc w:val="center"/>
        </w:trPr>
        <w:tc>
          <w:tcPr>
            <w:tcW w:w="3820" w:type="dxa"/>
            <w:vMerge/>
            <w:tcBorders>
              <w:top w:val="single" w:sz="8" w:space="0" w:color="auto"/>
              <w:left w:val="single" w:sz="8" w:space="0" w:color="auto"/>
              <w:bottom w:val="single" w:sz="4" w:space="0" w:color="auto"/>
              <w:right w:val="single" w:sz="4" w:space="0" w:color="auto"/>
            </w:tcBorders>
            <w:shd w:val="clear" w:color="auto" w:fill="92D050"/>
            <w:vAlign w:val="center"/>
            <w:hideMark/>
          </w:tcPr>
          <w:p w14:paraId="122DBD28" w14:textId="77777777" w:rsidR="00D923AA" w:rsidRPr="00191A85" w:rsidRDefault="00D923AA" w:rsidP="00376CF0">
            <w:pPr>
              <w:rPr>
                <w:b/>
                <w:bCs/>
                <w:sz w:val="22"/>
                <w:szCs w:val="22"/>
              </w:rPr>
            </w:pPr>
          </w:p>
        </w:tc>
        <w:tc>
          <w:tcPr>
            <w:tcW w:w="990"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7FBE6F29"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47BB6A9C"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7BF5C01B" w14:textId="77777777" w:rsidR="00D923AA" w:rsidRPr="00191A85" w:rsidRDefault="00D923AA" w:rsidP="00376CF0">
            <w:pPr>
              <w:rPr>
                <w:sz w:val="22"/>
                <w:szCs w:val="22"/>
              </w:rPr>
            </w:pPr>
          </w:p>
        </w:tc>
        <w:tc>
          <w:tcPr>
            <w:tcW w:w="1134" w:type="dxa"/>
            <w:vMerge/>
            <w:tcBorders>
              <w:top w:val="single" w:sz="8" w:space="0" w:color="auto"/>
              <w:left w:val="single" w:sz="4" w:space="0" w:color="auto"/>
              <w:bottom w:val="single" w:sz="4" w:space="0" w:color="auto"/>
              <w:right w:val="single" w:sz="8" w:space="0" w:color="auto"/>
            </w:tcBorders>
            <w:shd w:val="clear" w:color="auto" w:fill="92D050"/>
            <w:vAlign w:val="center"/>
            <w:hideMark/>
          </w:tcPr>
          <w:p w14:paraId="1DD7B90E" w14:textId="77777777" w:rsidR="00D923AA" w:rsidRPr="00191A85" w:rsidRDefault="00D923AA" w:rsidP="00376CF0">
            <w:pPr>
              <w:rPr>
                <w:sz w:val="22"/>
                <w:szCs w:val="22"/>
              </w:rPr>
            </w:pPr>
          </w:p>
        </w:tc>
      </w:tr>
      <w:tr w:rsidR="00D923AA" w:rsidRPr="007B010A" w14:paraId="36062028" w14:textId="77777777" w:rsidTr="00B14649">
        <w:trPr>
          <w:trHeight w:val="1065"/>
          <w:jc w:val="center"/>
        </w:trPr>
        <w:tc>
          <w:tcPr>
            <w:tcW w:w="3820" w:type="dxa"/>
            <w:vMerge/>
            <w:tcBorders>
              <w:top w:val="single" w:sz="8" w:space="0" w:color="auto"/>
              <w:left w:val="single" w:sz="8" w:space="0" w:color="auto"/>
              <w:bottom w:val="single" w:sz="4" w:space="0" w:color="auto"/>
              <w:right w:val="single" w:sz="4" w:space="0" w:color="auto"/>
            </w:tcBorders>
            <w:shd w:val="clear" w:color="auto" w:fill="92D050"/>
            <w:vAlign w:val="center"/>
            <w:hideMark/>
          </w:tcPr>
          <w:p w14:paraId="5F8E0BA2" w14:textId="77777777" w:rsidR="00D923AA" w:rsidRPr="00191A85" w:rsidRDefault="00D923AA" w:rsidP="00376CF0">
            <w:pPr>
              <w:rPr>
                <w:b/>
                <w:bCs/>
                <w:sz w:val="22"/>
                <w:szCs w:val="22"/>
              </w:rPr>
            </w:pPr>
          </w:p>
        </w:tc>
        <w:tc>
          <w:tcPr>
            <w:tcW w:w="990"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6761204A"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142099F1"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41BE6AF9" w14:textId="77777777" w:rsidR="00D923AA" w:rsidRPr="00191A85" w:rsidRDefault="00D923AA" w:rsidP="00376CF0">
            <w:pPr>
              <w:rPr>
                <w:sz w:val="22"/>
                <w:szCs w:val="22"/>
              </w:rPr>
            </w:pPr>
          </w:p>
        </w:tc>
        <w:tc>
          <w:tcPr>
            <w:tcW w:w="1134" w:type="dxa"/>
            <w:vMerge/>
            <w:tcBorders>
              <w:top w:val="single" w:sz="8" w:space="0" w:color="auto"/>
              <w:left w:val="single" w:sz="4" w:space="0" w:color="auto"/>
              <w:bottom w:val="single" w:sz="4" w:space="0" w:color="auto"/>
              <w:right w:val="single" w:sz="8" w:space="0" w:color="auto"/>
            </w:tcBorders>
            <w:shd w:val="clear" w:color="auto" w:fill="92D050"/>
            <w:vAlign w:val="center"/>
            <w:hideMark/>
          </w:tcPr>
          <w:p w14:paraId="411AA3AE" w14:textId="77777777" w:rsidR="00D923AA" w:rsidRPr="00191A85" w:rsidRDefault="00D923AA" w:rsidP="00376CF0">
            <w:pPr>
              <w:rPr>
                <w:sz w:val="22"/>
                <w:szCs w:val="22"/>
              </w:rPr>
            </w:pPr>
          </w:p>
        </w:tc>
      </w:tr>
      <w:tr w:rsidR="00D923AA" w:rsidRPr="007B010A" w14:paraId="0641157D" w14:textId="77777777" w:rsidTr="00B14649">
        <w:trPr>
          <w:trHeight w:val="555"/>
          <w:jc w:val="center"/>
        </w:trPr>
        <w:tc>
          <w:tcPr>
            <w:tcW w:w="3820" w:type="dxa"/>
            <w:vMerge/>
            <w:tcBorders>
              <w:top w:val="single" w:sz="8" w:space="0" w:color="auto"/>
              <w:left w:val="single" w:sz="8" w:space="0" w:color="auto"/>
              <w:bottom w:val="single" w:sz="4" w:space="0" w:color="auto"/>
              <w:right w:val="single" w:sz="4" w:space="0" w:color="auto"/>
            </w:tcBorders>
            <w:shd w:val="clear" w:color="auto" w:fill="92D050"/>
            <w:vAlign w:val="center"/>
            <w:hideMark/>
          </w:tcPr>
          <w:p w14:paraId="240C5F1F" w14:textId="77777777" w:rsidR="00D923AA" w:rsidRPr="00191A85" w:rsidRDefault="00D923AA" w:rsidP="00376CF0">
            <w:pPr>
              <w:rPr>
                <w:b/>
                <w:bCs/>
                <w:sz w:val="22"/>
                <w:szCs w:val="22"/>
              </w:rPr>
            </w:pPr>
          </w:p>
        </w:tc>
        <w:tc>
          <w:tcPr>
            <w:tcW w:w="990"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09A9F1C5"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57ACCD4F"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1B4D3920" w14:textId="77777777" w:rsidR="00D923AA" w:rsidRPr="00191A85" w:rsidRDefault="00D923AA" w:rsidP="00376CF0">
            <w:pPr>
              <w:rPr>
                <w:sz w:val="22"/>
                <w:szCs w:val="22"/>
              </w:rPr>
            </w:pPr>
          </w:p>
        </w:tc>
        <w:tc>
          <w:tcPr>
            <w:tcW w:w="1134" w:type="dxa"/>
            <w:vMerge/>
            <w:tcBorders>
              <w:top w:val="single" w:sz="8" w:space="0" w:color="auto"/>
              <w:left w:val="single" w:sz="4" w:space="0" w:color="auto"/>
              <w:bottom w:val="single" w:sz="4" w:space="0" w:color="auto"/>
              <w:right w:val="single" w:sz="8" w:space="0" w:color="auto"/>
            </w:tcBorders>
            <w:shd w:val="clear" w:color="auto" w:fill="92D050"/>
            <w:vAlign w:val="center"/>
            <w:hideMark/>
          </w:tcPr>
          <w:p w14:paraId="7C9549E7" w14:textId="77777777" w:rsidR="00D923AA" w:rsidRPr="00191A85" w:rsidRDefault="00D923AA" w:rsidP="00376CF0">
            <w:pPr>
              <w:rPr>
                <w:sz w:val="22"/>
                <w:szCs w:val="22"/>
              </w:rPr>
            </w:pPr>
          </w:p>
        </w:tc>
      </w:tr>
      <w:tr w:rsidR="00D923AA" w:rsidRPr="007B010A" w14:paraId="6F794D11" w14:textId="77777777" w:rsidTr="00B14649">
        <w:trPr>
          <w:trHeight w:val="517"/>
          <w:jc w:val="center"/>
        </w:trPr>
        <w:tc>
          <w:tcPr>
            <w:tcW w:w="3820" w:type="dxa"/>
            <w:vMerge/>
            <w:tcBorders>
              <w:top w:val="single" w:sz="8" w:space="0" w:color="auto"/>
              <w:left w:val="single" w:sz="8" w:space="0" w:color="auto"/>
              <w:bottom w:val="single" w:sz="4" w:space="0" w:color="auto"/>
              <w:right w:val="single" w:sz="4" w:space="0" w:color="auto"/>
            </w:tcBorders>
            <w:shd w:val="clear" w:color="auto" w:fill="92D050"/>
            <w:vAlign w:val="center"/>
            <w:hideMark/>
          </w:tcPr>
          <w:p w14:paraId="09E2058D" w14:textId="77777777" w:rsidR="00D923AA" w:rsidRPr="00191A85" w:rsidRDefault="00D923AA" w:rsidP="00376CF0">
            <w:pPr>
              <w:rPr>
                <w:b/>
                <w:bCs/>
                <w:sz w:val="22"/>
                <w:szCs w:val="22"/>
              </w:rPr>
            </w:pPr>
          </w:p>
        </w:tc>
        <w:tc>
          <w:tcPr>
            <w:tcW w:w="990"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3EFB9AFC"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55758831"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18F6A70E" w14:textId="77777777" w:rsidR="00D923AA" w:rsidRPr="00191A85" w:rsidRDefault="00D923AA" w:rsidP="00376CF0">
            <w:pPr>
              <w:rPr>
                <w:sz w:val="22"/>
                <w:szCs w:val="22"/>
              </w:rPr>
            </w:pPr>
          </w:p>
        </w:tc>
        <w:tc>
          <w:tcPr>
            <w:tcW w:w="1134" w:type="dxa"/>
            <w:vMerge/>
            <w:tcBorders>
              <w:top w:val="single" w:sz="8" w:space="0" w:color="auto"/>
              <w:left w:val="single" w:sz="4" w:space="0" w:color="auto"/>
              <w:bottom w:val="single" w:sz="4" w:space="0" w:color="auto"/>
              <w:right w:val="single" w:sz="8" w:space="0" w:color="auto"/>
            </w:tcBorders>
            <w:shd w:val="clear" w:color="auto" w:fill="92D050"/>
            <w:vAlign w:val="center"/>
            <w:hideMark/>
          </w:tcPr>
          <w:p w14:paraId="4973831A" w14:textId="77777777" w:rsidR="00D923AA" w:rsidRPr="00191A85" w:rsidRDefault="00D923AA" w:rsidP="00376CF0">
            <w:pPr>
              <w:rPr>
                <w:sz w:val="22"/>
                <w:szCs w:val="22"/>
              </w:rPr>
            </w:pPr>
          </w:p>
        </w:tc>
      </w:tr>
      <w:tr w:rsidR="00D923AA" w:rsidRPr="007B010A" w14:paraId="085D49C0" w14:textId="77777777" w:rsidTr="00B14649">
        <w:trPr>
          <w:trHeight w:val="517"/>
          <w:jc w:val="center"/>
        </w:trPr>
        <w:tc>
          <w:tcPr>
            <w:tcW w:w="3820" w:type="dxa"/>
            <w:vMerge/>
            <w:tcBorders>
              <w:top w:val="single" w:sz="8" w:space="0" w:color="auto"/>
              <w:left w:val="single" w:sz="8" w:space="0" w:color="auto"/>
              <w:bottom w:val="single" w:sz="4" w:space="0" w:color="auto"/>
              <w:right w:val="single" w:sz="4" w:space="0" w:color="auto"/>
            </w:tcBorders>
            <w:shd w:val="clear" w:color="auto" w:fill="92D050"/>
            <w:vAlign w:val="center"/>
            <w:hideMark/>
          </w:tcPr>
          <w:p w14:paraId="1B8E701A" w14:textId="77777777" w:rsidR="00D923AA" w:rsidRPr="00191A85" w:rsidRDefault="00D923AA" w:rsidP="00376CF0">
            <w:pPr>
              <w:rPr>
                <w:b/>
                <w:bCs/>
                <w:sz w:val="22"/>
                <w:szCs w:val="22"/>
              </w:rPr>
            </w:pPr>
          </w:p>
        </w:tc>
        <w:tc>
          <w:tcPr>
            <w:tcW w:w="990"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426F50B7"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437849F5" w14:textId="77777777" w:rsidR="00D923AA" w:rsidRPr="00191A85" w:rsidRDefault="00D923AA" w:rsidP="00376CF0">
            <w:pPr>
              <w:rPr>
                <w:sz w:val="22"/>
                <w:szCs w:val="22"/>
              </w:rPr>
            </w:pPr>
          </w:p>
        </w:tc>
        <w:tc>
          <w:tcPr>
            <w:tcW w:w="992" w:type="dxa"/>
            <w:vMerge/>
            <w:tcBorders>
              <w:top w:val="single" w:sz="8" w:space="0" w:color="auto"/>
              <w:left w:val="single" w:sz="4" w:space="0" w:color="auto"/>
              <w:bottom w:val="single" w:sz="4" w:space="0" w:color="auto"/>
              <w:right w:val="single" w:sz="4" w:space="0" w:color="auto"/>
            </w:tcBorders>
            <w:shd w:val="clear" w:color="auto" w:fill="92D050"/>
            <w:vAlign w:val="center"/>
            <w:hideMark/>
          </w:tcPr>
          <w:p w14:paraId="78BA0ECC" w14:textId="77777777" w:rsidR="00D923AA" w:rsidRPr="00191A85" w:rsidRDefault="00D923AA" w:rsidP="00376CF0">
            <w:pPr>
              <w:rPr>
                <w:sz w:val="22"/>
                <w:szCs w:val="22"/>
              </w:rPr>
            </w:pPr>
          </w:p>
        </w:tc>
        <w:tc>
          <w:tcPr>
            <w:tcW w:w="1134" w:type="dxa"/>
            <w:vMerge/>
            <w:tcBorders>
              <w:top w:val="single" w:sz="8" w:space="0" w:color="auto"/>
              <w:left w:val="single" w:sz="4" w:space="0" w:color="auto"/>
              <w:bottom w:val="single" w:sz="4" w:space="0" w:color="auto"/>
              <w:right w:val="single" w:sz="8" w:space="0" w:color="auto"/>
            </w:tcBorders>
            <w:shd w:val="clear" w:color="auto" w:fill="92D050"/>
            <w:vAlign w:val="center"/>
            <w:hideMark/>
          </w:tcPr>
          <w:p w14:paraId="14D69D4D" w14:textId="77777777" w:rsidR="00D923AA" w:rsidRPr="00191A85" w:rsidRDefault="00D923AA" w:rsidP="00376CF0">
            <w:pPr>
              <w:rPr>
                <w:sz w:val="22"/>
                <w:szCs w:val="22"/>
              </w:rPr>
            </w:pPr>
          </w:p>
        </w:tc>
      </w:tr>
      <w:tr w:rsidR="00D923AA" w:rsidRPr="007B010A" w14:paraId="2EC8B08D" w14:textId="77777777" w:rsidTr="00B14649">
        <w:trPr>
          <w:trHeight w:val="148"/>
          <w:jc w:val="center"/>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E2F5C1" w14:textId="77777777" w:rsidR="00D923AA" w:rsidRPr="00191A85" w:rsidRDefault="00D923AA" w:rsidP="00376CF0">
            <w:pPr>
              <w:rPr>
                <w:sz w:val="22"/>
                <w:szCs w:val="22"/>
              </w:rPr>
            </w:pPr>
            <w:proofErr w:type="spellStart"/>
            <w:r w:rsidRPr="00191A85">
              <w:rPr>
                <w:sz w:val="22"/>
                <w:szCs w:val="22"/>
              </w:rPr>
              <w:t>Endoprotezēšanas</w:t>
            </w:r>
            <w:proofErr w:type="spellEnd"/>
            <w:r w:rsidRPr="00191A85">
              <w:rPr>
                <w:sz w:val="22"/>
                <w:szCs w:val="22"/>
              </w:rPr>
              <w:t xml:space="preserve"> operācijas</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FAF75C" w14:textId="598DE8A3" w:rsidR="00D923AA" w:rsidRPr="00191A85" w:rsidRDefault="00D923AA" w:rsidP="00376CF0">
            <w:pPr>
              <w:rPr>
                <w:sz w:val="22"/>
                <w:szCs w:val="22"/>
              </w:rPr>
            </w:pPr>
            <w:r w:rsidRPr="00191A85">
              <w:rPr>
                <w:sz w:val="22"/>
                <w:szCs w:val="22"/>
              </w:rPr>
              <w:t>21</w:t>
            </w:r>
            <w:r w:rsidR="0080224B" w:rsidRPr="00191A85">
              <w:rPr>
                <w:sz w:val="22"/>
                <w:szCs w:val="22"/>
              </w:rPr>
              <w:t xml:space="preserve"> </w:t>
            </w:r>
            <w:r w:rsidRPr="00191A85">
              <w:rPr>
                <w:sz w:val="22"/>
                <w:szCs w:val="22"/>
              </w:rPr>
              <w:t>191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3CD7" w14:textId="5BA7D98C" w:rsidR="00D923AA" w:rsidRPr="00191A85" w:rsidRDefault="00D923AA" w:rsidP="00B14649">
            <w:pPr>
              <w:rPr>
                <w:sz w:val="22"/>
                <w:szCs w:val="22"/>
              </w:rPr>
            </w:pPr>
            <w:r w:rsidRPr="00191A85">
              <w:rPr>
                <w:sz w:val="22"/>
                <w:szCs w:val="22"/>
              </w:rPr>
              <w:t>1</w:t>
            </w:r>
            <w:r w:rsidR="00DC0D40" w:rsidRPr="00191A85">
              <w:rPr>
                <w:sz w:val="22"/>
                <w:szCs w:val="22"/>
              </w:rPr>
              <w:t>6</w:t>
            </w:r>
            <w:r w:rsidR="00B14649" w:rsidRPr="00191A85">
              <w:rPr>
                <w:sz w:val="22"/>
                <w:szCs w:val="22"/>
              </w:rPr>
              <w:t xml:space="preserve"> </w:t>
            </w:r>
            <w:r w:rsidRPr="00191A85">
              <w:rPr>
                <w:sz w:val="22"/>
                <w:szCs w:val="22"/>
              </w:rPr>
              <w:t>4</w:t>
            </w:r>
            <w:r w:rsidR="00DC0D40" w:rsidRPr="00191A85">
              <w:rPr>
                <w:sz w:val="22"/>
                <w:szCs w:val="22"/>
              </w:rPr>
              <w:t>77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5AFBB0" w14:textId="398E1DCB" w:rsidR="00D923AA" w:rsidRPr="00191A85" w:rsidRDefault="00D923AA" w:rsidP="00376CF0">
            <w:pPr>
              <w:rPr>
                <w:sz w:val="22"/>
                <w:szCs w:val="22"/>
              </w:rPr>
            </w:pPr>
            <w:r w:rsidRPr="00191A85">
              <w:rPr>
                <w:sz w:val="22"/>
                <w:szCs w:val="22"/>
              </w:rPr>
              <w:t>-</w:t>
            </w:r>
            <w:r w:rsidR="008419F6" w:rsidRPr="00191A85">
              <w:rPr>
                <w:sz w:val="22"/>
                <w:szCs w:val="22"/>
              </w:rPr>
              <w:t>4 714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768B3F" w14:textId="269E1094" w:rsidR="00D923AA" w:rsidRPr="00191A85" w:rsidRDefault="00D923AA" w:rsidP="00376CF0">
            <w:pPr>
              <w:jc w:val="right"/>
              <w:rPr>
                <w:sz w:val="22"/>
                <w:szCs w:val="22"/>
              </w:rPr>
            </w:pPr>
            <w:r w:rsidRPr="00191A85">
              <w:rPr>
                <w:sz w:val="22"/>
                <w:szCs w:val="22"/>
              </w:rPr>
              <w:t>-</w:t>
            </w:r>
            <w:r w:rsidR="008419F6" w:rsidRPr="00191A85">
              <w:rPr>
                <w:sz w:val="22"/>
                <w:szCs w:val="22"/>
              </w:rPr>
              <w:t>2</w:t>
            </w:r>
            <w:r w:rsidRPr="00191A85">
              <w:rPr>
                <w:sz w:val="22"/>
                <w:szCs w:val="22"/>
              </w:rPr>
              <w:t>2.</w:t>
            </w:r>
            <w:r w:rsidR="008419F6" w:rsidRPr="00191A85">
              <w:rPr>
                <w:sz w:val="22"/>
                <w:szCs w:val="22"/>
              </w:rPr>
              <w:t>25</w:t>
            </w:r>
            <w:r w:rsidRPr="00191A85">
              <w:rPr>
                <w:sz w:val="22"/>
                <w:szCs w:val="22"/>
              </w:rPr>
              <w:t>%</w:t>
            </w:r>
          </w:p>
        </w:tc>
      </w:tr>
    </w:tbl>
    <w:p w14:paraId="6429E1B2" w14:textId="77777777" w:rsidR="00D923AA" w:rsidRPr="007B010A" w:rsidRDefault="00D923AA" w:rsidP="00D923AA">
      <w:pPr>
        <w:autoSpaceDE w:val="0"/>
        <w:autoSpaceDN w:val="0"/>
        <w:adjustRightInd w:val="0"/>
        <w:ind w:firstLine="720"/>
        <w:jc w:val="both"/>
      </w:pPr>
    </w:p>
    <w:p w14:paraId="45D7381A" w14:textId="379017D0" w:rsidR="00D923AA" w:rsidRPr="007B010A" w:rsidRDefault="00D923AA" w:rsidP="002F6B01">
      <w:pPr>
        <w:autoSpaceDE w:val="0"/>
        <w:autoSpaceDN w:val="0"/>
        <w:adjustRightInd w:val="0"/>
        <w:ind w:firstLine="720"/>
        <w:jc w:val="both"/>
        <w:rPr>
          <w:u w:val="single"/>
        </w:rPr>
      </w:pPr>
      <w:r w:rsidRPr="007B010A">
        <w:lastRenderedPageBreak/>
        <w:t xml:space="preserve">Atbilstoši 2018.gada faktiskajai izpildei no 2018.gada 1.janvāra līdz </w:t>
      </w:r>
      <w:r w:rsidR="00FC0EFA" w:rsidRPr="007B010A">
        <w:t>3</w:t>
      </w:r>
      <w:r w:rsidRPr="007B010A">
        <w:t>1.</w:t>
      </w:r>
      <w:r w:rsidR="006B332A" w:rsidRPr="007B010A">
        <w:t>decembri</w:t>
      </w:r>
      <w:r w:rsidRPr="007B010A">
        <w:t xml:space="preserve">m kopējo rindu garumu ir izdevies samazināt par </w:t>
      </w:r>
      <w:r w:rsidR="008419F6" w:rsidRPr="007B010A">
        <w:t>2</w:t>
      </w:r>
      <w:r w:rsidRPr="007B010A">
        <w:t>2,</w:t>
      </w:r>
      <w:r w:rsidR="008419F6" w:rsidRPr="007B010A">
        <w:t>25</w:t>
      </w:r>
      <w:r w:rsidRPr="007B010A">
        <w:t xml:space="preserve">%, kopumā veicot </w:t>
      </w:r>
      <w:r w:rsidR="001D2C61" w:rsidRPr="007B010A">
        <w:t xml:space="preserve">1 136 </w:t>
      </w:r>
      <w:proofErr w:type="spellStart"/>
      <w:r w:rsidRPr="007B010A">
        <w:t>endoprotezēšanas</w:t>
      </w:r>
      <w:proofErr w:type="spellEnd"/>
      <w:r w:rsidRPr="007B010A">
        <w:t xml:space="preserve"> operācijas</w:t>
      </w:r>
      <w:r w:rsidR="0023581B" w:rsidRPr="007B010A">
        <w:t>, finansējumu apgūstot 100% apmērā</w:t>
      </w:r>
      <w:r w:rsidRPr="007B010A">
        <w:t>. (skatīt 10.tabulu).</w:t>
      </w:r>
      <w:r w:rsidR="00351C1A" w:rsidRPr="007B010A">
        <w:rPr>
          <w:rFonts w:eastAsiaTheme="minorHAnsi"/>
          <w:noProof/>
        </w:rPr>
        <w:t>Lai pacientu gaidīšanas rindu uz lielo locītavu endoprotezēšanas operācijām padarītu pēc iespējas objektīvāku, samazinot risku, ka vienā rindā tiek uzskaitīti pacientieti kam operācija nepieciešama pēc iespējas ātrāk, pacienti, kam operācijas nepieciešamība ir provizoriska tuvāko gadu laikā, kā arī, pacienti, kas psihoemocionāli nav gatavi plānotajai ārstēšanai u.c. iemesli, tiks iztrādāti vienoti endoprotezēšanas pakalpojumu rindu veidošanas principi. Vienotie rindu veidošanas principi tiks iekļauti līgumos ar ārstniecības iestādēm (tie būs pieejami arī NVD tīmekļa vietnē), kas paredz, ka gaidīšanas rinda uz lielo locītavu endoprotezēšanas pakalpojumiem dalāma trīs atsevišķi uzskaitāmos reģistros – rinda operācijai steidzamības kārtā, par ko lemj ārstu konsīlijs (jau šobrīd esoša kārtība), rinda vispārējā kārtībā (pacientiem, kam operācija ir nepieciešama tuvākā gada laikā un kurai pacients piekrīt), kā arī – dinamiskās novērošas rinda (pacienti, kam operācija provizoriski būs nepieciešama).</w:t>
      </w:r>
    </w:p>
    <w:p w14:paraId="656B92EB" w14:textId="77777777" w:rsidR="00FA2770" w:rsidRPr="007B010A" w:rsidRDefault="00FA2770" w:rsidP="00D923AA">
      <w:pPr>
        <w:autoSpaceDE w:val="0"/>
        <w:autoSpaceDN w:val="0"/>
        <w:adjustRightInd w:val="0"/>
        <w:spacing w:line="293" w:lineRule="atLeast"/>
        <w:jc w:val="center"/>
        <w:rPr>
          <w:u w:val="single"/>
        </w:rPr>
      </w:pPr>
    </w:p>
    <w:p w14:paraId="6C902990" w14:textId="754B50E7" w:rsidR="00D923AA" w:rsidRPr="007B010A" w:rsidRDefault="00D923AA" w:rsidP="00D923AA">
      <w:pPr>
        <w:autoSpaceDE w:val="0"/>
        <w:autoSpaceDN w:val="0"/>
        <w:adjustRightInd w:val="0"/>
        <w:spacing w:line="293" w:lineRule="atLeast"/>
        <w:jc w:val="center"/>
        <w:rPr>
          <w:u w:val="single"/>
        </w:rPr>
      </w:pPr>
      <w:r w:rsidRPr="007B010A">
        <w:rPr>
          <w:u w:val="single"/>
        </w:rPr>
        <w:t>Darbnespējas saīsināšana un pasākumi prognozējamās invaliditātes novēršanai ar mērķi novērst ilgstošu slimošanu personām darbspējīgā vecumā</w:t>
      </w:r>
    </w:p>
    <w:p w14:paraId="71977DA2" w14:textId="77777777" w:rsidR="00D923AA" w:rsidRPr="007B010A" w:rsidRDefault="00D923AA" w:rsidP="00D923AA">
      <w:pPr>
        <w:autoSpaceDE w:val="0"/>
        <w:autoSpaceDN w:val="0"/>
        <w:adjustRightInd w:val="0"/>
        <w:spacing w:line="293" w:lineRule="atLeast"/>
        <w:jc w:val="both"/>
      </w:pPr>
    </w:p>
    <w:p w14:paraId="5BBBA7A9" w14:textId="78752EE2" w:rsidR="00D923AA" w:rsidRPr="007B010A" w:rsidRDefault="00D923AA" w:rsidP="00D923AA">
      <w:pPr>
        <w:autoSpaceDE w:val="0"/>
        <w:autoSpaceDN w:val="0"/>
        <w:adjustRightInd w:val="0"/>
        <w:ind w:firstLine="720"/>
        <w:jc w:val="both"/>
      </w:pPr>
      <w:r w:rsidRPr="007B010A">
        <w:t xml:space="preserve">Lai mazinātu rindas uz plānveida stacionāriem pakalpojumiem personām darbspējīgā vecumā, tādējādi mazinot darba spējas zudumu, 2018.gadā tika piešķirts papildus finansējums 2 563 917 </w:t>
      </w:r>
      <w:proofErr w:type="spellStart"/>
      <w:r w:rsidRPr="007B010A">
        <w:rPr>
          <w:i/>
        </w:rPr>
        <w:t>euro</w:t>
      </w:r>
      <w:proofErr w:type="spellEnd"/>
      <w:r w:rsidRPr="007B010A">
        <w:t xml:space="preserve"> apmērā, lai apmaksātu 1</w:t>
      </w:r>
      <w:r w:rsidR="009B1859" w:rsidRPr="007B010A">
        <w:t> </w:t>
      </w:r>
      <w:r w:rsidRPr="007B010A">
        <w:t>667 plānveida stacionāros pakalpojumus pacientiem darbspējīgā vecumā.</w:t>
      </w:r>
      <w:r w:rsidR="004E1F7D" w:rsidRPr="007B010A">
        <w:t xml:space="preserve"> </w:t>
      </w:r>
    </w:p>
    <w:p w14:paraId="491BE951" w14:textId="219E927C" w:rsidR="00D923AA" w:rsidRPr="007B010A" w:rsidRDefault="00D923AA" w:rsidP="00D923AA">
      <w:pPr>
        <w:autoSpaceDE w:val="0"/>
        <w:autoSpaceDN w:val="0"/>
        <w:adjustRightInd w:val="0"/>
        <w:ind w:firstLine="720"/>
        <w:jc w:val="both"/>
      </w:pPr>
      <w:r w:rsidRPr="007B010A">
        <w:t xml:space="preserve">Saskaņā </w:t>
      </w:r>
      <w:r w:rsidR="00191A85">
        <w:t xml:space="preserve">ar </w:t>
      </w:r>
      <w:r w:rsidRPr="007B010A">
        <w:t>Noteikumi</w:t>
      </w:r>
      <w:r w:rsidR="00093715" w:rsidRPr="007B010A">
        <w:t>em</w:t>
      </w:r>
      <w:r w:rsidRPr="007B010A">
        <w:t xml:space="preserve"> Nr.</w:t>
      </w:r>
      <w:r w:rsidR="00E32DC3" w:rsidRPr="007B010A">
        <w:t>555</w:t>
      </w:r>
      <w:r w:rsidRPr="007B010A">
        <w:t>, NVD, plānojot finanšu līdzekļus veselības aprūpes pakalpojumu apmaksai, atsevišķi plāno naudas līdzekļu apmēru veselības aprūpes pakalpojumu apmaksai, kas nepieciešami personām ar prognozējamu (draudošu) invaliditāti un ilgstoši slimojošām personām darbspējīgā vecumā.</w:t>
      </w:r>
      <w:r w:rsidR="00EF0C69" w:rsidRPr="007B010A">
        <w:t xml:space="preserve"> Uz šo pakalpojumu </w:t>
      </w:r>
      <w:r w:rsidR="00954F9A" w:rsidRPr="007B010A">
        <w:t xml:space="preserve">atsevišķa </w:t>
      </w:r>
      <w:r w:rsidR="00EF0C69" w:rsidRPr="007B010A">
        <w:t>rinda netiek veidota</w:t>
      </w:r>
      <w:r w:rsidR="00954F9A" w:rsidRPr="007B010A">
        <w:t>, bet piešķirtā finansējuma apmērā pakalpojums tiek nodrošināts</w:t>
      </w:r>
      <w:r w:rsidR="003E7D68" w:rsidRPr="007B010A">
        <w:t>, atbilstoši slimības diagnozei</w:t>
      </w:r>
      <w:r w:rsidR="00954F9A" w:rsidRPr="007B010A">
        <w:t>.</w:t>
      </w:r>
      <w:r w:rsidR="0083421D" w:rsidRPr="007B010A">
        <w:t xml:space="preserve"> </w:t>
      </w:r>
    </w:p>
    <w:p w14:paraId="4ED2A9FB" w14:textId="25969E11" w:rsidR="00D923AA" w:rsidRPr="007B010A" w:rsidRDefault="00D923AA" w:rsidP="001D1080">
      <w:pPr>
        <w:autoSpaceDE w:val="0"/>
        <w:autoSpaceDN w:val="0"/>
        <w:adjustRightInd w:val="0"/>
        <w:ind w:firstLine="720"/>
        <w:jc w:val="both"/>
      </w:pPr>
      <w:r w:rsidRPr="007B010A">
        <w:t>Atbilstoši NVD datiem 2017.gada 9 mēnešos stacionāros pakalpojumus bija saņēmušas 602 personas ar prognoz</w:t>
      </w:r>
      <w:r w:rsidR="00477AED" w:rsidRPr="007B010A">
        <w:t>ējamu (draudošu) invaliditāti vai</w:t>
      </w:r>
      <w:r w:rsidRPr="007B010A">
        <w:t xml:space="preserve"> ilgstoši slimojošas personas darbspējīgā vecumā.</w:t>
      </w:r>
      <w:r w:rsidRPr="007B010A">
        <w:rPr>
          <w:rFonts w:ascii="TimesNewRomanPSMT" w:eastAsiaTheme="minorHAnsi" w:hAnsi="TimesNewRomanPSMT" w:cs="TimesNewRomanPSMT"/>
          <w:lang w:eastAsia="en-US"/>
        </w:rPr>
        <w:t xml:space="preserve"> Atbilstoši 2018.gada faktiskajai izpildei tika sniegta palīdzība </w:t>
      </w:r>
      <w:r w:rsidR="007F3CCA" w:rsidRPr="007B010A">
        <w:t>1</w:t>
      </w:r>
      <w:r w:rsidR="009B1859" w:rsidRPr="007B010A">
        <w:t> </w:t>
      </w:r>
      <w:r w:rsidR="007F3CCA" w:rsidRPr="007B010A">
        <w:t>556</w:t>
      </w:r>
      <w:r w:rsidRPr="007B010A">
        <w:t xml:space="preserve"> personām par kopējo summu </w:t>
      </w:r>
      <w:r w:rsidR="007F3CCA" w:rsidRPr="007B010A">
        <w:t>2</w:t>
      </w:r>
      <w:r w:rsidR="009B1859" w:rsidRPr="007B010A">
        <w:t> </w:t>
      </w:r>
      <w:r w:rsidR="007F3CCA" w:rsidRPr="007B010A">
        <w:t>562</w:t>
      </w:r>
      <w:r w:rsidR="009B1859" w:rsidRPr="007B010A">
        <w:t> </w:t>
      </w:r>
      <w:r w:rsidR="007F3CCA" w:rsidRPr="007B010A">
        <w:t>084</w:t>
      </w:r>
      <w:r w:rsidRPr="007B010A">
        <w:t xml:space="preserve"> </w:t>
      </w:r>
      <w:proofErr w:type="spellStart"/>
      <w:r w:rsidRPr="007B010A">
        <w:rPr>
          <w:i/>
        </w:rPr>
        <w:t>euro</w:t>
      </w:r>
      <w:proofErr w:type="spellEnd"/>
      <w:r w:rsidR="001D1080" w:rsidRPr="007B010A">
        <w:t xml:space="preserve">, kas atbilst </w:t>
      </w:r>
      <w:r w:rsidR="007F3CCA" w:rsidRPr="007B010A">
        <w:t>99,95</w:t>
      </w:r>
      <w:r w:rsidR="001D1080" w:rsidRPr="007B010A">
        <w:t>% no gada plānotā apjoma</w:t>
      </w:r>
      <w:r w:rsidR="00975C9E" w:rsidRPr="007B010A">
        <w:t>.</w:t>
      </w:r>
      <w:r w:rsidR="00E60768" w:rsidRPr="007B010A">
        <w:t xml:space="preserve"> </w:t>
      </w:r>
      <w:r w:rsidRPr="007B010A">
        <w:t>Papildus</w:t>
      </w:r>
      <w:r w:rsidR="00E60768" w:rsidRPr="007B010A">
        <w:t xml:space="preserve"> 2018.gadā</w:t>
      </w:r>
      <w:r w:rsidRPr="007B010A">
        <w:t xml:space="preserve"> tika iekļautas trīs diagnožu grupas - Ausu un aizauss paugura slimības, Psihiski un uzvedības traucējumi un Iedzimtas kroplības, deformācijas un hromosomu anomālijas,</w:t>
      </w:r>
      <w:r w:rsidR="0080224B" w:rsidRPr="007B010A">
        <w:t xml:space="preserve"> atbilstoši N</w:t>
      </w:r>
      <w:r w:rsidRPr="007B010A">
        <w:t>oteikumiem</w:t>
      </w:r>
      <w:r w:rsidR="0080224B" w:rsidRPr="007B010A">
        <w:t xml:space="preserve"> Nr.</w:t>
      </w:r>
      <w:r w:rsidR="000F49DE" w:rsidRPr="007B010A">
        <w:t>555</w:t>
      </w:r>
      <w:r w:rsidRPr="007B010A">
        <w:t>, kuri var pretendēt uz plānveida stacionāriem pakalpojumiem personām darbspējīgā vecumā. (skat. 11.tabulu).</w:t>
      </w:r>
    </w:p>
    <w:p w14:paraId="7E12C300" w14:textId="542BE261" w:rsidR="00D923AA" w:rsidRPr="007B010A" w:rsidRDefault="00D923AA" w:rsidP="00D923AA">
      <w:pPr>
        <w:autoSpaceDE w:val="0"/>
        <w:autoSpaceDN w:val="0"/>
        <w:adjustRightInd w:val="0"/>
        <w:ind w:firstLine="720"/>
        <w:jc w:val="right"/>
        <w:rPr>
          <w:rFonts w:ascii="TimesNewRomanPSMT" w:eastAsiaTheme="minorHAnsi" w:hAnsi="TimesNewRomanPSMT" w:cs="TimesNewRomanPSMT"/>
          <w:lang w:eastAsia="en-US"/>
        </w:rPr>
      </w:pPr>
      <w:r w:rsidRPr="007B010A">
        <w:rPr>
          <w:rFonts w:ascii="TimesNewRomanPSMT" w:eastAsiaTheme="minorHAnsi" w:hAnsi="TimesNewRomanPSMT" w:cs="TimesNewRomanPSMT"/>
          <w:i/>
          <w:lang w:eastAsia="en-US"/>
        </w:rPr>
        <w:t>11.tabula</w:t>
      </w:r>
    </w:p>
    <w:p w14:paraId="30CFCBD1" w14:textId="568F6F5E" w:rsidR="00D923AA" w:rsidRPr="007B010A" w:rsidRDefault="00D923AA" w:rsidP="00D923AA">
      <w:pPr>
        <w:autoSpaceDE w:val="0"/>
        <w:autoSpaceDN w:val="0"/>
        <w:adjustRightInd w:val="0"/>
        <w:ind w:firstLine="720"/>
        <w:jc w:val="center"/>
        <w:rPr>
          <w:rFonts w:ascii="TimesNewRomanPSMT" w:eastAsiaTheme="minorHAnsi" w:hAnsi="TimesNewRomanPSMT" w:cs="TimesNewRomanPSMT"/>
          <w:lang w:eastAsia="en-US"/>
        </w:rPr>
      </w:pPr>
      <w:r w:rsidRPr="007B010A">
        <w:t>Darbnespējas saīsināšana un pasākumi prognozējamās invaliditātes novēršanai ar mērķi novērst ilgstošu slimošanu personām darbspējīgā vecumā 2018.gada izpilde</w:t>
      </w:r>
    </w:p>
    <w:p w14:paraId="2ECAE239" w14:textId="77777777" w:rsidR="00D923AA" w:rsidRPr="007B010A" w:rsidRDefault="00D923AA" w:rsidP="00D923AA">
      <w:pPr>
        <w:autoSpaceDE w:val="0"/>
        <w:autoSpaceDN w:val="0"/>
        <w:adjustRightInd w:val="0"/>
        <w:ind w:firstLine="720"/>
        <w:jc w:val="right"/>
        <w:rPr>
          <w:rFonts w:ascii="TimesNewRomanPSMT" w:eastAsiaTheme="minorHAnsi" w:hAnsi="TimesNewRomanPSMT" w:cs="TimesNewRomanPSMT"/>
          <w:i/>
          <w:lang w:eastAsia="en-US"/>
        </w:rPr>
      </w:pPr>
    </w:p>
    <w:tbl>
      <w:tblPr>
        <w:tblW w:w="9918" w:type="dxa"/>
        <w:jc w:val="center"/>
        <w:tblLook w:val="04A0" w:firstRow="1" w:lastRow="0" w:firstColumn="1" w:lastColumn="0" w:noHBand="0" w:noVBand="1"/>
      </w:tblPr>
      <w:tblGrid>
        <w:gridCol w:w="1129"/>
        <w:gridCol w:w="1641"/>
        <w:gridCol w:w="1194"/>
        <w:gridCol w:w="1276"/>
        <w:gridCol w:w="1134"/>
        <w:gridCol w:w="1134"/>
        <w:gridCol w:w="1418"/>
        <w:gridCol w:w="992"/>
      </w:tblGrid>
      <w:tr w:rsidR="00D923AA" w:rsidRPr="007B010A" w14:paraId="4B4D7133" w14:textId="77777777" w:rsidTr="00085819">
        <w:trPr>
          <w:trHeight w:val="300"/>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3855819E" w14:textId="77777777" w:rsidR="00D923AA" w:rsidRPr="007B010A" w:rsidRDefault="00D923AA" w:rsidP="00376CF0">
            <w:pPr>
              <w:jc w:val="center"/>
              <w:rPr>
                <w:b/>
                <w:bCs/>
                <w:sz w:val="18"/>
                <w:szCs w:val="18"/>
              </w:rPr>
            </w:pPr>
            <w:r w:rsidRPr="007B010A">
              <w:rPr>
                <w:b/>
                <w:bCs/>
                <w:sz w:val="18"/>
                <w:szCs w:val="18"/>
              </w:rPr>
              <w:t>Diagnožu grupas kods</w:t>
            </w:r>
          </w:p>
        </w:tc>
        <w:tc>
          <w:tcPr>
            <w:tcW w:w="1641" w:type="dxa"/>
            <w:vMerge w:val="restart"/>
            <w:tcBorders>
              <w:top w:val="single" w:sz="4" w:space="0" w:color="auto"/>
              <w:left w:val="single" w:sz="4" w:space="0" w:color="auto"/>
              <w:bottom w:val="single" w:sz="4" w:space="0" w:color="000000"/>
              <w:right w:val="single" w:sz="4" w:space="0" w:color="auto"/>
            </w:tcBorders>
            <w:shd w:val="clear" w:color="auto" w:fill="92D050"/>
            <w:vAlign w:val="center"/>
            <w:hideMark/>
          </w:tcPr>
          <w:p w14:paraId="435A6D3B" w14:textId="77777777" w:rsidR="00D923AA" w:rsidRPr="007B010A" w:rsidRDefault="00D923AA" w:rsidP="00376CF0">
            <w:pPr>
              <w:jc w:val="center"/>
              <w:rPr>
                <w:b/>
                <w:bCs/>
                <w:sz w:val="18"/>
                <w:szCs w:val="18"/>
              </w:rPr>
            </w:pPr>
            <w:r w:rsidRPr="007B010A">
              <w:rPr>
                <w:b/>
                <w:bCs/>
                <w:sz w:val="18"/>
                <w:szCs w:val="18"/>
              </w:rPr>
              <w:t>Diagnožu grupas nosaukums</w:t>
            </w:r>
          </w:p>
        </w:tc>
        <w:tc>
          <w:tcPr>
            <w:tcW w:w="3604" w:type="dxa"/>
            <w:gridSpan w:val="3"/>
            <w:tcBorders>
              <w:top w:val="single" w:sz="4" w:space="0" w:color="auto"/>
              <w:left w:val="nil"/>
              <w:bottom w:val="single" w:sz="4" w:space="0" w:color="auto"/>
              <w:right w:val="single" w:sz="4" w:space="0" w:color="auto"/>
            </w:tcBorders>
            <w:shd w:val="clear" w:color="auto" w:fill="92D050"/>
            <w:noWrap/>
            <w:vAlign w:val="bottom"/>
            <w:hideMark/>
          </w:tcPr>
          <w:p w14:paraId="7F1D3A4F" w14:textId="77777777" w:rsidR="00D923AA" w:rsidRPr="007B010A" w:rsidRDefault="00D923AA" w:rsidP="00376CF0">
            <w:pPr>
              <w:jc w:val="center"/>
              <w:rPr>
                <w:b/>
                <w:bCs/>
                <w:sz w:val="18"/>
                <w:szCs w:val="18"/>
              </w:rPr>
            </w:pPr>
            <w:r w:rsidRPr="007B010A">
              <w:rPr>
                <w:b/>
                <w:bCs/>
                <w:sz w:val="18"/>
                <w:szCs w:val="18"/>
              </w:rPr>
              <w:t>Plānotais apjoms 2018.gadam</w:t>
            </w:r>
          </w:p>
        </w:tc>
        <w:tc>
          <w:tcPr>
            <w:tcW w:w="3544" w:type="dxa"/>
            <w:gridSpan w:val="3"/>
            <w:tcBorders>
              <w:top w:val="single" w:sz="4" w:space="0" w:color="auto"/>
              <w:left w:val="nil"/>
              <w:bottom w:val="single" w:sz="4" w:space="0" w:color="auto"/>
              <w:right w:val="single" w:sz="4" w:space="0" w:color="auto"/>
            </w:tcBorders>
            <w:shd w:val="clear" w:color="auto" w:fill="92D050"/>
            <w:noWrap/>
            <w:vAlign w:val="bottom"/>
            <w:hideMark/>
          </w:tcPr>
          <w:p w14:paraId="1F52ECA6" w14:textId="57B040F7" w:rsidR="00D923AA" w:rsidRPr="007B010A" w:rsidRDefault="00D923AA" w:rsidP="00376CF0">
            <w:pPr>
              <w:jc w:val="center"/>
              <w:rPr>
                <w:b/>
                <w:bCs/>
                <w:sz w:val="18"/>
                <w:szCs w:val="18"/>
              </w:rPr>
            </w:pPr>
            <w:r w:rsidRPr="007B010A">
              <w:rPr>
                <w:b/>
                <w:bCs/>
                <w:sz w:val="18"/>
                <w:szCs w:val="18"/>
              </w:rPr>
              <w:t>Izpilde 2018.gadam</w:t>
            </w:r>
          </w:p>
        </w:tc>
      </w:tr>
      <w:tr w:rsidR="00D923AA" w:rsidRPr="007B010A" w14:paraId="19D80586" w14:textId="77777777" w:rsidTr="00085819">
        <w:trPr>
          <w:trHeight w:val="1425"/>
          <w:jc w:val="center"/>
        </w:trPr>
        <w:tc>
          <w:tcPr>
            <w:tcW w:w="1129" w:type="dxa"/>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74FC83A5" w14:textId="77777777" w:rsidR="00D923AA" w:rsidRPr="007B010A" w:rsidRDefault="00D923AA" w:rsidP="00376CF0">
            <w:pPr>
              <w:rPr>
                <w:b/>
                <w:bCs/>
                <w:sz w:val="18"/>
                <w:szCs w:val="18"/>
              </w:rPr>
            </w:pPr>
          </w:p>
        </w:tc>
        <w:tc>
          <w:tcPr>
            <w:tcW w:w="1641" w:type="dxa"/>
            <w:vMerge/>
            <w:tcBorders>
              <w:top w:val="single" w:sz="4" w:space="0" w:color="auto"/>
              <w:left w:val="single" w:sz="4" w:space="0" w:color="auto"/>
              <w:bottom w:val="single" w:sz="4" w:space="0" w:color="000000"/>
              <w:right w:val="single" w:sz="4" w:space="0" w:color="auto"/>
            </w:tcBorders>
            <w:shd w:val="clear" w:color="auto" w:fill="92D050"/>
            <w:vAlign w:val="center"/>
            <w:hideMark/>
          </w:tcPr>
          <w:p w14:paraId="16535425" w14:textId="77777777" w:rsidR="00D923AA" w:rsidRPr="007B010A" w:rsidRDefault="00D923AA" w:rsidP="00376CF0">
            <w:pPr>
              <w:rPr>
                <w:b/>
                <w:bCs/>
                <w:sz w:val="18"/>
                <w:szCs w:val="18"/>
              </w:rPr>
            </w:pPr>
          </w:p>
        </w:tc>
        <w:tc>
          <w:tcPr>
            <w:tcW w:w="1194" w:type="dxa"/>
            <w:tcBorders>
              <w:top w:val="nil"/>
              <w:left w:val="nil"/>
              <w:bottom w:val="single" w:sz="4" w:space="0" w:color="auto"/>
              <w:right w:val="single" w:sz="4" w:space="0" w:color="auto"/>
            </w:tcBorders>
            <w:shd w:val="clear" w:color="auto" w:fill="92D050"/>
            <w:vAlign w:val="center"/>
            <w:hideMark/>
          </w:tcPr>
          <w:p w14:paraId="15CFC505" w14:textId="77777777" w:rsidR="00D923AA" w:rsidRPr="007B010A" w:rsidRDefault="00D923AA" w:rsidP="00376CF0">
            <w:pPr>
              <w:jc w:val="center"/>
              <w:rPr>
                <w:b/>
                <w:bCs/>
                <w:sz w:val="18"/>
                <w:szCs w:val="18"/>
              </w:rPr>
            </w:pPr>
            <w:r w:rsidRPr="007B010A">
              <w:rPr>
                <w:b/>
                <w:bCs/>
                <w:sz w:val="18"/>
                <w:szCs w:val="18"/>
              </w:rPr>
              <w:t>Pacientu skaits</w:t>
            </w:r>
          </w:p>
        </w:tc>
        <w:tc>
          <w:tcPr>
            <w:tcW w:w="1276" w:type="dxa"/>
            <w:tcBorders>
              <w:top w:val="nil"/>
              <w:left w:val="nil"/>
              <w:bottom w:val="single" w:sz="4" w:space="0" w:color="auto"/>
              <w:right w:val="single" w:sz="4" w:space="0" w:color="auto"/>
            </w:tcBorders>
            <w:shd w:val="clear" w:color="auto" w:fill="92D050"/>
            <w:vAlign w:val="center"/>
            <w:hideMark/>
          </w:tcPr>
          <w:p w14:paraId="5EC5FF6C" w14:textId="1FB91913" w:rsidR="00D923AA" w:rsidRPr="007B010A" w:rsidRDefault="00D923AA" w:rsidP="00376CF0">
            <w:pPr>
              <w:jc w:val="center"/>
              <w:rPr>
                <w:b/>
                <w:bCs/>
                <w:sz w:val="18"/>
                <w:szCs w:val="18"/>
              </w:rPr>
            </w:pPr>
            <w:r w:rsidRPr="007B010A">
              <w:rPr>
                <w:b/>
                <w:bCs/>
                <w:sz w:val="18"/>
                <w:szCs w:val="18"/>
              </w:rPr>
              <w:t>Vidējā viena pacienta izmaksa 2018.gad</w:t>
            </w:r>
            <w:r w:rsidR="003E359E" w:rsidRPr="007B010A">
              <w:rPr>
                <w:b/>
                <w:bCs/>
                <w:sz w:val="18"/>
                <w:szCs w:val="18"/>
              </w:rPr>
              <w:t>ā</w:t>
            </w:r>
          </w:p>
        </w:tc>
        <w:tc>
          <w:tcPr>
            <w:tcW w:w="1134" w:type="dxa"/>
            <w:tcBorders>
              <w:top w:val="nil"/>
              <w:left w:val="nil"/>
              <w:bottom w:val="single" w:sz="4" w:space="0" w:color="auto"/>
              <w:right w:val="single" w:sz="4" w:space="0" w:color="auto"/>
            </w:tcBorders>
            <w:shd w:val="clear" w:color="auto" w:fill="92D050"/>
            <w:vAlign w:val="center"/>
            <w:hideMark/>
          </w:tcPr>
          <w:p w14:paraId="6CE4AB52" w14:textId="1B03C379" w:rsidR="00D923AA" w:rsidRPr="007B010A" w:rsidRDefault="00D923AA" w:rsidP="00376CF0">
            <w:pPr>
              <w:jc w:val="center"/>
              <w:rPr>
                <w:b/>
                <w:bCs/>
                <w:sz w:val="18"/>
                <w:szCs w:val="18"/>
              </w:rPr>
            </w:pPr>
            <w:r w:rsidRPr="007B010A">
              <w:rPr>
                <w:b/>
                <w:bCs/>
                <w:sz w:val="18"/>
                <w:szCs w:val="18"/>
              </w:rPr>
              <w:t>Izmaksas 2018.gad</w:t>
            </w:r>
            <w:r w:rsidR="003E359E" w:rsidRPr="007B010A">
              <w:rPr>
                <w:b/>
                <w:bCs/>
                <w:sz w:val="18"/>
                <w:szCs w:val="18"/>
              </w:rPr>
              <w:t>ā</w:t>
            </w:r>
          </w:p>
        </w:tc>
        <w:tc>
          <w:tcPr>
            <w:tcW w:w="1134" w:type="dxa"/>
            <w:tcBorders>
              <w:top w:val="nil"/>
              <w:left w:val="nil"/>
              <w:bottom w:val="single" w:sz="4" w:space="0" w:color="auto"/>
              <w:right w:val="single" w:sz="4" w:space="0" w:color="auto"/>
            </w:tcBorders>
            <w:shd w:val="clear" w:color="auto" w:fill="92D050"/>
            <w:vAlign w:val="center"/>
            <w:hideMark/>
          </w:tcPr>
          <w:p w14:paraId="1B8D67DF" w14:textId="7A6EBD10" w:rsidR="00D923AA" w:rsidRPr="007B010A" w:rsidRDefault="00D923AA" w:rsidP="00376CF0">
            <w:pPr>
              <w:jc w:val="center"/>
              <w:rPr>
                <w:b/>
                <w:bCs/>
                <w:sz w:val="18"/>
                <w:szCs w:val="18"/>
              </w:rPr>
            </w:pPr>
            <w:r w:rsidRPr="007B010A">
              <w:rPr>
                <w:b/>
                <w:bCs/>
                <w:sz w:val="18"/>
                <w:szCs w:val="18"/>
              </w:rPr>
              <w:t>Pacientu skaits 2018.gadā</w:t>
            </w:r>
          </w:p>
        </w:tc>
        <w:tc>
          <w:tcPr>
            <w:tcW w:w="1418" w:type="dxa"/>
            <w:tcBorders>
              <w:top w:val="nil"/>
              <w:left w:val="nil"/>
              <w:bottom w:val="single" w:sz="4" w:space="0" w:color="auto"/>
              <w:right w:val="single" w:sz="4" w:space="0" w:color="auto"/>
            </w:tcBorders>
            <w:shd w:val="clear" w:color="auto" w:fill="92D050"/>
            <w:vAlign w:val="center"/>
            <w:hideMark/>
          </w:tcPr>
          <w:p w14:paraId="1AD68BE3" w14:textId="0558134A" w:rsidR="00D923AA" w:rsidRPr="007B010A" w:rsidRDefault="00D923AA" w:rsidP="00376CF0">
            <w:pPr>
              <w:jc w:val="center"/>
              <w:rPr>
                <w:b/>
                <w:bCs/>
                <w:sz w:val="18"/>
                <w:szCs w:val="18"/>
              </w:rPr>
            </w:pPr>
            <w:r w:rsidRPr="007B010A">
              <w:rPr>
                <w:b/>
                <w:bCs/>
                <w:sz w:val="18"/>
                <w:szCs w:val="18"/>
              </w:rPr>
              <w:t>Vidējā viena pacienta izmaksa 2018.gad</w:t>
            </w:r>
            <w:r w:rsidR="003E359E" w:rsidRPr="007B010A">
              <w:rPr>
                <w:b/>
                <w:bCs/>
                <w:sz w:val="18"/>
                <w:szCs w:val="18"/>
              </w:rPr>
              <w:t>ā</w:t>
            </w:r>
          </w:p>
        </w:tc>
        <w:tc>
          <w:tcPr>
            <w:tcW w:w="992" w:type="dxa"/>
            <w:tcBorders>
              <w:top w:val="nil"/>
              <w:left w:val="nil"/>
              <w:bottom w:val="single" w:sz="4" w:space="0" w:color="auto"/>
              <w:right w:val="single" w:sz="4" w:space="0" w:color="auto"/>
            </w:tcBorders>
            <w:shd w:val="clear" w:color="auto" w:fill="92D050"/>
            <w:vAlign w:val="center"/>
            <w:hideMark/>
          </w:tcPr>
          <w:p w14:paraId="33C14DF2" w14:textId="60B7DEC8" w:rsidR="00D923AA" w:rsidRPr="007B010A" w:rsidRDefault="00D923AA" w:rsidP="00376CF0">
            <w:pPr>
              <w:jc w:val="center"/>
              <w:rPr>
                <w:b/>
                <w:bCs/>
                <w:sz w:val="18"/>
                <w:szCs w:val="18"/>
              </w:rPr>
            </w:pPr>
            <w:r w:rsidRPr="007B010A">
              <w:rPr>
                <w:b/>
                <w:bCs/>
                <w:sz w:val="18"/>
                <w:szCs w:val="18"/>
              </w:rPr>
              <w:t>Izmaksas 2018.gad</w:t>
            </w:r>
            <w:r w:rsidR="003E359E" w:rsidRPr="007B010A">
              <w:rPr>
                <w:b/>
                <w:bCs/>
                <w:sz w:val="18"/>
                <w:szCs w:val="18"/>
              </w:rPr>
              <w:t>ā</w:t>
            </w:r>
          </w:p>
        </w:tc>
      </w:tr>
      <w:tr w:rsidR="00D923AA" w:rsidRPr="007B010A" w14:paraId="6D562B16" w14:textId="77777777" w:rsidTr="00376CF0">
        <w:trPr>
          <w:trHeight w:val="9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F589989" w14:textId="77777777" w:rsidR="00D923AA" w:rsidRPr="007B010A" w:rsidRDefault="00D923AA" w:rsidP="00376CF0">
            <w:pPr>
              <w:jc w:val="center"/>
              <w:rPr>
                <w:sz w:val="18"/>
                <w:szCs w:val="18"/>
              </w:rPr>
            </w:pPr>
            <w:r w:rsidRPr="007B010A">
              <w:rPr>
                <w:sz w:val="18"/>
                <w:szCs w:val="18"/>
              </w:rPr>
              <w:t>H00...H59</w:t>
            </w:r>
          </w:p>
        </w:tc>
        <w:tc>
          <w:tcPr>
            <w:tcW w:w="1641" w:type="dxa"/>
            <w:tcBorders>
              <w:top w:val="nil"/>
              <w:left w:val="nil"/>
              <w:bottom w:val="single" w:sz="4" w:space="0" w:color="auto"/>
              <w:right w:val="single" w:sz="4" w:space="0" w:color="auto"/>
            </w:tcBorders>
            <w:shd w:val="clear" w:color="auto" w:fill="auto"/>
            <w:vAlign w:val="center"/>
            <w:hideMark/>
          </w:tcPr>
          <w:p w14:paraId="5506C48E" w14:textId="77777777" w:rsidR="00D923AA" w:rsidRPr="007B010A" w:rsidRDefault="00D923AA" w:rsidP="00376CF0">
            <w:pPr>
              <w:jc w:val="center"/>
              <w:rPr>
                <w:sz w:val="18"/>
                <w:szCs w:val="18"/>
              </w:rPr>
            </w:pPr>
            <w:r w:rsidRPr="007B010A">
              <w:rPr>
                <w:sz w:val="18"/>
                <w:szCs w:val="18"/>
              </w:rPr>
              <w:t xml:space="preserve">Acu un to </w:t>
            </w:r>
            <w:proofErr w:type="spellStart"/>
            <w:r w:rsidRPr="007B010A">
              <w:rPr>
                <w:sz w:val="18"/>
                <w:szCs w:val="18"/>
              </w:rPr>
              <w:t>palīgorgānu</w:t>
            </w:r>
            <w:proofErr w:type="spellEnd"/>
            <w:r w:rsidRPr="007B010A">
              <w:rPr>
                <w:sz w:val="18"/>
                <w:szCs w:val="18"/>
              </w:rPr>
              <w:t xml:space="preserve"> slimības</w:t>
            </w:r>
          </w:p>
        </w:tc>
        <w:tc>
          <w:tcPr>
            <w:tcW w:w="1194" w:type="dxa"/>
            <w:tcBorders>
              <w:top w:val="nil"/>
              <w:left w:val="nil"/>
              <w:bottom w:val="single" w:sz="4" w:space="0" w:color="auto"/>
              <w:right w:val="single" w:sz="4" w:space="0" w:color="auto"/>
            </w:tcBorders>
            <w:shd w:val="clear" w:color="auto" w:fill="auto"/>
            <w:noWrap/>
            <w:vAlign w:val="center"/>
            <w:hideMark/>
          </w:tcPr>
          <w:p w14:paraId="7FAF66BB" w14:textId="77777777" w:rsidR="00D923AA" w:rsidRPr="007B010A" w:rsidRDefault="00D923AA" w:rsidP="00376CF0">
            <w:pPr>
              <w:jc w:val="center"/>
              <w:rPr>
                <w:sz w:val="18"/>
                <w:szCs w:val="18"/>
              </w:rPr>
            </w:pPr>
            <w:r w:rsidRPr="007B010A">
              <w:rPr>
                <w:sz w:val="18"/>
                <w:szCs w:val="18"/>
              </w:rPr>
              <w:t>243</w:t>
            </w:r>
          </w:p>
        </w:tc>
        <w:tc>
          <w:tcPr>
            <w:tcW w:w="1276" w:type="dxa"/>
            <w:tcBorders>
              <w:top w:val="nil"/>
              <w:left w:val="nil"/>
              <w:bottom w:val="single" w:sz="4" w:space="0" w:color="auto"/>
              <w:right w:val="single" w:sz="4" w:space="0" w:color="auto"/>
            </w:tcBorders>
            <w:shd w:val="clear" w:color="auto" w:fill="auto"/>
            <w:noWrap/>
            <w:vAlign w:val="center"/>
            <w:hideMark/>
          </w:tcPr>
          <w:p w14:paraId="07050A66" w14:textId="182B338A" w:rsidR="00D923AA" w:rsidRPr="007B010A" w:rsidRDefault="00D923AA" w:rsidP="00376CF0">
            <w:pPr>
              <w:jc w:val="center"/>
              <w:rPr>
                <w:sz w:val="18"/>
                <w:szCs w:val="18"/>
              </w:rPr>
            </w:pPr>
            <w:r w:rsidRPr="007B010A">
              <w:rPr>
                <w:sz w:val="18"/>
                <w:szCs w:val="18"/>
              </w:rPr>
              <w:t>506</w:t>
            </w:r>
            <w:r w:rsidR="00901D16">
              <w:rPr>
                <w:sz w:val="18"/>
                <w:szCs w:val="18"/>
              </w:rPr>
              <w:t>,</w:t>
            </w:r>
            <w:r w:rsidRPr="007B010A">
              <w:rPr>
                <w:sz w:val="18"/>
                <w:szCs w:val="18"/>
              </w:rPr>
              <w:t>53</w:t>
            </w:r>
          </w:p>
        </w:tc>
        <w:tc>
          <w:tcPr>
            <w:tcW w:w="1134" w:type="dxa"/>
            <w:tcBorders>
              <w:top w:val="nil"/>
              <w:left w:val="nil"/>
              <w:bottom w:val="single" w:sz="4" w:space="0" w:color="auto"/>
              <w:right w:val="single" w:sz="4" w:space="0" w:color="auto"/>
            </w:tcBorders>
            <w:shd w:val="clear" w:color="auto" w:fill="auto"/>
            <w:noWrap/>
            <w:vAlign w:val="center"/>
            <w:hideMark/>
          </w:tcPr>
          <w:p w14:paraId="676CA546" w14:textId="77777777" w:rsidR="00D923AA" w:rsidRPr="007B010A" w:rsidRDefault="00D923AA" w:rsidP="00376CF0">
            <w:pPr>
              <w:jc w:val="center"/>
              <w:rPr>
                <w:sz w:val="18"/>
                <w:szCs w:val="18"/>
              </w:rPr>
            </w:pPr>
            <w:r w:rsidRPr="007B010A">
              <w:rPr>
                <w:sz w:val="18"/>
                <w:szCs w:val="18"/>
              </w:rPr>
              <w:t>123 087</w:t>
            </w:r>
          </w:p>
        </w:tc>
        <w:tc>
          <w:tcPr>
            <w:tcW w:w="1134" w:type="dxa"/>
            <w:tcBorders>
              <w:top w:val="nil"/>
              <w:left w:val="nil"/>
              <w:bottom w:val="single" w:sz="4" w:space="0" w:color="auto"/>
              <w:right w:val="single" w:sz="4" w:space="0" w:color="auto"/>
            </w:tcBorders>
            <w:shd w:val="clear" w:color="auto" w:fill="auto"/>
            <w:noWrap/>
            <w:vAlign w:val="center"/>
            <w:hideMark/>
          </w:tcPr>
          <w:p w14:paraId="4E0D4D70" w14:textId="08EA823D" w:rsidR="00D923AA" w:rsidRPr="007B010A" w:rsidRDefault="003E359E" w:rsidP="00376CF0">
            <w:pPr>
              <w:jc w:val="center"/>
              <w:rPr>
                <w:sz w:val="18"/>
                <w:szCs w:val="18"/>
              </w:rPr>
            </w:pPr>
            <w:r w:rsidRPr="007B010A">
              <w:rPr>
                <w:sz w:val="18"/>
                <w:szCs w:val="18"/>
              </w:rPr>
              <w:t>212</w:t>
            </w:r>
          </w:p>
        </w:tc>
        <w:tc>
          <w:tcPr>
            <w:tcW w:w="1418" w:type="dxa"/>
            <w:tcBorders>
              <w:top w:val="nil"/>
              <w:left w:val="nil"/>
              <w:bottom w:val="single" w:sz="4" w:space="0" w:color="auto"/>
              <w:right w:val="single" w:sz="4" w:space="0" w:color="auto"/>
            </w:tcBorders>
            <w:shd w:val="clear" w:color="auto" w:fill="auto"/>
            <w:noWrap/>
            <w:vAlign w:val="center"/>
            <w:hideMark/>
          </w:tcPr>
          <w:p w14:paraId="6F60A7D0" w14:textId="57648D06" w:rsidR="00D923AA" w:rsidRPr="007B010A" w:rsidRDefault="003E359E" w:rsidP="00376CF0">
            <w:pPr>
              <w:jc w:val="center"/>
              <w:rPr>
                <w:sz w:val="18"/>
                <w:szCs w:val="18"/>
              </w:rPr>
            </w:pPr>
            <w:r w:rsidRPr="007B010A">
              <w:rPr>
                <w:sz w:val="18"/>
                <w:szCs w:val="18"/>
              </w:rPr>
              <w:t>405</w:t>
            </w:r>
            <w:r w:rsidR="00901D16">
              <w:rPr>
                <w:sz w:val="18"/>
                <w:szCs w:val="18"/>
              </w:rPr>
              <w:t>,</w:t>
            </w:r>
            <w:r w:rsidRPr="007B010A">
              <w:rPr>
                <w:sz w:val="18"/>
                <w:szCs w:val="18"/>
              </w:rPr>
              <w:t>69</w:t>
            </w:r>
          </w:p>
        </w:tc>
        <w:tc>
          <w:tcPr>
            <w:tcW w:w="992" w:type="dxa"/>
            <w:tcBorders>
              <w:top w:val="nil"/>
              <w:left w:val="nil"/>
              <w:bottom w:val="single" w:sz="4" w:space="0" w:color="auto"/>
              <w:right w:val="single" w:sz="4" w:space="0" w:color="auto"/>
            </w:tcBorders>
            <w:shd w:val="clear" w:color="auto" w:fill="auto"/>
            <w:noWrap/>
            <w:vAlign w:val="center"/>
            <w:hideMark/>
          </w:tcPr>
          <w:p w14:paraId="6A12C681" w14:textId="5265B160" w:rsidR="00D923AA" w:rsidRPr="007B010A" w:rsidRDefault="003E359E" w:rsidP="00376CF0">
            <w:pPr>
              <w:jc w:val="center"/>
              <w:rPr>
                <w:sz w:val="18"/>
                <w:szCs w:val="18"/>
              </w:rPr>
            </w:pPr>
            <w:r w:rsidRPr="007B010A">
              <w:rPr>
                <w:sz w:val="18"/>
                <w:szCs w:val="18"/>
              </w:rPr>
              <w:t>86 006</w:t>
            </w:r>
          </w:p>
        </w:tc>
      </w:tr>
      <w:tr w:rsidR="00D923AA" w:rsidRPr="007B010A" w14:paraId="03E9EDC5" w14:textId="77777777" w:rsidTr="00376CF0">
        <w:trPr>
          <w:trHeight w:val="6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1DBFDE3C" w14:textId="77777777" w:rsidR="00D923AA" w:rsidRPr="007B010A" w:rsidRDefault="00D923AA" w:rsidP="00376CF0">
            <w:pPr>
              <w:jc w:val="center"/>
              <w:rPr>
                <w:sz w:val="18"/>
                <w:szCs w:val="18"/>
              </w:rPr>
            </w:pPr>
            <w:r w:rsidRPr="007B010A">
              <w:rPr>
                <w:sz w:val="18"/>
                <w:szCs w:val="18"/>
              </w:rPr>
              <w:t>I00...I99</w:t>
            </w:r>
          </w:p>
        </w:tc>
        <w:tc>
          <w:tcPr>
            <w:tcW w:w="1641" w:type="dxa"/>
            <w:tcBorders>
              <w:top w:val="nil"/>
              <w:left w:val="nil"/>
              <w:bottom w:val="single" w:sz="4" w:space="0" w:color="auto"/>
              <w:right w:val="single" w:sz="4" w:space="0" w:color="auto"/>
            </w:tcBorders>
            <w:shd w:val="clear" w:color="auto" w:fill="auto"/>
            <w:vAlign w:val="center"/>
            <w:hideMark/>
          </w:tcPr>
          <w:p w14:paraId="64BD655B" w14:textId="77777777" w:rsidR="00D923AA" w:rsidRPr="007B010A" w:rsidRDefault="00D923AA" w:rsidP="00376CF0">
            <w:pPr>
              <w:jc w:val="center"/>
              <w:rPr>
                <w:sz w:val="18"/>
                <w:szCs w:val="18"/>
              </w:rPr>
            </w:pPr>
            <w:r w:rsidRPr="007B010A">
              <w:rPr>
                <w:sz w:val="18"/>
                <w:szCs w:val="18"/>
              </w:rPr>
              <w:t>Asinsrites sistēmas slimības</w:t>
            </w:r>
          </w:p>
        </w:tc>
        <w:tc>
          <w:tcPr>
            <w:tcW w:w="1194" w:type="dxa"/>
            <w:tcBorders>
              <w:top w:val="nil"/>
              <w:left w:val="nil"/>
              <w:bottom w:val="single" w:sz="4" w:space="0" w:color="auto"/>
              <w:right w:val="single" w:sz="4" w:space="0" w:color="auto"/>
            </w:tcBorders>
            <w:shd w:val="clear" w:color="auto" w:fill="auto"/>
            <w:noWrap/>
            <w:vAlign w:val="center"/>
            <w:hideMark/>
          </w:tcPr>
          <w:p w14:paraId="50E651CA" w14:textId="77777777" w:rsidR="00D923AA" w:rsidRPr="007B010A" w:rsidRDefault="00D923AA" w:rsidP="00376CF0">
            <w:pPr>
              <w:jc w:val="center"/>
              <w:rPr>
                <w:sz w:val="18"/>
                <w:szCs w:val="18"/>
              </w:rPr>
            </w:pPr>
            <w:r w:rsidRPr="007B010A">
              <w:rPr>
                <w:sz w:val="18"/>
                <w:szCs w:val="18"/>
              </w:rPr>
              <w:t>51</w:t>
            </w:r>
          </w:p>
        </w:tc>
        <w:tc>
          <w:tcPr>
            <w:tcW w:w="1276" w:type="dxa"/>
            <w:tcBorders>
              <w:top w:val="nil"/>
              <w:left w:val="nil"/>
              <w:bottom w:val="single" w:sz="4" w:space="0" w:color="auto"/>
              <w:right w:val="single" w:sz="4" w:space="0" w:color="auto"/>
            </w:tcBorders>
            <w:shd w:val="clear" w:color="auto" w:fill="auto"/>
            <w:noWrap/>
            <w:vAlign w:val="center"/>
            <w:hideMark/>
          </w:tcPr>
          <w:p w14:paraId="2EDC8448" w14:textId="2638CD4E" w:rsidR="00D923AA" w:rsidRPr="007B010A" w:rsidRDefault="00D923AA" w:rsidP="00376CF0">
            <w:pPr>
              <w:jc w:val="center"/>
              <w:rPr>
                <w:sz w:val="18"/>
                <w:szCs w:val="18"/>
              </w:rPr>
            </w:pPr>
            <w:r w:rsidRPr="007B010A">
              <w:rPr>
                <w:sz w:val="18"/>
                <w:szCs w:val="18"/>
              </w:rPr>
              <w:t>2774</w:t>
            </w:r>
            <w:r w:rsidR="00090401">
              <w:rPr>
                <w:sz w:val="18"/>
                <w:szCs w:val="18"/>
              </w:rPr>
              <w:t>,</w:t>
            </w:r>
            <w:r w:rsidRPr="007B010A">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14:paraId="5CCB8616" w14:textId="77777777" w:rsidR="00D923AA" w:rsidRPr="007B010A" w:rsidRDefault="00D923AA" w:rsidP="00376CF0">
            <w:pPr>
              <w:jc w:val="center"/>
              <w:rPr>
                <w:sz w:val="18"/>
                <w:szCs w:val="18"/>
              </w:rPr>
            </w:pPr>
            <w:r w:rsidRPr="007B010A">
              <w:rPr>
                <w:sz w:val="18"/>
                <w:szCs w:val="18"/>
              </w:rPr>
              <w:t>141 480</w:t>
            </w:r>
          </w:p>
        </w:tc>
        <w:tc>
          <w:tcPr>
            <w:tcW w:w="1134" w:type="dxa"/>
            <w:tcBorders>
              <w:top w:val="nil"/>
              <w:left w:val="nil"/>
              <w:bottom w:val="single" w:sz="4" w:space="0" w:color="auto"/>
              <w:right w:val="single" w:sz="4" w:space="0" w:color="auto"/>
            </w:tcBorders>
            <w:shd w:val="clear" w:color="auto" w:fill="auto"/>
            <w:noWrap/>
            <w:vAlign w:val="center"/>
            <w:hideMark/>
          </w:tcPr>
          <w:p w14:paraId="06E3E239" w14:textId="22528871" w:rsidR="00D923AA" w:rsidRPr="007B010A" w:rsidRDefault="003E359E" w:rsidP="00376CF0">
            <w:pPr>
              <w:jc w:val="center"/>
              <w:rPr>
                <w:sz w:val="18"/>
                <w:szCs w:val="18"/>
              </w:rPr>
            </w:pPr>
            <w:r w:rsidRPr="007B010A">
              <w:rPr>
                <w:sz w:val="18"/>
                <w:szCs w:val="18"/>
              </w:rPr>
              <w:t>210</w:t>
            </w:r>
          </w:p>
        </w:tc>
        <w:tc>
          <w:tcPr>
            <w:tcW w:w="1418" w:type="dxa"/>
            <w:tcBorders>
              <w:top w:val="nil"/>
              <w:left w:val="nil"/>
              <w:bottom w:val="single" w:sz="4" w:space="0" w:color="auto"/>
              <w:right w:val="single" w:sz="4" w:space="0" w:color="auto"/>
            </w:tcBorders>
            <w:shd w:val="clear" w:color="auto" w:fill="auto"/>
            <w:noWrap/>
            <w:vAlign w:val="center"/>
            <w:hideMark/>
          </w:tcPr>
          <w:p w14:paraId="6F6A4B38" w14:textId="200702A2" w:rsidR="00D923AA" w:rsidRPr="007B010A" w:rsidRDefault="003E359E" w:rsidP="00376CF0">
            <w:pPr>
              <w:jc w:val="center"/>
              <w:rPr>
                <w:sz w:val="18"/>
                <w:szCs w:val="18"/>
              </w:rPr>
            </w:pPr>
            <w:r w:rsidRPr="007B010A">
              <w:rPr>
                <w:sz w:val="18"/>
                <w:szCs w:val="18"/>
              </w:rPr>
              <w:t>3</w:t>
            </w:r>
            <w:r w:rsidR="00090401">
              <w:rPr>
                <w:sz w:val="18"/>
                <w:szCs w:val="18"/>
              </w:rPr>
              <w:t> </w:t>
            </w:r>
            <w:r w:rsidRPr="007B010A">
              <w:rPr>
                <w:sz w:val="18"/>
                <w:szCs w:val="18"/>
              </w:rPr>
              <w:t>490</w:t>
            </w:r>
            <w:r w:rsidR="00090401">
              <w:rPr>
                <w:sz w:val="18"/>
                <w:szCs w:val="18"/>
              </w:rPr>
              <w:t>,</w:t>
            </w:r>
            <w:r w:rsidRPr="007B010A">
              <w:rPr>
                <w:sz w:val="18"/>
                <w:szCs w:val="18"/>
              </w:rPr>
              <w:t>12</w:t>
            </w:r>
          </w:p>
        </w:tc>
        <w:tc>
          <w:tcPr>
            <w:tcW w:w="992" w:type="dxa"/>
            <w:tcBorders>
              <w:top w:val="nil"/>
              <w:left w:val="nil"/>
              <w:bottom w:val="single" w:sz="4" w:space="0" w:color="auto"/>
              <w:right w:val="single" w:sz="4" w:space="0" w:color="auto"/>
            </w:tcBorders>
            <w:shd w:val="clear" w:color="auto" w:fill="auto"/>
            <w:noWrap/>
            <w:vAlign w:val="center"/>
            <w:hideMark/>
          </w:tcPr>
          <w:p w14:paraId="5BD48B1E" w14:textId="382AC06B" w:rsidR="00D923AA" w:rsidRPr="007B010A" w:rsidRDefault="003E359E" w:rsidP="00376CF0">
            <w:pPr>
              <w:jc w:val="center"/>
              <w:rPr>
                <w:sz w:val="18"/>
                <w:szCs w:val="18"/>
              </w:rPr>
            </w:pPr>
            <w:r w:rsidRPr="007B010A">
              <w:rPr>
                <w:sz w:val="18"/>
                <w:szCs w:val="18"/>
              </w:rPr>
              <w:t>732 926</w:t>
            </w:r>
          </w:p>
        </w:tc>
      </w:tr>
      <w:tr w:rsidR="00D923AA" w:rsidRPr="007B010A" w14:paraId="33F721A0" w14:textId="77777777" w:rsidTr="00376CF0">
        <w:trPr>
          <w:trHeight w:val="3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4053594F" w14:textId="77777777" w:rsidR="00D923AA" w:rsidRPr="007B010A" w:rsidRDefault="00D923AA" w:rsidP="00376CF0">
            <w:pPr>
              <w:jc w:val="center"/>
              <w:rPr>
                <w:sz w:val="18"/>
                <w:szCs w:val="18"/>
              </w:rPr>
            </w:pPr>
            <w:r w:rsidRPr="007B010A">
              <w:rPr>
                <w:sz w:val="18"/>
                <w:szCs w:val="18"/>
              </w:rPr>
              <w:lastRenderedPageBreak/>
              <w:t>C00...D48</w:t>
            </w:r>
          </w:p>
        </w:tc>
        <w:tc>
          <w:tcPr>
            <w:tcW w:w="1641" w:type="dxa"/>
            <w:tcBorders>
              <w:top w:val="nil"/>
              <w:left w:val="nil"/>
              <w:bottom w:val="single" w:sz="4" w:space="0" w:color="auto"/>
              <w:right w:val="single" w:sz="4" w:space="0" w:color="auto"/>
            </w:tcBorders>
            <w:shd w:val="clear" w:color="auto" w:fill="auto"/>
            <w:vAlign w:val="center"/>
            <w:hideMark/>
          </w:tcPr>
          <w:p w14:paraId="5896151F" w14:textId="77777777" w:rsidR="00D923AA" w:rsidRPr="007B010A" w:rsidRDefault="00D923AA" w:rsidP="00376CF0">
            <w:pPr>
              <w:jc w:val="center"/>
              <w:rPr>
                <w:sz w:val="18"/>
                <w:szCs w:val="18"/>
              </w:rPr>
            </w:pPr>
            <w:r w:rsidRPr="007B010A">
              <w:rPr>
                <w:sz w:val="18"/>
                <w:szCs w:val="18"/>
              </w:rPr>
              <w:t>Audzēji</w:t>
            </w:r>
          </w:p>
        </w:tc>
        <w:tc>
          <w:tcPr>
            <w:tcW w:w="1194" w:type="dxa"/>
            <w:tcBorders>
              <w:top w:val="nil"/>
              <w:left w:val="nil"/>
              <w:bottom w:val="single" w:sz="4" w:space="0" w:color="auto"/>
              <w:right w:val="single" w:sz="4" w:space="0" w:color="auto"/>
            </w:tcBorders>
            <w:shd w:val="clear" w:color="auto" w:fill="auto"/>
            <w:noWrap/>
            <w:vAlign w:val="center"/>
            <w:hideMark/>
          </w:tcPr>
          <w:p w14:paraId="10B535E8" w14:textId="77777777" w:rsidR="00D923AA" w:rsidRPr="007B010A" w:rsidRDefault="00D923AA" w:rsidP="00376CF0">
            <w:pPr>
              <w:jc w:val="center"/>
              <w:rPr>
                <w:sz w:val="18"/>
                <w:szCs w:val="18"/>
              </w:rPr>
            </w:pPr>
            <w:r w:rsidRPr="007B010A">
              <w:rPr>
                <w:sz w:val="18"/>
                <w:szCs w:val="18"/>
              </w:rPr>
              <w:t>51</w:t>
            </w:r>
          </w:p>
        </w:tc>
        <w:tc>
          <w:tcPr>
            <w:tcW w:w="1276" w:type="dxa"/>
            <w:tcBorders>
              <w:top w:val="nil"/>
              <w:left w:val="nil"/>
              <w:bottom w:val="single" w:sz="4" w:space="0" w:color="auto"/>
              <w:right w:val="single" w:sz="4" w:space="0" w:color="auto"/>
            </w:tcBorders>
            <w:shd w:val="clear" w:color="auto" w:fill="auto"/>
            <w:noWrap/>
            <w:vAlign w:val="center"/>
            <w:hideMark/>
          </w:tcPr>
          <w:p w14:paraId="12E1D17D" w14:textId="483F426A" w:rsidR="00D923AA" w:rsidRPr="007B010A" w:rsidRDefault="00D923AA" w:rsidP="00376CF0">
            <w:pPr>
              <w:jc w:val="center"/>
              <w:rPr>
                <w:sz w:val="18"/>
                <w:szCs w:val="18"/>
              </w:rPr>
            </w:pPr>
            <w:r w:rsidRPr="007B010A">
              <w:rPr>
                <w:sz w:val="18"/>
                <w:szCs w:val="18"/>
              </w:rPr>
              <w:t>1077</w:t>
            </w:r>
            <w:r w:rsidR="00090401">
              <w:rPr>
                <w:sz w:val="18"/>
                <w:szCs w:val="18"/>
              </w:rPr>
              <w:t>,</w:t>
            </w:r>
            <w:r w:rsidRPr="007B010A">
              <w:rPr>
                <w:sz w:val="18"/>
                <w:szCs w:val="18"/>
              </w:rPr>
              <w:t>47</w:t>
            </w:r>
          </w:p>
        </w:tc>
        <w:tc>
          <w:tcPr>
            <w:tcW w:w="1134" w:type="dxa"/>
            <w:tcBorders>
              <w:top w:val="nil"/>
              <w:left w:val="nil"/>
              <w:bottom w:val="single" w:sz="4" w:space="0" w:color="auto"/>
              <w:right w:val="single" w:sz="4" w:space="0" w:color="auto"/>
            </w:tcBorders>
            <w:shd w:val="clear" w:color="auto" w:fill="auto"/>
            <w:noWrap/>
            <w:vAlign w:val="center"/>
            <w:hideMark/>
          </w:tcPr>
          <w:p w14:paraId="7C2E5178" w14:textId="77777777" w:rsidR="00D923AA" w:rsidRPr="007B010A" w:rsidRDefault="00D923AA" w:rsidP="00376CF0">
            <w:pPr>
              <w:jc w:val="center"/>
              <w:rPr>
                <w:sz w:val="18"/>
                <w:szCs w:val="18"/>
              </w:rPr>
            </w:pPr>
            <w:r w:rsidRPr="007B010A">
              <w:rPr>
                <w:sz w:val="18"/>
                <w:szCs w:val="18"/>
              </w:rPr>
              <w:t>54 951</w:t>
            </w:r>
          </w:p>
        </w:tc>
        <w:tc>
          <w:tcPr>
            <w:tcW w:w="1134" w:type="dxa"/>
            <w:tcBorders>
              <w:top w:val="nil"/>
              <w:left w:val="nil"/>
              <w:bottom w:val="single" w:sz="4" w:space="0" w:color="auto"/>
              <w:right w:val="single" w:sz="4" w:space="0" w:color="auto"/>
            </w:tcBorders>
            <w:shd w:val="clear" w:color="auto" w:fill="auto"/>
            <w:noWrap/>
            <w:vAlign w:val="center"/>
            <w:hideMark/>
          </w:tcPr>
          <w:p w14:paraId="17F8571E" w14:textId="5B2490BA" w:rsidR="00D923AA" w:rsidRPr="007B010A" w:rsidRDefault="003E359E" w:rsidP="00376CF0">
            <w:pPr>
              <w:jc w:val="center"/>
              <w:rPr>
                <w:sz w:val="18"/>
                <w:szCs w:val="18"/>
              </w:rPr>
            </w:pPr>
            <w:r w:rsidRPr="007B010A">
              <w:rPr>
                <w:sz w:val="18"/>
                <w:szCs w:val="18"/>
              </w:rPr>
              <w:t>14</w:t>
            </w:r>
          </w:p>
        </w:tc>
        <w:tc>
          <w:tcPr>
            <w:tcW w:w="1418" w:type="dxa"/>
            <w:tcBorders>
              <w:top w:val="nil"/>
              <w:left w:val="nil"/>
              <w:bottom w:val="single" w:sz="4" w:space="0" w:color="auto"/>
              <w:right w:val="single" w:sz="4" w:space="0" w:color="auto"/>
            </w:tcBorders>
            <w:shd w:val="clear" w:color="auto" w:fill="auto"/>
            <w:noWrap/>
            <w:vAlign w:val="center"/>
            <w:hideMark/>
          </w:tcPr>
          <w:p w14:paraId="2D32CA61" w14:textId="658392BB" w:rsidR="00D923AA" w:rsidRPr="007B010A" w:rsidRDefault="003E359E" w:rsidP="00376CF0">
            <w:pPr>
              <w:jc w:val="center"/>
              <w:rPr>
                <w:sz w:val="18"/>
                <w:szCs w:val="18"/>
              </w:rPr>
            </w:pPr>
            <w:r w:rsidRPr="007B010A">
              <w:rPr>
                <w:sz w:val="18"/>
                <w:szCs w:val="18"/>
              </w:rPr>
              <w:t>693</w:t>
            </w:r>
            <w:r w:rsidR="00090401">
              <w:rPr>
                <w:sz w:val="18"/>
                <w:szCs w:val="18"/>
              </w:rPr>
              <w:t>,</w:t>
            </w:r>
            <w:r w:rsidRPr="007B010A">
              <w:rPr>
                <w:sz w:val="18"/>
                <w:szCs w:val="18"/>
              </w:rPr>
              <w:t>36</w:t>
            </w:r>
          </w:p>
        </w:tc>
        <w:tc>
          <w:tcPr>
            <w:tcW w:w="992" w:type="dxa"/>
            <w:tcBorders>
              <w:top w:val="nil"/>
              <w:left w:val="nil"/>
              <w:bottom w:val="single" w:sz="4" w:space="0" w:color="auto"/>
              <w:right w:val="single" w:sz="4" w:space="0" w:color="auto"/>
            </w:tcBorders>
            <w:shd w:val="clear" w:color="auto" w:fill="auto"/>
            <w:noWrap/>
            <w:vAlign w:val="center"/>
            <w:hideMark/>
          </w:tcPr>
          <w:p w14:paraId="108AB2B9" w14:textId="037F6604" w:rsidR="00D923AA" w:rsidRPr="007B010A" w:rsidRDefault="003E359E" w:rsidP="00376CF0">
            <w:pPr>
              <w:jc w:val="center"/>
              <w:rPr>
                <w:sz w:val="18"/>
                <w:szCs w:val="18"/>
              </w:rPr>
            </w:pPr>
            <w:r w:rsidRPr="007B010A">
              <w:rPr>
                <w:sz w:val="18"/>
                <w:szCs w:val="18"/>
              </w:rPr>
              <w:t>9 707</w:t>
            </w:r>
          </w:p>
        </w:tc>
      </w:tr>
      <w:tr w:rsidR="00D923AA" w:rsidRPr="007B010A" w14:paraId="2A61AD47" w14:textId="77777777" w:rsidTr="00376CF0">
        <w:trPr>
          <w:trHeight w:val="6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AD1B65E" w14:textId="77777777" w:rsidR="00D923AA" w:rsidRPr="007B010A" w:rsidRDefault="00D923AA" w:rsidP="00376CF0">
            <w:pPr>
              <w:jc w:val="center"/>
              <w:rPr>
                <w:sz w:val="18"/>
                <w:szCs w:val="18"/>
              </w:rPr>
            </w:pPr>
            <w:r w:rsidRPr="007B010A">
              <w:rPr>
                <w:sz w:val="18"/>
                <w:szCs w:val="18"/>
              </w:rPr>
              <w:t>K00...K93</w:t>
            </w:r>
          </w:p>
        </w:tc>
        <w:tc>
          <w:tcPr>
            <w:tcW w:w="1641" w:type="dxa"/>
            <w:tcBorders>
              <w:top w:val="nil"/>
              <w:left w:val="nil"/>
              <w:bottom w:val="single" w:sz="4" w:space="0" w:color="auto"/>
              <w:right w:val="single" w:sz="4" w:space="0" w:color="auto"/>
            </w:tcBorders>
            <w:shd w:val="clear" w:color="auto" w:fill="auto"/>
            <w:vAlign w:val="center"/>
            <w:hideMark/>
          </w:tcPr>
          <w:p w14:paraId="4A4DF350" w14:textId="77777777" w:rsidR="00D923AA" w:rsidRPr="007B010A" w:rsidRDefault="00D923AA" w:rsidP="00376CF0">
            <w:pPr>
              <w:jc w:val="center"/>
              <w:rPr>
                <w:sz w:val="18"/>
                <w:szCs w:val="18"/>
              </w:rPr>
            </w:pPr>
            <w:r w:rsidRPr="007B010A">
              <w:rPr>
                <w:sz w:val="18"/>
                <w:szCs w:val="18"/>
              </w:rPr>
              <w:t>Gremošanas sistēmas slimības</w:t>
            </w:r>
          </w:p>
        </w:tc>
        <w:tc>
          <w:tcPr>
            <w:tcW w:w="1194" w:type="dxa"/>
            <w:tcBorders>
              <w:top w:val="nil"/>
              <w:left w:val="nil"/>
              <w:bottom w:val="single" w:sz="4" w:space="0" w:color="auto"/>
              <w:right w:val="single" w:sz="4" w:space="0" w:color="auto"/>
            </w:tcBorders>
            <w:shd w:val="clear" w:color="auto" w:fill="auto"/>
            <w:noWrap/>
            <w:vAlign w:val="center"/>
            <w:hideMark/>
          </w:tcPr>
          <w:p w14:paraId="2B7C22A0" w14:textId="77777777" w:rsidR="00D923AA" w:rsidRPr="007B010A" w:rsidRDefault="00D923AA" w:rsidP="00376CF0">
            <w:pPr>
              <w:jc w:val="center"/>
              <w:rPr>
                <w:sz w:val="18"/>
                <w:szCs w:val="18"/>
              </w:rPr>
            </w:pPr>
            <w:r w:rsidRPr="007B010A">
              <w:rPr>
                <w:sz w:val="18"/>
                <w:szCs w:val="18"/>
              </w:rPr>
              <w:t>22</w:t>
            </w:r>
          </w:p>
        </w:tc>
        <w:tc>
          <w:tcPr>
            <w:tcW w:w="1276" w:type="dxa"/>
            <w:tcBorders>
              <w:top w:val="nil"/>
              <w:left w:val="nil"/>
              <w:bottom w:val="single" w:sz="4" w:space="0" w:color="auto"/>
              <w:right w:val="single" w:sz="4" w:space="0" w:color="auto"/>
            </w:tcBorders>
            <w:shd w:val="clear" w:color="auto" w:fill="auto"/>
            <w:noWrap/>
            <w:vAlign w:val="center"/>
            <w:hideMark/>
          </w:tcPr>
          <w:p w14:paraId="54491071" w14:textId="54DB018D" w:rsidR="00D923AA" w:rsidRPr="007B010A" w:rsidRDefault="00D923AA" w:rsidP="00376CF0">
            <w:pPr>
              <w:jc w:val="center"/>
              <w:rPr>
                <w:sz w:val="18"/>
                <w:szCs w:val="18"/>
              </w:rPr>
            </w:pPr>
            <w:r w:rsidRPr="007B010A">
              <w:rPr>
                <w:sz w:val="18"/>
                <w:szCs w:val="18"/>
              </w:rPr>
              <w:t>946</w:t>
            </w:r>
            <w:r w:rsidR="00090401">
              <w:rPr>
                <w:sz w:val="18"/>
                <w:szCs w:val="18"/>
              </w:rPr>
              <w:t>,</w:t>
            </w:r>
            <w:r w:rsidRPr="007B010A">
              <w:rPr>
                <w:sz w:val="18"/>
                <w:szCs w:val="18"/>
              </w:rPr>
              <w:t>02</w:t>
            </w:r>
          </w:p>
        </w:tc>
        <w:tc>
          <w:tcPr>
            <w:tcW w:w="1134" w:type="dxa"/>
            <w:tcBorders>
              <w:top w:val="nil"/>
              <w:left w:val="nil"/>
              <w:bottom w:val="single" w:sz="4" w:space="0" w:color="auto"/>
              <w:right w:val="single" w:sz="4" w:space="0" w:color="auto"/>
            </w:tcBorders>
            <w:shd w:val="clear" w:color="auto" w:fill="auto"/>
            <w:noWrap/>
            <w:vAlign w:val="center"/>
            <w:hideMark/>
          </w:tcPr>
          <w:p w14:paraId="1208A15C" w14:textId="77777777" w:rsidR="00D923AA" w:rsidRPr="007B010A" w:rsidRDefault="00D923AA" w:rsidP="00376CF0">
            <w:pPr>
              <w:jc w:val="center"/>
              <w:rPr>
                <w:sz w:val="18"/>
                <w:szCs w:val="18"/>
              </w:rPr>
            </w:pPr>
            <w:r w:rsidRPr="007B010A">
              <w:rPr>
                <w:sz w:val="18"/>
                <w:szCs w:val="18"/>
              </w:rPr>
              <w:t>20 812</w:t>
            </w:r>
          </w:p>
        </w:tc>
        <w:tc>
          <w:tcPr>
            <w:tcW w:w="1134" w:type="dxa"/>
            <w:tcBorders>
              <w:top w:val="nil"/>
              <w:left w:val="nil"/>
              <w:bottom w:val="single" w:sz="4" w:space="0" w:color="auto"/>
              <w:right w:val="single" w:sz="4" w:space="0" w:color="auto"/>
            </w:tcBorders>
            <w:shd w:val="clear" w:color="auto" w:fill="auto"/>
            <w:noWrap/>
            <w:vAlign w:val="center"/>
            <w:hideMark/>
          </w:tcPr>
          <w:p w14:paraId="702305E2" w14:textId="3E741138" w:rsidR="00D923AA" w:rsidRPr="007B010A" w:rsidRDefault="00D923AA" w:rsidP="00376CF0">
            <w:pPr>
              <w:jc w:val="center"/>
              <w:rPr>
                <w:sz w:val="18"/>
                <w:szCs w:val="18"/>
              </w:rPr>
            </w:pPr>
            <w:r w:rsidRPr="007B010A">
              <w:rPr>
                <w:sz w:val="18"/>
                <w:szCs w:val="18"/>
              </w:rPr>
              <w:t> </w:t>
            </w:r>
            <w:r w:rsidR="003E359E" w:rsidRPr="007B010A">
              <w:rPr>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14:paraId="0AA5A98A" w14:textId="0D6D6E9C" w:rsidR="00D923AA" w:rsidRPr="007B010A" w:rsidRDefault="003E359E" w:rsidP="00376CF0">
            <w:pPr>
              <w:jc w:val="center"/>
              <w:rPr>
                <w:sz w:val="18"/>
                <w:szCs w:val="18"/>
              </w:rPr>
            </w:pPr>
            <w:r w:rsidRPr="007B010A">
              <w:rPr>
                <w:sz w:val="18"/>
                <w:szCs w:val="18"/>
              </w:rPr>
              <w:t>1 905</w:t>
            </w:r>
            <w:r w:rsidR="00D923AA" w:rsidRPr="007B010A">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1065BF1E" w14:textId="3A63AC31" w:rsidR="00D923AA" w:rsidRPr="007B010A" w:rsidRDefault="003E359E" w:rsidP="00376CF0">
            <w:pPr>
              <w:jc w:val="center"/>
              <w:rPr>
                <w:sz w:val="18"/>
                <w:szCs w:val="18"/>
              </w:rPr>
            </w:pPr>
            <w:r w:rsidRPr="007B010A">
              <w:rPr>
                <w:sz w:val="18"/>
                <w:szCs w:val="18"/>
              </w:rPr>
              <w:t>1 905</w:t>
            </w:r>
            <w:r w:rsidR="00D923AA" w:rsidRPr="007B010A">
              <w:rPr>
                <w:sz w:val="18"/>
                <w:szCs w:val="18"/>
              </w:rPr>
              <w:t> </w:t>
            </w:r>
          </w:p>
        </w:tc>
      </w:tr>
      <w:tr w:rsidR="00D923AA" w:rsidRPr="007B010A" w14:paraId="1F2B3E3F" w14:textId="77777777" w:rsidTr="00376CF0">
        <w:trPr>
          <w:trHeight w:val="12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0414C4C" w14:textId="77777777" w:rsidR="00D923AA" w:rsidRPr="007B010A" w:rsidRDefault="00D923AA" w:rsidP="00376CF0">
            <w:pPr>
              <w:jc w:val="center"/>
              <w:rPr>
                <w:sz w:val="18"/>
                <w:szCs w:val="18"/>
              </w:rPr>
            </w:pPr>
            <w:r w:rsidRPr="007B010A">
              <w:rPr>
                <w:sz w:val="18"/>
                <w:szCs w:val="18"/>
              </w:rPr>
              <w:t>S00...T98</w:t>
            </w:r>
          </w:p>
        </w:tc>
        <w:tc>
          <w:tcPr>
            <w:tcW w:w="1641" w:type="dxa"/>
            <w:tcBorders>
              <w:top w:val="nil"/>
              <w:left w:val="nil"/>
              <w:bottom w:val="single" w:sz="4" w:space="0" w:color="auto"/>
              <w:right w:val="single" w:sz="4" w:space="0" w:color="auto"/>
            </w:tcBorders>
            <w:shd w:val="clear" w:color="auto" w:fill="auto"/>
            <w:vAlign w:val="center"/>
            <w:hideMark/>
          </w:tcPr>
          <w:p w14:paraId="6418A85E" w14:textId="77777777" w:rsidR="00D923AA" w:rsidRPr="007B010A" w:rsidRDefault="00D923AA" w:rsidP="00376CF0">
            <w:pPr>
              <w:jc w:val="center"/>
              <w:rPr>
                <w:sz w:val="18"/>
                <w:szCs w:val="18"/>
              </w:rPr>
            </w:pPr>
            <w:r w:rsidRPr="007B010A">
              <w:rPr>
                <w:sz w:val="18"/>
                <w:szCs w:val="18"/>
              </w:rPr>
              <w:t>Ievainojumi, saindēšanās un citas ārējās iedarbes sekas</w:t>
            </w:r>
          </w:p>
        </w:tc>
        <w:tc>
          <w:tcPr>
            <w:tcW w:w="1194" w:type="dxa"/>
            <w:tcBorders>
              <w:top w:val="nil"/>
              <w:left w:val="nil"/>
              <w:bottom w:val="single" w:sz="4" w:space="0" w:color="auto"/>
              <w:right w:val="single" w:sz="4" w:space="0" w:color="auto"/>
            </w:tcBorders>
            <w:shd w:val="clear" w:color="auto" w:fill="auto"/>
            <w:noWrap/>
            <w:vAlign w:val="center"/>
            <w:hideMark/>
          </w:tcPr>
          <w:p w14:paraId="21001729" w14:textId="77777777" w:rsidR="00D923AA" w:rsidRPr="007B010A" w:rsidRDefault="00D923AA" w:rsidP="00376CF0">
            <w:pPr>
              <w:jc w:val="center"/>
              <w:rPr>
                <w:sz w:val="18"/>
                <w:szCs w:val="18"/>
              </w:rPr>
            </w:pPr>
            <w:r w:rsidRPr="007B010A">
              <w:rPr>
                <w:sz w:val="18"/>
                <w:szCs w:val="18"/>
              </w:rPr>
              <w:t>43</w:t>
            </w:r>
          </w:p>
        </w:tc>
        <w:tc>
          <w:tcPr>
            <w:tcW w:w="1276" w:type="dxa"/>
            <w:tcBorders>
              <w:top w:val="nil"/>
              <w:left w:val="nil"/>
              <w:bottom w:val="single" w:sz="4" w:space="0" w:color="auto"/>
              <w:right w:val="single" w:sz="4" w:space="0" w:color="auto"/>
            </w:tcBorders>
            <w:shd w:val="clear" w:color="auto" w:fill="auto"/>
            <w:noWrap/>
            <w:vAlign w:val="center"/>
            <w:hideMark/>
          </w:tcPr>
          <w:p w14:paraId="1B854F2C" w14:textId="50861F1E" w:rsidR="00D923AA" w:rsidRPr="007B010A" w:rsidRDefault="00D923AA" w:rsidP="00376CF0">
            <w:pPr>
              <w:jc w:val="center"/>
              <w:rPr>
                <w:sz w:val="18"/>
                <w:szCs w:val="18"/>
              </w:rPr>
            </w:pPr>
            <w:r w:rsidRPr="007B010A">
              <w:rPr>
                <w:sz w:val="18"/>
                <w:szCs w:val="18"/>
              </w:rPr>
              <w:t>3063</w:t>
            </w:r>
            <w:r w:rsidR="00090401">
              <w:rPr>
                <w:sz w:val="18"/>
                <w:szCs w:val="18"/>
              </w:rPr>
              <w:t>,</w:t>
            </w:r>
            <w:r w:rsidRPr="007B010A">
              <w:rPr>
                <w:sz w:val="18"/>
                <w:szCs w:val="18"/>
              </w:rPr>
              <w:t>95</w:t>
            </w:r>
          </w:p>
        </w:tc>
        <w:tc>
          <w:tcPr>
            <w:tcW w:w="1134" w:type="dxa"/>
            <w:tcBorders>
              <w:top w:val="nil"/>
              <w:left w:val="nil"/>
              <w:bottom w:val="single" w:sz="4" w:space="0" w:color="auto"/>
              <w:right w:val="single" w:sz="4" w:space="0" w:color="auto"/>
            </w:tcBorders>
            <w:shd w:val="clear" w:color="auto" w:fill="auto"/>
            <w:noWrap/>
            <w:vAlign w:val="center"/>
            <w:hideMark/>
          </w:tcPr>
          <w:p w14:paraId="643B0534" w14:textId="77777777" w:rsidR="00D923AA" w:rsidRPr="007B010A" w:rsidRDefault="00D923AA" w:rsidP="00376CF0">
            <w:pPr>
              <w:jc w:val="center"/>
              <w:rPr>
                <w:sz w:val="18"/>
                <w:szCs w:val="18"/>
              </w:rPr>
            </w:pPr>
            <w:r w:rsidRPr="007B010A">
              <w:rPr>
                <w:sz w:val="18"/>
                <w:szCs w:val="18"/>
              </w:rPr>
              <w:t>131 750</w:t>
            </w:r>
          </w:p>
        </w:tc>
        <w:tc>
          <w:tcPr>
            <w:tcW w:w="1134" w:type="dxa"/>
            <w:tcBorders>
              <w:top w:val="nil"/>
              <w:left w:val="nil"/>
              <w:bottom w:val="single" w:sz="4" w:space="0" w:color="auto"/>
              <w:right w:val="single" w:sz="4" w:space="0" w:color="auto"/>
            </w:tcBorders>
            <w:shd w:val="clear" w:color="auto" w:fill="auto"/>
            <w:noWrap/>
            <w:vAlign w:val="center"/>
            <w:hideMark/>
          </w:tcPr>
          <w:p w14:paraId="47437AE6" w14:textId="4979687E" w:rsidR="00D923AA" w:rsidRPr="007B010A" w:rsidRDefault="00327919" w:rsidP="00376CF0">
            <w:pPr>
              <w:jc w:val="center"/>
              <w:rPr>
                <w:sz w:val="18"/>
                <w:szCs w:val="18"/>
              </w:rPr>
            </w:pPr>
            <w:r w:rsidRPr="007B010A">
              <w:rPr>
                <w:sz w:val="18"/>
                <w:szCs w:val="18"/>
              </w:rPr>
              <w:t>213</w:t>
            </w:r>
          </w:p>
        </w:tc>
        <w:tc>
          <w:tcPr>
            <w:tcW w:w="1418" w:type="dxa"/>
            <w:tcBorders>
              <w:top w:val="nil"/>
              <w:left w:val="nil"/>
              <w:bottom w:val="single" w:sz="4" w:space="0" w:color="auto"/>
              <w:right w:val="single" w:sz="4" w:space="0" w:color="auto"/>
            </w:tcBorders>
            <w:shd w:val="clear" w:color="auto" w:fill="auto"/>
            <w:noWrap/>
            <w:vAlign w:val="center"/>
            <w:hideMark/>
          </w:tcPr>
          <w:p w14:paraId="02CEAFB0" w14:textId="10181276" w:rsidR="00D923AA" w:rsidRPr="007B010A" w:rsidRDefault="00327919" w:rsidP="00376CF0">
            <w:pPr>
              <w:jc w:val="center"/>
              <w:rPr>
                <w:sz w:val="18"/>
                <w:szCs w:val="18"/>
              </w:rPr>
            </w:pPr>
            <w:r w:rsidRPr="007B010A">
              <w:rPr>
                <w:sz w:val="18"/>
                <w:szCs w:val="18"/>
              </w:rPr>
              <w:t>666</w:t>
            </w:r>
            <w:r w:rsidR="00090401">
              <w:rPr>
                <w:sz w:val="18"/>
                <w:szCs w:val="18"/>
              </w:rPr>
              <w:t>,</w:t>
            </w:r>
            <w:r w:rsidRPr="007B010A">
              <w:rPr>
                <w:sz w:val="18"/>
                <w:szCs w:val="18"/>
              </w:rPr>
              <w:t>32</w:t>
            </w:r>
          </w:p>
        </w:tc>
        <w:tc>
          <w:tcPr>
            <w:tcW w:w="992" w:type="dxa"/>
            <w:tcBorders>
              <w:top w:val="nil"/>
              <w:left w:val="nil"/>
              <w:bottom w:val="single" w:sz="4" w:space="0" w:color="auto"/>
              <w:right w:val="single" w:sz="4" w:space="0" w:color="auto"/>
            </w:tcBorders>
            <w:shd w:val="clear" w:color="auto" w:fill="auto"/>
            <w:noWrap/>
            <w:vAlign w:val="center"/>
            <w:hideMark/>
          </w:tcPr>
          <w:p w14:paraId="4E369627" w14:textId="03B4A6F4" w:rsidR="00D923AA" w:rsidRPr="007B010A" w:rsidRDefault="00327919" w:rsidP="00376CF0">
            <w:pPr>
              <w:jc w:val="center"/>
              <w:rPr>
                <w:sz w:val="18"/>
                <w:szCs w:val="18"/>
              </w:rPr>
            </w:pPr>
            <w:r w:rsidRPr="007B010A">
              <w:rPr>
                <w:sz w:val="18"/>
                <w:szCs w:val="18"/>
              </w:rPr>
              <w:t>141 926</w:t>
            </w:r>
          </w:p>
        </w:tc>
      </w:tr>
      <w:tr w:rsidR="00D923AA" w:rsidRPr="007B010A" w14:paraId="62D562EA" w14:textId="77777777" w:rsidTr="00376CF0">
        <w:trPr>
          <w:trHeight w:val="9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58FFCCD4" w14:textId="77777777" w:rsidR="00D923AA" w:rsidRPr="007B010A" w:rsidRDefault="00D923AA" w:rsidP="00376CF0">
            <w:pPr>
              <w:jc w:val="center"/>
              <w:rPr>
                <w:b/>
                <w:bCs/>
                <w:sz w:val="18"/>
                <w:szCs w:val="18"/>
              </w:rPr>
            </w:pPr>
            <w:r w:rsidRPr="007B010A">
              <w:rPr>
                <w:b/>
                <w:bCs/>
                <w:sz w:val="18"/>
                <w:szCs w:val="18"/>
              </w:rPr>
              <w:t> </w:t>
            </w:r>
          </w:p>
        </w:tc>
        <w:tc>
          <w:tcPr>
            <w:tcW w:w="1641" w:type="dxa"/>
            <w:tcBorders>
              <w:top w:val="nil"/>
              <w:left w:val="nil"/>
              <w:bottom w:val="single" w:sz="4" w:space="0" w:color="auto"/>
              <w:right w:val="single" w:sz="4" w:space="0" w:color="auto"/>
            </w:tcBorders>
            <w:shd w:val="clear" w:color="auto" w:fill="auto"/>
            <w:vAlign w:val="center"/>
            <w:hideMark/>
          </w:tcPr>
          <w:p w14:paraId="6861C7F7" w14:textId="77777777" w:rsidR="00D923AA" w:rsidRPr="007B010A" w:rsidRDefault="00D923AA" w:rsidP="00376CF0">
            <w:pPr>
              <w:jc w:val="center"/>
              <w:rPr>
                <w:sz w:val="18"/>
                <w:szCs w:val="18"/>
              </w:rPr>
            </w:pPr>
            <w:proofErr w:type="spellStart"/>
            <w:r w:rsidRPr="007B010A">
              <w:rPr>
                <w:sz w:val="18"/>
                <w:szCs w:val="18"/>
              </w:rPr>
              <w:t>Mikrodiskektomija</w:t>
            </w:r>
            <w:proofErr w:type="spellEnd"/>
            <w:r w:rsidRPr="007B010A">
              <w:rPr>
                <w:sz w:val="18"/>
                <w:szCs w:val="18"/>
              </w:rPr>
              <w:t xml:space="preserve">, </w:t>
            </w:r>
            <w:proofErr w:type="spellStart"/>
            <w:r w:rsidRPr="007B010A">
              <w:rPr>
                <w:sz w:val="18"/>
                <w:szCs w:val="18"/>
              </w:rPr>
              <w:t>mikrofenestrācija</w:t>
            </w:r>
            <w:proofErr w:type="spellEnd"/>
            <w:r w:rsidRPr="007B010A">
              <w:rPr>
                <w:sz w:val="18"/>
                <w:szCs w:val="18"/>
              </w:rPr>
              <w:t xml:space="preserve"> jostas daļā</w:t>
            </w:r>
          </w:p>
        </w:tc>
        <w:tc>
          <w:tcPr>
            <w:tcW w:w="1194" w:type="dxa"/>
            <w:tcBorders>
              <w:top w:val="nil"/>
              <w:left w:val="nil"/>
              <w:bottom w:val="single" w:sz="4" w:space="0" w:color="auto"/>
              <w:right w:val="single" w:sz="4" w:space="0" w:color="auto"/>
            </w:tcBorders>
            <w:shd w:val="clear" w:color="auto" w:fill="auto"/>
            <w:noWrap/>
            <w:vAlign w:val="center"/>
            <w:hideMark/>
          </w:tcPr>
          <w:p w14:paraId="0A413E9A" w14:textId="77777777" w:rsidR="00D923AA" w:rsidRPr="007B010A" w:rsidRDefault="00D923AA" w:rsidP="00376CF0">
            <w:pPr>
              <w:jc w:val="center"/>
              <w:rPr>
                <w:sz w:val="18"/>
                <w:szCs w:val="18"/>
              </w:rPr>
            </w:pPr>
            <w:r w:rsidRPr="007B010A">
              <w:rPr>
                <w:sz w:val="18"/>
                <w:szCs w:val="18"/>
              </w:rPr>
              <w:t>582</w:t>
            </w:r>
          </w:p>
        </w:tc>
        <w:tc>
          <w:tcPr>
            <w:tcW w:w="1276" w:type="dxa"/>
            <w:tcBorders>
              <w:top w:val="nil"/>
              <w:left w:val="nil"/>
              <w:bottom w:val="single" w:sz="4" w:space="0" w:color="auto"/>
              <w:right w:val="single" w:sz="4" w:space="0" w:color="auto"/>
            </w:tcBorders>
            <w:shd w:val="clear" w:color="auto" w:fill="auto"/>
            <w:noWrap/>
            <w:vAlign w:val="center"/>
            <w:hideMark/>
          </w:tcPr>
          <w:p w14:paraId="040B54B1" w14:textId="6660892B" w:rsidR="00D923AA" w:rsidRPr="007B010A" w:rsidRDefault="00D923AA" w:rsidP="00376CF0">
            <w:pPr>
              <w:jc w:val="center"/>
              <w:rPr>
                <w:sz w:val="18"/>
                <w:szCs w:val="18"/>
              </w:rPr>
            </w:pPr>
            <w:r w:rsidRPr="007B010A">
              <w:rPr>
                <w:sz w:val="18"/>
                <w:szCs w:val="18"/>
              </w:rPr>
              <w:t>796</w:t>
            </w:r>
            <w:r w:rsidR="00090401">
              <w:rPr>
                <w:sz w:val="18"/>
                <w:szCs w:val="18"/>
              </w:rPr>
              <w:t>,</w:t>
            </w:r>
            <w:r w:rsidRPr="007B010A">
              <w:rPr>
                <w:sz w:val="18"/>
                <w:szCs w:val="18"/>
              </w:rPr>
              <w:t>34</w:t>
            </w:r>
          </w:p>
        </w:tc>
        <w:tc>
          <w:tcPr>
            <w:tcW w:w="1134" w:type="dxa"/>
            <w:tcBorders>
              <w:top w:val="nil"/>
              <w:left w:val="nil"/>
              <w:bottom w:val="single" w:sz="4" w:space="0" w:color="auto"/>
              <w:right w:val="single" w:sz="4" w:space="0" w:color="auto"/>
            </w:tcBorders>
            <w:shd w:val="clear" w:color="auto" w:fill="auto"/>
            <w:noWrap/>
            <w:vAlign w:val="center"/>
            <w:hideMark/>
          </w:tcPr>
          <w:p w14:paraId="41BCCD5D" w14:textId="77777777" w:rsidR="00D923AA" w:rsidRPr="007B010A" w:rsidRDefault="00D923AA" w:rsidP="00376CF0">
            <w:pPr>
              <w:jc w:val="center"/>
              <w:rPr>
                <w:sz w:val="18"/>
                <w:szCs w:val="18"/>
              </w:rPr>
            </w:pPr>
            <w:r w:rsidRPr="007B010A">
              <w:rPr>
                <w:sz w:val="18"/>
                <w:szCs w:val="18"/>
              </w:rPr>
              <w:t>463 470</w:t>
            </w:r>
          </w:p>
        </w:tc>
        <w:tc>
          <w:tcPr>
            <w:tcW w:w="1134" w:type="dxa"/>
            <w:tcBorders>
              <w:top w:val="nil"/>
              <w:left w:val="nil"/>
              <w:bottom w:val="single" w:sz="4" w:space="0" w:color="auto"/>
              <w:right w:val="single" w:sz="4" w:space="0" w:color="auto"/>
            </w:tcBorders>
            <w:shd w:val="clear" w:color="auto" w:fill="auto"/>
            <w:noWrap/>
            <w:vAlign w:val="center"/>
            <w:hideMark/>
          </w:tcPr>
          <w:p w14:paraId="031F3212" w14:textId="447592CA" w:rsidR="00D923AA" w:rsidRPr="007B010A" w:rsidRDefault="00327919" w:rsidP="00376CF0">
            <w:pPr>
              <w:jc w:val="center"/>
              <w:rPr>
                <w:sz w:val="18"/>
                <w:szCs w:val="18"/>
              </w:rPr>
            </w:pPr>
            <w:r w:rsidRPr="007B010A">
              <w:rPr>
                <w:sz w:val="18"/>
                <w:szCs w:val="18"/>
              </w:rPr>
              <w:t>235</w:t>
            </w:r>
          </w:p>
        </w:tc>
        <w:tc>
          <w:tcPr>
            <w:tcW w:w="1418" w:type="dxa"/>
            <w:tcBorders>
              <w:top w:val="nil"/>
              <w:left w:val="nil"/>
              <w:bottom w:val="single" w:sz="4" w:space="0" w:color="auto"/>
              <w:right w:val="single" w:sz="4" w:space="0" w:color="auto"/>
            </w:tcBorders>
            <w:shd w:val="clear" w:color="auto" w:fill="auto"/>
            <w:noWrap/>
            <w:vAlign w:val="center"/>
            <w:hideMark/>
          </w:tcPr>
          <w:p w14:paraId="5ED08260" w14:textId="1A8E227B" w:rsidR="00D923AA" w:rsidRPr="007B010A" w:rsidRDefault="00D923AA" w:rsidP="00376CF0">
            <w:pPr>
              <w:jc w:val="center"/>
              <w:rPr>
                <w:sz w:val="18"/>
                <w:szCs w:val="18"/>
              </w:rPr>
            </w:pPr>
            <w:r w:rsidRPr="007B010A">
              <w:rPr>
                <w:sz w:val="18"/>
                <w:szCs w:val="18"/>
              </w:rPr>
              <w:t>1</w:t>
            </w:r>
            <w:r w:rsidR="00090401">
              <w:rPr>
                <w:sz w:val="18"/>
                <w:szCs w:val="18"/>
              </w:rPr>
              <w:t> </w:t>
            </w:r>
            <w:r w:rsidR="00327919" w:rsidRPr="007B010A">
              <w:rPr>
                <w:sz w:val="18"/>
                <w:szCs w:val="18"/>
              </w:rPr>
              <w:t>033</w:t>
            </w:r>
            <w:r w:rsidR="00090401">
              <w:rPr>
                <w:sz w:val="18"/>
                <w:szCs w:val="18"/>
              </w:rPr>
              <w:t>,</w:t>
            </w:r>
            <w:r w:rsidR="00327919" w:rsidRPr="007B010A">
              <w:rPr>
                <w:sz w:val="18"/>
                <w:szCs w:val="18"/>
              </w:rPr>
              <w:t>46</w:t>
            </w:r>
          </w:p>
        </w:tc>
        <w:tc>
          <w:tcPr>
            <w:tcW w:w="992" w:type="dxa"/>
            <w:tcBorders>
              <w:top w:val="nil"/>
              <w:left w:val="nil"/>
              <w:bottom w:val="single" w:sz="4" w:space="0" w:color="auto"/>
              <w:right w:val="single" w:sz="4" w:space="0" w:color="auto"/>
            </w:tcBorders>
            <w:shd w:val="clear" w:color="auto" w:fill="auto"/>
            <w:noWrap/>
            <w:vAlign w:val="center"/>
            <w:hideMark/>
          </w:tcPr>
          <w:p w14:paraId="002692AB" w14:textId="5DE02571" w:rsidR="00D923AA" w:rsidRPr="007B010A" w:rsidRDefault="00327919" w:rsidP="00376CF0">
            <w:pPr>
              <w:jc w:val="center"/>
              <w:rPr>
                <w:sz w:val="18"/>
                <w:szCs w:val="18"/>
              </w:rPr>
            </w:pPr>
            <w:r w:rsidRPr="007B010A">
              <w:rPr>
                <w:sz w:val="18"/>
                <w:szCs w:val="18"/>
              </w:rPr>
              <w:t>242 864</w:t>
            </w:r>
          </w:p>
        </w:tc>
      </w:tr>
      <w:tr w:rsidR="00D923AA" w:rsidRPr="007B010A" w14:paraId="26EA4760" w14:textId="77777777" w:rsidTr="00376CF0">
        <w:trPr>
          <w:trHeight w:val="6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F409F13" w14:textId="77777777" w:rsidR="00D923AA" w:rsidRPr="007B010A" w:rsidRDefault="00D923AA" w:rsidP="00376CF0">
            <w:pPr>
              <w:jc w:val="center"/>
              <w:rPr>
                <w:sz w:val="18"/>
                <w:szCs w:val="18"/>
              </w:rPr>
            </w:pPr>
            <w:r w:rsidRPr="007B010A">
              <w:rPr>
                <w:sz w:val="18"/>
                <w:szCs w:val="18"/>
              </w:rPr>
              <w:t>G00...G99</w:t>
            </w:r>
          </w:p>
        </w:tc>
        <w:tc>
          <w:tcPr>
            <w:tcW w:w="1641" w:type="dxa"/>
            <w:tcBorders>
              <w:top w:val="nil"/>
              <w:left w:val="nil"/>
              <w:bottom w:val="single" w:sz="4" w:space="0" w:color="auto"/>
              <w:right w:val="single" w:sz="4" w:space="0" w:color="auto"/>
            </w:tcBorders>
            <w:shd w:val="clear" w:color="auto" w:fill="auto"/>
            <w:vAlign w:val="center"/>
            <w:hideMark/>
          </w:tcPr>
          <w:p w14:paraId="5D236BA0" w14:textId="77777777" w:rsidR="00D923AA" w:rsidRPr="007B010A" w:rsidRDefault="00D923AA" w:rsidP="00376CF0">
            <w:pPr>
              <w:jc w:val="center"/>
              <w:rPr>
                <w:sz w:val="18"/>
                <w:szCs w:val="18"/>
              </w:rPr>
            </w:pPr>
            <w:r w:rsidRPr="007B010A">
              <w:rPr>
                <w:sz w:val="18"/>
                <w:szCs w:val="18"/>
              </w:rPr>
              <w:t>Nervu sistēmas slimības</w:t>
            </w:r>
          </w:p>
        </w:tc>
        <w:tc>
          <w:tcPr>
            <w:tcW w:w="1194" w:type="dxa"/>
            <w:tcBorders>
              <w:top w:val="nil"/>
              <w:left w:val="nil"/>
              <w:bottom w:val="single" w:sz="4" w:space="0" w:color="auto"/>
              <w:right w:val="single" w:sz="4" w:space="0" w:color="auto"/>
            </w:tcBorders>
            <w:shd w:val="clear" w:color="auto" w:fill="auto"/>
            <w:noWrap/>
            <w:vAlign w:val="center"/>
            <w:hideMark/>
          </w:tcPr>
          <w:p w14:paraId="32E4BD28" w14:textId="77777777" w:rsidR="00D923AA" w:rsidRPr="007B010A" w:rsidRDefault="00D923AA" w:rsidP="00376CF0">
            <w:pPr>
              <w:jc w:val="center"/>
              <w:rPr>
                <w:sz w:val="18"/>
                <w:szCs w:val="18"/>
              </w:rPr>
            </w:pPr>
            <w:r w:rsidRPr="007B010A">
              <w:rPr>
                <w:sz w:val="18"/>
                <w:szCs w:val="18"/>
              </w:rPr>
              <w:t>71</w:t>
            </w:r>
          </w:p>
        </w:tc>
        <w:tc>
          <w:tcPr>
            <w:tcW w:w="1276" w:type="dxa"/>
            <w:tcBorders>
              <w:top w:val="nil"/>
              <w:left w:val="nil"/>
              <w:bottom w:val="single" w:sz="4" w:space="0" w:color="auto"/>
              <w:right w:val="single" w:sz="4" w:space="0" w:color="auto"/>
            </w:tcBorders>
            <w:shd w:val="clear" w:color="auto" w:fill="auto"/>
            <w:noWrap/>
            <w:vAlign w:val="center"/>
            <w:hideMark/>
          </w:tcPr>
          <w:p w14:paraId="0C396DD1" w14:textId="0D7BFAF3" w:rsidR="00D923AA" w:rsidRPr="007B010A" w:rsidRDefault="00D923AA" w:rsidP="00376CF0">
            <w:pPr>
              <w:jc w:val="center"/>
              <w:rPr>
                <w:sz w:val="18"/>
                <w:szCs w:val="18"/>
              </w:rPr>
            </w:pPr>
            <w:r w:rsidRPr="007B010A">
              <w:rPr>
                <w:sz w:val="18"/>
                <w:szCs w:val="18"/>
              </w:rPr>
              <w:t>596</w:t>
            </w:r>
            <w:r w:rsidR="00090401">
              <w:rPr>
                <w:sz w:val="18"/>
                <w:szCs w:val="18"/>
              </w:rPr>
              <w:t>,</w:t>
            </w:r>
            <w:r w:rsidRPr="007B010A">
              <w:rPr>
                <w:sz w:val="18"/>
                <w:szCs w:val="18"/>
              </w:rPr>
              <w:t>52</w:t>
            </w:r>
          </w:p>
        </w:tc>
        <w:tc>
          <w:tcPr>
            <w:tcW w:w="1134" w:type="dxa"/>
            <w:tcBorders>
              <w:top w:val="nil"/>
              <w:left w:val="nil"/>
              <w:bottom w:val="single" w:sz="4" w:space="0" w:color="auto"/>
              <w:right w:val="single" w:sz="4" w:space="0" w:color="auto"/>
            </w:tcBorders>
            <w:shd w:val="clear" w:color="auto" w:fill="auto"/>
            <w:noWrap/>
            <w:vAlign w:val="center"/>
            <w:hideMark/>
          </w:tcPr>
          <w:p w14:paraId="1236ACF1" w14:textId="77777777" w:rsidR="00D923AA" w:rsidRPr="007B010A" w:rsidRDefault="00D923AA" w:rsidP="00376CF0">
            <w:pPr>
              <w:jc w:val="center"/>
              <w:rPr>
                <w:sz w:val="18"/>
                <w:szCs w:val="18"/>
              </w:rPr>
            </w:pPr>
            <w:r w:rsidRPr="007B010A">
              <w:rPr>
                <w:sz w:val="18"/>
                <w:szCs w:val="18"/>
              </w:rPr>
              <w:t>42 353</w:t>
            </w:r>
          </w:p>
        </w:tc>
        <w:tc>
          <w:tcPr>
            <w:tcW w:w="1134" w:type="dxa"/>
            <w:tcBorders>
              <w:top w:val="nil"/>
              <w:left w:val="nil"/>
              <w:bottom w:val="single" w:sz="4" w:space="0" w:color="auto"/>
              <w:right w:val="single" w:sz="4" w:space="0" w:color="auto"/>
            </w:tcBorders>
            <w:shd w:val="clear" w:color="auto" w:fill="auto"/>
            <w:noWrap/>
            <w:vAlign w:val="center"/>
            <w:hideMark/>
          </w:tcPr>
          <w:p w14:paraId="56954E00" w14:textId="7B095828" w:rsidR="00D923AA" w:rsidRPr="007B010A" w:rsidRDefault="00B26AD5" w:rsidP="00376CF0">
            <w:pPr>
              <w:jc w:val="center"/>
              <w:rPr>
                <w:sz w:val="18"/>
                <w:szCs w:val="18"/>
              </w:rPr>
            </w:pPr>
            <w:r w:rsidRPr="007B010A">
              <w:rPr>
                <w:sz w:val="18"/>
                <w:szCs w:val="18"/>
              </w:rPr>
              <w:t>10</w:t>
            </w:r>
          </w:p>
        </w:tc>
        <w:tc>
          <w:tcPr>
            <w:tcW w:w="1418" w:type="dxa"/>
            <w:tcBorders>
              <w:top w:val="nil"/>
              <w:left w:val="nil"/>
              <w:bottom w:val="single" w:sz="4" w:space="0" w:color="auto"/>
              <w:right w:val="single" w:sz="4" w:space="0" w:color="auto"/>
            </w:tcBorders>
            <w:shd w:val="clear" w:color="auto" w:fill="auto"/>
            <w:noWrap/>
            <w:vAlign w:val="center"/>
            <w:hideMark/>
          </w:tcPr>
          <w:p w14:paraId="38DE3589" w14:textId="3BB67BD8" w:rsidR="00D923AA" w:rsidRPr="007B010A" w:rsidRDefault="00B26AD5" w:rsidP="00376CF0">
            <w:pPr>
              <w:jc w:val="center"/>
              <w:rPr>
                <w:sz w:val="18"/>
                <w:szCs w:val="18"/>
              </w:rPr>
            </w:pPr>
            <w:r w:rsidRPr="007B010A">
              <w:rPr>
                <w:sz w:val="18"/>
                <w:szCs w:val="18"/>
              </w:rPr>
              <w:t>923</w:t>
            </w:r>
            <w:r w:rsidR="00090401">
              <w:rPr>
                <w:sz w:val="18"/>
                <w:szCs w:val="18"/>
              </w:rPr>
              <w:t>,</w:t>
            </w:r>
            <w:r w:rsidRPr="007B010A">
              <w:rPr>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14:paraId="3FB892F3" w14:textId="6C0B70DD" w:rsidR="00D923AA" w:rsidRPr="007B010A" w:rsidRDefault="00B26AD5" w:rsidP="00376CF0">
            <w:pPr>
              <w:jc w:val="center"/>
              <w:rPr>
                <w:sz w:val="18"/>
                <w:szCs w:val="18"/>
              </w:rPr>
            </w:pPr>
            <w:r w:rsidRPr="007B010A">
              <w:rPr>
                <w:sz w:val="18"/>
                <w:szCs w:val="18"/>
              </w:rPr>
              <w:t>9 235</w:t>
            </w:r>
          </w:p>
        </w:tc>
      </w:tr>
      <w:tr w:rsidR="00D923AA" w:rsidRPr="007B010A" w14:paraId="68D74C7F" w14:textId="77777777" w:rsidTr="00376CF0">
        <w:trPr>
          <w:trHeight w:val="9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04C0F237" w14:textId="77777777" w:rsidR="00D923AA" w:rsidRPr="007B010A" w:rsidRDefault="00D923AA" w:rsidP="00376CF0">
            <w:pPr>
              <w:jc w:val="center"/>
              <w:rPr>
                <w:sz w:val="18"/>
                <w:szCs w:val="18"/>
              </w:rPr>
            </w:pPr>
            <w:r w:rsidRPr="007B010A">
              <w:rPr>
                <w:sz w:val="18"/>
                <w:szCs w:val="18"/>
              </w:rPr>
              <w:t>M00...M99</w:t>
            </w:r>
          </w:p>
        </w:tc>
        <w:tc>
          <w:tcPr>
            <w:tcW w:w="1641" w:type="dxa"/>
            <w:tcBorders>
              <w:top w:val="nil"/>
              <w:left w:val="nil"/>
              <w:bottom w:val="single" w:sz="4" w:space="0" w:color="auto"/>
              <w:right w:val="single" w:sz="4" w:space="0" w:color="auto"/>
            </w:tcBorders>
            <w:shd w:val="clear" w:color="auto" w:fill="auto"/>
            <w:vAlign w:val="center"/>
            <w:hideMark/>
          </w:tcPr>
          <w:p w14:paraId="7918CE44" w14:textId="77777777" w:rsidR="00D923AA" w:rsidRPr="007B010A" w:rsidRDefault="00D923AA" w:rsidP="00376CF0">
            <w:pPr>
              <w:jc w:val="center"/>
              <w:rPr>
                <w:sz w:val="18"/>
                <w:szCs w:val="18"/>
              </w:rPr>
            </w:pPr>
            <w:r w:rsidRPr="007B010A">
              <w:rPr>
                <w:sz w:val="18"/>
                <w:szCs w:val="18"/>
              </w:rPr>
              <w:t>Skeleta, muskuļu un saistaudu slimības</w:t>
            </w:r>
          </w:p>
        </w:tc>
        <w:tc>
          <w:tcPr>
            <w:tcW w:w="1194" w:type="dxa"/>
            <w:tcBorders>
              <w:top w:val="nil"/>
              <w:left w:val="nil"/>
              <w:bottom w:val="single" w:sz="4" w:space="0" w:color="auto"/>
              <w:right w:val="single" w:sz="4" w:space="0" w:color="auto"/>
            </w:tcBorders>
            <w:shd w:val="clear" w:color="auto" w:fill="auto"/>
            <w:noWrap/>
            <w:vAlign w:val="center"/>
            <w:hideMark/>
          </w:tcPr>
          <w:p w14:paraId="47ADFFF0" w14:textId="77777777" w:rsidR="00D923AA" w:rsidRPr="007B010A" w:rsidRDefault="00D923AA" w:rsidP="00376CF0">
            <w:pPr>
              <w:jc w:val="center"/>
              <w:rPr>
                <w:sz w:val="18"/>
                <w:szCs w:val="18"/>
              </w:rPr>
            </w:pPr>
            <w:r w:rsidRPr="007B010A">
              <w:rPr>
                <w:sz w:val="18"/>
                <w:szCs w:val="18"/>
              </w:rPr>
              <w:t>578</w:t>
            </w:r>
          </w:p>
        </w:tc>
        <w:tc>
          <w:tcPr>
            <w:tcW w:w="1276" w:type="dxa"/>
            <w:tcBorders>
              <w:top w:val="nil"/>
              <w:left w:val="nil"/>
              <w:bottom w:val="single" w:sz="4" w:space="0" w:color="auto"/>
              <w:right w:val="single" w:sz="4" w:space="0" w:color="auto"/>
            </w:tcBorders>
            <w:shd w:val="clear" w:color="auto" w:fill="auto"/>
            <w:noWrap/>
            <w:vAlign w:val="center"/>
            <w:hideMark/>
          </w:tcPr>
          <w:p w14:paraId="79407021" w14:textId="69699A18" w:rsidR="00D923AA" w:rsidRPr="007B010A" w:rsidRDefault="00D923AA" w:rsidP="00376CF0">
            <w:pPr>
              <w:jc w:val="center"/>
              <w:rPr>
                <w:sz w:val="18"/>
                <w:szCs w:val="18"/>
              </w:rPr>
            </w:pPr>
            <w:r w:rsidRPr="007B010A">
              <w:rPr>
                <w:sz w:val="18"/>
                <w:szCs w:val="18"/>
              </w:rPr>
              <w:t>2732</w:t>
            </w:r>
            <w:r w:rsidR="00090401">
              <w:rPr>
                <w:sz w:val="18"/>
                <w:szCs w:val="18"/>
              </w:rPr>
              <w:t>,</w:t>
            </w:r>
            <w:r w:rsidRPr="007B010A">
              <w:rPr>
                <w:sz w:val="18"/>
                <w:szCs w:val="18"/>
              </w:rPr>
              <w:t>85</w:t>
            </w:r>
          </w:p>
        </w:tc>
        <w:tc>
          <w:tcPr>
            <w:tcW w:w="1134" w:type="dxa"/>
            <w:tcBorders>
              <w:top w:val="nil"/>
              <w:left w:val="nil"/>
              <w:bottom w:val="single" w:sz="4" w:space="0" w:color="auto"/>
              <w:right w:val="single" w:sz="4" w:space="0" w:color="auto"/>
            </w:tcBorders>
            <w:shd w:val="clear" w:color="auto" w:fill="auto"/>
            <w:noWrap/>
            <w:vAlign w:val="center"/>
            <w:hideMark/>
          </w:tcPr>
          <w:p w14:paraId="381A88F1" w14:textId="77777777" w:rsidR="00D923AA" w:rsidRPr="007B010A" w:rsidRDefault="00D923AA" w:rsidP="00376CF0">
            <w:pPr>
              <w:jc w:val="center"/>
              <w:rPr>
                <w:sz w:val="18"/>
                <w:szCs w:val="18"/>
              </w:rPr>
            </w:pPr>
            <w:r w:rsidRPr="007B010A">
              <w:rPr>
                <w:sz w:val="18"/>
                <w:szCs w:val="18"/>
              </w:rPr>
              <w:t>1 579 587</w:t>
            </w:r>
          </w:p>
        </w:tc>
        <w:tc>
          <w:tcPr>
            <w:tcW w:w="1134" w:type="dxa"/>
            <w:tcBorders>
              <w:top w:val="nil"/>
              <w:left w:val="nil"/>
              <w:bottom w:val="single" w:sz="4" w:space="0" w:color="auto"/>
              <w:right w:val="single" w:sz="4" w:space="0" w:color="auto"/>
            </w:tcBorders>
            <w:shd w:val="clear" w:color="auto" w:fill="auto"/>
            <w:noWrap/>
            <w:vAlign w:val="center"/>
            <w:hideMark/>
          </w:tcPr>
          <w:p w14:paraId="6D044F34" w14:textId="0DF5CEB7" w:rsidR="00D923AA" w:rsidRPr="007B010A" w:rsidRDefault="00B26AD5" w:rsidP="00376CF0">
            <w:pPr>
              <w:jc w:val="center"/>
              <w:rPr>
                <w:sz w:val="18"/>
                <w:szCs w:val="18"/>
              </w:rPr>
            </w:pPr>
            <w:r w:rsidRPr="007B010A">
              <w:rPr>
                <w:sz w:val="18"/>
                <w:szCs w:val="18"/>
              </w:rPr>
              <w:t>643</w:t>
            </w:r>
          </w:p>
        </w:tc>
        <w:tc>
          <w:tcPr>
            <w:tcW w:w="1418" w:type="dxa"/>
            <w:tcBorders>
              <w:top w:val="nil"/>
              <w:left w:val="nil"/>
              <w:bottom w:val="single" w:sz="4" w:space="0" w:color="auto"/>
              <w:right w:val="single" w:sz="4" w:space="0" w:color="auto"/>
            </w:tcBorders>
            <w:shd w:val="clear" w:color="auto" w:fill="auto"/>
            <w:noWrap/>
            <w:vAlign w:val="center"/>
            <w:hideMark/>
          </w:tcPr>
          <w:p w14:paraId="595F6CEF" w14:textId="6754D56A" w:rsidR="00D923AA" w:rsidRPr="007B010A" w:rsidRDefault="00B26AD5" w:rsidP="00376CF0">
            <w:pPr>
              <w:jc w:val="center"/>
              <w:rPr>
                <w:sz w:val="18"/>
                <w:szCs w:val="18"/>
              </w:rPr>
            </w:pPr>
            <w:r w:rsidRPr="007B010A">
              <w:rPr>
                <w:sz w:val="18"/>
                <w:szCs w:val="18"/>
              </w:rPr>
              <w:t>1</w:t>
            </w:r>
            <w:r w:rsidR="00090401">
              <w:rPr>
                <w:sz w:val="18"/>
                <w:szCs w:val="18"/>
              </w:rPr>
              <w:t> </w:t>
            </w:r>
            <w:r w:rsidRPr="007B010A">
              <w:rPr>
                <w:sz w:val="18"/>
                <w:szCs w:val="18"/>
              </w:rPr>
              <w:t>738</w:t>
            </w:r>
            <w:r w:rsidR="00090401">
              <w:rPr>
                <w:sz w:val="18"/>
                <w:szCs w:val="18"/>
              </w:rPr>
              <w:t>,</w:t>
            </w:r>
            <w:r w:rsidRPr="007B010A">
              <w:rPr>
                <w:sz w:val="18"/>
                <w:szCs w:val="18"/>
              </w:rPr>
              <w:t>52</w:t>
            </w:r>
          </w:p>
        </w:tc>
        <w:tc>
          <w:tcPr>
            <w:tcW w:w="992" w:type="dxa"/>
            <w:tcBorders>
              <w:top w:val="nil"/>
              <w:left w:val="nil"/>
              <w:bottom w:val="single" w:sz="4" w:space="0" w:color="auto"/>
              <w:right w:val="single" w:sz="4" w:space="0" w:color="auto"/>
            </w:tcBorders>
            <w:shd w:val="clear" w:color="auto" w:fill="auto"/>
            <w:noWrap/>
            <w:vAlign w:val="center"/>
            <w:hideMark/>
          </w:tcPr>
          <w:p w14:paraId="3CE2EE28" w14:textId="1061F36F" w:rsidR="00D923AA" w:rsidRPr="007B010A" w:rsidRDefault="00B26AD5" w:rsidP="00376CF0">
            <w:pPr>
              <w:jc w:val="center"/>
              <w:rPr>
                <w:sz w:val="18"/>
                <w:szCs w:val="18"/>
              </w:rPr>
            </w:pPr>
            <w:r w:rsidRPr="007B010A">
              <w:rPr>
                <w:sz w:val="18"/>
                <w:szCs w:val="18"/>
              </w:rPr>
              <w:t>1 117 868</w:t>
            </w:r>
          </w:p>
        </w:tc>
      </w:tr>
      <w:tr w:rsidR="00D923AA" w:rsidRPr="007B010A" w14:paraId="01A60955" w14:textId="77777777" w:rsidTr="00376CF0">
        <w:trPr>
          <w:trHeight w:val="6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69E876B" w14:textId="77777777" w:rsidR="00D923AA" w:rsidRPr="007B010A" w:rsidRDefault="00D923AA" w:rsidP="00376CF0">
            <w:pPr>
              <w:jc w:val="center"/>
              <w:rPr>
                <w:sz w:val="18"/>
                <w:szCs w:val="18"/>
              </w:rPr>
            </w:pPr>
            <w:r w:rsidRPr="007B010A">
              <w:rPr>
                <w:sz w:val="18"/>
                <w:szCs w:val="18"/>
              </w:rPr>
              <w:t>N00...N99</w:t>
            </w:r>
          </w:p>
        </w:tc>
        <w:tc>
          <w:tcPr>
            <w:tcW w:w="1641" w:type="dxa"/>
            <w:tcBorders>
              <w:top w:val="nil"/>
              <w:left w:val="nil"/>
              <w:bottom w:val="single" w:sz="4" w:space="0" w:color="auto"/>
              <w:right w:val="single" w:sz="4" w:space="0" w:color="auto"/>
            </w:tcBorders>
            <w:shd w:val="clear" w:color="auto" w:fill="auto"/>
            <w:vAlign w:val="center"/>
            <w:hideMark/>
          </w:tcPr>
          <w:p w14:paraId="2ABDE133" w14:textId="77777777" w:rsidR="00D923AA" w:rsidRPr="007B010A" w:rsidRDefault="00D923AA" w:rsidP="00376CF0">
            <w:pPr>
              <w:jc w:val="center"/>
              <w:rPr>
                <w:sz w:val="18"/>
                <w:szCs w:val="18"/>
              </w:rPr>
            </w:pPr>
            <w:proofErr w:type="spellStart"/>
            <w:r w:rsidRPr="007B010A">
              <w:rPr>
                <w:sz w:val="18"/>
                <w:szCs w:val="18"/>
              </w:rPr>
              <w:t>Uroģenitālās</w:t>
            </w:r>
            <w:proofErr w:type="spellEnd"/>
            <w:r w:rsidRPr="007B010A">
              <w:rPr>
                <w:sz w:val="18"/>
                <w:szCs w:val="18"/>
              </w:rPr>
              <w:t xml:space="preserve"> sistēmas slimības</w:t>
            </w:r>
          </w:p>
        </w:tc>
        <w:tc>
          <w:tcPr>
            <w:tcW w:w="1194" w:type="dxa"/>
            <w:tcBorders>
              <w:top w:val="nil"/>
              <w:left w:val="nil"/>
              <w:bottom w:val="single" w:sz="4" w:space="0" w:color="auto"/>
              <w:right w:val="single" w:sz="4" w:space="0" w:color="auto"/>
            </w:tcBorders>
            <w:shd w:val="clear" w:color="auto" w:fill="auto"/>
            <w:noWrap/>
            <w:vAlign w:val="center"/>
            <w:hideMark/>
          </w:tcPr>
          <w:p w14:paraId="51752663" w14:textId="77777777" w:rsidR="00D923AA" w:rsidRPr="007B010A" w:rsidRDefault="00D923AA" w:rsidP="00376CF0">
            <w:pPr>
              <w:jc w:val="center"/>
              <w:rPr>
                <w:sz w:val="18"/>
                <w:szCs w:val="18"/>
              </w:rPr>
            </w:pPr>
            <w:r w:rsidRPr="007B010A">
              <w:rPr>
                <w:sz w:val="18"/>
                <w:szCs w:val="18"/>
              </w:rPr>
              <w:t>26</w:t>
            </w:r>
          </w:p>
        </w:tc>
        <w:tc>
          <w:tcPr>
            <w:tcW w:w="1276" w:type="dxa"/>
            <w:tcBorders>
              <w:top w:val="nil"/>
              <w:left w:val="nil"/>
              <w:bottom w:val="single" w:sz="4" w:space="0" w:color="auto"/>
              <w:right w:val="single" w:sz="4" w:space="0" w:color="auto"/>
            </w:tcBorders>
            <w:shd w:val="clear" w:color="auto" w:fill="auto"/>
            <w:noWrap/>
            <w:vAlign w:val="center"/>
            <w:hideMark/>
          </w:tcPr>
          <w:p w14:paraId="164E7B09" w14:textId="6A25C4C6" w:rsidR="00D923AA" w:rsidRPr="007B010A" w:rsidRDefault="00D923AA" w:rsidP="00376CF0">
            <w:pPr>
              <w:jc w:val="center"/>
              <w:rPr>
                <w:sz w:val="18"/>
                <w:szCs w:val="18"/>
              </w:rPr>
            </w:pPr>
            <w:r w:rsidRPr="007B010A">
              <w:rPr>
                <w:sz w:val="18"/>
                <w:szCs w:val="18"/>
              </w:rPr>
              <w:t>247</w:t>
            </w:r>
            <w:r w:rsidR="00090401">
              <w:rPr>
                <w:sz w:val="18"/>
                <w:szCs w:val="18"/>
              </w:rPr>
              <w:t>,</w:t>
            </w:r>
            <w:r w:rsidRPr="007B010A">
              <w:rPr>
                <w:sz w:val="18"/>
                <w:szCs w:val="18"/>
              </w:rPr>
              <w:t>18</w:t>
            </w:r>
          </w:p>
        </w:tc>
        <w:tc>
          <w:tcPr>
            <w:tcW w:w="1134" w:type="dxa"/>
            <w:tcBorders>
              <w:top w:val="nil"/>
              <w:left w:val="nil"/>
              <w:bottom w:val="single" w:sz="4" w:space="0" w:color="auto"/>
              <w:right w:val="single" w:sz="4" w:space="0" w:color="auto"/>
            </w:tcBorders>
            <w:shd w:val="clear" w:color="auto" w:fill="auto"/>
            <w:noWrap/>
            <w:vAlign w:val="center"/>
            <w:hideMark/>
          </w:tcPr>
          <w:p w14:paraId="5BD2BE4B" w14:textId="77777777" w:rsidR="00D923AA" w:rsidRPr="007B010A" w:rsidRDefault="00D923AA" w:rsidP="00376CF0">
            <w:pPr>
              <w:jc w:val="center"/>
              <w:rPr>
                <w:sz w:val="18"/>
                <w:szCs w:val="18"/>
              </w:rPr>
            </w:pPr>
            <w:r w:rsidRPr="007B010A">
              <w:rPr>
                <w:sz w:val="18"/>
                <w:szCs w:val="18"/>
              </w:rPr>
              <w:t>6 427</w:t>
            </w:r>
          </w:p>
        </w:tc>
        <w:tc>
          <w:tcPr>
            <w:tcW w:w="1134" w:type="dxa"/>
            <w:tcBorders>
              <w:top w:val="nil"/>
              <w:left w:val="nil"/>
              <w:bottom w:val="single" w:sz="4" w:space="0" w:color="auto"/>
              <w:right w:val="single" w:sz="4" w:space="0" w:color="auto"/>
            </w:tcBorders>
            <w:shd w:val="clear" w:color="auto" w:fill="auto"/>
            <w:noWrap/>
            <w:vAlign w:val="center"/>
            <w:hideMark/>
          </w:tcPr>
          <w:p w14:paraId="3EDB1BA9" w14:textId="77777777" w:rsidR="00D923AA" w:rsidRPr="007B010A" w:rsidRDefault="00D923AA" w:rsidP="00376CF0">
            <w:pPr>
              <w:jc w:val="center"/>
              <w:rPr>
                <w:sz w:val="18"/>
                <w:szCs w:val="18"/>
              </w:rPr>
            </w:pPr>
            <w:r w:rsidRPr="007B010A">
              <w:rPr>
                <w:sz w:val="18"/>
                <w:szCs w:val="18"/>
              </w:rPr>
              <w:t> </w:t>
            </w:r>
          </w:p>
        </w:tc>
        <w:tc>
          <w:tcPr>
            <w:tcW w:w="1418" w:type="dxa"/>
            <w:tcBorders>
              <w:top w:val="nil"/>
              <w:left w:val="nil"/>
              <w:bottom w:val="single" w:sz="4" w:space="0" w:color="auto"/>
              <w:right w:val="single" w:sz="4" w:space="0" w:color="auto"/>
            </w:tcBorders>
            <w:shd w:val="clear" w:color="auto" w:fill="auto"/>
            <w:noWrap/>
            <w:vAlign w:val="center"/>
            <w:hideMark/>
          </w:tcPr>
          <w:p w14:paraId="76C1091E" w14:textId="77777777" w:rsidR="00D923AA" w:rsidRPr="007B010A" w:rsidRDefault="00D923AA" w:rsidP="00376CF0">
            <w:pPr>
              <w:jc w:val="center"/>
              <w:rPr>
                <w:sz w:val="18"/>
                <w:szCs w:val="18"/>
              </w:rPr>
            </w:pPr>
            <w:r w:rsidRPr="007B010A">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14:paraId="6687C539" w14:textId="77777777" w:rsidR="00D923AA" w:rsidRPr="007B010A" w:rsidRDefault="00D923AA" w:rsidP="00376CF0">
            <w:pPr>
              <w:jc w:val="center"/>
              <w:rPr>
                <w:sz w:val="18"/>
                <w:szCs w:val="18"/>
              </w:rPr>
            </w:pPr>
            <w:r w:rsidRPr="007B010A">
              <w:rPr>
                <w:sz w:val="18"/>
                <w:szCs w:val="18"/>
              </w:rPr>
              <w:t> </w:t>
            </w:r>
          </w:p>
        </w:tc>
      </w:tr>
      <w:tr w:rsidR="00D923AA" w:rsidRPr="007B010A" w14:paraId="72080F2C" w14:textId="77777777" w:rsidTr="00376CF0">
        <w:trPr>
          <w:trHeight w:val="630"/>
          <w:jc w:val="center"/>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59C0AB63" w14:textId="77777777" w:rsidR="00D923AA" w:rsidRPr="007B010A" w:rsidRDefault="00D923AA" w:rsidP="00376CF0">
            <w:pPr>
              <w:jc w:val="center"/>
              <w:rPr>
                <w:sz w:val="18"/>
                <w:szCs w:val="18"/>
              </w:rPr>
            </w:pPr>
            <w:r w:rsidRPr="007B010A">
              <w:rPr>
                <w:sz w:val="18"/>
                <w:szCs w:val="18"/>
              </w:rPr>
              <w:t>H60-H95</w:t>
            </w:r>
          </w:p>
        </w:tc>
        <w:tc>
          <w:tcPr>
            <w:tcW w:w="1641" w:type="dxa"/>
            <w:tcBorders>
              <w:top w:val="nil"/>
              <w:left w:val="nil"/>
              <w:bottom w:val="single" w:sz="4" w:space="0" w:color="auto"/>
              <w:right w:val="single" w:sz="4" w:space="0" w:color="auto"/>
            </w:tcBorders>
            <w:shd w:val="clear" w:color="auto" w:fill="auto"/>
            <w:vAlign w:val="center"/>
            <w:hideMark/>
          </w:tcPr>
          <w:p w14:paraId="4F7BE6EE" w14:textId="77777777" w:rsidR="00D923AA" w:rsidRPr="007B010A" w:rsidRDefault="00D923AA" w:rsidP="00376CF0">
            <w:pPr>
              <w:jc w:val="center"/>
              <w:rPr>
                <w:sz w:val="18"/>
                <w:szCs w:val="18"/>
              </w:rPr>
            </w:pPr>
            <w:r w:rsidRPr="007B010A">
              <w:rPr>
                <w:sz w:val="18"/>
                <w:szCs w:val="18"/>
              </w:rPr>
              <w:t>Ausu un aizauss paugura slimības</w:t>
            </w:r>
          </w:p>
        </w:tc>
        <w:tc>
          <w:tcPr>
            <w:tcW w:w="1194" w:type="dxa"/>
            <w:tcBorders>
              <w:top w:val="nil"/>
              <w:left w:val="nil"/>
              <w:bottom w:val="single" w:sz="4" w:space="0" w:color="auto"/>
              <w:right w:val="single" w:sz="4" w:space="0" w:color="auto"/>
            </w:tcBorders>
            <w:shd w:val="clear" w:color="auto" w:fill="auto"/>
            <w:noWrap/>
            <w:vAlign w:val="center"/>
            <w:hideMark/>
          </w:tcPr>
          <w:p w14:paraId="5F572854" w14:textId="77777777" w:rsidR="00D923AA" w:rsidRPr="007B010A" w:rsidRDefault="00D923AA" w:rsidP="00376CF0">
            <w:pPr>
              <w:jc w:val="center"/>
              <w:rPr>
                <w:sz w:val="18"/>
                <w:szCs w:val="18"/>
              </w:rPr>
            </w:pPr>
            <w:r w:rsidRPr="007B010A">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2DB2FFA0" w14:textId="77777777" w:rsidR="00D923AA" w:rsidRPr="007B010A" w:rsidRDefault="00D923AA" w:rsidP="00376CF0">
            <w:pPr>
              <w:jc w:val="center"/>
              <w:rPr>
                <w:sz w:val="18"/>
                <w:szCs w:val="18"/>
              </w:rPr>
            </w:pPr>
            <w:r w:rsidRPr="007B010A">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7056030" w14:textId="77777777" w:rsidR="00D923AA" w:rsidRPr="007B010A" w:rsidRDefault="00D923AA" w:rsidP="00376CF0">
            <w:pPr>
              <w:jc w:val="center"/>
              <w:rPr>
                <w:sz w:val="18"/>
                <w:szCs w:val="18"/>
              </w:rPr>
            </w:pPr>
            <w:r w:rsidRPr="007B010A">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3447DAB8" w14:textId="18C4B06F" w:rsidR="00D923AA" w:rsidRPr="007B010A" w:rsidRDefault="00B26AD5" w:rsidP="00376CF0">
            <w:pPr>
              <w:jc w:val="center"/>
              <w:rPr>
                <w:sz w:val="18"/>
                <w:szCs w:val="18"/>
              </w:rPr>
            </w:pPr>
            <w:r w:rsidRPr="007B010A">
              <w:rPr>
                <w:sz w:val="18"/>
                <w:szCs w:val="18"/>
              </w:rPr>
              <w:t>9</w:t>
            </w:r>
          </w:p>
        </w:tc>
        <w:tc>
          <w:tcPr>
            <w:tcW w:w="1418" w:type="dxa"/>
            <w:tcBorders>
              <w:top w:val="nil"/>
              <w:left w:val="nil"/>
              <w:bottom w:val="single" w:sz="4" w:space="0" w:color="auto"/>
              <w:right w:val="single" w:sz="4" w:space="0" w:color="auto"/>
            </w:tcBorders>
            <w:shd w:val="clear" w:color="auto" w:fill="auto"/>
            <w:noWrap/>
            <w:vAlign w:val="center"/>
            <w:hideMark/>
          </w:tcPr>
          <w:p w14:paraId="439E910C" w14:textId="4CB15443" w:rsidR="00D923AA" w:rsidRPr="007B010A" w:rsidRDefault="00D923AA" w:rsidP="00376CF0">
            <w:pPr>
              <w:jc w:val="center"/>
              <w:rPr>
                <w:sz w:val="18"/>
                <w:szCs w:val="18"/>
              </w:rPr>
            </w:pPr>
            <w:r w:rsidRPr="007B010A">
              <w:rPr>
                <w:sz w:val="18"/>
                <w:szCs w:val="18"/>
              </w:rPr>
              <w:t>23 5</w:t>
            </w:r>
            <w:r w:rsidR="00B26AD5" w:rsidRPr="007B010A">
              <w:rPr>
                <w:sz w:val="18"/>
                <w:szCs w:val="18"/>
              </w:rPr>
              <w:t>96</w:t>
            </w:r>
          </w:p>
        </w:tc>
        <w:tc>
          <w:tcPr>
            <w:tcW w:w="992" w:type="dxa"/>
            <w:tcBorders>
              <w:top w:val="nil"/>
              <w:left w:val="nil"/>
              <w:bottom w:val="single" w:sz="4" w:space="0" w:color="auto"/>
              <w:right w:val="single" w:sz="4" w:space="0" w:color="auto"/>
            </w:tcBorders>
            <w:shd w:val="clear" w:color="auto" w:fill="auto"/>
            <w:noWrap/>
            <w:vAlign w:val="center"/>
            <w:hideMark/>
          </w:tcPr>
          <w:p w14:paraId="352F48C9" w14:textId="49FA622F" w:rsidR="00D923AA" w:rsidRPr="007B010A" w:rsidRDefault="00B26AD5" w:rsidP="00376CF0">
            <w:pPr>
              <w:jc w:val="center"/>
              <w:rPr>
                <w:sz w:val="18"/>
                <w:szCs w:val="18"/>
              </w:rPr>
            </w:pPr>
            <w:r w:rsidRPr="007B010A">
              <w:rPr>
                <w:sz w:val="18"/>
                <w:szCs w:val="18"/>
              </w:rPr>
              <w:t>212 364</w:t>
            </w:r>
          </w:p>
        </w:tc>
      </w:tr>
      <w:tr w:rsidR="00D923AA" w:rsidRPr="007B010A" w14:paraId="418BD9BF" w14:textId="77777777" w:rsidTr="00376CF0">
        <w:trPr>
          <w:trHeight w:val="9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3A3B081E" w14:textId="77777777" w:rsidR="00D923AA" w:rsidRPr="007B010A" w:rsidRDefault="00D923AA" w:rsidP="00376CF0">
            <w:pPr>
              <w:jc w:val="center"/>
              <w:rPr>
                <w:sz w:val="18"/>
                <w:szCs w:val="18"/>
              </w:rPr>
            </w:pPr>
            <w:r w:rsidRPr="007B010A">
              <w:rPr>
                <w:sz w:val="18"/>
                <w:szCs w:val="18"/>
              </w:rPr>
              <w:t>F00-F99</w:t>
            </w:r>
          </w:p>
        </w:tc>
        <w:tc>
          <w:tcPr>
            <w:tcW w:w="1641" w:type="dxa"/>
            <w:tcBorders>
              <w:top w:val="nil"/>
              <w:left w:val="nil"/>
              <w:bottom w:val="single" w:sz="4" w:space="0" w:color="auto"/>
              <w:right w:val="single" w:sz="4" w:space="0" w:color="auto"/>
            </w:tcBorders>
            <w:shd w:val="clear" w:color="000000" w:fill="FFFFFF"/>
            <w:vAlign w:val="center"/>
            <w:hideMark/>
          </w:tcPr>
          <w:p w14:paraId="05B32791" w14:textId="77777777" w:rsidR="00D923AA" w:rsidRPr="007B010A" w:rsidRDefault="00D923AA" w:rsidP="00376CF0">
            <w:pPr>
              <w:jc w:val="center"/>
              <w:rPr>
                <w:sz w:val="18"/>
                <w:szCs w:val="18"/>
              </w:rPr>
            </w:pPr>
            <w:r w:rsidRPr="007B010A">
              <w:rPr>
                <w:sz w:val="18"/>
                <w:szCs w:val="18"/>
              </w:rPr>
              <w:t>Psihiski un uzvedības traucējumi</w:t>
            </w:r>
          </w:p>
        </w:tc>
        <w:tc>
          <w:tcPr>
            <w:tcW w:w="1194" w:type="dxa"/>
            <w:tcBorders>
              <w:top w:val="nil"/>
              <w:left w:val="nil"/>
              <w:bottom w:val="single" w:sz="4" w:space="0" w:color="auto"/>
              <w:right w:val="single" w:sz="4" w:space="0" w:color="auto"/>
            </w:tcBorders>
            <w:shd w:val="clear" w:color="auto" w:fill="auto"/>
            <w:noWrap/>
            <w:vAlign w:val="center"/>
            <w:hideMark/>
          </w:tcPr>
          <w:p w14:paraId="45018FC9" w14:textId="77777777" w:rsidR="00D923AA" w:rsidRPr="007B010A" w:rsidRDefault="00D923AA" w:rsidP="00376CF0">
            <w:pPr>
              <w:jc w:val="center"/>
              <w:rPr>
                <w:sz w:val="18"/>
                <w:szCs w:val="18"/>
              </w:rPr>
            </w:pPr>
            <w:r w:rsidRPr="007B010A">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67F5EF01" w14:textId="77777777" w:rsidR="00D923AA" w:rsidRPr="007B010A" w:rsidRDefault="00D923AA" w:rsidP="00376CF0">
            <w:pPr>
              <w:jc w:val="center"/>
              <w:rPr>
                <w:sz w:val="18"/>
                <w:szCs w:val="18"/>
              </w:rPr>
            </w:pPr>
            <w:r w:rsidRPr="007B010A">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0DEE329" w14:textId="77777777" w:rsidR="00D923AA" w:rsidRPr="007B010A" w:rsidRDefault="00D923AA" w:rsidP="00376CF0">
            <w:pPr>
              <w:jc w:val="center"/>
              <w:rPr>
                <w:sz w:val="18"/>
                <w:szCs w:val="18"/>
              </w:rPr>
            </w:pPr>
            <w:r w:rsidRPr="007B010A">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61BD8804" w14:textId="259588BB" w:rsidR="00D923AA" w:rsidRPr="007B010A" w:rsidRDefault="00B26AD5" w:rsidP="00376CF0">
            <w:pPr>
              <w:jc w:val="center"/>
              <w:rPr>
                <w:sz w:val="18"/>
                <w:szCs w:val="18"/>
              </w:rPr>
            </w:pPr>
            <w:r w:rsidRPr="007B010A">
              <w:rPr>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3F17DF6A" w14:textId="40257BAF" w:rsidR="00D923AA" w:rsidRPr="007B010A" w:rsidRDefault="00D923AA" w:rsidP="00376CF0">
            <w:pPr>
              <w:jc w:val="center"/>
              <w:rPr>
                <w:sz w:val="18"/>
                <w:szCs w:val="18"/>
              </w:rPr>
            </w:pPr>
            <w:r w:rsidRPr="007B010A">
              <w:rPr>
                <w:sz w:val="18"/>
                <w:szCs w:val="18"/>
              </w:rPr>
              <w:t>63</w:t>
            </w:r>
            <w:r w:rsidR="00090401">
              <w:rPr>
                <w:sz w:val="18"/>
                <w:szCs w:val="18"/>
              </w:rPr>
              <w:t>,</w:t>
            </w:r>
            <w:r w:rsidR="00B26AD5" w:rsidRPr="007B010A">
              <w:rPr>
                <w:sz w:val="18"/>
                <w:szCs w:val="18"/>
              </w:rPr>
              <w:t>50</w:t>
            </w:r>
          </w:p>
        </w:tc>
        <w:tc>
          <w:tcPr>
            <w:tcW w:w="992" w:type="dxa"/>
            <w:tcBorders>
              <w:top w:val="nil"/>
              <w:left w:val="nil"/>
              <w:bottom w:val="single" w:sz="4" w:space="0" w:color="auto"/>
              <w:right w:val="single" w:sz="4" w:space="0" w:color="auto"/>
            </w:tcBorders>
            <w:shd w:val="clear" w:color="auto" w:fill="auto"/>
            <w:noWrap/>
            <w:vAlign w:val="center"/>
            <w:hideMark/>
          </w:tcPr>
          <w:p w14:paraId="11E2B6CF" w14:textId="74AB37BC" w:rsidR="00D923AA" w:rsidRPr="007B010A" w:rsidRDefault="00B26AD5" w:rsidP="00376CF0">
            <w:pPr>
              <w:jc w:val="center"/>
              <w:rPr>
                <w:sz w:val="18"/>
                <w:szCs w:val="18"/>
              </w:rPr>
            </w:pPr>
            <w:r w:rsidRPr="007B010A">
              <w:rPr>
                <w:sz w:val="18"/>
                <w:szCs w:val="18"/>
              </w:rPr>
              <w:t>127</w:t>
            </w:r>
          </w:p>
        </w:tc>
      </w:tr>
      <w:tr w:rsidR="00D923AA" w:rsidRPr="007B010A" w14:paraId="353F9EA4" w14:textId="77777777" w:rsidTr="00376CF0">
        <w:trPr>
          <w:trHeight w:val="1500"/>
          <w:jc w:val="center"/>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14:paraId="2D2D5738" w14:textId="77777777" w:rsidR="00D923AA" w:rsidRPr="007B010A" w:rsidRDefault="00D923AA" w:rsidP="00376CF0">
            <w:pPr>
              <w:jc w:val="center"/>
              <w:rPr>
                <w:sz w:val="18"/>
                <w:szCs w:val="18"/>
              </w:rPr>
            </w:pPr>
            <w:r w:rsidRPr="007B010A">
              <w:rPr>
                <w:sz w:val="18"/>
                <w:szCs w:val="18"/>
              </w:rPr>
              <w:t>Q00-Q99</w:t>
            </w:r>
          </w:p>
        </w:tc>
        <w:tc>
          <w:tcPr>
            <w:tcW w:w="1641" w:type="dxa"/>
            <w:tcBorders>
              <w:top w:val="nil"/>
              <w:left w:val="nil"/>
              <w:bottom w:val="single" w:sz="4" w:space="0" w:color="auto"/>
              <w:right w:val="single" w:sz="4" w:space="0" w:color="auto"/>
            </w:tcBorders>
            <w:shd w:val="clear" w:color="000000" w:fill="FFFFFF"/>
            <w:vAlign w:val="center"/>
            <w:hideMark/>
          </w:tcPr>
          <w:p w14:paraId="3F77C939" w14:textId="77777777" w:rsidR="00D923AA" w:rsidRPr="007B010A" w:rsidRDefault="00D923AA" w:rsidP="00376CF0">
            <w:pPr>
              <w:jc w:val="center"/>
              <w:rPr>
                <w:sz w:val="18"/>
                <w:szCs w:val="18"/>
              </w:rPr>
            </w:pPr>
            <w:r w:rsidRPr="007B010A">
              <w:rPr>
                <w:sz w:val="18"/>
                <w:szCs w:val="18"/>
              </w:rPr>
              <w:t>Iedzimtas kroplības, deformācijas un hromosomu anomālijas</w:t>
            </w:r>
          </w:p>
        </w:tc>
        <w:tc>
          <w:tcPr>
            <w:tcW w:w="1194" w:type="dxa"/>
            <w:tcBorders>
              <w:top w:val="nil"/>
              <w:left w:val="nil"/>
              <w:bottom w:val="single" w:sz="4" w:space="0" w:color="auto"/>
              <w:right w:val="single" w:sz="4" w:space="0" w:color="auto"/>
            </w:tcBorders>
            <w:shd w:val="clear" w:color="auto" w:fill="auto"/>
            <w:noWrap/>
            <w:vAlign w:val="center"/>
            <w:hideMark/>
          </w:tcPr>
          <w:p w14:paraId="716F6D4A" w14:textId="77777777" w:rsidR="00D923AA" w:rsidRPr="007B010A" w:rsidRDefault="00D923AA" w:rsidP="00376CF0">
            <w:pPr>
              <w:jc w:val="center"/>
              <w:rPr>
                <w:sz w:val="18"/>
                <w:szCs w:val="18"/>
              </w:rPr>
            </w:pPr>
            <w:r w:rsidRPr="007B010A">
              <w:rPr>
                <w:sz w:val="18"/>
                <w:szCs w:val="18"/>
              </w:rPr>
              <w:t> </w:t>
            </w:r>
          </w:p>
        </w:tc>
        <w:tc>
          <w:tcPr>
            <w:tcW w:w="1276" w:type="dxa"/>
            <w:tcBorders>
              <w:top w:val="nil"/>
              <w:left w:val="nil"/>
              <w:bottom w:val="single" w:sz="4" w:space="0" w:color="auto"/>
              <w:right w:val="single" w:sz="4" w:space="0" w:color="auto"/>
            </w:tcBorders>
            <w:shd w:val="clear" w:color="auto" w:fill="auto"/>
            <w:noWrap/>
            <w:vAlign w:val="center"/>
            <w:hideMark/>
          </w:tcPr>
          <w:p w14:paraId="5AC0AB10" w14:textId="77777777" w:rsidR="00D923AA" w:rsidRPr="007B010A" w:rsidRDefault="00D923AA" w:rsidP="00376CF0">
            <w:pPr>
              <w:jc w:val="center"/>
              <w:rPr>
                <w:sz w:val="18"/>
                <w:szCs w:val="18"/>
              </w:rPr>
            </w:pPr>
            <w:r w:rsidRPr="007B010A">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2C6F7655" w14:textId="77777777" w:rsidR="00D923AA" w:rsidRPr="007B010A" w:rsidRDefault="00D923AA" w:rsidP="00376CF0">
            <w:pPr>
              <w:jc w:val="center"/>
              <w:rPr>
                <w:sz w:val="18"/>
                <w:szCs w:val="18"/>
              </w:rPr>
            </w:pPr>
            <w:r w:rsidRPr="007B010A">
              <w:rPr>
                <w:sz w:val="18"/>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4B1B5579" w14:textId="67862446" w:rsidR="00D923AA" w:rsidRPr="007B010A" w:rsidRDefault="00B26AD5" w:rsidP="00376CF0">
            <w:pPr>
              <w:jc w:val="center"/>
              <w:rPr>
                <w:sz w:val="18"/>
                <w:szCs w:val="18"/>
              </w:rPr>
            </w:pPr>
            <w:r w:rsidRPr="007B010A">
              <w:rPr>
                <w:sz w:val="18"/>
                <w:szCs w:val="18"/>
              </w:rPr>
              <w:t>7</w:t>
            </w:r>
          </w:p>
        </w:tc>
        <w:tc>
          <w:tcPr>
            <w:tcW w:w="1418" w:type="dxa"/>
            <w:tcBorders>
              <w:top w:val="nil"/>
              <w:left w:val="nil"/>
              <w:bottom w:val="single" w:sz="4" w:space="0" w:color="auto"/>
              <w:right w:val="single" w:sz="4" w:space="0" w:color="auto"/>
            </w:tcBorders>
            <w:shd w:val="clear" w:color="auto" w:fill="auto"/>
            <w:noWrap/>
            <w:vAlign w:val="center"/>
            <w:hideMark/>
          </w:tcPr>
          <w:p w14:paraId="72AADE71" w14:textId="42EE1068" w:rsidR="00D923AA" w:rsidRPr="007B010A" w:rsidRDefault="00D923AA" w:rsidP="00376CF0">
            <w:pPr>
              <w:jc w:val="center"/>
              <w:rPr>
                <w:sz w:val="18"/>
                <w:szCs w:val="18"/>
              </w:rPr>
            </w:pPr>
            <w:r w:rsidRPr="007B010A">
              <w:rPr>
                <w:sz w:val="18"/>
                <w:szCs w:val="18"/>
              </w:rPr>
              <w:t>1</w:t>
            </w:r>
            <w:r w:rsidR="00090401">
              <w:rPr>
                <w:sz w:val="18"/>
                <w:szCs w:val="18"/>
              </w:rPr>
              <w:t> </w:t>
            </w:r>
            <w:r w:rsidRPr="007B010A">
              <w:rPr>
                <w:sz w:val="18"/>
                <w:szCs w:val="18"/>
              </w:rPr>
              <w:t>0</w:t>
            </w:r>
            <w:r w:rsidR="00B26AD5" w:rsidRPr="007B010A">
              <w:rPr>
                <w:sz w:val="18"/>
                <w:szCs w:val="18"/>
              </w:rPr>
              <w:t>22</w:t>
            </w:r>
            <w:r w:rsidR="00090401">
              <w:rPr>
                <w:sz w:val="18"/>
                <w:szCs w:val="18"/>
              </w:rPr>
              <w:t>,</w:t>
            </w:r>
            <w:r w:rsidR="00B26AD5" w:rsidRPr="007B010A">
              <w:rPr>
                <w:sz w:val="18"/>
                <w:szCs w:val="18"/>
              </w:rPr>
              <w:t>29</w:t>
            </w:r>
          </w:p>
        </w:tc>
        <w:tc>
          <w:tcPr>
            <w:tcW w:w="992" w:type="dxa"/>
            <w:tcBorders>
              <w:top w:val="nil"/>
              <w:left w:val="nil"/>
              <w:bottom w:val="single" w:sz="4" w:space="0" w:color="auto"/>
              <w:right w:val="single" w:sz="4" w:space="0" w:color="auto"/>
            </w:tcBorders>
            <w:shd w:val="clear" w:color="auto" w:fill="auto"/>
            <w:noWrap/>
            <w:vAlign w:val="center"/>
            <w:hideMark/>
          </w:tcPr>
          <w:p w14:paraId="20248CF0" w14:textId="2B568862" w:rsidR="00D923AA" w:rsidRPr="007B010A" w:rsidRDefault="00B26AD5" w:rsidP="00376CF0">
            <w:pPr>
              <w:jc w:val="center"/>
              <w:rPr>
                <w:sz w:val="18"/>
                <w:szCs w:val="18"/>
              </w:rPr>
            </w:pPr>
            <w:r w:rsidRPr="007B010A">
              <w:rPr>
                <w:sz w:val="18"/>
                <w:szCs w:val="18"/>
              </w:rPr>
              <w:t>7 156</w:t>
            </w:r>
          </w:p>
        </w:tc>
      </w:tr>
      <w:tr w:rsidR="00D923AA" w:rsidRPr="007B010A" w14:paraId="5D5D6A07" w14:textId="77777777" w:rsidTr="00085819">
        <w:trPr>
          <w:trHeight w:val="300"/>
          <w:jc w:val="center"/>
        </w:trPr>
        <w:tc>
          <w:tcPr>
            <w:tcW w:w="1129" w:type="dxa"/>
            <w:tcBorders>
              <w:top w:val="nil"/>
              <w:left w:val="single" w:sz="4" w:space="0" w:color="auto"/>
              <w:bottom w:val="single" w:sz="4" w:space="0" w:color="auto"/>
              <w:right w:val="single" w:sz="4" w:space="0" w:color="auto"/>
            </w:tcBorders>
            <w:shd w:val="clear" w:color="auto" w:fill="92D050"/>
            <w:noWrap/>
            <w:vAlign w:val="center"/>
            <w:hideMark/>
          </w:tcPr>
          <w:p w14:paraId="64B5D00B" w14:textId="77777777" w:rsidR="00D923AA" w:rsidRPr="007B010A" w:rsidRDefault="00D923AA" w:rsidP="00376CF0">
            <w:pPr>
              <w:jc w:val="right"/>
              <w:rPr>
                <w:b/>
                <w:bCs/>
                <w:sz w:val="18"/>
                <w:szCs w:val="18"/>
              </w:rPr>
            </w:pPr>
            <w:r w:rsidRPr="007B010A">
              <w:rPr>
                <w:b/>
                <w:bCs/>
                <w:sz w:val="18"/>
                <w:szCs w:val="18"/>
              </w:rPr>
              <w:t>Kopā</w:t>
            </w:r>
          </w:p>
        </w:tc>
        <w:tc>
          <w:tcPr>
            <w:tcW w:w="1641" w:type="dxa"/>
            <w:tcBorders>
              <w:top w:val="nil"/>
              <w:left w:val="nil"/>
              <w:bottom w:val="single" w:sz="4" w:space="0" w:color="auto"/>
              <w:right w:val="single" w:sz="4" w:space="0" w:color="auto"/>
            </w:tcBorders>
            <w:shd w:val="clear" w:color="auto" w:fill="92D050"/>
            <w:vAlign w:val="center"/>
            <w:hideMark/>
          </w:tcPr>
          <w:p w14:paraId="2DFB275D" w14:textId="77777777" w:rsidR="00D923AA" w:rsidRPr="007B010A" w:rsidRDefault="00D923AA" w:rsidP="00376CF0">
            <w:pPr>
              <w:jc w:val="right"/>
              <w:rPr>
                <w:b/>
                <w:bCs/>
                <w:sz w:val="18"/>
                <w:szCs w:val="18"/>
              </w:rPr>
            </w:pPr>
            <w:r w:rsidRPr="007B010A">
              <w:rPr>
                <w:b/>
                <w:bCs/>
                <w:sz w:val="18"/>
                <w:szCs w:val="18"/>
              </w:rPr>
              <w:t> </w:t>
            </w:r>
          </w:p>
        </w:tc>
        <w:tc>
          <w:tcPr>
            <w:tcW w:w="1194" w:type="dxa"/>
            <w:tcBorders>
              <w:top w:val="nil"/>
              <w:left w:val="nil"/>
              <w:bottom w:val="single" w:sz="4" w:space="0" w:color="auto"/>
              <w:right w:val="single" w:sz="4" w:space="0" w:color="auto"/>
            </w:tcBorders>
            <w:shd w:val="clear" w:color="auto" w:fill="92D050"/>
            <w:noWrap/>
            <w:vAlign w:val="center"/>
            <w:hideMark/>
          </w:tcPr>
          <w:p w14:paraId="1721EDCF" w14:textId="77777777" w:rsidR="00D923AA" w:rsidRPr="007B010A" w:rsidRDefault="00D923AA" w:rsidP="00376CF0">
            <w:pPr>
              <w:jc w:val="center"/>
              <w:rPr>
                <w:b/>
                <w:bCs/>
                <w:sz w:val="18"/>
                <w:szCs w:val="18"/>
              </w:rPr>
            </w:pPr>
            <w:r w:rsidRPr="007B010A">
              <w:rPr>
                <w:b/>
                <w:bCs/>
                <w:sz w:val="18"/>
                <w:szCs w:val="18"/>
              </w:rPr>
              <w:t>1 667</w:t>
            </w:r>
          </w:p>
        </w:tc>
        <w:tc>
          <w:tcPr>
            <w:tcW w:w="1276" w:type="dxa"/>
            <w:tcBorders>
              <w:top w:val="nil"/>
              <w:left w:val="nil"/>
              <w:bottom w:val="single" w:sz="4" w:space="0" w:color="auto"/>
              <w:right w:val="single" w:sz="4" w:space="0" w:color="auto"/>
            </w:tcBorders>
            <w:shd w:val="clear" w:color="auto" w:fill="92D050"/>
            <w:noWrap/>
            <w:vAlign w:val="bottom"/>
            <w:hideMark/>
          </w:tcPr>
          <w:p w14:paraId="0BACDB92" w14:textId="77777777" w:rsidR="00D923AA" w:rsidRPr="007B010A" w:rsidRDefault="00D923AA" w:rsidP="00376CF0">
            <w:pPr>
              <w:rPr>
                <w:sz w:val="18"/>
                <w:szCs w:val="18"/>
              </w:rPr>
            </w:pPr>
            <w:r w:rsidRPr="007B010A">
              <w:rPr>
                <w:sz w:val="18"/>
                <w:szCs w:val="18"/>
              </w:rPr>
              <w:t> </w:t>
            </w:r>
          </w:p>
        </w:tc>
        <w:tc>
          <w:tcPr>
            <w:tcW w:w="1134" w:type="dxa"/>
            <w:tcBorders>
              <w:top w:val="nil"/>
              <w:left w:val="nil"/>
              <w:bottom w:val="single" w:sz="4" w:space="0" w:color="auto"/>
              <w:right w:val="single" w:sz="4" w:space="0" w:color="auto"/>
            </w:tcBorders>
            <w:shd w:val="clear" w:color="auto" w:fill="92D050"/>
            <w:noWrap/>
            <w:vAlign w:val="center"/>
            <w:hideMark/>
          </w:tcPr>
          <w:p w14:paraId="01701A74" w14:textId="77777777" w:rsidR="00D923AA" w:rsidRPr="007B010A" w:rsidRDefault="00D923AA" w:rsidP="00376CF0">
            <w:pPr>
              <w:jc w:val="center"/>
              <w:rPr>
                <w:b/>
                <w:bCs/>
                <w:sz w:val="18"/>
                <w:szCs w:val="18"/>
              </w:rPr>
            </w:pPr>
            <w:r w:rsidRPr="007B010A">
              <w:rPr>
                <w:b/>
                <w:bCs/>
                <w:sz w:val="18"/>
                <w:szCs w:val="18"/>
              </w:rPr>
              <w:t>2 563 917</w:t>
            </w:r>
          </w:p>
        </w:tc>
        <w:tc>
          <w:tcPr>
            <w:tcW w:w="1134" w:type="dxa"/>
            <w:tcBorders>
              <w:top w:val="nil"/>
              <w:left w:val="nil"/>
              <w:bottom w:val="single" w:sz="4" w:space="0" w:color="auto"/>
              <w:right w:val="single" w:sz="4" w:space="0" w:color="auto"/>
            </w:tcBorders>
            <w:shd w:val="clear" w:color="auto" w:fill="92D050"/>
            <w:noWrap/>
            <w:vAlign w:val="center"/>
            <w:hideMark/>
          </w:tcPr>
          <w:p w14:paraId="44B38046" w14:textId="31BAE155" w:rsidR="00D923AA" w:rsidRPr="007B010A" w:rsidRDefault="00D7028A" w:rsidP="00376CF0">
            <w:pPr>
              <w:jc w:val="center"/>
              <w:rPr>
                <w:b/>
                <w:bCs/>
                <w:sz w:val="18"/>
                <w:szCs w:val="18"/>
              </w:rPr>
            </w:pPr>
            <w:r w:rsidRPr="007B010A">
              <w:rPr>
                <w:b/>
                <w:bCs/>
                <w:sz w:val="18"/>
                <w:szCs w:val="18"/>
              </w:rPr>
              <w:t>1 556</w:t>
            </w:r>
          </w:p>
        </w:tc>
        <w:tc>
          <w:tcPr>
            <w:tcW w:w="1418" w:type="dxa"/>
            <w:tcBorders>
              <w:top w:val="nil"/>
              <w:left w:val="nil"/>
              <w:bottom w:val="single" w:sz="4" w:space="0" w:color="auto"/>
              <w:right w:val="single" w:sz="4" w:space="0" w:color="auto"/>
            </w:tcBorders>
            <w:shd w:val="clear" w:color="auto" w:fill="92D050"/>
            <w:noWrap/>
            <w:vAlign w:val="center"/>
            <w:hideMark/>
          </w:tcPr>
          <w:p w14:paraId="354CD6BF" w14:textId="69634987" w:rsidR="00D923AA" w:rsidRPr="007B010A" w:rsidRDefault="00D923AA" w:rsidP="00376CF0">
            <w:pPr>
              <w:jc w:val="center"/>
              <w:rPr>
                <w:b/>
                <w:bCs/>
                <w:sz w:val="18"/>
                <w:szCs w:val="18"/>
              </w:rPr>
            </w:pPr>
          </w:p>
        </w:tc>
        <w:tc>
          <w:tcPr>
            <w:tcW w:w="992" w:type="dxa"/>
            <w:tcBorders>
              <w:top w:val="nil"/>
              <w:left w:val="nil"/>
              <w:bottom w:val="single" w:sz="4" w:space="0" w:color="auto"/>
              <w:right w:val="single" w:sz="4" w:space="0" w:color="auto"/>
            </w:tcBorders>
            <w:shd w:val="clear" w:color="auto" w:fill="92D050"/>
            <w:noWrap/>
            <w:vAlign w:val="center"/>
            <w:hideMark/>
          </w:tcPr>
          <w:p w14:paraId="5FD7301B" w14:textId="21089D1B" w:rsidR="00D923AA" w:rsidRPr="007B010A" w:rsidRDefault="00D7028A" w:rsidP="00376CF0">
            <w:pPr>
              <w:jc w:val="center"/>
              <w:rPr>
                <w:b/>
                <w:bCs/>
                <w:sz w:val="18"/>
                <w:szCs w:val="18"/>
              </w:rPr>
            </w:pPr>
            <w:r w:rsidRPr="007B010A">
              <w:rPr>
                <w:b/>
                <w:bCs/>
                <w:sz w:val="18"/>
                <w:szCs w:val="18"/>
              </w:rPr>
              <w:t>2 562 084</w:t>
            </w:r>
          </w:p>
        </w:tc>
      </w:tr>
    </w:tbl>
    <w:p w14:paraId="63B96FCC" w14:textId="77777777" w:rsidR="00D923AA" w:rsidRPr="007B010A" w:rsidRDefault="00D923AA" w:rsidP="00D923AA">
      <w:pPr>
        <w:autoSpaceDE w:val="0"/>
        <w:autoSpaceDN w:val="0"/>
        <w:adjustRightInd w:val="0"/>
        <w:ind w:firstLine="720"/>
        <w:jc w:val="both"/>
        <w:rPr>
          <w:rFonts w:eastAsiaTheme="minorHAnsi"/>
          <w:sz w:val="18"/>
          <w:szCs w:val="18"/>
          <w:lang w:eastAsia="en-US"/>
        </w:rPr>
      </w:pPr>
    </w:p>
    <w:p w14:paraId="5C02DC78" w14:textId="77777777" w:rsidR="00D923AA" w:rsidRPr="007B010A" w:rsidRDefault="00D923AA" w:rsidP="00D923AA">
      <w:pPr>
        <w:autoSpaceDE w:val="0"/>
        <w:autoSpaceDN w:val="0"/>
        <w:adjustRightInd w:val="0"/>
        <w:rPr>
          <w:rFonts w:eastAsiaTheme="minorHAnsi"/>
          <w:lang w:eastAsia="en-US"/>
        </w:rPr>
      </w:pPr>
    </w:p>
    <w:p w14:paraId="74D0CEFE" w14:textId="1940129F" w:rsidR="00D923AA" w:rsidRPr="007B010A" w:rsidRDefault="00D923AA" w:rsidP="00D923AA">
      <w:pPr>
        <w:autoSpaceDE w:val="0"/>
        <w:autoSpaceDN w:val="0"/>
        <w:adjustRightInd w:val="0"/>
        <w:spacing w:line="293" w:lineRule="atLeast"/>
        <w:jc w:val="center"/>
        <w:rPr>
          <w:u w:val="single"/>
        </w:rPr>
      </w:pPr>
      <w:r w:rsidRPr="007B010A">
        <w:rPr>
          <w:u w:val="single"/>
        </w:rPr>
        <w:t>Aknu transplantācija</w:t>
      </w:r>
    </w:p>
    <w:p w14:paraId="09A1D997" w14:textId="77777777" w:rsidR="00D923AA" w:rsidRPr="007B010A" w:rsidRDefault="00D923AA" w:rsidP="00D923AA">
      <w:pPr>
        <w:autoSpaceDE w:val="0"/>
        <w:autoSpaceDN w:val="0"/>
        <w:adjustRightInd w:val="0"/>
        <w:spacing w:line="293" w:lineRule="atLeast"/>
        <w:jc w:val="both"/>
      </w:pPr>
    </w:p>
    <w:p w14:paraId="21253E50" w14:textId="20D03353" w:rsidR="00D923AA" w:rsidRPr="007B010A" w:rsidRDefault="00D923AA" w:rsidP="00D923AA">
      <w:pPr>
        <w:autoSpaceDE w:val="0"/>
        <w:autoSpaceDN w:val="0"/>
        <w:adjustRightInd w:val="0"/>
        <w:spacing w:line="293" w:lineRule="atLeast"/>
        <w:ind w:firstLine="720"/>
        <w:jc w:val="both"/>
      </w:pPr>
      <w:r w:rsidRPr="007B010A">
        <w:t xml:space="preserve">2018.gadā </w:t>
      </w:r>
      <w:r w:rsidR="00F37EB0" w:rsidRPr="007B010A">
        <w:t xml:space="preserve">tika </w:t>
      </w:r>
      <w:r w:rsidRPr="007B010A">
        <w:t>plānots apmaksāt 7 aknu transplantācijas par kopējo summu 500</w:t>
      </w:r>
      <w:r w:rsidR="00582976" w:rsidRPr="007B010A">
        <w:t> </w:t>
      </w:r>
      <w:r w:rsidRPr="007B010A">
        <w:t>001</w:t>
      </w:r>
      <w:r w:rsidR="00582976" w:rsidRPr="007B010A">
        <w:t xml:space="preserve"> </w:t>
      </w:r>
      <w:proofErr w:type="spellStart"/>
      <w:r w:rsidRPr="007B010A">
        <w:rPr>
          <w:i/>
        </w:rPr>
        <w:t>euro</w:t>
      </w:r>
      <w:proofErr w:type="spellEnd"/>
      <w:r w:rsidRPr="007B010A">
        <w:t xml:space="preserve">. Līdz 2018.gada </w:t>
      </w:r>
      <w:r w:rsidR="00775595" w:rsidRPr="007B010A">
        <w:t>3</w:t>
      </w:r>
      <w:r w:rsidRPr="007B010A">
        <w:t>1.</w:t>
      </w:r>
      <w:r w:rsidR="00775595" w:rsidRPr="007B010A">
        <w:t>decembrim</w:t>
      </w:r>
      <w:r w:rsidRPr="007B010A">
        <w:t xml:space="preserve"> tika veiktas aknu transplantācijas </w:t>
      </w:r>
      <w:r w:rsidR="00775595" w:rsidRPr="007B010A">
        <w:t>5</w:t>
      </w:r>
      <w:r w:rsidRPr="007B010A">
        <w:t xml:space="preserve"> cilvēkiem, no kurām veiksmīgas bija </w:t>
      </w:r>
      <w:r w:rsidR="00775595" w:rsidRPr="007B010A">
        <w:t>trīs</w:t>
      </w:r>
      <w:r w:rsidRPr="007B010A">
        <w:t xml:space="preserve"> operācijas un šie </w:t>
      </w:r>
      <w:r w:rsidR="00775595" w:rsidRPr="007B010A">
        <w:t>trīs</w:t>
      </w:r>
      <w:r w:rsidRPr="007B010A">
        <w:t xml:space="preserve"> cilvēki saņem pēc aknu transplantācijas nepieciešamos medikamentus. Ņemot vērā minēto situāciju, </w:t>
      </w:r>
      <w:r w:rsidR="005A5D65" w:rsidRPr="007B010A">
        <w:t xml:space="preserve">aknu transplantācijai nepieciešamo medikamentu sadaļā </w:t>
      </w:r>
      <w:r w:rsidRPr="007B010A">
        <w:t>2018.gadā ir izveidojusies neizpilde</w:t>
      </w:r>
      <w:r w:rsidR="00077516" w:rsidRPr="007B010A">
        <w:t xml:space="preserve"> 63</w:t>
      </w:r>
      <w:r w:rsidR="00582976" w:rsidRPr="007B010A">
        <w:t> </w:t>
      </w:r>
      <w:r w:rsidR="00077516" w:rsidRPr="007B010A">
        <w:t xml:space="preserve">814 </w:t>
      </w:r>
      <w:proofErr w:type="spellStart"/>
      <w:r w:rsidR="00077516" w:rsidRPr="007B010A">
        <w:rPr>
          <w:i/>
        </w:rPr>
        <w:t>euro</w:t>
      </w:r>
      <w:proofErr w:type="spellEnd"/>
      <w:r w:rsidR="00077516" w:rsidRPr="007B010A">
        <w:t xml:space="preserve"> apmērā</w:t>
      </w:r>
      <w:r w:rsidRPr="007B010A">
        <w:t>.</w:t>
      </w:r>
    </w:p>
    <w:p w14:paraId="125B166F" w14:textId="67045959" w:rsidR="00425E89" w:rsidRPr="007B010A" w:rsidRDefault="00D923AA" w:rsidP="00D923AA">
      <w:pPr>
        <w:autoSpaceDE w:val="0"/>
        <w:autoSpaceDN w:val="0"/>
        <w:adjustRightInd w:val="0"/>
        <w:spacing w:line="293" w:lineRule="atLeast"/>
        <w:ind w:firstLine="720"/>
        <w:jc w:val="both"/>
      </w:pPr>
      <w:r w:rsidRPr="007B010A">
        <w:t xml:space="preserve">Ņemot vērā sarežģītos apstākļus, kuriem nepieciešams labdabīgi sakrist, piemēram, </w:t>
      </w:r>
      <w:r w:rsidR="00D664B7">
        <w:t>atbilstoša</w:t>
      </w:r>
      <w:r w:rsidRPr="007B010A">
        <w:t xml:space="preserve"> orgānu donora esamība, </w:t>
      </w:r>
      <w:r w:rsidR="00D664B7">
        <w:t xml:space="preserve">transplantēto </w:t>
      </w:r>
      <w:r w:rsidRPr="007B010A">
        <w:t>orgānu pieņemšana, kopējais veselības stāvoklis pacientam, kam nepieciešama operācija un citi ietekmējošie faktori, kas nepieciešami, lai veiksmīgi noritētu aknu transplantācija ir nepieciešams 201</w:t>
      </w:r>
      <w:r w:rsidR="00F35EE1" w:rsidRPr="007B010A">
        <w:t>9</w:t>
      </w:r>
      <w:r w:rsidRPr="007B010A">
        <w:t>.gad</w:t>
      </w:r>
      <w:r w:rsidR="00F35EE1" w:rsidRPr="007B010A">
        <w:t>ā</w:t>
      </w:r>
      <w:r w:rsidRPr="007B010A">
        <w:t xml:space="preserve"> saglabāt finansējumu aknu transplantāciju veikšanai.</w:t>
      </w:r>
      <w:r w:rsidR="001A0860" w:rsidRPr="007B010A">
        <w:t xml:space="preserve"> </w:t>
      </w:r>
    </w:p>
    <w:p w14:paraId="2CD44F57" w14:textId="6CB3A942" w:rsidR="00D923AA" w:rsidRPr="007B010A" w:rsidRDefault="004B4CD2" w:rsidP="00D923AA">
      <w:pPr>
        <w:autoSpaceDE w:val="0"/>
        <w:autoSpaceDN w:val="0"/>
        <w:adjustRightInd w:val="0"/>
        <w:spacing w:line="293" w:lineRule="atLeast"/>
        <w:ind w:firstLine="720"/>
        <w:jc w:val="both"/>
      </w:pPr>
      <w:r w:rsidRPr="007B010A">
        <w:t xml:space="preserve">Uz </w:t>
      </w:r>
      <w:r w:rsidR="002947CD" w:rsidRPr="007B010A">
        <w:t xml:space="preserve">2019.gada 1.janvāri </w:t>
      </w:r>
      <w:r w:rsidRPr="007B010A">
        <w:t>aknu transp</w:t>
      </w:r>
      <w:r w:rsidR="00F4198D" w:rsidRPr="007B010A">
        <w:t>lantācijas gaidīšanas rindā atr</w:t>
      </w:r>
      <w:r w:rsidR="00B43567" w:rsidRPr="007B010A">
        <w:t>o</w:t>
      </w:r>
      <w:r w:rsidRPr="007B010A">
        <w:t>d</w:t>
      </w:r>
      <w:r w:rsidR="00B43567" w:rsidRPr="007B010A">
        <w:t>a</w:t>
      </w:r>
      <w:r w:rsidRPr="007B010A">
        <w:t>s</w:t>
      </w:r>
      <w:r w:rsidR="00DB671A" w:rsidRPr="007B010A">
        <w:t xml:space="preserve"> </w:t>
      </w:r>
      <w:r w:rsidR="00B43567" w:rsidRPr="007B010A">
        <w:t>1</w:t>
      </w:r>
      <w:r w:rsidR="002947CD" w:rsidRPr="007B010A">
        <w:t>6</w:t>
      </w:r>
      <w:r w:rsidR="00582976" w:rsidRPr="007B010A">
        <w:t xml:space="preserve"> </w:t>
      </w:r>
      <w:r w:rsidRPr="007B010A">
        <w:t>cilvēki</w:t>
      </w:r>
      <w:r w:rsidR="001E0F8B" w:rsidRPr="007B010A">
        <w:t xml:space="preserve">. </w:t>
      </w:r>
      <w:r w:rsidRPr="007B010A">
        <w:t xml:space="preserve"> </w:t>
      </w:r>
      <w:r w:rsidR="001E0F8B" w:rsidRPr="007B010A">
        <w:t>Ir jā</w:t>
      </w:r>
      <w:r w:rsidR="00582976" w:rsidRPr="007B010A">
        <w:t>ņ</w:t>
      </w:r>
      <w:r w:rsidR="001E0F8B" w:rsidRPr="007B010A">
        <w:t>em</w:t>
      </w:r>
      <w:r w:rsidR="00A331FC" w:rsidRPr="007B010A">
        <w:t xml:space="preserve"> vērā t</w:t>
      </w:r>
      <w:r w:rsidR="009A7C3C" w:rsidRPr="007B010A">
        <w:t>as</w:t>
      </w:r>
      <w:r w:rsidR="00A331FC" w:rsidRPr="007B010A">
        <w:t>, ka</w:t>
      </w:r>
      <w:r w:rsidR="00B43567" w:rsidRPr="007B010A">
        <w:t xml:space="preserve"> situācija var strauji mainīties, jo pacients no pasīvā gaidīšanas perioda var strauji pāriet akūtajā gaidīšanas periodā, kur</w:t>
      </w:r>
      <w:r w:rsidRPr="007B010A">
        <w:t xml:space="preserve"> gaidīšanas laiks ir atkarīgs arī no donora nodrošinājuma.</w:t>
      </w:r>
    </w:p>
    <w:p w14:paraId="2CB82B09" w14:textId="2398949C" w:rsidR="00D923AA" w:rsidRPr="007B010A" w:rsidRDefault="00B7065E" w:rsidP="008A27C5">
      <w:pPr>
        <w:autoSpaceDE w:val="0"/>
        <w:autoSpaceDN w:val="0"/>
        <w:adjustRightInd w:val="0"/>
        <w:spacing w:line="293" w:lineRule="atLeast"/>
        <w:ind w:firstLine="720"/>
        <w:jc w:val="both"/>
        <w:rPr>
          <w:u w:val="single"/>
        </w:rPr>
      </w:pPr>
      <w:r w:rsidRPr="007B010A">
        <w:lastRenderedPageBreak/>
        <w:t>P</w:t>
      </w:r>
      <w:r w:rsidR="00D923AA" w:rsidRPr="007B010A">
        <w:t>apildus izveido</w:t>
      </w:r>
      <w:r w:rsidRPr="007B010A">
        <w:t>jot</w:t>
      </w:r>
      <w:r w:rsidR="00D923AA" w:rsidRPr="007B010A">
        <w:t xml:space="preserve"> jaun</w:t>
      </w:r>
      <w:r w:rsidRPr="007B010A">
        <w:t>u</w:t>
      </w:r>
      <w:r w:rsidR="00D923AA" w:rsidRPr="007B010A">
        <w:t xml:space="preserve"> pacientu grupa “AT-Pacientu izmeklēšana pirms un pēc aknu transplantācijas” (turpmāk AT-grupa), pacientu pirms un pēc aknu transplantācijas atpazīšanai un apmaksai</w:t>
      </w:r>
      <w:r w:rsidRPr="007B010A">
        <w:t xml:space="preserve"> ir augstu novērtējams ieguldījums Latvijas iedzīvotāju veselības aprūpes uzlabošanā.</w:t>
      </w:r>
      <w:r w:rsidR="00D923AA" w:rsidRPr="007B010A">
        <w:t xml:space="preserve"> Plānotā un faktiski veiktā apjoma atšķirības ambulatoriem pacientiem pirms un pēc aknu transplantācijas ir skaidrojamas ar to, ka ambulatori pirms un pēc aknu transplantācijas pacienti izmeklējumus šobrīd var veikt arī citās medicīnas iestādēs, kur nav šādas pazīmes (AT</w:t>
      </w:r>
      <w:r w:rsidR="00AF5F68" w:rsidRPr="007B010A">
        <w:t> </w:t>
      </w:r>
      <w:r w:rsidR="00D923AA" w:rsidRPr="007B010A">
        <w:t>grupa). Pirms transplantācijas pacientu veselības stāvoklis bieži ir salīdzinoši smags vai izmeklējumi ir kompleksi, kas ierobežo iespējas tos veikt ambulatori, tāpēc nepi</w:t>
      </w:r>
      <w:r w:rsidR="00BE5850" w:rsidRPr="007B010A">
        <w:t xml:space="preserve">eciešams pacientus </w:t>
      </w:r>
      <w:proofErr w:type="spellStart"/>
      <w:r w:rsidR="00BE5850" w:rsidRPr="007B010A">
        <w:t>stacionēt</w:t>
      </w:r>
      <w:proofErr w:type="spellEnd"/>
      <w:r w:rsidR="00BE5850" w:rsidRPr="007B010A">
        <w:t xml:space="preserve">. </w:t>
      </w:r>
      <w:r w:rsidR="00CA28F6" w:rsidRPr="007B010A">
        <w:t>2018.</w:t>
      </w:r>
      <w:r w:rsidR="00BE5850" w:rsidRPr="007B010A">
        <w:t>gada</w:t>
      </w:r>
      <w:r w:rsidR="00D923AA" w:rsidRPr="007B010A">
        <w:t xml:space="preserve"> </w:t>
      </w:r>
      <w:r w:rsidR="002947CD" w:rsidRPr="007B010A">
        <w:t xml:space="preserve">12 </w:t>
      </w:r>
      <w:r w:rsidR="00D923AA" w:rsidRPr="007B010A">
        <w:t>mēnešos 2</w:t>
      </w:r>
      <w:r w:rsidR="002947CD" w:rsidRPr="007B010A">
        <w:t>7</w:t>
      </w:r>
      <w:r w:rsidR="00D923AA" w:rsidRPr="007B010A">
        <w:t xml:space="preserve"> pirms aknu transplantācijas pacienti tika izmeklēti un ārstēti stacionārā par kopējo finansējumu </w:t>
      </w:r>
      <w:r w:rsidR="002947CD" w:rsidRPr="007B010A">
        <w:t>123</w:t>
      </w:r>
      <w:r w:rsidR="00582976" w:rsidRPr="007B010A">
        <w:t> </w:t>
      </w:r>
      <w:r w:rsidR="002947CD" w:rsidRPr="007B010A">
        <w:t>951</w:t>
      </w:r>
      <w:r w:rsidR="00D923AA" w:rsidRPr="007B010A">
        <w:t xml:space="preserve"> </w:t>
      </w:r>
      <w:proofErr w:type="spellStart"/>
      <w:r w:rsidR="00485D70" w:rsidRPr="007B010A">
        <w:rPr>
          <w:i/>
        </w:rPr>
        <w:t>euro</w:t>
      </w:r>
      <w:proofErr w:type="spellEnd"/>
      <w:r w:rsidR="00D923AA" w:rsidRPr="007B010A">
        <w:t>, bez tam</w:t>
      </w:r>
      <w:r w:rsidR="0080224B" w:rsidRPr="007B010A">
        <w:t xml:space="preserve"> daļa šo pacientu tika izmeklēta</w:t>
      </w:r>
      <w:r w:rsidR="00D923AA" w:rsidRPr="007B010A">
        <w:t xml:space="preserve"> iepriekšējos periodos/gados. </w:t>
      </w:r>
      <w:r w:rsidR="002947CD" w:rsidRPr="007B010A">
        <w:t xml:space="preserve">Pieciem </w:t>
      </w:r>
      <w:r w:rsidR="00D923AA" w:rsidRPr="007B010A">
        <w:t>pacientiem jau ir veiktas aknu transplantācija</w:t>
      </w:r>
      <w:r w:rsidR="0080224B" w:rsidRPr="007B010A">
        <w:t>s</w:t>
      </w:r>
      <w:r w:rsidR="00D923AA" w:rsidRPr="007B010A">
        <w:t xml:space="preserve"> un vienam no iepriekšminētajiem pacientiem </w:t>
      </w:r>
      <w:r w:rsidR="00D664B7">
        <w:t xml:space="preserve">veikta </w:t>
      </w:r>
      <w:proofErr w:type="spellStart"/>
      <w:r w:rsidR="00D923AA" w:rsidRPr="007B010A">
        <w:t>retransplantācija</w:t>
      </w:r>
      <w:proofErr w:type="spellEnd"/>
      <w:r w:rsidR="0008221C" w:rsidRPr="007B010A">
        <w:t>.</w:t>
      </w:r>
      <w:r w:rsidR="00D923AA" w:rsidRPr="007B010A">
        <w:t xml:space="preserve"> </w:t>
      </w:r>
      <w:bookmarkStart w:id="0" w:name="OLE_LINK1"/>
    </w:p>
    <w:p w14:paraId="17A44772" w14:textId="77777777" w:rsidR="00926656" w:rsidRPr="007B010A" w:rsidRDefault="00926656" w:rsidP="00D923AA">
      <w:pPr>
        <w:spacing w:after="200" w:line="276" w:lineRule="auto"/>
        <w:jc w:val="center"/>
        <w:rPr>
          <w:u w:val="single"/>
        </w:rPr>
      </w:pPr>
    </w:p>
    <w:p w14:paraId="7486080F" w14:textId="07DEF989" w:rsidR="001A0860" w:rsidRPr="007B010A" w:rsidRDefault="00D923AA" w:rsidP="00780965">
      <w:pPr>
        <w:spacing w:after="200" w:line="276" w:lineRule="auto"/>
        <w:jc w:val="center"/>
        <w:rPr>
          <w:b/>
          <w:i/>
        </w:rPr>
      </w:pPr>
      <w:r w:rsidRPr="007B010A">
        <w:rPr>
          <w:u w:val="single"/>
        </w:rPr>
        <w:t xml:space="preserve">Bioloģiskās terapijas nodrošināšana Krona slimībai, čūlainajam kolītam un </w:t>
      </w:r>
      <w:proofErr w:type="spellStart"/>
      <w:r w:rsidRPr="007B010A">
        <w:rPr>
          <w:u w:val="single"/>
        </w:rPr>
        <w:t>psoriāzei</w:t>
      </w:r>
      <w:bookmarkEnd w:id="0"/>
      <w:proofErr w:type="spellEnd"/>
    </w:p>
    <w:p w14:paraId="76F17ACE" w14:textId="36F9AED9" w:rsidR="00802F84" w:rsidRPr="007B010A" w:rsidRDefault="00D923AA" w:rsidP="00780965">
      <w:pPr>
        <w:ind w:firstLine="720"/>
        <w:jc w:val="both"/>
        <w:rPr>
          <w:i/>
        </w:rPr>
      </w:pPr>
      <w:r w:rsidRPr="007B010A">
        <w:t xml:space="preserve">Lai nodrošinātu kompensējamo zāļu pieejamību Krona slimības, čūlainā kolīta un </w:t>
      </w:r>
      <w:proofErr w:type="spellStart"/>
      <w:r w:rsidRPr="007B010A">
        <w:t>psoriāzes</w:t>
      </w:r>
      <w:proofErr w:type="spellEnd"/>
      <w:r w:rsidRPr="007B010A">
        <w:t xml:space="preserve"> pacientiem, tika veiktas izmaiņas normatīvajos aktos, palielinot šo slimību gadījumā piemērojamo kompensācijas apmēru līdz 100%</w:t>
      </w:r>
      <w:r w:rsidRPr="007B010A">
        <w:rPr>
          <w:rStyle w:val="FootnoteReference"/>
        </w:rPr>
        <w:footnoteReference w:id="9"/>
      </w:r>
      <w:r w:rsidRPr="007B010A">
        <w:t xml:space="preserve">. Tādējādi no 2018.gada tiek nodrošināta vienlīdzīga pieeja visiem pacientiem ar </w:t>
      </w:r>
      <w:proofErr w:type="spellStart"/>
      <w:r w:rsidRPr="007B010A">
        <w:t>autoimūnām</w:t>
      </w:r>
      <w:proofErr w:type="spellEnd"/>
      <w:r w:rsidRPr="007B010A">
        <w:t xml:space="preserve"> slimībām. Kompensācijas apmēra palielināšana un atbilstošs papildu finansējums 1 208 748 </w:t>
      </w:r>
      <w:proofErr w:type="spellStart"/>
      <w:r w:rsidRPr="007B010A">
        <w:rPr>
          <w:i/>
        </w:rPr>
        <w:t>euro</w:t>
      </w:r>
      <w:proofErr w:type="spellEnd"/>
      <w:r w:rsidRPr="007B010A">
        <w:t xml:space="preserve"> apmērā ļāva iekļaut kompensējamo zāļu sarakstā </w:t>
      </w:r>
      <w:r w:rsidRPr="007B010A">
        <w:rPr>
          <w:rFonts w:eastAsiaTheme="minorHAnsi"/>
          <w:lang w:eastAsia="en-US"/>
        </w:rPr>
        <w:t xml:space="preserve">Krona slimības, čūlainā kolīta un </w:t>
      </w:r>
      <w:proofErr w:type="spellStart"/>
      <w:r w:rsidRPr="007B010A">
        <w:rPr>
          <w:rFonts w:eastAsiaTheme="minorHAnsi"/>
          <w:lang w:eastAsia="en-US"/>
        </w:rPr>
        <w:t>psoriāzes</w:t>
      </w:r>
      <w:proofErr w:type="spellEnd"/>
      <w:r w:rsidRPr="007B010A">
        <w:rPr>
          <w:rFonts w:eastAsiaTheme="minorHAnsi"/>
          <w:lang w:eastAsia="en-US"/>
        </w:rPr>
        <w:t xml:space="preserve"> pacientiem nepieciešamās bioloģiskās izcelsmes zāles (</w:t>
      </w:r>
      <w:proofErr w:type="spellStart"/>
      <w:r w:rsidRPr="007B010A">
        <w:rPr>
          <w:rFonts w:eastAsiaTheme="minorHAnsi"/>
          <w:i/>
          <w:lang w:eastAsia="en-US"/>
        </w:rPr>
        <w:t>infliximabum</w:t>
      </w:r>
      <w:proofErr w:type="spellEnd"/>
      <w:r w:rsidRPr="007B010A">
        <w:rPr>
          <w:rFonts w:eastAsiaTheme="minorHAnsi"/>
          <w:i/>
          <w:lang w:eastAsia="en-US"/>
        </w:rPr>
        <w:t xml:space="preserve">, </w:t>
      </w:r>
      <w:proofErr w:type="spellStart"/>
      <w:r w:rsidRPr="007B010A">
        <w:rPr>
          <w:rFonts w:eastAsiaTheme="minorHAnsi"/>
          <w:i/>
          <w:lang w:eastAsia="en-US"/>
        </w:rPr>
        <w:t>adalimimabum</w:t>
      </w:r>
      <w:proofErr w:type="spellEnd"/>
      <w:r w:rsidRPr="007B010A">
        <w:rPr>
          <w:rFonts w:eastAsiaTheme="minorHAnsi"/>
          <w:i/>
          <w:lang w:eastAsia="en-US"/>
        </w:rPr>
        <w:t xml:space="preserve">, </w:t>
      </w:r>
      <w:proofErr w:type="spellStart"/>
      <w:r w:rsidRPr="007B010A">
        <w:rPr>
          <w:rFonts w:eastAsiaTheme="minorHAnsi"/>
          <w:i/>
          <w:lang w:eastAsia="en-US"/>
        </w:rPr>
        <w:t>ustekinumabum</w:t>
      </w:r>
      <w:proofErr w:type="spellEnd"/>
      <w:r w:rsidRPr="007B010A">
        <w:rPr>
          <w:rFonts w:eastAsiaTheme="minorHAnsi"/>
          <w:lang w:eastAsia="en-US"/>
        </w:rPr>
        <w:t xml:space="preserve">). </w:t>
      </w:r>
    </w:p>
    <w:p w14:paraId="3C326DED" w14:textId="77777777" w:rsidR="00D726A8" w:rsidRPr="007B010A" w:rsidRDefault="00D726A8" w:rsidP="00D923AA">
      <w:pPr>
        <w:ind w:firstLine="720"/>
        <w:jc w:val="right"/>
        <w:rPr>
          <w:i/>
        </w:rPr>
      </w:pPr>
    </w:p>
    <w:p w14:paraId="6A62EED8" w14:textId="55ABD5B5" w:rsidR="00D923AA" w:rsidRPr="007B010A" w:rsidRDefault="00D923AA" w:rsidP="00D923AA">
      <w:pPr>
        <w:ind w:firstLine="720"/>
        <w:jc w:val="right"/>
        <w:rPr>
          <w:i/>
        </w:rPr>
      </w:pPr>
      <w:r w:rsidRPr="007B010A">
        <w:rPr>
          <w:i/>
        </w:rPr>
        <w:t xml:space="preserve">12.tabula </w:t>
      </w:r>
    </w:p>
    <w:p w14:paraId="7071D245" w14:textId="77777777" w:rsidR="00D923AA" w:rsidRPr="007B010A" w:rsidRDefault="00D923AA" w:rsidP="00D923AA">
      <w:pPr>
        <w:jc w:val="center"/>
      </w:pPr>
      <w:r w:rsidRPr="007B010A">
        <w:t xml:space="preserve">Bioloģiskās terapijas nodrošināšanas </w:t>
      </w:r>
    </w:p>
    <w:p w14:paraId="68BE4791" w14:textId="210ED126" w:rsidR="00D923AA" w:rsidRPr="007B010A" w:rsidRDefault="00D923AA" w:rsidP="00D923AA">
      <w:pPr>
        <w:jc w:val="center"/>
      </w:pPr>
      <w:r w:rsidRPr="007B010A">
        <w:t xml:space="preserve">Krona slimības, čūlainā kolīta un </w:t>
      </w:r>
      <w:proofErr w:type="spellStart"/>
      <w:r w:rsidRPr="007B010A">
        <w:t>psoriāzes</w:t>
      </w:r>
      <w:proofErr w:type="spellEnd"/>
      <w:r w:rsidRPr="007B010A">
        <w:t xml:space="preserve"> pacientiem</w:t>
      </w:r>
      <w:r w:rsidR="00093536">
        <w:t xml:space="preserve"> </w:t>
      </w:r>
      <w:r w:rsidRPr="007B010A">
        <w:t>2018.gada izpilde</w:t>
      </w:r>
    </w:p>
    <w:p w14:paraId="66CC7C36" w14:textId="77777777" w:rsidR="00D923AA" w:rsidRPr="007B010A" w:rsidRDefault="00D923AA" w:rsidP="00D923AA">
      <w:pPr>
        <w:autoSpaceDE w:val="0"/>
        <w:autoSpaceDN w:val="0"/>
        <w:adjustRightInd w:val="0"/>
        <w:spacing w:line="293" w:lineRule="atLeast"/>
        <w:rPr>
          <w:sz w:val="22"/>
          <w:szCs w:val="22"/>
        </w:rPr>
      </w:pPr>
    </w:p>
    <w:tbl>
      <w:tblPr>
        <w:tblW w:w="9061" w:type="dxa"/>
        <w:jc w:val="center"/>
        <w:tblLook w:val="04A0" w:firstRow="1" w:lastRow="0" w:firstColumn="1" w:lastColumn="0" w:noHBand="0" w:noVBand="1"/>
      </w:tblPr>
      <w:tblGrid>
        <w:gridCol w:w="2017"/>
        <w:gridCol w:w="1352"/>
        <w:gridCol w:w="1420"/>
        <w:gridCol w:w="1449"/>
        <w:gridCol w:w="1412"/>
        <w:gridCol w:w="1411"/>
      </w:tblGrid>
      <w:tr w:rsidR="00D923AA" w:rsidRPr="007B010A" w14:paraId="290A0303" w14:textId="77777777" w:rsidTr="00085819">
        <w:trPr>
          <w:trHeight w:val="1012"/>
          <w:jc w:val="center"/>
        </w:trPr>
        <w:tc>
          <w:tcPr>
            <w:tcW w:w="2017"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4DC60B18" w14:textId="77777777" w:rsidR="00D923AA" w:rsidRPr="007B010A" w:rsidRDefault="00D923AA" w:rsidP="00376CF0">
            <w:pPr>
              <w:jc w:val="center"/>
              <w:rPr>
                <w:sz w:val="22"/>
                <w:szCs w:val="22"/>
              </w:rPr>
            </w:pPr>
            <w:r w:rsidRPr="007B010A">
              <w:rPr>
                <w:sz w:val="22"/>
                <w:szCs w:val="22"/>
              </w:rPr>
              <w:t xml:space="preserve">Kompensējamie medikamenti VHC ārstēšanai F3-F4 stadijā </w:t>
            </w:r>
          </w:p>
        </w:tc>
        <w:tc>
          <w:tcPr>
            <w:tcW w:w="1352"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41A46BA3" w14:textId="2FB1815F" w:rsidR="00D923AA" w:rsidRPr="007B010A" w:rsidRDefault="00D923AA" w:rsidP="00376CF0">
            <w:pPr>
              <w:jc w:val="center"/>
              <w:rPr>
                <w:sz w:val="22"/>
                <w:szCs w:val="22"/>
              </w:rPr>
            </w:pPr>
            <w:r w:rsidRPr="007B010A">
              <w:rPr>
                <w:sz w:val="22"/>
                <w:szCs w:val="22"/>
              </w:rPr>
              <w:t xml:space="preserve">Plānotais finansējums </w:t>
            </w:r>
            <w:r w:rsidR="000629C4" w:rsidRPr="007B010A">
              <w:rPr>
                <w:sz w:val="22"/>
                <w:szCs w:val="22"/>
              </w:rPr>
              <w:t>2018.</w:t>
            </w:r>
            <w:r w:rsidRPr="007B010A">
              <w:rPr>
                <w:sz w:val="22"/>
                <w:szCs w:val="22"/>
              </w:rPr>
              <w:t xml:space="preserve">gadā,  </w:t>
            </w:r>
            <w:proofErr w:type="spellStart"/>
            <w:r w:rsidRPr="007B010A">
              <w:rPr>
                <w:i/>
                <w:iCs/>
                <w:sz w:val="22"/>
                <w:szCs w:val="22"/>
              </w:rPr>
              <w:t>euro</w:t>
            </w:r>
            <w:proofErr w:type="spellEnd"/>
            <w:r w:rsidRPr="007B010A">
              <w:rPr>
                <w:sz w:val="22"/>
                <w:szCs w:val="22"/>
              </w:rPr>
              <w:t xml:space="preserve"> </w:t>
            </w:r>
          </w:p>
        </w:tc>
        <w:tc>
          <w:tcPr>
            <w:tcW w:w="1420"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5BC236D6" w14:textId="6F289FE7" w:rsidR="00D923AA" w:rsidRPr="007B010A" w:rsidRDefault="00D923AA" w:rsidP="00376CF0">
            <w:pPr>
              <w:jc w:val="center"/>
              <w:rPr>
                <w:sz w:val="22"/>
                <w:szCs w:val="22"/>
              </w:rPr>
            </w:pPr>
            <w:r w:rsidRPr="007B010A">
              <w:rPr>
                <w:sz w:val="22"/>
                <w:szCs w:val="22"/>
              </w:rPr>
              <w:t xml:space="preserve">Plānotais pakalpojumu (pacientu) skaits </w:t>
            </w:r>
            <w:r w:rsidR="000629C4" w:rsidRPr="007B010A">
              <w:rPr>
                <w:sz w:val="22"/>
                <w:szCs w:val="22"/>
              </w:rPr>
              <w:t>2018.</w:t>
            </w:r>
            <w:r w:rsidRPr="007B010A">
              <w:rPr>
                <w:sz w:val="22"/>
                <w:szCs w:val="22"/>
              </w:rPr>
              <w:t>gadā</w:t>
            </w:r>
          </w:p>
        </w:tc>
        <w:tc>
          <w:tcPr>
            <w:tcW w:w="1449"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44BE9BCA" w14:textId="4BBC0794" w:rsidR="00D923AA" w:rsidRPr="007B010A" w:rsidRDefault="00D923AA" w:rsidP="00376CF0">
            <w:pPr>
              <w:jc w:val="center"/>
              <w:rPr>
                <w:sz w:val="22"/>
                <w:szCs w:val="22"/>
              </w:rPr>
            </w:pPr>
            <w:r w:rsidRPr="007B010A">
              <w:rPr>
                <w:sz w:val="22"/>
                <w:szCs w:val="22"/>
              </w:rPr>
              <w:t xml:space="preserve">Finanšu izlietojums </w:t>
            </w:r>
            <w:r w:rsidR="00D728A6" w:rsidRPr="007B010A">
              <w:rPr>
                <w:sz w:val="22"/>
                <w:szCs w:val="22"/>
              </w:rPr>
              <w:t>12</w:t>
            </w:r>
            <w:r w:rsidRPr="007B010A">
              <w:rPr>
                <w:sz w:val="22"/>
                <w:szCs w:val="22"/>
              </w:rPr>
              <w:t xml:space="preserve"> mēnešos,  </w:t>
            </w:r>
            <w:proofErr w:type="spellStart"/>
            <w:r w:rsidRPr="007B010A">
              <w:rPr>
                <w:i/>
                <w:iCs/>
                <w:sz w:val="22"/>
                <w:szCs w:val="22"/>
              </w:rPr>
              <w:t>euro</w:t>
            </w:r>
            <w:proofErr w:type="spellEnd"/>
          </w:p>
        </w:tc>
        <w:tc>
          <w:tcPr>
            <w:tcW w:w="1412" w:type="dxa"/>
            <w:tcBorders>
              <w:top w:val="single" w:sz="4" w:space="0" w:color="auto"/>
              <w:left w:val="single" w:sz="4" w:space="0" w:color="auto"/>
              <w:right w:val="single" w:sz="4" w:space="0" w:color="auto"/>
            </w:tcBorders>
            <w:shd w:val="clear" w:color="auto" w:fill="92D050"/>
          </w:tcPr>
          <w:p w14:paraId="5F6B6B5F" w14:textId="77777777" w:rsidR="00D923AA" w:rsidRPr="007B010A" w:rsidRDefault="00D923AA" w:rsidP="00376CF0">
            <w:pPr>
              <w:jc w:val="center"/>
              <w:rPr>
                <w:sz w:val="22"/>
                <w:szCs w:val="22"/>
              </w:rPr>
            </w:pPr>
          </w:p>
          <w:p w14:paraId="3703174B" w14:textId="77777777" w:rsidR="00D923AA" w:rsidRPr="007B010A" w:rsidRDefault="00D923AA" w:rsidP="0080224B">
            <w:pPr>
              <w:jc w:val="center"/>
              <w:rPr>
                <w:sz w:val="22"/>
                <w:szCs w:val="22"/>
              </w:rPr>
            </w:pPr>
            <w:r w:rsidRPr="007B010A">
              <w:rPr>
                <w:sz w:val="22"/>
                <w:szCs w:val="22"/>
              </w:rPr>
              <w:t xml:space="preserve">% no plānotā finansējuma </w:t>
            </w:r>
            <w:proofErr w:type="spellStart"/>
            <w:r w:rsidRPr="007B010A">
              <w:rPr>
                <w:i/>
                <w:sz w:val="22"/>
                <w:szCs w:val="22"/>
              </w:rPr>
              <w:t>euro</w:t>
            </w:r>
            <w:proofErr w:type="spellEnd"/>
          </w:p>
        </w:tc>
        <w:tc>
          <w:tcPr>
            <w:tcW w:w="1411" w:type="dxa"/>
            <w:tcBorders>
              <w:top w:val="single" w:sz="4" w:space="0" w:color="auto"/>
              <w:left w:val="single" w:sz="4" w:space="0" w:color="auto"/>
              <w:bottom w:val="single" w:sz="4" w:space="0" w:color="000000"/>
              <w:right w:val="single" w:sz="4" w:space="0" w:color="auto"/>
            </w:tcBorders>
            <w:shd w:val="clear" w:color="auto" w:fill="92D050"/>
            <w:vAlign w:val="center"/>
            <w:hideMark/>
          </w:tcPr>
          <w:p w14:paraId="0CA174C9" w14:textId="77777777" w:rsidR="00D923AA" w:rsidRPr="007B010A" w:rsidRDefault="00D923AA" w:rsidP="00376CF0">
            <w:pPr>
              <w:jc w:val="center"/>
              <w:rPr>
                <w:sz w:val="22"/>
                <w:szCs w:val="22"/>
              </w:rPr>
            </w:pPr>
            <w:r w:rsidRPr="007B010A">
              <w:rPr>
                <w:sz w:val="22"/>
                <w:szCs w:val="22"/>
              </w:rPr>
              <w:t>Faktiskais pakalpojumu (pacientu) skaits</w:t>
            </w:r>
            <w:r w:rsidRPr="007B010A">
              <w:rPr>
                <w:i/>
                <w:iCs/>
                <w:sz w:val="22"/>
                <w:szCs w:val="22"/>
              </w:rPr>
              <w:t xml:space="preserve"> </w:t>
            </w:r>
          </w:p>
        </w:tc>
      </w:tr>
      <w:tr w:rsidR="00D923AA" w:rsidRPr="007B010A" w14:paraId="146CFA53"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24237" w14:textId="77777777" w:rsidR="00D923AA" w:rsidRPr="007B010A" w:rsidRDefault="00D923AA" w:rsidP="00376CF0">
            <w:pPr>
              <w:rPr>
                <w:sz w:val="22"/>
                <w:szCs w:val="22"/>
              </w:rPr>
            </w:pPr>
            <w:r w:rsidRPr="007B010A">
              <w:rPr>
                <w:sz w:val="22"/>
                <w:szCs w:val="22"/>
              </w:rPr>
              <w:t>Kompensējamo zāļu pieejamības nodrošināšana</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3D52ED54" w14:textId="77777777" w:rsidR="00D923AA" w:rsidRPr="007B010A" w:rsidRDefault="00D923AA" w:rsidP="00376CF0">
            <w:pPr>
              <w:jc w:val="center"/>
              <w:rPr>
                <w:sz w:val="22"/>
                <w:szCs w:val="22"/>
              </w:rPr>
            </w:pPr>
            <w:r w:rsidRPr="007B010A">
              <w:rPr>
                <w:sz w:val="22"/>
                <w:szCs w:val="22"/>
              </w:rPr>
              <w:t>1 208 748</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16795F2" w14:textId="77777777" w:rsidR="00D923AA" w:rsidRPr="007B010A" w:rsidRDefault="00D923AA" w:rsidP="00376CF0">
            <w:pPr>
              <w:jc w:val="center"/>
              <w:rPr>
                <w:sz w:val="22"/>
                <w:szCs w:val="22"/>
              </w:rPr>
            </w:pPr>
            <w:r w:rsidRPr="007B010A">
              <w:rPr>
                <w:sz w:val="22"/>
                <w:szCs w:val="22"/>
              </w:rPr>
              <w:t>11 697</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6DF03263" w14:textId="2E7D91C2" w:rsidR="00D923AA" w:rsidRPr="007B010A" w:rsidRDefault="00E81DB9" w:rsidP="00376CF0">
            <w:pPr>
              <w:jc w:val="center"/>
              <w:rPr>
                <w:sz w:val="22"/>
                <w:szCs w:val="22"/>
              </w:rPr>
            </w:pPr>
            <w:r w:rsidRPr="007B010A">
              <w:rPr>
                <w:sz w:val="22"/>
                <w:szCs w:val="22"/>
              </w:rPr>
              <w:t>1 1</w:t>
            </w:r>
            <w:r w:rsidR="00DA3CED" w:rsidRPr="007B010A">
              <w:rPr>
                <w:sz w:val="22"/>
                <w:szCs w:val="22"/>
              </w:rPr>
              <w:t>25 295</w:t>
            </w:r>
          </w:p>
        </w:tc>
        <w:tc>
          <w:tcPr>
            <w:tcW w:w="1412" w:type="dxa"/>
            <w:tcBorders>
              <w:top w:val="single" w:sz="4" w:space="0" w:color="auto"/>
              <w:left w:val="nil"/>
              <w:bottom w:val="single" w:sz="4" w:space="0" w:color="auto"/>
              <w:right w:val="single" w:sz="4" w:space="0" w:color="auto"/>
            </w:tcBorders>
            <w:shd w:val="clear" w:color="auto" w:fill="auto"/>
          </w:tcPr>
          <w:p w14:paraId="32C9F920" w14:textId="77777777" w:rsidR="00D923AA" w:rsidRPr="007B010A" w:rsidRDefault="00D923AA" w:rsidP="00376CF0">
            <w:pPr>
              <w:jc w:val="center"/>
              <w:rPr>
                <w:sz w:val="22"/>
                <w:szCs w:val="22"/>
              </w:rPr>
            </w:pPr>
          </w:p>
          <w:p w14:paraId="09670F87" w14:textId="77777777" w:rsidR="00D923AA" w:rsidRPr="007B010A" w:rsidRDefault="00D923AA" w:rsidP="00376CF0">
            <w:pPr>
              <w:jc w:val="center"/>
              <w:rPr>
                <w:sz w:val="22"/>
                <w:szCs w:val="22"/>
              </w:rPr>
            </w:pPr>
          </w:p>
          <w:p w14:paraId="51CB6BC8" w14:textId="14112058" w:rsidR="00D923AA" w:rsidRPr="007B010A" w:rsidRDefault="00E81DB9" w:rsidP="00376CF0">
            <w:pPr>
              <w:jc w:val="center"/>
              <w:rPr>
                <w:sz w:val="22"/>
                <w:szCs w:val="22"/>
              </w:rPr>
            </w:pPr>
            <w:r w:rsidRPr="007B010A">
              <w:rPr>
                <w:sz w:val="22"/>
                <w:szCs w:val="22"/>
              </w:rPr>
              <w:t>9</w:t>
            </w:r>
            <w:r w:rsidR="00DA3CED" w:rsidRPr="007B010A">
              <w:rPr>
                <w:sz w:val="22"/>
                <w:szCs w:val="22"/>
              </w:rPr>
              <w:t>3</w:t>
            </w:r>
            <w:r w:rsidR="00D923AA" w:rsidRPr="007B010A">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2CB46" w14:textId="5165D8AD" w:rsidR="00D923AA" w:rsidRPr="007B010A" w:rsidRDefault="001D2505" w:rsidP="00376CF0">
            <w:pPr>
              <w:jc w:val="center"/>
              <w:rPr>
                <w:sz w:val="22"/>
                <w:szCs w:val="22"/>
              </w:rPr>
            </w:pPr>
            <w:r w:rsidRPr="007B010A">
              <w:rPr>
                <w:sz w:val="22"/>
                <w:szCs w:val="22"/>
              </w:rPr>
              <w:t>12 940</w:t>
            </w:r>
          </w:p>
        </w:tc>
      </w:tr>
      <w:tr w:rsidR="00D923AA" w:rsidRPr="007B010A" w14:paraId="365D8F3F"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BF6FA" w14:textId="77777777" w:rsidR="00D923AA" w:rsidRPr="007B010A" w:rsidRDefault="00D923AA" w:rsidP="00376CF0">
            <w:pPr>
              <w:rPr>
                <w:i/>
                <w:sz w:val="22"/>
                <w:szCs w:val="22"/>
              </w:rPr>
            </w:pPr>
            <w:r w:rsidRPr="007B010A">
              <w:rPr>
                <w:i/>
                <w:sz w:val="22"/>
                <w:szCs w:val="22"/>
              </w:rPr>
              <w:t>t.sk. bioloģiskās terapijas nodrošināšana</w:t>
            </w:r>
          </w:p>
        </w:tc>
        <w:tc>
          <w:tcPr>
            <w:tcW w:w="1352" w:type="dxa"/>
            <w:tcBorders>
              <w:top w:val="single" w:sz="4" w:space="0" w:color="auto"/>
              <w:left w:val="nil"/>
              <w:bottom w:val="single" w:sz="4" w:space="0" w:color="auto"/>
              <w:right w:val="single" w:sz="4" w:space="0" w:color="auto"/>
            </w:tcBorders>
            <w:shd w:val="clear" w:color="auto" w:fill="auto"/>
            <w:noWrap/>
            <w:vAlign w:val="bottom"/>
            <w:hideMark/>
          </w:tcPr>
          <w:p w14:paraId="32CEB0D5" w14:textId="77777777" w:rsidR="00D923AA" w:rsidRPr="007B010A" w:rsidRDefault="00D923AA" w:rsidP="00376CF0">
            <w:pPr>
              <w:jc w:val="center"/>
              <w:rPr>
                <w:sz w:val="22"/>
                <w:szCs w:val="22"/>
              </w:rPr>
            </w:pPr>
            <w:r w:rsidRPr="007B010A">
              <w:rPr>
                <w:sz w:val="22"/>
                <w:szCs w:val="22"/>
              </w:rPr>
              <w:t>900 000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E62B751" w14:textId="77777777" w:rsidR="00D923AA" w:rsidRPr="007B010A" w:rsidRDefault="00D923AA" w:rsidP="00376CF0">
            <w:pPr>
              <w:jc w:val="center"/>
              <w:rPr>
                <w:sz w:val="22"/>
                <w:szCs w:val="22"/>
              </w:rPr>
            </w:pPr>
            <w:r w:rsidRPr="007B010A">
              <w:rPr>
                <w:sz w:val="22"/>
                <w:szCs w:val="22"/>
              </w:rPr>
              <w:t>100</w:t>
            </w:r>
          </w:p>
        </w:tc>
        <w:tc>
          <w:tcPr>
            <w:tcW w:w="1449" w:type="dxa"/>
            <w:tcBorders>
              <w:top w:val="single" w:sz="4" w:space="0" w:color="auto"/>
              <w:left w:val="nil"/>
              <w:bottom w:val="single" w:sz="4" w:space="0" w:color="auto"/>
              <w:right w:val="single" w:sz="4" w:space="0" w:color="auto"/>
            </w:tcBorders>
            <w:shd w:val="clear" w:color="auto" w:fill="92D050"/>
            <w:noWrap/>
            <w:vAlign w:val="bottom"/>
            <w:hideMark/>
          </w:tcPr>
          <w:p w14:paraId="6C1F7364" w14:textId="4B364282" w:rsidR="00D923AA" w:rsidRPr="007B010A" w:rsidRDefault="001F6CC8" w:rsidP="00376CF0">
            <w:pPr>
              <w:jc w:val="center"/>
              <w:rPr>
                <w:sz w:val="22"/>
                <w:szCs w:val="22"/>
              </w:rPr>
            </w:pPr>
            <w:r w:rsidRPr="007B010A">
              <w:rPr>
                <w:sz w:val="22"/>
                <w:szCs w:val="22"/>
              </w:rPr>
              <w:t>682 369</w:t>
            </w:r>
          </w:p>
        </w:tc>
        <w:tc>
          <w:tcPr>
            <w:tcW w:w="1412" w:type="dxa"/>
            <w:tcBorders>
              <w:top w:val="single" w:sz="4" w:space="0" w:color="auto"/>
              <w:left w:val="nil"/>
              <w:bottom w:val="single" w:sz="4" w:space="0" w:color="auto"/>
              <w:right w:val="single" w:sz="4" w:space="0" w:color="auto"/>
            </w:tcBorders>
            <w:shd w:val="clear" w:color="auto" w:fill="auto"/>
          </w:tcPr>
          <w:p w14:paraId="0D9AC2C9" w14:textId="77777777" w:rsidR="00D923AA" w:rsidRPr="007B010A" w:rsidRDefault="00D923AA" w:rsidP="00376CF0">
            <w:pPr>
              <w:jc w:val="center"/>
              <w:rPr>
                <w:sz w:val="22"/>
                <w:szCs w:val="22"/>
              </w:rPr>
            </w:pPr>
          </w:p>
          <w:p w14:paraId="052F4B73" w14:textId="77777777" w:rsidR="00D923AA" w:rsidRPr="007B010A" w:rsidRDefault="00D923AA" w:rsidP="00376CF0">
            <w:pPr>
              <w:jc w:val="center"/>
              <w:rPr>
                <w:sz w:val="22"/>
                <w:szCs w:val="22"/>
              </w:rPr>
            </w:pPr>
          </w:p>
          <w:p w14:paraId="026E37A0" w14:textId="7BA25103" w:rsidR="00D923AA" w:rsidRPr="007B010A" w:rsidRDefault="001F6CC8" w:rsidP="00376CF0">
            <w:pPr>
              <w:jc w:val="center"/>
              <w:rPr>
                <w:sz w:val="22"/>
                <w:szCs w:val="22"/>
              </w:rPr>
            </w:pPr>
            <w:r w:rsidRPr="007B010A">
              <w:rPr>
                <w:sz w:val="22"/>
                <w:szCs w:val="22"/>
              </w:rPr>
              <w:t>76</w:t>
            </w:r>
            <w:r w:rsidR="00D923AA" w:rsidRPr="007B010A">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58951E" w14:textId="1D0ACD7D" w:rsidR="00D923AA" w:rsidRPr="007B010A" w:rsidRDefault="001F6CC8" w:rsidP="00376CF0">
            <w:pPr>
              <w:jc w:val="center"/>
              <w:rPr>
                <w:sz w:val="22"/>
                <w:szCs w:val="22"/>
              </w:rPr>
            </w:pPr>
            <w:r w:rsidRPr="007B010A">
              <w:rPr>
                <w:sz w:val="22"/>
                <w:szCs w:val="22"/>
              </w:rPr>
              <w:t>88</w:t>
            </w:r>
          </w:p>
        </w:tc>
      </w:tr>
      <w:tr w:rsidR="00D923AA" w:rsidRPr="007B010A" w14:paraId="39E79F12"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D2B38" w14:textId="77777777" w:rsidR="00D923AA" w:rsidRPr="007B010A" w:rsidRDefault="00D923AA" w:rsidP="00901D16">
            <w:pPr>
              <w:rPr>
                <w:i/>
                <w:sz w:val="22"/>
                <w:szCs w:val="22"/>
              </w:rPr>
            </w:pPr>
            <w:r w:rsidRPr="007B010A">
              <w:rPr>
                <w:i/>
                <w:sz w:val="22"/>
                <w:szCs w:val="22"/>
              </w:rPr>
              <w:tab/>
              <w:t xml:space="preserve">t.sk. Krona </w:t>
            </w:r>
            <w:r w:rsidRPr="007B010A">
              <w:rPr>
                <w:i/>
                <w:sz w:val="22"/>
                <w:szCs w:val="22"/>
              </w:rPr>
              <w:tab/>
              <w:t xml:space="preserve">slimība, </w:t>
            </w:r>
            <w:r w:rsidRPr="007B010A">
              <w:rPr>
                <w:i/>
                <w:sz w:val="22"/>
                <w:szCs w:val="22"/>
              </w:rPr>
              <w:tab/>
              <w:t xml:space="preserve">čūlainais </w:t>
            </w:r>
            <w:r w:rsidRPr="007B010A">
              <w:rPr>
                <w:i/>
                <w:sz w:val="22"/>
                <w:szCs w:val="22"/>
              </w:rPr>
              <w:tab/>
              <w:t>kolīts,</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317FDA30" w14:textId="77777777" w:rsidR="00D923AA" w:rsidRPr="007B010A" w:rsidRDefault="00D923AA" w:rsidP="00376CF0">
            <w:pPr>
              <w:jc w:val="center"/>
              <w:rPr>
                <w:sz w:val="22"/>
                <w:szCs w:val="22"/>
              </w:rPr>
            </w:pPr>
            <w:r w:rsidRPr="007B010A">
              <w:rPr>
                <w:sz w:val="22"/>
                <w:szCs w:val="22"/>
              </w:rPr>
              <w:t>450 000</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10E22AEC" w14:textId="77777777" w:rsidR="00D923AA" w:rsidRPr="007B010A" w:rsidRDefault="00D923AA" w:rsidP="00376CF0">
            <w:pPr>
              <w:jc w:val="center"/>
              <w:rPr>
                <w:sz w:val="22"/>
                <w:szCs w:val="22"/>
              </w:rPr>
            </w:pPr>
            <w:r w:rsidRPr="007B010A">
              <w:rPr>
                <w:sz w:val="22"/>
                <w:szCs w:val="22"/>
              </w:rPr>
              <w:t>50</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4F955E26" w14:textId="4279EF61" w:rsidR="00D923AA" w:rsidRPr="007B010A" w:rsidRDefault="001D2505" w:rsidP="00376CF0">
            <w:pPr>
              <w:jc w:val="center"/>
              <w:rPr>
                <w:sz w:val="22"/>
                <w:szCs w:val="22"/>
              </w:rPr>
            </w:pPr>
            <w:r w:rsidRPr="007B010A">
              <w:rPr>
                <w:sz w:val="22"/>
                <w:szCs w:val="22"/>
              </w:rPr>
              <w:t>394 274</w:t>
            </w:r>
          </w:p>
        </w:tc>
        <w:tc>
          <w:tcPr>
            <w:tcW w:w="1412" w:type="dxa"/>
            <w:tcBorders>
              <w:top w:val="single" w:sz="4" w:space="0" w:color="auto"/>
              <w:left w:val="nil"/>
              <w:bottom w:val="single" w:sz="4" w:space="0" w:color="auto"/>
              <w:right w:val="single" w:sz="4" w:space="0" w:color="auto"/>
            </w:tcBorders>
            <w:shd w:val="clear" w:color="auto" w:fill="auto"/>
          </w:tcPr>
          <w:p w14:paraId="3049BD69" w14:textId="77777777" w:rsidR="00D923AA" w:rsidRPr="007B010A" w:rsidRDefault="00D923AA" w:rsidP="00376CF0">
            <w:pPr>
              <w:jc w:val="center"/>
              <w:rPr>
                <w:sz w:val="22"/>
                <w:szCs w:val="22"/>
              </w:rPr>
            </w:pPr>
          </w:p>
          <w:p w14:paraId="17F42450" w14:textId="77777777" w:rsidR="00D923AA" w:rsidRPr="007B010A" w:rsidRDefault="00D923AA" w:rsidP="00376CF0">
            <w:pPr>
              <w:jc w:val="center"/>
              <w:rPr>
                <w:sz w:val="22"/>
                <w:szCs w:val="22"/>
              </w:rPr>
            </w:pPr>
          </w:p>
          <w:p w14:paraId="0C21C943" w14:textId="77777777" w:rsidR="00D923AA" w:rsidRPr="007B010A" w:rsidRDefault="00D923AA" w:rsidP="00376CF0">
            <w:pPr>
              <w:jc w:val="center"/>
              <w:rPr>
                <w:sz w:val="22"/>
                <w:szCs w:val="22"/>
              </w:rPr>
            </w:pPr>
          </w:p>
          <w:p w14:paraId="0732CBA9" w14:textId="5AE13434" w:rsidR="00D923AA" w:rsidRPr="007B010A" w:rsidRDefault="001D2505" w:rsidP="00376CF0">
            <w:pPr>
              <w:jc w:val="center"/>
              <w:rPr>
                <w:sz w:val="22"/>
                <w:szCs w:val="22"/>
              </w:rPr>
            </w:pPr>
            <w:r w:rsidRPr="007B010A">
              <w:rPr>
                <w:sz w:val="22"/>
                <w:szCs w:val="22"/>
              </w:rPr>
              <w:t>88</w:t>
            </w:r>
            <w:r w:rsidR="00D923AA" w:rsidRPr="007B010A">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BCE56" w14:textId="0C9C922D" w:rsidR="00D923AA" w:rsidRPr="007B010A" w:rsidRDefault="001D2505" w:rsidP="00376CF0">
            <w:pPr>
              <w:jc w:val="center"/>
              <w:rPr>
                <w:sz w:val="22"/>
                <w:szCs w:val="22"/>
              </w:rPr>
            </w:pPr>
            <w:r w:rsidRPr="007B010A">
              <w:rPr>
                <w:sz w:val="22"/>
                <w:szCs w:val="22"/>
              </w:rPr>
              <w:t>46</w:t>
            </w:r>
          </w:p>
        </w:tc>
      </w:tr>
      <w:tr w:rsidR="00D923AA" w:rsidRPr="007B010A" w14:paraId="619ECCD3"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E499D" w14:textId="77777777" w:rsidR="00D923AA" w:rsidRPr="007B010A" w:rsidRDefault="00D923AA" w:rsidP="00901D16">
            <w:pPr>
              <w:rPr>
                <w:i/>
                <w:sz w:val="22"/>
                <w:szCs w:val="22"/>
              </w:rPr>
            </w:pPr>
            <w:r w:rsidRPr="007B010A">
              <w:rPr>
                <w:i/>
                <w:sz w:val="22"/>
                <w:szCs w:val="22"/>
              </w:rPr>
              <w:tab/>
            </w:r>
            <w:proofErr w:type="spellStart"/>
            <w:r w:rsidRPr="007B010A">
              <w:rPr>
                <w:i/>
                <w:sz w:val="22"/>
                <w:szCs w:val="22"/>
              </w:rPr>
              <w:t>psoriāze</w:t>
            </w:r>
            <w:proofErr w:type="spellEnd"/>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55EAB7DE" w14:textId="77777777" w:rsidR="00D923AA" w:rsidRPr="007B010A" w:rsidRDefault="00D923AA" w:rsidP="00376CF0">
            <w:pPr>
              <w:jc w:val="center"/>
              <w:rPr>
                <w:sz w:val="22"/>
                <w:szCs w:val="22"/>
              </w:rPr>
            </w:pPr>
            <w:r w:rsidRPr="007B010A">
              <w:rPr>
                <w:sz w:val="22"/>
                <w:szCs w:val="22"/>
              </w:rPr>
              <w:t>450 000</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289CA374" w14:textId="77777777" w:rsidR="00D923AA" w:rsidRPr="007B010A" w:rsidRDefault="00D923AA" w:rsidP="00376CF0">
            <w:pPr>
              <w:jc w:val="center"/>
              <w:rPr>
                <w:sz w:val="22"/>
                <w:szCs w:val="22"/>
              </w:rPr>
            </w:pPr>
            <w:r w:rsidRPr="007B010A">
              <w:rPr>
                <w:sz w:val="22"/>
                <w:szCs w:val="22"/>
              </w:rPr>
              <w:t>50</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1C3770E2" w14:textId="6DA06F4F" w:rsidR="00D923AA" w:rsidRPr="007B010A" w:rsidRDefault="001D2505" w:rsidP="00376CF0">
            <w:pPr>
              <w:jc w:val="center"/>
              <w:rPr>
                <w:sz w:val="22"/>
                <w:szCs w:val="22"/>
              </w:rPr>
            </w:pPr>
            <w:r w:rsidRPr="007B010A">
              <w:rPr>
                <w:sz w:val="22"/>
                <w:szCs w:val="22"/>
              </w:rPr>
              <w:t>288 095</w:t>
            </w:r>
          </w:p>
        </w:tc>
        <w:tc>
          <w:tcPr>
            <w:tcW w:w="1412" w:type="dxa"/>
            <w:tcBorders>
              <w:top w:val="single" w:sz="4" w:space="0" w:color="auto"/>
              <w:left w:val="nil"/>
              <w:bottom w:val="single" w:sz="4" w:space="0" w:color="auto"/>
              <w:right w:val="single" w:sz="4" w:space="0" w:color="auto"/>
            </w:tcBorders>
            <w:shd w:val="clear" w:color="auto" w:fill="auto"/>
          </w:tcPr>
          <w:p w14:paraId="15F25C7B" w14:textId="3EDB14EC" w:rsidR="00D923AA" w:rsidRPr="007B010A" w:rsidRDefault="001D2505" w:rsidP="00376CF0">
            <w:pPr>
              <w:jc w:val="center"/>
              <w:rPr>
                <w:sz w:val="22"/>
                <w:szCs w:val="22"/>
              </w:rPr>
            </w:pPr>
            <w:r w:rsidRPr="007B010A">
              <w:rPr>
                <w:sz w:val="22"/>
                <w:szCs w:val="22"/>
              </w:rPr>
              <w:t>64</w:t>
            </w:r>
            <w:r w:rsidR="00D923AA" w:rsidRPr="007B010A">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28E03" w14:textId="75BE78DF" w:rsidR="00D923AA" w:rsidRPr="007B010A" w:rsidRDefault="001D2505" w:rsidP="00376CF0">
            <w:pPr>
              <w:jc w:val="center"/>
              <w:rPr>
                <w:sz w:val="22"/>
                <w:szCs w:val="22"/>
              </w:rPr>
            </w:pPr>
            <w:r w:rsidRPr="007B010A">
              <w:rPr>
                <w:sz w:val="22"/>
                <w:szCs w:val="22"/>
              </w:rPr>
              <w:t>42</w:t>
            </w:r>
          </w:p>
        </w:tc>
      </w:tr>
      <w:tr w:rsidR="00D923AA" w:rsidRPr="007B010A" w14:paraId="6B5AB7A4"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49C49" w14:textId="77777777" w:rsidR="00D923AA" w:rsidRPr="007B010A" w:rsidRDefault="00D923AA" w:rsidP="00376CF0">
            <w:pPr>
              <w:rPr>
                <w:i/>
                <w:sz w:val="22"/>
                <w:szCs w:val="22"/>
              </w:rPr>
            </w:pPr>
            <w:r w:rsidRPr="007B010A">
              <w:rPr>
                <w:i/>
                <w:sz w:val="22"/>
                <w:szCs w:val="22"/>
              </w:rPr>
              <w:t>t.sk. kompensācijas apmēra palielināšana no 75% uz 100%</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2B8C69FF" w14:textId="77777777" w:rsidR="00D923AA" w:rsidRPr="007B010A" w:rsidRDefault="00D923AA" w:rsidP="00376CF0">
            <w:pPr>
              <w:jc w:val="center"/>
              <w:rPr>
                <w:sz w:val="22"/>
                <w:szCs w:val="22"/>
              </w:rPr>
            </w:pPr>
            <w:r w:rsidRPr="007B010A">
              <w:rPr>
                <w:sz w:val="22"/>
                <w:szCs w:val="22"/>
              </w:rPr>
              <w:t>308 748</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44CB2E6F" w14:textId="77777777" w:rsidR="00D923AA" w:rsidRPr="007B010A" w:rsidRDefault="00D923AA" w:rsidP="00376CF0">
            <w:pPr>
              <w:jc w:val="center"/>
              <w:rPr>
                <w:sz w:val="22"/>
                <w:szCs w:val="22"/>
              </w:rPr>
            </w:pPr>
            <w:r w:rsidRPr="007B010A">
              <w:rPr>
                <w:sz w:val="22"/>
                <w:szCs w:val="22"/>
              </w:rPr>
              <w:t>11 697</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41C12726" w14:textId="13F59F4F" w:rsidR="00D923AA" w:rsidRPr="007B010A" w:rsidRDefault="007F1E8D" w:rsidP="00376CF0">
            <w:pPr>
              <w:jc w:val="center"/>
              <w:rPr>
                <w:sz w:val="22"/>
                <w:szCs w:val="22"/>
              </w:rPr>
            </w:pPr>
            <w:r w:rsidRPr="007B010A">
              <w:rPr>
                <w:sz w:val="22"/>
                <w:szCs w:val="22"/>
              </w:rPr>
              <w:t>4</w:t>
            </w:r>
            <w:r w:rsidR="00DA3CED" w:rsidRPr="007B010A">
              <w:rPr>
                <w:sz w:val="22"/>
                <w:szCs w:val="22"/>
              </w:rPr>
              <w:t>42926</w:t>
            </w:r>
          </w:p>
        </w:tc>
        <w:tc>
          <w:tcPr>
            <w:tcW w:w="1412" w:type="dxa"/>
            <w:tcBorders>
              <w:top w:val="single" w:sz="4" w:space="0" w:color="auto"/>
              <w:left w:val="nil"/>
              <w:bottom w:val="single" w:sz="4" w:space="0" w:color="auto"/>
              <w:right w:val="single" w:sz="4" w:space="0" w:color="auto"/>
            </w:tcBorders>
            <w:shd w:val="clear" w:color="auto" w:fill="auto"/>
          </w:tcPr>
          <w:p w14:paraId="2A07B9F1" w14:textId="77777777" w:rsidR="00D923AA" w:rsidRPr="007B010A" w:rsidRDefault="00D923AA" w:rsidP="00376CF0">
            <w:pPr>
              <w:jc w:val="center"/>
              <w:rPr>
                <w:sz w:val="22"/>
                <w:szCs w:val="22"/>
              </w:rPr>
            </w:pPr>
          </w:p>
          <w:p w14:paraId="057523ED" w14:textId="77777777" w:rsidR="00D923AA" w:rsidRPr="007B010A" w:rsidRDefault="00D923AA" w:rsidP="00376CF0">
            <w:pPr>
              <w:jc w:val="center"/>
              <w:rPr>
                <w:sz w:val="22"/>
                <w:szCs w:val="22"/>
              </w:rPr>
            </w:pPr>
          </w:p>
          <w:p w14:paraId="79EFF89C" w14:textId="77777777" w:rsidR="00D923AA" w:rsidRPr="007B010A" w:rsidRDefault="00D923AA" w:rsidP="00376CF0">
            <w:pPr>
              <w:jc w:val="center"/>
              <w:rPr>
                <w:sz w:val="22"/>
                <w:szCs w:val="22"/>
              </w:rPr>
            </w:pPr>
          </w:p>
          <w:p w14:paraId="06217DC0" w14:textId="3D236D16" w:rsidR="00D923AA" w:rsidRPr="007B010A" w:rsidRDefault="007F1E8D" w:rsidP="00376CF0">
            <w:pPr>
              <w:jc w:val="center"/>
              <w:rPr>
                <w:sz w:val="22"/>
                <w:szCs w:val="22"/>
              </w:rPr>
            </w:pPr>
            <w:r w:rsidRPr="007B010A">
              <w:rPr>
                <w:sz w:val="22"/>
                <w:szCs w:val="22"/>
              </w:rPr>
              <w:t>1</w:t>
            </w:r>
            <w:r w:rsidR="00DA3CED" w:rsidRPr="007B010A">
              <w:rPr>
                <w:sz w:val="22"/>
                <w:szCs w:val="22"/>
              </w:rPr>
              <w:t>43</w:t>
            </w:r>
            <w:r w:rsidR="00D923AA" w:rsidRPr="007B010A">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1D2A4" w14:textId="3AE3F5EA" w:rsidR="00D923AA" w:rsidRPr="007B010A" w:rsidRDefault="007F1E8D" w:rsidP="00376CF0">
            <w:pPr>
              <w:jc w:val="center"/>
              <w:rPr>
                <w:sz w:val="22"/>
                <w:szCs w:val="22"/>
              </w:rPr>
            </w:pPr>
            <w:r w:rsidRPr="007B010A">
              <w:rPr>
                <w:sz w:val="22"/>
                <w:szCs w:val="22"/>
              </w:rPr>
              <w:t>12 940</w:t>
            </w:r>
          </w:p>
        </w:tc>
      </w:tr>
      <w:tr w:rsidR="00D923AA" w:rsidRPr="007B010A" w14:paraId="00B3B648"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3F528" w14:textId="77777777" w:rsidR="00D923AA" w:rsidRPr="007B010A" w:rsidRDefault="00D923AA" w:rsidP="00376CF0">
            <w:pPr>
              <w:rPr>
                <w:sz w:val="22"/>
                <w:szCs w:val="22"/>
              </w:rPr>
            </w:pPr>
            <w:r w:rsidRPr="007B010A">
              <w:rPr>
                <w:sz w:val="22"/>
                <w:szCs w:val="22"/>
              </w:rPr>
              <w:lastRenderedPageBreak/>
              <w:tab/>
            </w:r>
            <w:r w:rsidRPr="007B010A">
              <w:rPr>
                <w:i/>
                <w:sz w:val="22"/>
                <w:szCs w:val="22"/>
              </w:rPr>
              <w:t xml:space="preserve">t.sk. Krona </w:t>
            </w:r>
            <w:r w:rsidRPr="007B010A">
              <w:rPr>
                <w:i/>
                <w:sz w:val="22"/>
                <w:szCs w:val="22"/>
              </w:rPr>
              <w:tab/>
              <w:t xml:space="preserve">slimība, </w:t>
            </w:r>
            <w:r w:rsidRPr="007B010A">
              <w:rPr>
                <w:i/>
                <w:sz w:val="22"/>
                <w:szCs w:val="22"/>
              </w:rPr>
              <w:tab/>
              <w:t xml:space="preserve">čūlainais </w:t>
            </w:r>
            <w:r w:rsidRPr="007B010A">
              <w:rPr>
                <w:i/>
                <w:sz w:val="22"/>
                <w:szCs w:val="22"/>
              </w:rPr>
              <w:tab/>
              <w:t>kolīts,</w:t>
            </w:r>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5420CCA2" w14:textId="77777777" w:rsidR="00D923AA" w:rsidRPr="007B010A" w:rsidRDefault="00D923AA" w:rsidP="00376CF0">
            <w:pPr>
              <w:jc w:val="center"/>
              <w:rPr>
                <w:sz w:val="22"/>
                <w:szCs w:val="22"/>
              </w:rPr>
            </w:pPr>
            <w:r w:rsidRPr="007B010A">
              <w:rPr>
                <w:sz w:val="22"/>
                <w:szCs w:val="22"/>
              </w:rPr>
              <w:t>146 644</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957392C" w14:textId="2C4F4065" w:rsidR="00D923AA" w:rsidRPr="007B010A" w:rsidRDefault="00D923AA" w:rsidP="00376CF0">
            <w:pPr>
              <w:jc w:val="center"/>
              <w:rPr>
                <w:sz w:val="22"/>
                <w:szCs w:val="22"/>
              </w:rPr>
            </w:pPr>
            <w:r w:rsidRPr="007B010A">
              <w:rPr>
                <w:sz w:val="22"/>
                <w:szCs w:val="22"/>
              </w:rPr>
              <w:t>1</w:t>
            </w:r>
            <w:r w:rsidR="00536213" w:rsidRPr="007B010A">
              <w:rPr>
                <w:sz w:val="22"/>
                <w:szCs w:val="22"/>
              </w:rPr>
              <w:t xml:space="preserve"> </w:t>
            </w:r>
            <w:r w:rsidRPr="007B010A">
              <w:rPr>
                <w:sz w:val="22"/>
                <w:szCs w:val="22"/>
              </w:rPr>
              <w:t>961</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72390A0C" w14:textId="0597E776" w:rsidR="00D923AA" w:rsidRPr="007B010A" w:rsidRDefault="007F1E8D" w:rsidP="00376CF0">
            <w:pPr>
              <w:jc w:val="center"/>
              <w:rPr>
                <w:sz w:val="22"/>
                <w:szCs w:val="22"/>
              </w:rPr>
            </w:pPr>
            <w:r w:rsidRPr="007B010A">
              <w:rPr>
                <w:sz w:val="22"/>
                <w:szCs w:val="22"/>
              </w:rPr>
              <w:t>25</w:t>
            </w:r>
            <w:r w:rsidR="00DA3CED" w:rsidRPr="007B010A">
              <w:rPr>
                <w:sz w:val="22"/>
                <w:szCs w:val="22"/>
              </w:rPr>
              <w:t>8 568</w:t>
            </w:r>
            <w:r w:rsidRPr="007B010A">
              <w:rPr>
                <w:sz w:val="22"/>
                <w:szCs w:val="22"/>
              </w:rPr>
              <w:t xml:space="preserve"> </w:t>
            </w:r>
          </w:p>
        </w:tc>
        <w:tc>
          <w:tcPr>
            <w:tcW w:w="1412" w:type="dxa"/>
            <w:tcBorders>
              <w:top w:val="single" w:sz="4" w:space="0" w:color="auto"/>
              <w:left w:val="nil"/>
              <w:bottom w:val="single" w:sz="4" w:space="0" w:color="auto"/>
              <w:right w:val="single" w:sz="4" w:space="0" w:color="auto"/>
            </w:tcBorders>
            <w:shd w:val="clear" w:color="auto" w:fill="auto"/>
          </w:tcPr>
          <w:p w14:paraId="11436FFD" w14:textId="77777777" w:rsidR="00D923AA" w:rsidRPr="007B010A" w:rsidRDefault="00D923AA" w:rsidP="00376CF0">
            <w:pPr>
              <w:jc w:val="center"/>
              <w:rPr>
                <w:sz w:val="22"/>
                <w:szCs w:val="22"/>
              </w:rPr>
            </w:pPr>
          </w:p>
          <w:p w14:paraId="632BF9AD" w14:textId="77777777" w:rsidR="00D923AA" w:rsidRPr="007B010A" w:rsidRDefault="00D923AA" w:rsidP="00376CF0">
            <w:pPr>
              <w:jc w:val="center"/>
              <w:rPr>
                <w:sz w:val="22"/>
                <w:szCs w:val="22"/>
              </w:rPr>
            </w:pPr>
          </w:p>
          <w:p w14:paraId="2916479A" w14:textId="77777777" w:rsidR="00D923AA" w:rsidRPr="007B010A" w:rsidRDefault="00D923AA" w:rsidP="00376CF0">
            <w:pPr>
              <w:jc w:val="center"/>
              <w:rPr>
                <w:sz w:val="22"/>
                <w:szCs w:val="22"/>
              </w:rPr>
            </w:pPr>
          </w:p>
          <w:p w14:paraId="56C5AC0C" w14:textId="58F24C7D" w:rsidR="00D923AA" w:rsidRPr="007B010A" w:rsidRDefault="007F1E8D" w:rsidP="00376CF0">
            <w:pPr>
              <w:jc w:val="center"/>
              <w:rPr>
                <w:sz w:val="22"/>
                <w:szCs w:val="22"/>
              </w:rPr>
            </w:pPr>
            <w:r w:rsidRPr="007B010A">
              <w:rPr>
                <w:sz w:val="22"/>
                <w:szCs w:val="22"/>
              </w:rPr>
              <w:t>17</w:t>
            </w:r>
            <w:r w:rsidR="00DA3CED" w:rsidRPr="007B010A">
              <w:rPr>
                <w:sz w:val="22"/>
                <w:szCs w:val="22"/>
              </w:rPr>
              <w:t>6</w:t>
            </w:r>
            <w:r w:rsidR="00D923AA" w:rsidRPr="007B010A">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61EAC" w14:textId="6217068F" w:rsidR="00D923AA" w:rsidRPr="007B010A" w:rsidRDefault="007F1E8D" w:rsidP="00376CF0">
            <w:pPr>
              <w:jc w:val="center"/>
              <w:rPr>
                <w:sz w:val="22"/>
                <w:szCs w:val="22"/>
              </w:rPr>
            </w:pPr>
            <w:r w:rsidRPr="007B010A">
              <w:rPr>
                <w:sz w:val="22"/>
                <w:szCs w:val="22"/>
              </w:rPr>
              <w:t>2 331</w:t>
            </w:r>
          </w:p>
        </w:tc>
      </w:tr>
      <w:tr w:rsidR="00D923AA" w:rsidRPr="007B010A" w14:paraId="2446799A" w14:textId="77777777" w:rsidTr="00085819">
        <w:trPr>
          <w:trHeight w:val="300"/>
          <w:jc w:val="center"/>
        </w:trPr>
        <w:tc>
          <w:tcPr>
            <w:tcW w:w="20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49D22" w14:textId="77777777" w:rsidR="00D923AA" w:rsidRPr="007B010A" w:rsidRDefault="00D923AA" w:rsidP="00376CF0">
            <w:pPr>
              <w:rPr>
                <w:sz w:val="22"/>
                <w:szCs w:val="22"/>
              </w:rPr>
            </w:pPr>
            <w:r w:rsidRPr="007B010A">
              <w:rPr>
                <w:i/>
                <w:sz w:val="22"/>
                <w:szCs w:val="22"/>
              </w:rPr>
              <w:tab/>
            </w:r>
            <w:proofErr w:type="spellStart"/>
            <w:r w:rsidRPr="007B010A">
              <w:rPr>
                <w:i/>
                <w:sz w:val="22"/>
                <w:szCs w:val="22"/>
              </w:rPr>
              <w:t>psoriāze</w:t>
            </w:r>
            <w:proofErr w:type="spellEnd"/>
          </w:p>
        </w:tc>
        <w:tc>
          <w:tcPr>
            <w:tcW w:w="1352" w:type="dxa"/>
            <w:tcBorders>
              <w:top w:val="single" w:sz="4" w:space="0" w:color="auto"/>
              <w:left w:val="nil"/>
              <w:bottom w:val="single" w:sz="4" w:space="0" w:color="auto"/>
              <w:right w:val="single" w:sz="4" w:space="0" w:color="auto"/>
            </w:tcBorders>
            <w:shd w:val="clear" w:color="auto" w:fill="auto"/>
            <w:noWrap/>
            <w:vAlign w:val="bottom"/>
          </w:tcPr>
          <w:p w14:paraId="73ECE4EF" w14:textId="77777777" w:rsidR="00D923AA" w:rsidRPr="007B010A" w:rsidRDefault="00D923AA" w:rsidP="00376CF0">
            <w:pPr>
              <w:jc w:val="center"/>
              <w:rPr>
                <w:sz w:val="22"/>
                <w:szCs w:val="22"/>
              </w:rPr>
            </w:pPr>
            <w:r w:rsidRPr="007B010A">
              <w:rPr>
                <w:sz w:val="22"/>
                <w:szCs w:val="22"/>
              </w:rPr>
              <w:t>162 104</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217AA62" w14:textId="77777777" w:rsidR="00D923AA" w:rsidRPr="007B010A" w:rsidRDefault="00D923AA" w:rsidP="00376CF0">
            <w:pPr>
              <w:jc w:val="center"/>
              <w:rPr>
                <w:sz w:val="22"/>
                <w:szCs w:val="22"/>
              </w:rPr>
            </w:pPr>
            <w:r w:rsidRPr="007B010A">
              <w:rPr>
                <w:sz w:val="22"/>
                <w:szCs w:val="22"/>
              </w:rPr>
              <w:t>9736</w:t>
            </w:r>
          </w:p>
        </w:tc>
        <w:tc>
          <w:tcPr>
            <w:tcW w:w="1449" w:type="dxa"/>
            <w:tcBorders>
              <w:top w:val="single" w:sz="4" w:space="0" w:color="auto"/>
              <w:left w:val="nil"/>
              <w:bottom w:val="single" w:sz="4" w:space="0" w:color="auto"/>
              <w:right w:val="single" w:sz="4" w:space="0" w:color="auto"/>
            </w:tcBorders>
            <w:shd w:val="clear" w:color="auto" w:fill="92D050"/>
            <w:noWrap/>
            <w:vAlign w:val="bottom"/>
          </w:tcPr>
          <w:p w14:paraId="40F05615" w14:textId="5F44C29E" w:rsidR="00D923AA" w:rsidRPr="007B010A" w:rsidRDefault="00DA3CED" w:rsidP="00376CF0">
            <w:pPr>
              <w:jc w:val="center"/>
              <w:rPr>
                <w:sz w:val="22"/>
                <w:szCs w:val="22"/>
              </w:rPr>
            </w:pPr>
            <w:r w:rsidRPr="007B010A">
              <w:rPr>
                <w:sz w:val="22"/>
                <w:szCs w:val="22"/>
              </w:rPr>
              <w:t>184 358</w:t>
            </w:r>
          </w:p>
        </w:tc>
        <w:tc>
          <w:tcPr>
            <w:tcW w:w="1412" w:type="dxa"/>
            <w:tcBorders>
              <w:top w:val="single" w:sz="4" w:space="0" w:color="auto"/>
              <w:left w:val="nil"/>
              <w:bottom w:val="single" w:sz="4" w:space="0" w:color="auto"/>
              <w:right w:val="single" w:sz="4" w:space="0" w:color="auto"/>
            </w:tcBorders>
            <w:shd w:val="clear" w:color="auto" w:fill="auto"/>
          </w:tcPr>
          <w:p w14:paraId="5F232D5B" w14:textId="35F98086" w:rsidR="00D923AA" w:rsidRPr="007B010A" w:rsidRDefault="007F1E8D" w:rsidP="00376CF0">
            <w:pPr>
              <w:jc w:val="center"/>
              <w:rPr>
                <w:sz w:val="22"/>
                <w:szCs w:val="22"/>
              </w:rPr>
            </w:pPr>
            <w:r w:rsidRPr="007B010A">
              <w:rPr>
                <w:sz w:val="22"/>
                <w:szCs w:val="22"/>
              </w:rPr>
              <w:t>1</w:t>
            </w:r>
            <w:r w:rsidR="00DA3CED" w:rsidRPr="007B010A">
              <w:rPr>
                <w:sz w:val="22"/>
                <w:szCs w:val="22"/>
              </w:rPr>
              <w:t>14</w:t>
            </w:r>
            <w:r w:rsidR="00D923AA" w:rsidRPr="007B010A">
              <w:rPr>
                <w:sz w:val="22"/>
                <w:szCs w:val="22"/>
              </w:rPr>
              <w:t>%</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FF212" w14:textId="1A141200" w:rsidR="00D923AA" w:rsidRPr="007B010A" w:rsidRDefault="007F1E8D" w:rsidP="00376CF0">
            <w:pPr>
              <w:jc w:val="center"/>
              <w:rPr>
                <w:sz w:val="22"/>
                <w:szCs w:val="22"/>
              </w:rPr>
            </w:pPr>
            <w:r w:rsidRPr="007B010A">
              <w:rPr>
                <w:sz w:val="22"/>
                <w:szCs w:val="22"/>
              </w:rPr>
              <w:t>10 609</w:t>
            </w:r>
          </w:p>
        </w:tc>
      </w:tr>
    </w:tbl>
    <w:p w14:paraId="3EB3D359" w14:textId="77777777" w:rsidR="00D923AA" w:rsidRPr="007B010A" w:rsidRDefault="00D923AA" w:rsidP="00D923AA">
      <w:pPr>
        <w:autoSpaceDE w:val="0"/>
        <w:autoSpaceDN w:val="0"/>
        <w:adjustRightInd w:val="0"/>
        <w:spacing w:line="293" w:lineRule="atLeast"/>
        <w:rPr>
          <w:u w:val="single"/>
          <w:lang w:bidi="lo-LA"/>
        </w:rPr>
      </w:pPr>
    </w:p>
    <w:p w14:paraId="13BFE556" w14:textId="35FAE15D" w:rsidR="00D923AA" w:rsidRPr="007B010A" w:rsidRDefault="00D923AA" w:rsidP="00D923AA">
      <w:pPr>
        <w:autoSpaceDE w:val="0"/>
        <w:autoSpaceDN w:val="0"/>
        <w:adjustRightInd w:val="0"/>
        <w:spacing w:line="293" w:lineRule="atLeast"/>
        <w:ind w:firstLine="720"/>
        <w:jc w:val="both"/>
      </w:pPr>
      <w:r w:rsidRPr="007B010A">
        <w:t xml:space="preserve">Saskaņā ar 2018.gada faktisko izpildi finansējuma izlietojums kompensējamo zāļu pieejamības uzlabošanai sasniedz </w:t>
      </w:r>
      <w:r w:rsidR="00D728A6" w:rsidRPr="007B010A">
        <w:t>9</w:t>
      </w:r>
      <w:r w:rsidR="00DA3CED" w:rsidRPr="007B010A">
        <w:t>3</w:t>
      </w:r>
      <w:r w:rsidRPr="007B010A">
        <w:t xml:space="preserve">% no gadā plānotā. Ar kompensācijas apmēra palielināšanu saistītie uzlabojumi izpildīti par </w:t>
      </w:r>
      <w:r w:rsidR="00D728A6" w:rsidRPr="007B010A">
        <w:t>1</w:t>
      </w:r>
      <w:r w:rsidR="00DA3CED" w:rsidRPr="007B010A">
        <w:t>43</w:t>
      </w:r>
      <w:r w:rsidRPr="007B010A">
        <w:t xml:space="preserve">%, kamēr bioloģiskās terapijas nodrošināšanā sasniegti </w:t>
      </w:r>
      <w:r w:rsidR="00D728A6" w:rsidRPr="007B010A">
        <w:t>76</w:t>
      </w:r>
      <w:r w:rsidRPr="007B010A">
        <w:t xml:space="preserve">%. Tas izskaidrojams ar to, ka palielinātais kompensācijas apmērs tiek piemērots jau no janvāra, kad stājās spēkā izmaiņas normatīvajos aktos. Savukārt bioloģiskā terapija bija pieejama tikai no marta, kad atbilstoši piešķirtajam finansējumam bija veiktas izmaiņas kompensējamo zāļu sarakstā. </w:t>
      </w:r>
    </w:p>
    <w:p w14:paraId="43CDCC37" w14:textId="0750BCB4" w:rsidR="00D923AA" w:rsidRPr="007B010A" w:rsidRDefault="00D923AA" w:rsidP="00D923AA">
      <w:pPr>
        <w:autoSpaceDE w:val="0"/>
        <w:autoSpaceDN w:val="0"/>
        <w:adjustRightInd w:val="0"/>
        <w:spacing w:line="293" w:lineRule="atLeast"/>
        <w:ind w:firstLine="720"/>
        <w:jc w:val="both"/>
      </w:pPr>
      <w:r w:rsidRPr="007B010A">
        <w:t xml:space="preserve">Bioloģisko terapiju </w:t>
      </w:r>
      <w:r w:rsidR="00751FF3" w:rsidRPr="007B010A">
        <w:t>2018.gadā</w:t>
      </w:r>
      <w:r w:rsidRPr="007B010A">
        <w:t xml:space="preserve"> saņ</w:t>
      </w:r>
      <w:r w:rsidR="00751FF3" w:rsidRPr="007B010A">
        <w:t>ē</w:t>
      </w:r>
      <w:r w:rsidRPr="007B010A">
        <w:t>m</w:t>
      </w:r>
      <w:r w:rsidR="00751FF3" w:rsidRPr="007B010A">
        <w:t>a</w:t>
      </w:r>
      <w:r w:rsidRPr="007B010A">
        <w:t xml:space="preserve"> </w:t>
      </w:r>
      <w:r w:rsidR="00D728A6" w:rsidRPr="007B010A">
        <w:t xml:space="preserve">88 </w:t>
      </w:r>
      <w:r w:rsidRPr="007B010A">
        <w:t>pacienti no plānot</w:t>
      </w:r>
      <w:r w:rsidR="00D728A6" w:rsidRPr="007B010A">
        <w:t>ajiem</w:t>
      </w:r>
      <w:r w:rsidRPr="007B010A">
        <w:t xml:space="preserve"> 100 pacienti</w:t>
      </w:r>
      <w:r w:rsidR="00D728A6" w:rsidRPr="007B010A">
        <w:t>em</w:t>
      </w:r>
      <w:r w:rsidRPr="007B010A">
        <w:t xml:space="preserve">. Krona slimība, čūlainais kolīts un </w:t>
      </w:r>
      <w:proofErr w:type="spellStart"/>
      <w:r w:rsidRPr="007B010A">
        <w:t>psoriāze</w:t>
      </w:r>
      <w:proofErr w:type="spellEnd"/>
      <w:r w:rsidRPr="007B010A">
        <w:t xml:space="preserve"> ir hroniskas slimības, un pacienti, kas uzsākuši bioloģiskās terapijas zāļu lietošanu, to lietos arī turpmāk. </w:t>
      </w:r>
      <w:r w:rsidR="0097553C" w:rsidRPr="007B010A">
        <w:t>Iesāktā terapija turpināma arī 2019.gadā.</w:t>
      </w:r>
    </w:p>
    <w:p w14:paraId="70FDC8C8" w14:textId="77777777" w:rsidR="00926656" w:rsidRPr="007B010A" w:rsidRDefault="00926656" w:rsidP="001042CE">
      <w:pPr>
        <w:autoSpaceDE w:val="0"/>
        <w:autoSpaceDN w:val="0"/>
        <w:adjustRightInd w:val="0"/>
        <w:spacing w:line="293" w:lineRule="atLeast"/>
        <w:rPr>
          <w:u w:val="single"/>
        </w:rPr>
      </w:pPr>
    </w:p>
    <w:p w14:paraId="71A205C8" w14:textId="540578F2" w:rsidR="00D923AA" w:rsidRPr="007B010A" w:rsidRDefault="00D923AA" w:rsidP="00D923AA">
      <w:pPr>
        <w:autoSpaceDE w:val="0"/>
        <w:autoSpaceDN w:val="0"/>
        <w:adjustRightInd w:val="0"/>
        <w:spacing w:line="293" w:lineRule="atLeast"/>
        <w:jc w:val="center"/>
        <w:rPr>
          <w:u w:val="single"/>
        </w:rPr>
      </w:pPr>
      <w:r w:rsidRPr="007B010A">
        <w:rPr>
          <w:u w:val="single"/>
        </w:rPr>
        <w:t>Hronisko pacientu aprūpes reforma</w:t>
      </w:r>
    </w:p>
    <w:p w14:paraId="6FC4AE5B" w14:textId="77777777" w:rsidR="00D923AA" w:rsidRPr="007B010A" w:rsidRDefault="00D923AA" w:rsidP="00D923AA">
      <w:pPr>
        <w:ind w:firstLine="284"/>
        <w:jc w:val="both"/>
      </w:pPr>
    </w:p>
    <w:p w14:paraId="6761DE0E" w14:textId="1323D38C" w:rsidR="00D923AA" w:rsidRPr="007B010A" w:rsidRDefault="00EC2129" w:rsidP="00D923AA">
      <w:pPr>
        <w:ind w:firstLine="720"/>
        <w:jc w:val="both"/>
      </w:pPr>
      <w:r w:rsidRPr="007B010A">
        <w:t>Reformu</w:t>
      </w:r>
      <w:r w:rsidR="0080224B" w:rsidRPr="007B010A">
        <w:t xml:space="preserve"> ziņojumā </w:t>
      </w:r>
      <w:r w:rsidR="00D923AA" w:rsidRPr="007B010A">
        <w:t xml:space="preserve">tika paredzēts, ka 2018.gadā tiks nodrošināta </w:t>
      </w:r>
      <w:proofErr w:type="spellStart"/>
      <w:r w:rsidR="00D923AA" w:rsidRPr="007B010A">
        <w:t>stacionēšana</w:t>
      </w:r>
      <w:proofErr w:type="spellEnd"/>
      <w:r w:rsidR="00D923AA" w:rsidRPr="007B010A">
        <w:t xml:space="preserve"> 33 000 hronisko pacientu. </w:t>
      </w:r>
      <w:r w:rsidR="00636D47" w:rsidRPr="007B010A">
        <w:t xml:space="preserve">Hronisko pacientu skaits 2018.gadā tika prognozēts, ņemot par pamatu vajadzību pēc hroniskās aprūpes gultām atbilstošām diagnozēm. Atbilstoši Reformu ziņojumam </w:t>
      </w:r>
      <w:r w:rsidR="007F6CAA" w:rsidRPr="007B010A">
        <w:t xml:space="preserve">tika plānots, ka </w:t>
      </w:r>
      <w:r w:rsidR="00636D47" w:rsidRPr="007B010A">
        <w:t xml:space="preserve">pacienti ar hroniskām saslimšanām tiks </w:t>
      </w:r>
      <w:proofErr w:type="spellStart"/>
      <w:r w:rsidR="00636D47" w:rsidRPr="007B010A">
        <w:t>stacionēti</w:t>
      </w:r>
      <w:proofErr w:type="spellEnd"/>
      <w:r w:rsidR="00636D47" w:rsidRPr="007B010A">
        <w:t xml:space="preserve"> ar ģimenes ārsta nosūtījumu, pārvedot no augstāka līmeņa slimnīcas vai nodaļas atbilstošas medicīniskās palīdzības un aprūpes nodrošināšanai, kā arī ar Neatliekamās medicīniskās palīdzības dienesta (turpmāk – NMPD) brigādes nosūtījumu</w:t>
      </w:r>
      <w:r w:rsidR="00D923AA" w:rsidRPr="007B010A">
        <w:t xml:space="preserve">. Ņemot vērā, ka hronisko pacientu aprūpe ir jauns pakalpojuma veids, slimnīcām bija nepieciešams veikt attiecīgus pasākumus jaunā pakalpojuma nodrošinājumam. Apzinot slimnīcu gatavību un resursus, 2018.gada 2.pusgadā plānotas 6 571 hronisko pacientu hospitalizācijas. </w:t>
      </w:r>
      <w:r w:rsidR="00636D47" w:rsidRPr="007B010A">
        <w:t>Papildus plānoto hospitalizāciju samazinājumu ietekmē pakalpojumu programmas apmaksas nosacījumos definēto saistošo diagnožu saraksta pārskatīšana, izmaiņas pacientu plūsmā, šis pakalpojuma veid</w:t>
      </w:r>
      <w:r w:rsidR="00EF2261">
        <w:t>a</w:t>
      </w:r>
      <w:r w:rsidR="00636D47" w:rsidRPr="007B010A">
        <w:t xml:space="preserve"> </w:t>
      </w:r>
      <w:r w:rsidR="00EF2261">
        <w:t>ne</w:t>
      </w:r>
      <w:r w:rsidR="00636D47" w:rsidRPr="007B010A">
        <w:t>iekļau</w:t>
      </w:r>
      <w:r w:rsidR="00EF2261">
        <w:t>šana</w:t>
      </w:r>
      <w:r w:rsidR="00636D47" w:rsidRPr="007B010A">
        <w:t xml:space="preserve"> hospitalizāciju plānā, līdz ar to pa</w:t>
      </w:r>
      <w:r w:rsidR="007F6CAA" w:rsidRPr="007B010A">
        <w:t>cienti netik</w:t>
      </w:r>
      <w:r w:rsidR="00EF2261">
        <w:t>a</w:t>
      </w:r>
      <w:r w:rsidR="007F6CAA" w:rsidRPr="007B010A">
        <w:t xml:space="preserve"> nogādāti ar NMPD,</w:t>
      </w:r>
      <w:r w:rsidR="00636D47" w:rsidRPr="007B010A">
        <w:t xml:space="preserve"> kā arī M</w:t>
      </w:r>
      <w:r w:rsidR="007F6CAA" w:rsidRPr="007B010A">
        <w:t>inistru kabineta</w:t>
      </w:r>
      <w:r w:rsidR="00636D47" w:rsidRPr="007B010A">
        <w:t xml:space="preserve"> </w:t>
      </w:r>
      <w:r w:rsidR="007F6CAA" w:rsidRPr="007B010A">
        <w:t xml:space="preserve">2018.gada 24.jūlija </w:t>
      </w:r>
      <w:r w:rsidR="00636D47" w:rsidRPr="007B010A">
        <w:t xml:space="preserve">noteikumos Nr.450 </w:t>
      </w:r>
      <w:r w:rsidR="007F6CAA" w:rsidRPr="007B010A">
        <w:t>“</w:t>
      </w:r>
      <w:r w:rsidR="00A90914" w:rsidRPr="007B010A">
        <w:t>Kārtība, kādā pacientiem ar hroniskām slimībām sniedzami veselības aprūpes pakalpojumi stacionārā ārstniecības iestādē</w:t>
      </w:r>
      <w:r w:rsidR="007F6CAA" w:rsidRPr="007B010A">
        <w:t xml:space="preserve">” </w:t>
      </w:r>
      <w:r w:rsidR="00636D47" w:rsidRPr="007B010A">
        <w:t>tika definētas prasības pēc ārsta diennakts aprūpes nodrošinājuma (līdz šim aprūpes slimnīcās ārsta nodrošinājums bija noteikts pa dienu, bet naktī medicīnas māsas uzraudzība).</w:t>
      </w:r>
    </w:p>
    <w:p w14:paraId="3090A8D0" w14:textId="697B85D7" w:rsidR="00D923AA" w:rsidRPr="007B010A" w:rsidRDefault="00D923AA" w:rsidP="00093715">
      <w:pPr>
        <w:ind w:firstLine="720"/>
        <w:jc w:val="both"/>
        <w:rPr>
          <w:bCs/>
          <w:kern w:val="1"/>
          <w:lang w:eastAsia="ar-SA"/>
        </w:rPr>
      </w:pPr>
      <w:r w:rsidRPr="007B010A">
        <w:t>Pamatojoties uz Veselības aprūpes finansēšanas likuma 6.panta ceturto daļu un 10.panta trešo daļu, ar mērķi nodrošināt valsts apmaksātu veselības aprūpes pakalpojumu nepārtrauktību un to pieejamību hroniskiem pacientiem stacionārā ārstniecības iestādē, kā arī noteikt kārtību, kādā tiek organizēta veselības aprūpes pakalpojumu sniegšana hroniskiem pacientiem stacionārā un kārtību, kādā tiek veikta samaksa par hroniskajiem pacientiem sniegtajiem pakalpojumiem stacionārā ārstniecības iestādē V</w:t>
      </w:r>
      <w:r w:rsidR="0080224B" w:rsidRPr="007B010A">
        <w:t xml:space="preserve">eselības </w:t>
      </w:r>
      <w:r w:rsidR="00F41A5D" w:rsidRPr="007B010A">
        <w:t>m</w:t>
      </w:r>
      <w:r w:rsidR="0080224B" w:rsidRPr="007B010A">
        <w:t>inistrija</w:t>
      </w:r>
      <w:r w:rsidR="00577E17" w:rsidRPr="007B010A">
        <w:t xml:space="preserve"> ir izstrādājusi un</w:t>
      </w:r>
      <w:r w:rsidRPr="007B010A">
        <w:t xml:space="preserve"> ir pieņemti M</w:t>
      </w:r>
      <w:r w:rsidR="0080224B" w:rsidRPr="007B010A">
        <w:t xml:space="preserve">inistru </w:t>
      </w:r>
      <w:r w:rsidRPr="007B010A">
        <w:t>K</w:t>
      </w:r>
      <w:r w:rsidR="0080224B" w:rsidRPr="007B010A">
        <w:t>abineta</w:t>
      </w:r>
      <w:r w:rsidRPr="007B010A">
        <w:t xml:space="preserve"> 2018.gada 24.jūlija noteikumi Nr.450 “</w:t>
      </w:r>
      <w:bookmarkStart w:id="1" w:name="_Hlk521073131"/>
      <w:r w:rsidRPr="007B010A">
        <w:t>Kārtība, kādā pacientiem ar hroniskām slimībām sniedzami veselības aprūpes pakalpojumi stacionārā ārstniecības iestādē</w:t>
      </w:r>
      <w:bookmarkEnd w:id="1"/>
      <w:r w:rsidR="00477AED" w:rsidRPr="007B010A">
        <w:t xml:space="preserve">” </w:t>
      </w:r>
      <w:r w:rsidR="00477AED" w:rsidRPr="007B010A">
        <w:rPr>
          <w:bCs/>
          <w:kern w:val="1"/>
          <w:lang w:eastAsia="ar-SA"/>
        </w:rPr>
        <w:t xml:space="preserve">(šobrīd spēkā </w:t>
      </w:r>
      <w:r w:rsidR="00093715" w:rsidRPr="007B010A">
        <w:rPr>
          <w:bCs/>
          <w:kern w:val="1"/>
          <w:lang w:eastAsia="ar-SA"/>
        </w:rPr>
        <w:t>N</w:t>
      </w:r>
      <w:r w:rsidR="00477AED" w:rsidRPr="007B010A">
        <w:rPr>
          <w:bCs/>
          <w:kern w:val="1"/>
          <w:lang w:eastAsia="ar-SA"/>
        </w:rPr>
        <w:t>oteikumi Nr.555, kuri ietver aprakstīto normu regulējumu)</w:t>
      </w:r>
      <w:r w:rsidR="00477AED" w:rsidRPr="007B010A">
        <w:t>.</w:t>
      </w:r>
    </w:p>
    <w:p w14:paraId="38A8F25A" w14:textId="42CA656B" w:rsidR="00D923AA" w:rsidRPr="007B010A" w:rsidRDefault="00D923AA" w:rsidP="00D923AA">
      <w:pPr>
        <w:ind w:firstLine="720"/>
        <w:jc w:val="both"/>
      </w:pPr>
      <w:r w:rsidRPr="007B010A">
        <w:t>M</w:t>
      </w:r>
      <w:r w:rsidR="0080224B" w:rsidRPr="007B010A">
        <w:t xml:space="preserve">inistru </w:t>
      </w:r>
      <w:r w:rsidRPr="007B010A">
        <w:t>K</w:t>
      </w:r>
      <w:r w:rsidR="0080224B" w:rsidRPr="007B010A">
        <w:t>abineta</w:t>
      </w:r>
      <w:r w:rsidRPr="007B010A">
        <w:t xml:space="preserve"> 2018.gada 24.jūlija noteikumu Nr.450 “Kārtība, kādā pacientiem ar hroniskām slimībām sniedzami veselības aprūpes pakalpojumi stacionārā ārstniecības iestādē” īstenošanai 2018.gada 2.pusgadā kopumā hronisko pacientu aprūpes nodrošināšanai </w:t>
      </w:r>
      <w:r w:rsidR="0053560F" w:rsidRPr="007B010A">
        <w:t xml:space="preserve">tika piešķirts </w:t>
      </w:r>
      <w:r w:rsidRPr="007B010A">
        <w:t xml:space="preserve">finansējums 2 718 968 </w:t>
      </w:r>
      <w:proofErr w:type="spellStart"/>
      <w:r w:rsidRPr="007B010A">
        <w:rPr>
          <w:i/>
        </w:rPr>
        <w:t>euro</w:t>
      </w:r>
      <w:proofErr w:type="spellEnd"/>
      <w:r w:rsidRPr="007B010A">
        <w:t xml:space="preserve"> apmērā,</w:t>
      </w:r>
      <w:r w:rsidR="0053560F" w:rsidRPr="007B010A">
        <w:t xml:space="preserve"> lai</w:t>
      </w:r>
      <w:r w:rsidRPr="007B010A">
        <w:t xml:space="preserve"> nodrošin</w:t>
      </w:r>
      <w:r w:rsidR="0053560F" w:rsidRPr="007B010A">
        <w:t>ātu</w:t>
      </w:r>
      <w:r w:rsidRPr="007B010A">
        <w:t xml:space="preserve"> 6 571 </w:t>
      </w:r>
      <w:proofErr w:type="spellStart"/>
      <w:r w:rsidRPr="007B010A">
        <w:t>stacionēšanas</w:t>
      </w:r>
      <w:proofErr w:type="spellEnd"/>
      <w:r w:rsidRPr="007B010A">
        <w:t xml:space="preserve"> gadījumus gadā, no kuriem, 1 768 gadījumi ir ar </w:t>
      </w:r>
      <w:proofErr w:type="spellStart"/>
      <w:r w:rsidRPr="007B010A">
        <w:t>blakusdiagnozēm</w:t>
      </w:r>
      <w:proofErr w:type="spellEnd"/>
      <w:r w:rsidRPr="007B010A">
        <w:t xml:space="preserve">, kurām ārstēšanas laiks nepieciešams </w:t>
      </w:r>
      <w:r w:rsidRPr="007B010A">
        <w:lastRenderedPageBreak/>
        <w:t xml:space="preserve">vairāk kā 10 dienas un kuriem tiek piemērots viena pacienta ārstēšanas tarifs - 505,45 </w:t>
      </w:r>
      <w:proofErr w:type="spellStart"/>
      <w:r w:rsidRPr="007B010A">
        <w:rPr>
          <w:i/>
        </w:rPr>
        <w:t>euro</w:t>
      </w:r>
      <w:proofErr w:type="spellEnd"/>
      <w:r w:rsidRPr="007B010A">
        <w:rPr>
          <w:i/>
        </w:rPr>
        <w:t xml:space="preserve"> </w:t>
      </w:r>
      <w:r w:rsidRPr="007B010A">
        <w:t xml:space="preserve">apmērā par </w:t>
      </w:r>
      <w:proofErr w:type="spellStart"/>
      <w:r w:rsidRPr="007B010A">
        <w:t>stacionēšanas</w:t>
      </w:r>
      <w:proofErr w:type="spellEnd"/>
      <w:r w:rsidRPr="007B010A">
        <w:t xml:space="preserve"> reizi, un 4 803 gadījumi ar tarifu viena pacienta ārstēšanai  380,04</w:t>
      </w:r>
      <w:r w:rsidR="00553786" w:rsidRPr="007B010A">
        <w:t> </w:t>
      </w:r>
      <w:proofErr w:type="spellStart"/>
      <w:r w:rsidRPr="007B010A">
        <w:rPr>
          <w:i/>
        </w:rPr>
        <w:t>euro</w:t>
      </w:r>
      <w:proofErr w:type="spellEnd"/>
      <w:r w:rsidRPr="007B010A">
        <w:rPr>
          <w:i/>
        </w:rPr>
        <w:t xml:space="preserve"> </w:t>
      </w:r>
      <w:r w:rsidRPr="007B010A">
        <w:t xml:space="preserve">apmērā. </w:t>
      </w:r>
    </w:p>
    <w:p w14:paraId="4A1A0484" w14:textId="5AD8913E" w:rsidR="002E26AA" w:rsidRPr="007B010A" w:rsidRDefault="002E26AA" w:rsidP="008A27C5">
      <w:pPr>
        <w:ind w:firstLine="720"/>
        <w:jc w:val="right"/>
        <w:rPr>
          <w:i/>
        </w:rPr>
      </w:pPr>
      <w:r w:rsidRPr="007B010A">
        <w:rPr>
          <w:i/>
        </w:rPr>
        <w:t>13.tabula</w:t>
      </w:r>
    </w:p>
    <w:p w14:paraId="342A23A2" w14:textId="6643978E" w:rsidR="00AA7622" w:rsidRPr="007B010A" w:rsidRDefault="00886E1C" w:rsidP="00886E1C">
      <w:pPr>
        <w:ind w:firstLine="720"/>
        <w:jc w:val="center"/>
      </w:pPr>
      <w:r w:rsidRPr="007B010A">
        <w:t>Hronisko pacientu 2018.gada izpilde</w:t>
      </w:r>
    </w:p>
    <w:p w14:paraId="7B64D4C6" w14:textId="77777777" w:rsidR="002E26AA" w:rsidRPr="007B010A" w:rsidRDefault="002E26AA" w:rsidP="008A27C5">
      <w:pPr>
        <w:ind w:firstLine="720"/>
        <w:jc w:val="center"/>
      </w:pPr>
    </w:p>
    <w:tbl>
      <w:tblPr>
        <w:tblStyle w:val="TableGrid"/>
        <w:tblW w:w="0" w:type="auto"/>
        <w:tblLook w:val="04A0" w:firstRow="1" w:lastRow="0" w:firstColumn="1" w:lastColumn="0" w:noHBand="0" w:noVBand="1"/>
      </w:tblPr>
      <w:tblGrid>
        <w:gridCol w:w="3964"/>
        <w:gridCol w:w="2552"/>
        <w:gridCol w:w="2545"/>
      </w:tblGrid>
      <w:tr w:rsidR="00D63ACA" w:rsidRPr="007B010A" w14:paraId="29EBFF26" w14:textId="77777777" w:rsidTr="008A27C5">
        <w:tc>
          <w:tcPr>
            <w:tcW w:w="3964" w:type="dxa"/>
            <w:shd w:val="clear" w:color="auto" w:fill="92D050"/>
          </w:tcPr>
          <w:p w14:paraId="7CF307B2" w14:textId="380F13D1" w:rsidR="00D63ACA" w:rsidRPr="00901D16" w:rsidRDefault="00D63ACA" w:rsidP="008A27C5">
            <w:pPr>
              <w:jc w:val="center"/>
              <w:rPr>
                <w:sz w:val="22"/>
                <w:szCs w:val="22"/>
              </w:rPr>
            </w:pPr>
            <w:r w:rsidRPr="00901D16">
              <w:rPr>
                <w:sz w:val="22"/>
                <w:szCs w:val="22"/>
              </w:rPr>
              <w:t>Ārstniecības iestādes nosaukums</w:t>
            </w:r>
          </w:p>
        </w:tc>
        <w:tc>
          <w:tcPr>
            <w:tcW w:w="2552" w:type="dxa"/>
            <w:shd w:val="clear" w:color="auto" w:fill="92D050"/>
          </w:tcPr>
          <w:p w14:paraId="127B40B6" w14:textId="22BFFF17" w:rsidR="00D63ACA" w:rsidRPr="00901D16" w:rsidRDefault="00D63ACA" w:rsidP="008A27C5">
            <w:pPr>
              <w:jc w:val="center"/>
              <w:rPr>
                <w:sz w:val="22"/>
                <w:szCs w:val="22"/>
              </w:rPr>
            </w:pPr>
            <w:r w:rsidRPr="00901D16">
              <w:rPr>
                <w:sz w:val="22"/>
                <w:szCs w:val="22"/>
              </w:rPr>
              <w:t xml:space="preserve">2018.gada izpilde, </w:t>
            </w:r>
            <w:proofErr w:type="spellStart"/>
            <w:r w:rsidRPr="00901D16">
              <w:rPr>
                <w:i/>
                <w:sz w:val="22"/>
                <w:szCs w:val="22"/>
              </w:rPr>
              <w:t>euro</w:t>
            </w:r>
            <w:proofErr w:type="spellEnd"/>
          </w:p>
        </w:tc>
        <w:tc>
          <w:tcPr>
            <w:tcW w:w="2545" w:type="dxa"/>
            <w:shd w:val="clear" w:color="auto" w:fill="92D050"/>
          </w:tcPr>
          <w:p w14:paraId="1D6E4223" w14:textId="7E18330D" w:rsidR="00D63ACA" w:rsidRPr="00901D16" w:rsidRDefault="00D63ACA" w:rsidP="008A27C5">
            <w:pPr>
              <w:jc w:val="center"/>
              <w:rPr>
                <w:sz w:val="22"/>
                <w:szCs w:val="22"/>
              </w:rPr>
            </w:pPr>
            <w:r w:rsidRPr="00901D16">
              <w:rPr>
                <w:sz w:val="22"/>
                <w:szCs w:val="22"/>
              </w:rPr>
              <w:t>Hospitalizēto pacientu skaits 2018.gadā</w:t>
            </w:r>
          </w:p>
        </w:tc>
      </w:tr>
      <w:tr w:rsidR="00FF05D2" w:rsidRPr="007B010A" w14:paraId="7A9181D4" w14:textId="77777777" w:rsidTr="008A27C5">
        <w:tc>
          <w:tcPr>
            <w:tcW w:w="3964" w:type="dxa"/>
          </w:tcPr>
          <w:p w14:paraId="7597B9B2" w14:textId="0D312A50" w:rsidR="00FF05D2" w:rsidRPr="00901D16" w:rsidRDefault="00FF05D2" w:rsidP="00FF05D2">
            <w:pPr>
              <w:jc w:val="both"/>
              <w:rPr>
                <w:sz w:val="22"/>
                <w:szCs w:val="22"/>
              </w:rPr>
            </w:pPr>
            <w:r w:rsidRPr="00901D16">
              <w:rPr>
                <w:sz w:val="22"/>
                <w:szCs w:val="22"/>
              </w:rPr>
              <w:t>Paula Stradiņa klīniskā universitātes slimnīca</w:t>
            </w:r>
          </w:p>
        </w:tc>
        <w:tc>
          <w:tcPr>
            <w:tcW w:w="2552" w:type="dxa"/>
            <w:vAlign w:val="bottom"/>
          </w:tcPr>
          <w:p w14:paraId="58BBD01B" w14:textId="75187761" w:rsidR="00FF05D2" w:rsidRPr="00901D16" w:rsidRDefault="00FF05D2" w:rsidP="008A27C5">
            <w:pPr>
              <w:jc w:val="center"/>
              <w:rPr>
                <w:sz w:val="22"/>
                <w:szCs w:val="22"/>
              </w:rPr>
            </w:pPr>
            <w:r w:rsidRPr="00901D16">
              <w:rPr>
                <w:sz w:val="22"/>
                <w:szCs w:val="22"/>
              </w:rPr>
              <w:t>262 904</w:t>
            </w:r>
          </w:p>
        </w:tc>
        <w:tc>
          <w:tcPr>
            <w:tcW w:w="2545" w:type="dxa"/>
            <w:vAlign w:val="bottom"/>
          </w:tcPr>
          <w:p w14:paraId="382B921F" w14:textId="3C2B9B1E" w:rsidR="00FF05D2" w:rsidRPr="00901D16" w:rsidRDefault="00FF05D2" w:rsidP="008A27C5">
            <w:pPr>
              <w:jc w:val="center"/>
              <w:rPr>
                <w:sz w:val="22"/>
                <w:szCs w:val="22"/>
              </w:rPr>
            </w:pPr>
            <w:r w:rsidRPr="00901D16">
              <w:rPr>
                <w:sz w:val="22"/>
                <w:szCs w:val="22"/>
              </w:rPr>
              <w:t>669</w:t>
            </w:r>
          </w:p>
        </w:tc>
      </w:tr>
      <w:tr w:rsidR="00FF05D2" w:rsidRPr="007B010A" w14:paraId="4AE38206" w14:textId="77777777" w:rsidTr="008A27C5">
        <w:tc>
          <w:tcPr>
            <w:tcW w:w="3964" w:type="dxa"/>
            <w:vAlign w:val="bottom"/>
          </w:tcPr>
          <w:p w14:paraId="3B2EA8AA" w14:textId="3230F83C" w:rsidR="00FF05D2" w:rsidRPr="00901D16" w:rsidRDefault="00FF05D2" w:rsidP="00FF05D2">
            <w:pPr>
              <w:jc w:val="both"/>
              <w:rPr>
                <w:sz w:val="22"/>
                <w:szCs w:val="22"/>
              </w:rPr>
            </w:pPr>
            <w:r w:rsidRPr="00901D16">
              <w:rPr>
                <w:sz w:val="22"/>
                <w:szCs w:val="22"/>
              </w:rPr>
              <w:t xml:space="preserve">Rīgas Austrumu klīniskā universitātes slimnīca </w:t>
            </w:r>
          </w:p>
        </w:tc>
        <w:tc>
          <w:tcPr>
            <w:tcW w:w="2552" w:type="dxa"/>
            <w:vAlign w:val="bottom"/>
          </w:tcPr>
          <w:p w14:paraId="080944F9" w14:textId="46A8AB44" w:rsidR="00FF05D2" w:rsidRPr="00901D16" w:rsidRDefault="00FF05D2" w:rsidP="008A27C5">
            <w:pPr>
              <w:jc w:val="center"/>
              <w:rPr>
                <w:sz w:val="22"/>
                <w:szCs w:val="22"/>
              </w:rPr>
            </w:pPr>
            <w:r w:rsidRPr="00901D16">
              <w:rPr>
                <w:sz w:val="22"/>
                <w:szCs w:val="22"/>
              </w:rPr>
              <w:t>65 846</w:t>
            </w:r>
          </w:p>
        </w:tc>
        <w:tc>
          <w:tcPr>
            <w:tcW w:w="2545" w:type="dxa"/>
            <w:vAlign w:val="bottom"/>
          </w:tcPr>
          <w:p w14:paraId="66A7B54F" w14:textId="6FEAB107" w:rsidR="00FF05D2" w:rsidRPr="00901D16" w:rsidRDefault="00FF05D2" w:rsidP="008A27C5">
            <w:pPr>
              <w:jc w:val="center"/>
              <w:rPr>
                <w:sz w:val="22"/>
                <w:szCs w:val="22"/>
              </w:rPr>
            </w:pPr>
            <w:r w:rsidRPr="00901D16">
              <w:rPr>
                <w:sz w:val="22"/>
                <w:szCs w:val="22"/>
              </w:rPr>
              <w:t>162</w:t>
            </w:r>
          </w:p>
        </w:tc>
      </w:tr>
      <w:tr w:rsidR="00FF05D2" w:rsidRPr="007B010A" w14:paraId="5F2B9B8A" w14:textId="77777777" w:rsidTr="008A27C5">
        <w:tc>
          <w:tcPr>
            <w:tcW w:w="3964" w:type="dxa"/>
            <w:vAlign w:val="bottom"/>
          </w:tcPr>
          <w:p w14:paraId="14FFF05B" w14:textId="1BAFDFFA" w:rsidR="00FF05D2" w:rsidRPr="00901D16" w:rsidRDefault="00FF05D2" w:rsidP="00FF05D2">
            <w:pPr>
              <w:jc w:val="both"/>
              <w:rPr>
                <w:sz w:val="22"/>
                <w:szCs w:val="22"/>
              </w:rPr>
            </w:pPr>
            <w:r w:rsidRPr="00901D16">
              <w:rPr>
                <w:sz w:val="22"/>
                <w:szCs w:val="22"/>
              </w:rPr>
              <w:t>Jūrmalas slimnīca</w:t>
            </w:r>
          </w:p>
        </w:tc>
        <w:tc>
          <w:tcPr>
            <w:tcW w:w="2552" w:type="dxa"/>
            <w:vAlign w:val="bottom"/>
          </w:tcPr>
          <w:p w14:paraId="39B4942C" w14:textId="4FBF2040" w:rsidR="00FF05D2" w:rsidRPr="00901D16" w:rsidRDefault="00FF05D2" w:rsidP="008A27C5">
            <w:pPr>
              <w:jc w:val="center"/>
              <w:rPr>
                <w:sz w:val="22"/>
                <w:szCs w:val="22"/>
              </w:rPr>
            </w:pPr>
            <w:r w:rsidRPr="00901D16">
              <w:rPr>
                <w:sz w:val="22"/>
                <w:szCs w:val="22"/>
              </w:rPr>
              <w:t>18 481</w:t>
            </w:r>
          </w:p>
        </w:tc>
        <w:tc>
          <w:tcPr>
            <w:tcW w:w="2545" w:type="dxa"/>
            <w:vAlign w:val="bottom"/>
          </w:tcPr>
          <w:p w14:paraId="5FA52FE7" w14:textId="19963F4C" w:rsidR="00FF05D2" w:rsidRPr="00901D16" w:rsidRDefault="00FF05D2" w:rsidP="008A27C5">
            <w:pPr>
              <w:jc w:val="center"/>
              <w:rPr>
                <w:sz w:val="22"/>
                <w:szCs w:val="22"/>
              </w:rPr>
            </w:pPr>
            <w:r w:rsidRPr="00901D16">
              <w:rPr>
                <w:sz w:val="22"/>
                <w:szCs w:val="22"/>
              </w:rPr>
              <w:t>45</w:t>
            </w:r>
          </w:p>
        </w:tc>
      </w:tr>
      <w:tr w:rsidR="00FF05D2" w:rsidRPr="007B010A" w14:paraId="0DB117BE" w14:textId="77777777" w:rsidTr="008A27C5">
        <w:tc>
          <w:tcPr>
            <w:tcW w:w="3964" w:type="dxa"/>
            <w:vAlign w:val="bottom"/>
          </w:tcPr>
          <w:p w14:paraId="26FAE92E" w14:textId="45304CEA" w:rsidR="00FF05D2" w:rsidRPr="00901D16" w:rsidRDefault="00FF05D2" w:rsidP="00FF05D2">
            <w:pPr>
              <w:jc w:val="both"/>
              <w:rPr>
                <w:sz w:val="22"/>
                <w:szCs w:val="22"/>
              </w:rPr>
            </w:pPr>
            <w:r w:rsidRPr="00901D16">
              <w:rPr>
                <w:sz w:val="22"/>
                <w:szCs w:val="22"/>
              </w:rPr>
              <w:t>Tukuma slimnīca</w:t>
            </w:r>
          </w:p>
        </w:tc>
        <w:tc>
          <w:tcPr>
            <w:tcW w:w="2552" w:type="dxa"/>
            <w:vAlign w:val="bottom"/>
          </w:tcPr>
          <w:p w14:paraId="02D060B5" w14:textId="72451B34" w:rsidR="00FF05D2" w:rsidRPr="00901D16" w:rsidRDefault="00FF05D2" w:rsidP="008A27C5">
            <w:pPr>
              <w:jc w:val="center"/>
              <w:rPr>
                <w:sz w:val="22"/>
                <w:szCs w:val="22"/>
              </w:rPr>
            </w:pPr>
            <w:r w:rsidRPr="00901D16">
              <w:rPr>
                <w:sz w:val="22"/>
                <w:szCs w:val="22"/>
              </w:rPr>
              <w:t>23 418</w:t>
            </w:r>
          </w:p>
        </w:tc>
        <w:tc>
          <w:tcPr>
            <w:tcW w:w="2545" w:type="dxa"/>
            <w:vAlign w:val="bottom"/>
          </w:tcPr>
          <w:p w14:paraId="0F1AAED0" w14:textId="340713DD" w:rsidR="00FF05D2" w:rsidRPr="00901D16" w:rsidRDefault="00FF05D2" w:rsidP="008A27C5">
            <w:pPr>
              <w:jc w:val="center"/>
              <w:rPr>
                <w:sz w:val="22"/>
                <w:szCs w:val="22"/>
              </w:rPr>
            </w:pPr>
            <w:r w:rsidRPr="00901D16">
              <w:rPr>
                <w:sz w:val="22"/>
                <w:szCs w:val="22"/>
              </w:rPr>
              <w:t>57</w:t>
            </w:r>
          </w:p>
        </w:tc>
      </w:tr>
      <w:tr w:rsidR="00FF05D2" w:rsidRPr="007B010A" w14:paraId="06BFF966" w14:textId="77777777" w:rsidTr="008A27C5">
        <w:tc>
          <w:tcPr>
            <w:tcW w:w="3964" w:type="dxa"/>
            <w:vAlign w:val="bottom"/>
          </w:tcPr>
          <w:p w14:paraId="5DE884A7" w14:textId="690397B4" w:rsidR="00FF05D2" w:rsidRPr="00901D16" w:rsidRDefault="00FF05D2" w:rsidP="00FF05D2">
            <w:pPr>
              <w:jc w:val="both"/>
              <w:rPr>
                <w:sz w:val="22"/>
                <w:szCs w:val="22"/>
              </w:rPr>
            </w:pPr>
            <w:r w:rsidRPr="00901D16">
              <w:rPr>
                <w:sz w:val="22"/>
                <w:szCs w:val="22"/>
              </w:rPr>
              <w:t>Liepājas reģionālā slimnīca</w:t>
            </w:r>
          </w:p>
        </w:tc>
        <w:tc>
          <w:tcPr>
            <w:tcW w:w="2552" w:type="dxa"/>
            <w:vAlign w:val="bottom"/>
          </w:tcPr>
          <w:p w14:paraId="3C35D016" w14:textId="60317F91" w:rsidR="00FF05D2" w:rsidRPr="00901D16" w:rsidRDefault="00FF05D2" w:rsidP="008A27C5">
            <w:pPr>
              <w:jc w:val="center"/>
              <w:rPr>
                <w:sz w:val="22"/>
                <w:szCs w:val="22"/>
              </w:rPr>
            </w:pPr>
            <w:r w:rsidRPr="00901D16">
              <w:rPr>
                <w:sz w:val="22"/>
                <w:szCs w:val="22"/>
              </w:rPr>
              <w:t>31 889</w:t>
            </w:r>
          </w:p>
        </w:tc>
        <w:tc>
          <w:tcPr>
            <w:tcW w:w="2545" w:type="dxa"/>
            <w:vAlign w:val="bottom"/>
          </w:tcPr>
          <w:p w14:paraId="777CB887" w14:textId="0E91C32E" w:rsidR="00FF05D2" w:rsidRPr="00901D16" w:rsidRDefault="00FF05D2" w:rsidP="008A27C5">
            <w:pPr>
              <w:jc w:val="center"/>
              <w:rPr>
                <w:sz w:val="22"/>
                <w:szCs w:val="22"/>
              </w:rPr>
            </w:pPr>
            <w:r w:rsidRPr="00901D16">
              <w:rPr>
                <w:sz w:val="22"/>
                <w:szCs w:val="22"/>
              </w:rPr>
              <w:t>76</w:t>
            </w:r>
          </w:p>
        </w:tc>
      </w:tr>
      <w:tr w:rsidR="00FF05D2" w:rsidRPr="007B010A" w14:paraId="7218C04E" w14:textId="77777777" w:rsidTr="008A27C5">
        <w:tc>
          <w:tcPr>
            <w:tcW w:w="3964" w:type="dxa"/>
          </w:tcPr>
          <w:p w14:paraId="0DCF7654" w14:textId="49DFC768" w:rsidR="00FF05D2" w:rsidRPr="00901D16" w:rsidRDefault="00FF05D2" w:rsidP="00FF05D2">
            <w:pPr>
              <w:jc w:val="both"/>
              <w:rPr>
                <w:sz w:val="22"/>
                <w:szCs w:val="22"/>
              </w:rPr>
            </w:pPr>
            <w:proofErr w:type="spellStart"/>
            <w:r w:rsidRPr="00901D16">
              <w:rPr>
                <w:sz w:val="22"/>
                <w:szCs w:val="22"/>
              </w:rPr>
              <w:t>Ziemeļkurzemes</w:t>
            </w:r>
            <w:proofErr w:type="spellEnd"/>
            <w:r w:rsidRPr="00901D16">
              <w:rPr>
                <w:sz w:val="22"/>
                <w:szCs w:val="22"/>
              </w:rPr>
              <w:t xml:space="preserve"> reģionālā slimnīca</w:t>
            </w:r>
          </w:p>
        </w:tc>
        <w:tc>
          <w:tcPr>
            <w:tcW w:w="2552" w:type="dxa"/>
            <w:vAlign w:val="bottom"/>
          </w:tcPr>
          <w:p w14:paraId="6AFB37CD" w14:textId="65F7CA3F" w:rsidR="00FF05D2" w:rsidRPr="00901D16" w:rsidRDefault="00FF05D2" w:rsidP="008A27C5">
            <w:pPr>
              <w:jc w:val="center"/>
              <w:rPr>
                <w:sz w:val="22"/>
                <w:szCs w:val="22"/>
              </w:rPr>
            </w:pPr>
            <w:r w:rsidRPr="00901D16">
              <w:rPr>
                <w:sz w:val="22"/>
                <w:szCs w:val="22"/>
              </w:rPr>
              <w:t>76 722</w:t>
            </w:r>
          </w:p>
        </w:tc>
        <w:tc>
          <w:tcPr>
            <w:tcW w:w="2545" w:type="dxa"/>
            <w:vAlign w:val="bottom"/>
          </w:tcPr>
          <w:p w14:paraId="429891A8" w14:textId="08F9708A" w:rsidR="00FF05D2" w:rsidRPr="00901D16" w:rsidRDefault="00FF05D2" w:rsidP="008A27C5">
            <w:pPr>
              <w:jc w:val="center"/>
              <w:rPr>
                <w:sz w:val="22"/>
                <w:szCs w:val="22"/>
              </w:rPr>
            </w:pPr>
            <w:r w:rsidRPr="00901D16">
              <w:rPr>
                <w:sz w:val="22"/>
                <w:szCs w:val="22"/>
              </w:rPr>
              <w:t>190</w:t>
            </w:r>
          </w:p>
        </w:tc>
      </w:tr>
      <w:tr w:rsidR="00FF05D2" w:rsidRPr="007B010A" w14:paraId="7448ABD9" w14:textId="77777777" w:rsidTr="008A27C5">
        <w:tc>
          <w:tcPr>
            <w:tcW w:w="3964" w:type="dxa"/>
            <w:vAlign w:val="bottom"/>
          </w:tcPr>
          <w:p w14:paraId="7BFC0DD1" w14:textId="28F1B3A7" w:rsidR="00FF05D2" w:rsidRPr="00901D16" w:rsidRDefault="00FF05D2" w:rsidP="00FF05D2">
            <w:pPr>
              <w:jc w:val="both"/>
              <w:rPr>
                <w:sz w:val="22"/>
                <w:szCs w:val="22"/>
              </w:rPr>
            </w:pPr>
            <w:r w:rsidRPr="00901D16">
              <w:rPr>
                <w:sz w:val="22"/>
                <w:szCs w:val="22"/>
              </w:rPr>
              <w:t>Kuldīgas slimnīca</w:t>
            </w:r>
          </w:p>
        </w:tc>
        <w:tc>
          <w:tcPr>
            <w:tcW w:w="2552" w:type="dxa"/>
            <w:vAlign w:val="bottom"/>
          </w:tcPr>
          <w:p w14:paraId="0FAB1805" w14:textId="6E16B44A" w:rsidR="00FF05D2" w:rsidRPr="00901D16" w:rsidRDefault="00FF05D2" w:rsidP="008A27C5">
            <w:pPr>
              <w:jc w:val="center"/>
              <w:rPr>
                <w:sz w:val="22"/>
                <w:szCs w:val="22"/>
              </w:rPr>
            </w:pPr>
            <w:r w:rsidRPr="00901D16">
              <w:rPr>
                <w:sz w:val="22"/>
                <w:szCs w:val="22"/>
              </w:rPr>
              <w:t>12 401</w:t>
            </w:r>
          </w:p>
        </w:tc>
        <w:tc>
          <w:tcPr>
            <w:tcW w:w="2545" w:type="dxa"/>
            <w:vAlign w:val="bottom"/>
          </w:tcPr>
          <w:p w14:paraId="31C52C7E" w14:textId="645F13C8" w:rsidR="00FF05D2" w:rsidRPr="00901D16" w:rsidRDefault="00FF05D2" w:rsidP="008A27C5">
            <w:pPr>
              <w:jc w:val="center"/>
              <w:rPr>
                <w:sz w:val="22"/>
                <w:szCs w:val="22"/>
              </w:rPr>
            </w:pPr>
            <w:r w:rsidRPr="00901D16">
              <w:rPr>
                <w:sz w:val="22"/>
                <w:szCs w:val="22"/>
              </w:rPr>
              <w:t>29</w:t>
            </w:r>
          </w:p>
        </w:tc>
      </w:tr>
      <w:tr w:rsidR="00FF05D2" w:rsidRPr="007B010A" w14:paraId="07D9E645" w14:textId="77777777" w:rsidTr="008A27C5">
        <w:tc>
          <w:tcPr>
            <w:tcW w:w="3964" w:type="dxa"/>
            <w:vAlign w:val="bottom"/>
          </w:tcPr>
          <w:p w14:paraId="2954B5D5" w14:textId="5B85E376" w:rsidR="00FF05D2" w:rsidRPr="00901D16" w:rsidRDefault="00FF05D2" w:rsidP="00FF05D2">
            <w:pPr>
              <w:jc w:val="both"/>
              <w:rPr>
                <w:sz w:val="22"/>
                <w:szCs w:val="22"/>
              </w:rPr>
            </w:pPr>
            <w:r w:rsidRPr="00901D16">
              <w:rPr>
                <w:sz w:val="22"/>
                <w:szCs w:val="22"/>
              </w:rPr>
              <w:t xml:space="preserve">Daugavpils reģionālā slimnīca </w:t>
            </w:r>
          </w:p>
        </w:tc>
        <w:tc>
          <w:tcPr>
            <w:tcW w:w="2552" w:type="dxa"/>
            <w:vAlign w:val="bottom"/>
          </w:tcPr>
          <w:p w14:paraId="31D0853F" w14:textId="780F802D" w:rsidR="00FF05D2" w:rsidRPr="00901D16" w:rsidRDefault="00FF05D2" w:rsidP="008A27C5">
            <w:pPr>
              <w:jc w:val="center"/>
              <w:rPr>
                <w:sz w:val="22"/>
                <w:szCs w:val="22"/>
              </w:rPr>
            </w:pPr>
            <w:r w:rsidRPr="00901D16">
              <w:rPr>
                <w:sz w:val="22"/>
                <w:szCs w:val="22"/>
              </w:rPr>
              <w:t>230 369</w:t>
            </w:r>
          </w:p>
        </w:tc>
        <w:tc>
          <w:tcPr>
            <w:tcW w:w="2545" w:type="dxa"/>
            <w:vAlign w:val="bottom"/>
          </w:tcPr>
          <w:p w14:paraId="279485B3" w14:textId="2E86BB98" w:rsidR="00FF05D2" w:rsidRPr="00901D16" w:rsidRDefault="00FF05D2" w:rsidP="008A27C5">
            <w:pPr>
              <w:jc w:val="center"/>
              <w:rPr>
                <w:sz w:val="22"/>
                <w:szCs w:val="22"/>
              </w:rPr>
            </w:pPr>
            <w:r w:rsidRPr="00901D16">
              <w:rPr>
                <w:sz w:val="22"/>
                <w:szCs w:val="22"/>
              </w:rPr>
              <w:t>591</w:t>
            </w:r>
          </w:p>
        </w:tc>
      </w:tr>
      <w:tr w:rsidR="00FF05D2" w:rsidRPr="007B010A" w14:paraId="682C0C0A" w14:textId="77777777" w:rsidTr="008A27C5">
        <w:tc>
          <w:tcPr>
            <w:tcW w:w="3964" w:type="dxa"/>
            <w:vAlign w:val="bottom"/>
          </w:tcPr>
          <w:p w14:paraId="1147E1C9" w14:textId="3A73FEE2" w:rsidR="00FF05D2" w:rsidRPr="00901D16" w:rsidRDefault="00FF05D2" w:rsidP="00FF05D2">
            <w:pPr>
              <w:jc w:val="both"/>
              <w:rPr>
                <w:sz w:val="22"/>
                <w:szCs w:val="22"/>
              </w:rPr>
            </w:pPr>
            <w:r w:rsidRPr="00901D16">
              <w:rPr>
                <w:sz w:val="22"/>
                <w:szCs w:val="22"/>
              </w:rPr>
              <w:t>Rēzeknes slimnīca</w:t>
            </w:r>
          </w:p>
        </w:tc>
        <w:tc>
          <w:tcPr>
            <w:tcW w:w="2552" w:type="dxa"/>
            <w:vAlign w:val="bottom"/>
          </w:tcPr>
          <w:p w14:paraId="0DAD8FE0" w14:textId="05B543F3" w:rsidR="00FF05D2" w:rsidRPr="00901D16" w:rsidRDefault="00FF05D2" w:rsidP="008A27C5">
            <w:pPr>
              <w:jc w:val="center"/>
              <w:rPr>
                <w:sz w:val="22"/>
                <w:szCs w:val="22"/>
              </w:rPr>
            </w:pPr>
            <w:r w:rsidRPr="00901D16">
              <w:rPr>
                <w:sz w:val="22"/>
                <w:szCs w:val="22"/>
              </w:rPr>
              <w:t>57 990</w:t>
            </w:r>
          </w:p>
        </w:tc>
        <w:tc>
          <w:tcPr>
            <w:tcW w:w="2545" w:type="dxa"/>
            <w:vAlign w:val="bottom"/>
          </w:tcPr>
          <w:p w14:paraId="56752C29" w14:textId="01D78B31" w:rsidR="00FF05D2" w:rsidRPr="00901D16" w:rsidRDefault="00FF05D2" w:rsidP="008A27C5">
            <w:pPr>
              <w:jc w:val="center"/>
              <w:rPr>
                <w:sz w:val="22"/>
                <w:szCs w:val="22"/>
              </w:rPr>
            </w:pPr>
            <w:r w:rsidRPr="00901D16">
              <w:rPr>
                <w:sz w:val="22"/>
                <w:szCs w:val="22"/>
              </w:rPr>
              <w:t>145</w:t>
            </w:r>
          </w:p>
        </w:tc>
      </w:tr>
      <w:tr w:rsidR="00FF05D2" w:rsidRPr="007B010A" w14:paraId="2D10CC11" w14:textId="77777777" w:rsidTr="008A27C5">
        <w:tc>
          <w:tcPr>
            <w:tcW w:w="3964" w:type="dxa"/>
            <w:vAlign w:val="bottom"/>
          </w:tcPr>
          <w:p w14:paraId="2EBFFC6C" w14:textId="0F05F5DA" w:rsidR="00FF05D2" w:rsidRPr="00901D16" w:rsidRDefault="00FF05D2" w:rsidP="00FF05D2">
            <w:pPr>
              <w:jc w:val="both"/>
              <w:rPr>
                <w:sz w:val="22"/>
                <w:szCs w:val="22"/>
              </w:rPr>
            </w:pPr>
            <w:r w:rsidRPr="00901D16">
              <w:rPr>
                <w:sz w:val="22"/>
                <w:szCs w:val="22"/>
              </w:rPr>
              <w:t>Preiļu slimnīca</w:t>
            </w:r>
          </w:p>
        </w:tc>
        <w:tc>
          <w:tcPr>
            <w:tcW w:w="2552" w:type="dxa"/>
            <w:vAlign w:val="bottom"/>
          </w:tcPr>
          <w:p w14:paraId="16438471" w14:textId="15FC6FA9" w:rsidR="00FF05D2" w:rsidRPr="00901D16" w:rsidRDefault="00FF05D2" w:rsidP="008A27C5">
            <w:pPr>
              <w:jc w:val="center"/>
              <w:rPr>
                <w:sz w:val="22"/>
                <w:szCs w:val="22"/>
              </w:rPr>
            </w:pPr>
            <w:r w:rsidRPr="00901D16">
              <w:rPr>
                <w:sz w:val="22"/>
                <w:szCs w:val="22"/>
              </w:rPr>
              <w:t>11 021</w:t>
            </w:r>
          </w:p>
        </w:tc>
        <w:tc>
          <w:tcPr>
            <w:tcW w:w="2545" w:type="dxa"/>
            <w:vAlign w:val="bottom"/>
          </w:tcPr>
          <w:p w14:paraId="373CA849" w14:textId="45038987" w:rsidR="00FF05D2" w:rsidRPr="00901D16" w:rsidRDefault="00FF05D2" w:rsidP="008A27C5">
            <w:pPr>
              <w:jc w:val="center"/>
              <w:rPr>
                <w:sz w:val="22"/>
                <w:szCs w:val="22"/>
              </w:rPr>
            </w:pPr>
            <w:r w:rsidRPr="00901D16">
              <w:rPr>
                <w:sz w:val="22"/>
                <w:szCs w:val="22"/>
              </w:rPr>
              <w:t>29</w:t>
            </w:r>
          </w:p>
        </w:tc>
      </w:tr>
      <w:tr w:rsidR="00FF05D2" w:rsidRPr="007B010A" w14:paraId="0CB7ECEF" w14:textId="77777777" w:rsidTr="008A27C5">
        <w:tc>
          <w:tcPr>
            <w:tcW w:w="3964" w:type="dxa"/>
            <w:vAlign w:val="bottom"/>
          </w:tcPr>
          <w:p w14:paraId="1C6F44AF" w14:textId="72B56630" w:rsidR="00FF05D2" w:rsidRPr="00901D16" w:rsidRDefault="00FF05D2" w:rsidP="00FF05D2">
            <w:pPr>
              <w:jc w:val="both"/>
              <w:rPr>
                <w:sz w:val="22"/>
                <w:szCs w:val="22"/>
              </w:rPr>
            </w:pPr>
            <w:r w:rsidRPr="00901D16">
              <w:rPr>
                <w:sz w:val="22"/>
                <w:szCs w:val="22"/>
              </w:rPr>
              <w:t>Krāslavas slimnīca</w:t>
            </w:r>
          </w:p>
        </w:tc>
        <w:tc>
          <w:tcPr>
            <w:tcW w:w="2552" w:type="dxa"/>
            <w:vAlign w:val="bottom"/>
          </w:tcPr>
          <w:p w14:paraId="73AAB9EC" w14:textId="10546A95" w:rsidR="00FF05D2" w:rsidRPr="00901D16" w:rsidRDefault="00FF05D2" w:rsidP="008A27C5">
            <w:pPr>
              <w:jc w:val="center"/>
              <w:rPr>
                <w:sz w:val="22"/>
                <w:szCs w:val="22"/>
              </w:rPr>
            </w:pPr>
            <w:r w:rsidRPr="00901D16">
              <w:rPr>
                <w:sz w:val="22"/>
                <w:szCs w:val="22"/>
              </w:rPr>
              <w:t>17 733</w:t>
            </w:r>
          </w:p>
        </w:tc>
        <w:tc>
          <w:tcPr>
            <w:tcW w:w="2545" w:type="dxa"/>
            <w:vAlign w:val="bottom"/>
          </w:tcPr>
          <w:p w14:paraId="77AB9675" w14:textId="33BFD8C3" w:rsidR="00FF05D2" w:rsidRPr="00901D16" w:rsidRDefault="00FF05D2" w:rsidP="008A27C5">
            <w:pPr>
              <w:jc w:val="center"/>
              <w:rPr>
                <w:sz w:val="22"/>
                <w:szCs w:val="22"/>
              </w:rPr>
            </w:pPr>
            <w:r w:rsidRPr="00901D16">
              <w:rPr>
                <w:sz w:val="22"/>
                <w:szCs w:val="22"/>
              </w:rPr>
              <w:t>46</w:t>
            </w:r>
          </w:p>
        </w:tc>
      </w:tr>
      <w:tr w:rsidR="00FF05D2" w:rsidRPr="007B010A" w14:paraId="249EF7DD" w14:textId="77777777" w:rsidTr="008A27C5">
        <w:tc>
          <w:tcPr>
            <w:tcW w:w="3964" w:type="dxa"/>
            <w:vAlign w:val="bottom"/>
          </w:tcPr>
          <w:p w14:paraId="518F84BC" w14:textId="341E2FE8" w:rsidR="00FF05D2" w:rsidRPr="00901D16" w:rsidRDefault="00FF05D2" w:rsidP="00FF05D2">
            <w:pPr>
              <w:jc w:val="both"/>
              <w:rPr>
                <w:sz w:val="22"/>
                <w:szCs w:val="22"/>
              </w:rPr>
            </w:pPr>
            <w:r w:rsidRPr="00901D16">
              <w:rPr>
                <w:sz w:val="22"/>
                <w:szCs w:val="22"/>
              </w:rPr>
              <w:t>Vidzemes slimnīca</w:t>
            </w:r>
          </w:p>
        </w:tc>
        <w:tc>
          <w:tcPr>
            <w:tcW w:w="2552" w:type="dxa"/>
            <w:vAlign w:val="bottom"/>
          </w:tcPr>
          <w:p w14:paraId="09E40621" w14:textId="118994D9" w:rsidR="00FF05D2" w:rsidRPr="00901D16" w:rsidRDefault="00FF05D2" w:rsidP="008A27C5">
            <w:pPr>
              <w:jc w:val="center"/>
              <w:rPr>
                <w:sz w:val="22"/>
                <w:szCs w:val="22"/>
              </w:rPr>
            </w:pPr>
            <w:r w:rsidRPr="00901D16">
              <w:rPr>
                <w:sz w:val="22"/>
                <w:szCs w:val="22"/>
              </w:rPr>
              <w:t>75 947</w:t>
            </w:r>
          </w:p>
        </w:tc>
        <w:tc>
          <w:tcPr>
            <w:tcW w:w="2545" w:type="dxa"/>
            <w:vAlign w:val="bottom"/>
          </w:tcPr>
          <w:p w14:paraId="0BCBCDB3" w14:textId="61EB7DB7" w:rsidR="00FF05D2" w:rsidRPr="00901D16" w:rsidRDefault="00FF05D2" w:rsidP="008A27C5">
            <w:pPr>
              <w:jc w:val="center"/>
              <w:rPr>
                <w:sz w:val="22"/>
                <w:szCs w:val="22"/>
              </w:rPr>
            </w:pPr>
            <w:r w:rsidRPr="00901D16">
              <w:rPr>
                <w:sz w:val="22"/>
                <w:szCs w:val="22"/>
              </w:rPr>
              <w:t>184</w:t>
            </w:r>
          </w:p>
        </w:tc>
      </w:tr>
      <w:tr w:rsidR="00FF05D2" w:rsidRPr="007B010A" w14:paraId="275722F5" w14:textId="77777777" w:rsidTr="008A27C5">
        <w:tc>
          <w:tcPr>
            <w:tcW w:w="3964" w:type="dxa"/>
            <w:vAlign w:val="bottom"/>
          </w:tcPr>
          <w:p w14:paraId="237A09E1" w14:textId="0520A37D" w:rsidR="00FF05D2" w:rsidRPr="00901D16" w:rsidRDefault="00FF05D2" w:rsidP="00FF05D2">
            <w:pPr>
              <w:jc w:val="both"/>
              <w:rPr>
                <w:sz w:val="22"/>
                <w:szCs w:val="22"/>
              </w:rPr>
            </w:pPr>
            <w:r w:rsidRPr="00901D16">
              <w:rPr>
                <w:sz w:val="22"/>
                <w:szCs w:val="22"/>
              </w:rPr>
              <w:t>Madonas slimnīca</w:t>
            </w:r>
          </w:p>
        </w:tc>
        <w:tc>
          <w:tcPr>
            <w:tcW w:w="2552" w:type="dxa"/>
            <w:vAlign w:val="bottom"/>
          </w:tcPr>
          <w:p w14:paraId="1BD9CF20" w14:textId="661FFD94" w:rsidR="00FF05D2" w:rsidRPr="00901D16" w:rsidRDefault="00FF05D2" w:rsidP="008A27C5">
            <w:pPr>
              <w:jc w:val="center"/>
              <w:rPr>
                <w:sz w:val="22"/>
                <w:szCs w:val="22"/>
              </w:rPr>
            </w:pPr>
            <w:r w:rsidRPr="00901D16">
              <w:rPr>
                <w:sz w:val="22"/>
                <w:szCs w:val="22"/>
              </w:rPr>
              <w:t>10 637</w:t>
            </w:r>
          </w:p>
        </w:tc>
        <w:tc>
          <w:tcPr>
            <w:tcW w:w="2545" w:type="dxa"/>
            <w:vAlign w:val="bottom"/>
          </w:tcPr>
          <w:p w14:paraId="0DEBBA4F" w14:textId="2242BD42" w:rsidR="00FF05D2" w:rsidRPr="00901D16" w:rsidRDefault="00FF05D2" w:rsidP="008A27C5">
            <w:pPr>
              <w:jc w:val="center"/>
              <w:rPr>
                <w:sz w:val="22"/>
                <w:szCs w:val="22"/>
              </w:rPr>
            </w:pPr>
            <w:r w:rsidRPr="00901D16">
              <w:rPr>
                <w:sz w:val="22"/>
                <w:szCs w:val="22"/>
              </w:rPr>
              <w:t>25</w:t>
            </w:r>
          </w:p>
        </w:tc>
      </w:tr>
      <w:tr w:rsidR="00FF05D2" w:rsidRPr="007B010A" w14:paraId="070755B3" w14:textId="77777777" w:rsidTr="008A27C5">
        <w:tc>
          <w:tcPr>
            <w:tcW w:w="3964" w:type="dxa"/>
            <w:vAlign w:val="bottom"/>
          </w:tcPr>
          <w:p w14:paraId="76C31D64" w14:textId="502C9B78" w:rsidR="00FF05D2" w:rsidRPr="00901D16" w:rsidRDefault="00FF05D2" w:rsidP="00FF05D2">
            <w:pPr>
              <w:jc w:val="both"/>
              <w:rPr>
                <w:sz w:val="22"/>
                <w:szCs w:val="22"/>
              </w:rPr>
            </w:pPr>
            <w:r w:rsidRPr="00901D16">
              <w:rPr>
                <w:sz w:val="22"/>
                <w:szCs w:val="22"/>
              </w:rPr>
              <w:t>Balvu un Gulbenes slimnīcu apvienība</w:t>
            </w:r>
          </w:p>
        </w:tc>
        <w:tc>
          <w:tcPr>
            <w:tcW w:w="2552" w:type="dxa"/>
            <w:vAlign w:val="bottom"/>
          </w:tcPr>
          <w:p w14:paraId="364B88C1" w14:textId="7450122B" w:rsidR="00FF05D2" w:rsidRPr="00901D16" w:rsidRDefault="00FF05D2" w:rsidP="008A27C5">
            <w:pPr>
              <w:jc w:val="center"/>
              <w:rPr>
                <w:sz w:val="22"/>
                <w:szCs w:val="22"/>
              </w:rPr>
            </w:pPr>
            <w:r w:rsidRPr="00901D16">
              <w:rPr>
                <w:sz w:val="22"/>
                <w:szCs w:val="22"/>
              </w:rPr>
              <w:t>32 414</w:t>
            </w:r>
          </w:p>
        </w:tc>
        <w:tc>
          <w:tcPr>
            <w:tcW w:w="2545" w:type="dxa"/>
            <w:vAlign w:val="bottom"/>
          </w:tcPr>
          <w:p w14:paraId="0ACA1EAC" w14:textId="75635667" w:rsidR="00FF05D2" w:rsidRPr="00901D16" w:rsidRDefault="00FF05D2" w:rsidP="008A27C5">
            <w:pPr>
              <w:jc w:val="center"/>
              <w:rPr>
                <w:sz w:val="22"/>
                <w:szCs w:val="22"/>
              </w:rPr>
            </w:pPr>
            <w:r w:rsidRPr="00901D16">
              <w:rPr>
                <w:sz w:val="22"/>
                <w:szCs w:val="22"/>
              </w:rPr>
              <w:t>81</w:t>
            </w:r>
          </w:p>
        </w:tc>
      </w:tr>
      <w:tr w:rsidR="00FF05D2" w:rsidRPr="007B010A" w14:paraId="69C46C1E" w14:textId="77777777" w:rsidTr="008A27C5">
        <w:tc>
          <w:tcPr>
            <w:tcW w:w="3964" w:type="dxa"/>
            <w:vAlign w:val="bottom"/>
          </w:tcPr>
          <w:p w14:paraId="52A25EFB" w14:textId="5A55391D" w:rsidR="00FF05D2" w:rsidRPr="00901D16" w:rsidRDefault="00FF05D2" w:rsidP="00FF05D2">
            <w:pPr>
              <w:jc w:val="both"/>
              <w:rPr>
                <w:sz w:val="22"/>
                <w:szCs w:val="22"/>
              </w:rPr>
            </w:pPr>
            <w:proofErr w:type="spellStart"/>
            <w:r w:rsidRPr="00901D16">
              <w:rPr>
                <w:sz w:val="22"/>
                <w:szCs w:val="22"/>
              </w:rPr>
              <w:t>Cēsu</w:t>
            </w:r>
            <w:proofErr w:type="spellEnd"/>
            <w:r w:rsidRPr="00901D16">
              <w:rPr>
                <w:sz w:val="22"/>
                <w:szCs w:val="22"/>
              </w:rPr>
              <w:t xml:space="preserve"> klīnika</w:t>
            </w:r>
          </w:p>
        </w:tc>
        <w:tc>
          <w:tcPr>
            <w:tcW w:w="2552" w:type="dxa"/>
            <w:vAlign w:val="bottom"/>
          </w:tcPr>
          <w:p w14:paraId="3A22A591" w14:textId="3ED6020B" w:rsidR="00FF05D2" w:rsidRPr="00901D16" w:rsidRDefault="00FF05D2" w:rsidP="008A27C5">
            <w:pPr>
              <w:jc w:val="center"/>
              <w:rPr>
                <w:sz w:val="22"/>
                <w:szCs w:val="22"/>
              </w:rPr>
            </w:pPr>
            <w:r w:rsidRPr="00901D16">
              <w:rPr>
                <w:sz w:val="22"/>
                <w:szCs w:val="22"/>
              </w:rPr>
              <w:t>51 556</w:t>
            </w:r>
          </w:p>
        </w:tc>
        <w:tc>
          <w:tcPr>
            <w:tcW w:w="2545" w:type="dxa"/>
            <w:vAlign w:val="bottom"/>
          </w:tcPr>
          <w:p w14:paraId="5E36721B" w14:textId="7EF6ADEB" w:rsidR="00FF05D2" w:rsidRPr="00901D16" w:rsidRDefault="00FF05D2" w:rsidP="008A27C5">
            <w:pPr>
              <w:jc w:val="center"/>
              <w:rPr>
                <w:sz w:val="22"/>
                <w:szCs w:val="22"/>
              </w:rPr>
            </w:pPr>
            <w:r w:rsidRPr="00901D16">
              <w:rPr>
                <w:sz w:val="22"/>
                <w:szCs w:val="22"/>
              </w:rPr>
              <w:t>135</w:t>
            </w:r>
          </w:p>
        </w:tc>
      </w:tr>
      <w:tr w:rsidR="00FF05D2" w:rsidRPr="007B010A" w14:paraId="6FE39ECD" w14:textId="77777777" w:rsidTr="008A27C5">
        <w:tc>
          <w:tcPr>
            <w:tcW w:w="3964" w:type="dxa"/>
            <w:vAlign w:val="bottom"/>
          </w:tcPr>
          <w:p w14:paraId="2424CF71" w14:textId="127CE44E" w:rsidR="00FF05D2" w:rsidRPr="00901D16" w:rsidRDefault="00FF05D2" w:rsidP="00FF05D2">
            <w:pPr>
              <w:jc w:val="both"/>
              <w:rPr>
                <w:sz w:val="22"/>
                <w:szCs w:val="22"/>
              </w:rPr>
            </w:pPr>
            <w:r w:rsidRPr="00901D16">
              <w:rPr>
                <w:sz w:val="22"/>
                <w:szCs w:val="22"/>
              </w:rPr>
              <w:t>Alūksnes slimnīca</w:t>
            </w:r>
          </w:p>
        </w:tc>
        <w:tc>
          <w:tcPr>
            <w:tcW w:w="2552" w:type="dxa"/>
            <w:vAlign w:val="bottom"/>
          </w:tcPr>
          <w:p w14:paraId="3336EA22" w14:textId="331934BE" w:rsidR="00FF05D2" w:rsidRPr="00901D16" w:rsidRDefault="00FF05D2" w:rsidP="008A27C5">
            <w:pPr>
              <w:jc w:val="center"/>
              <w:rPr>
                <w:sz w:val="22"/>
                <w:szCs w:val="22"/>
              </w:rPr>
            </w:pPr>
            <w:r w:rsidRPr="00901D16">
              <w:rPr>
                <w:sz w:val="22"/>
                <w:szCs w:val="22"/>
              </w:rPr>
              <w:t>7 593</w:t>
            </w:r>
          </w:p>
        </w:tc>
        <w:tc>
          <w:tcPr>
            <w:tcW w:w="2545" w:type="dxa"/>
            <w:vAlign w:val="bottom"/>
          </w:tcPr>
          <w:p w14:paraId="5CC0EA26" w14:textId="587AFDFD" w:rsidR="00FF05D2" w:rsidRPr="00901D16" w:rsidRDefault="00FF05D2" w:rsidP="008A27C5">
            <w:pPr>
              <w:jc w:val="center"/>
              <w:rPr>
                <w:sz w:val="22"/>
                <w:szCs w:val="22"/>
              </w:rPr>
            </w:pPr>
            <w:r w:rsidRPr="00901D16">
              <w:rPr>
                <w:sz w:val="22"/>
                <w:szCs w:val="22"/>
              </w:rPr>
              <w:t>19</w:t>
            </w:r>
          </w:p>
        </w:tc>
      </w:tr>
      <w:tr w:rsidR="00FF05D2" w:rsidRPr="007B010A" w14:paraId="6D3CA93D" w14:textId="77777777" w:rsidTr="008A27C5">
        <w:tc>
          <w:tcPr>
            <w:tcW w:w="3964" w:type="dxa"/>
            <w:vAlign w:val="bottom"/>
          </w:tcPr>
          <w:p w14:paraId="625F66CB" w14:textId="5C4F44D9" w:rsidR="00FF05D2" w:rsidRPr="00901D16" w:rsidRDefault="00FF05D2" w:rsidP="00FF05D2">
            <w:pPr>
              <w:jc w:val="both"/>
              <w:rPr>
                <w:sz w:val="22"/>
                <w:szCs w:val="22"/>
              </w:rPr>
            </w:pPr>
            <w:r w:rsidRPr="00901D16">
              <w:rPr>
                <w:sz w:val="22"/>
                <w:szCs w:val="22"/>
              </w:rPr>
              <w:t>Jēkabpils reģionālā slimnīca</w:t>
            </w:r>
          </w:p>
        </w:tc>
        <w:tc>
          <w:tcPr>
            <w:tcW w:w="2552" w:type="dxa"/>
            <w:vAlign w:val="bottom"/>
          </w:tcPr>
          <w:p w14:paraId="00F76C8A" w14:textId="69092135" w:rsidR="00FF05D2" w:rsidRPr="00901D16" w:rsidRDefault="00FF05D2" w:rsidP="008A27C5">
            <w:pPr>
              <w:jc w:val="center"/>
              <w:rPr>
                <w:sz w:val="22"/>
                <w:szCs w:val="22"/>
              </w:rPr>
            </w:pPr>
            <w:r w:rsidRPr="00901D16">
              <w:rPr>
                <w:sz w:val="22"/>
                <w:szCs w:val="22"/>
              </w:rPr>
              <w:t>32 554</w:t>
            </w:r>
          </w:p>
        </w:tc>
        <w:tc>
          <w:tcPr>
            <w:tcW w:w="2545" w:type="dxa"/>
            <w:vAlign w:val="bottom"/>
          </w:tcPr>
          <w:p w14:paraId="2F0BA81A" w14:textId="016EC93A" w:rsidR="00FF05D2" w:rsidRPr="00901D16" w:rsidRDefault="00FF05D2" w:rsidP="008A27C5">
            <w:pPr>
              <w:jc w:val="center"/>
              <w:rPr>
                <w:sz w:val="22"/>
                <w:szCs w:val="22"/>
              </w:rPr>
            </w:pPr>
            <w:r w:rsidRPr="00901D16">
              <w:rPr>
                <w:sz w:val="22"/>
                <w:szCs w:val="22"/>
              </w:rPr>
              <w:t>85</w:t>
            </w:r>
          </w:p>
        </w:tc>
      </w:tr>
      <w:tr w:rsidR="00FF05D2" w:rsidRPr="007B010A" w14:paraId="0CE8CB60" w14:textId="77777777" w:rsidTr="008A27C5">
        <w:tc>
          <w:tcPr>
            <w:tcW w:w="3964" w:type="dxa"/>
            <w:vAlign w:val="bottom"/>
          </w:tcPr>
          <w:p w14:paraId="267BBB4A" w14:textId="681121BB" w:rsidR="00FF05D2" w:rsidRPr="00901D16" w:rsidRDefault="00FF05D2" w:rsidP="00FF05D2">
            <w:pPr>
              <w:jc w:val="both"/>
              <w:rPr>
                <w:sz w:val="22"/>
                <w:szCs w:val="22"/>
              </w:rPr>
            </w:pPr>
            <w:r w:rsidRPr="00901D16">
              <w:rPr>
                <w:sz w:val="22"/>
                <w:szCs w:val="22"/>
              </w:rPr>
              <w:t>Dobeles un apkārtnes slimnīca</w:t>
            </w:r>
          </w:p>
        </w:tc>
        <w:tc>
          <w:tcPr>
            <w:tcW w:w="2552" w:type="dxa"/>
            <w:vAlign w:val="bottom"/>
          </w:tcPr>
          <w:p w14:paraId="73CCDD8C" w14:textId="1E4BD356" w:rsidR="00FF05D2" w:rsidRPr="00901D16" w:rsidRDefault="00FF05D2" w:rsidP="008A27C5">
            <w:pPr>
              <w:jc w:val="center"/>
              <w:rPr>
                <w:sz w:val="22"/>
                <w:szCs w:val="22"/>
              </w:rPr>
            </w:pPr>
            <w:r w:rsidRPr="00901D16">
              <w:rPr>
                <w:sz w:val="22"/>
                <w:szCs w:val="22"/>
              </w:rPr>
              <w:t>20 385</w:t>
            </w:r>
          </w:p>
        </w:tc>
        <w:tc>
          <w:tcPr>
            <w:tcW w:w="2545" w:type="dxa"/>
            <w:vAlign w:val="bottom"/>
          </w:tcPr>
          <w:p w14:paraId="155C31A2" w14:textId="122A6248" w:rsidR="00FF05D2" w:rsidRPr="00901D16" w:rsidRDefault="00FF05D2" w:rsidP="008A27C5">
            <w:pPr>
              <w:jc w:val="center"/>
              <w:rPr>
                <w:sz w:val="22"/>
                <w:szCs w:val="22"/>
              </w:rPr>
            </w:pPr>
            <w:r w:rsidRPr="00901D16">
              <w:rPr>
                <w:sz w:val="22"/>
                <w:szCs w:val="22"/>
              </w:rPr>
              <w:t>49</w:t>
            </w:r>
          </w:p>
        </w:tc>
      </w:tr>
      <w:tr w:rsidR="00FF05D2" w:rsidRPr="007B010A" w14:paraId="38728D8D" w14:textId="77777777" w:rsidTr="008A27C5">
        <w:tc>
          <w:tcPr>
            <w:tcW w:w="3964" w:type="dxa"/>
            <w:vAlign w:val="bottom"/>
          </w:tcPr>
          <w:p w14:paraId="2CFF445A" w14:textId="7447E829" w:rsidR="00FF05D2" w:rsidRPr="00901D16" w:rsidRDefault="00FF05D2" w:rsidP="00FF05D2">
            <w:pPr>
              <w:jc w:val="both"/>
              <w:rPr>
                <w:sz w:val="22"/>
                <w:szCs w:val="22"/>
              </w:rPr>
            </w:pPr>
            <w:r w:rsidRPr="00901D16">
              <w:rPr>
                <w:sz w:val="22"/>
                <w:szCs w:val="22"/>
              </w:rPr>
              <w:t>Piejūras slimnīca</w:t>
            </w:r>
          </w:p>
        </w:tc>
        <w:tc>
          <w:tcPr>
            <w:tcW w:w="2552" w:type="dxa"/>
            <w:vAlign w:val="bottom"/>
          </w:tcPr>
          <w:p w14:paraId="57EE0A75" w14:textId="5DF73EFD" w:rsidR="00FF05D2" w:rsidRPr="00901D16" w:rsidRDefault="00FF05D2" w:rsidP="008A27C5">
            <w:pPr>
              <w:jc w:val="center"/>
              <w:rPr>
                <w:sz w:val="22"/>
                <w:szCs w:val="22"/>
              </w:rPr>
            </w:pPr>
            <w:r w:rsidRPr="00901D16">
              <w:rPr>
                <w:sz w:val="22"/>
                <w:szCs w:val="22"/>
              </w:rPr>
              <w:t>7 981</w:t>
            </w:r>
          </w:p>
        </w:tc>
        <w:tc>
          <w:tcPr>
            <w:tcW w:w="2545" w:type="dxa"/>
            <w:vAlign w:val="bottom"/>
          </w:tcPr>
          <w:p w14:paraId="62141B92" w14:textId="7F091E13" w:rsidR="00FF05D2" w:rsidRPr="00901D16" w:rsidRDefault="00FF05D2" w:rsidP="008A27C5">
            <w:pPr>
              <w:jc w:val="center"/>
              <w:rPr>
                <w:sz w:val="22"/>
                <w:szCs w:val="22"/>
              </w:rPr>
            </w:pPr>
            <w:r w:rsidRPr="00901D16">
              <w:rPr>
                <w:sz w:val="22"/>
                <w:szCs w:val="22"/>
              </w:rPr>
              <w:t>21</w:t>
            </w:r>
          </w:p>
        </w:tc>
      </w:tr>
      <w:tr w:rsidR="00FF05D2" w:rsidRPr="007B010A" w14:paraId="2B62053F" w14:textId="77777777" w:rsidTr="008A27C5">
        <w:tc>
          <w:tcPr>
            <w:tcW w:w="3964" w:type="dxa"/>
            <w:vAlign w:val="bottom"/>
          </w:tcPr>
          <w:p w14:paraId="54B99F78" w14:textId="05A255F3" w:rsidR="00FF05D2" w:rsidRPr="00901D16" w:rsidRDefault="00FF05D2" w:rsidP="00FF05D2">
            <w:pPr>
              <w:jc w:val="both"/>
              <w:rPr>
                <w:sz w:val="22"/>
                <w:szCs w:val="22"/>
              </w:rPr>
            </w:pPr>
            <w:r w:rsidRPr="00901D16">
              <w:rPr>
                <w:sz w:val="22"/>
                <w:szCs w:val="22"/>
              </w:rPr>
              <w:t>Rīgas 2.slimnīca</w:t>
            </w:r>
          </w:p>
        </w:tc>
        <w:tc>
          <w:tcPr>
            <w:tcW w:w="2552" w:type="dxa"/>
            <w:vAlign w:val="bottom"/>
          </w:tcPr>
          <w:p w14:paraId="7027A4B8" w14:textId="71386B50" w:rsidR="00FF05D2" w:rsidRPr="00901D16" w:rsidRDefault="00FF05D2" w:rsidP="008A27C5">
            <w:pPr>
              <w:jc w:val="center"/>
              <w:rPr>
                <w:sz w:val="22"/>
                <w:szCs w:val="22"/>
              </w:rPr>
            </w:pPr>
            <w:r w:rsidRPr="00901D16">
              <w:rPr>
                <w:sz w:val="22"/>
                <w:szCs w:val="22"/>
              </w:rPr>
              <w:t>74 948</w:t>
            </w:r>
          </w:p>
        </w:tc>
        <w:tc>
          <w:tcPr>
            <w:tcW w:w="2545" w:type="dxa"/>
            <w:vAlign w:val="bottom"/>
          </w:tcPr>
          <w:p w14:paraId="3BE716CA" w14:textId="1BD3B3E8" w:rsidR="00FF05D2" w:rsidRPr="00901D16" w:rsidRDefault="00FF05D2" w:rsidP="008A27C5">
            <w:pPr>
              <w:jc w:val="center"/>
              <w:rPr>
                <w:sz w:val="22"/>
                <w:szCs w:val="22"/>
              </w:rPr>
            </w:pPr>
            <w:r w:rsidRPr="00901D16">
              <w:rPr>
                <w:sz w:val="22"/>
                <w:szCs w:val="22"/>
              </w:rPr>
              <w:t>187</w:t>
            </w:r>
          </w:p>
        </w:tc>
      </w:tr>
      <w:tr w:rsidR="00FF05D2" w:rsidRPr="007B010A" w14:paraId="082F6C95" w14:textId="77777777" w:rsidTr="008A27C5">
        <w:tc>
          <w:tcPr>
            <w:tcW w:w="3964" w:type="dxa"/>
            <w:vAlign w:val="bottom"/>
          </w:tcPr>
          <w:p w14:paraId="57C2E327" w14:textId="3FC7F1DE" w:rsidR="00FF05D2" w:rsidRPr="00901D16" w:rsidRDefault="00FF05D2" w:rsidP="00FF05D2">
            <w:pPr>
              <w:jc w:val="both"/>
              <w:rPr>
                <w:sz w:val="22"/>
                <w:szCs w:val="22"/>
              </w:rPr>
            </w:pPr>
            <w:r w:rsidRPr="00901D16">
              <w:rPr>
                <w:sz w:val="22"/>
                <w:szCs w:val="22"/>
              </w:rPr>
              <w:t>Aizkraukles slimnīca</w:t>
            </w:r>
          </w:p>
        </w:tc>
        <w:tc>
          <w:tcPr>
            <w:tcW w:w="2552" w:type="dxa"/>
            <w:vAlign w:val="bottom"/>
          </w:tcPr>
          <w:p w14:paraId="6A913CC9" w14:textId="1C79E27D" w:rsidR="00FF05D2" w:rsidRPr="00901D16" w:rsidRDefault="00FF05D2" w:rsidP="008A27C5">
            <w:pPr>
              <w:jc w:val="center"/>
              <w:rPr>
                <w:sz w:val="22"/>
                <w:szCs w:val="22"/>
              </w:rPr>
            </w:pPr>
            <w:r w:rsidRPr="00901D16">
              <w:rPr>
                <w:sz w:val="22"/>
                <w:szCs w:val="22"/>
              </w:rPr>
              <w:t>217 976</w:t>
            </w:r>
          </w:p>
        </w:tc>
        <w:tc>
          <w:tcPr>
            <w:tcW w:w="2545" w:type="dxa"/>
            <w:vAlign w:val="bottom"/>
          </w:tcPr>
          <w:p w14:paraId="60D5E141" w14:textId="23A983DB" w:rsidR="00FF05D2" w:rsidRPr="00901D16" w:rsidRDefault="00FF05D2" w:rsidP="008A27C5">
            <w:pPr>
              <w:jc w:val="center"/>
              <w:rPr>
                <w:sz w:val="22"/>
                <w:szCs w:val="22"/>
              </w:rPr>
            </w:pPr>
            <w:r w:rsidRPr="00901D16">
              <w:rPr>
                <w:sz w:val="22"/>
                <w:szCs w:val="22"/>
              </w:rPr>
              <w:t>563</w:t>
            </w:r>
          </w:p>
        </w:tc>
      </w:tr>
      <w:tr w:rsidR="00FF05D2" w:rsidRPr="007B010A" w14:paraId="58996829" w14:textId="77777777" w:rsidTr="008A27C5">
        <w:tc>
          <w:tcPr>
            <w:tcW w:w="3964" w:type="dxa"/>
            <w:vAlign w:val="bottom"/>
          </w:tcPr>
          <w:p w14:paraId="58C1D237" w14:textId="74969A07" w:rsidR="00FF05D2" w:rsidRPr="00901D16" w:rsidRDefault="00FF05D2" w:rsidP="00FF05D2">
            <w:pPr>
              <w:jc w:val="both"/>
              <w:rPr>
                <w:sz w:val="22"/>
                <w:szCs w:val="22"/>
              </w:rPr>
            </w:pPr>
            <w:r w:rsidRPr="00901D16">
              <w:rPr>
                <w:sz w:val="22"/>
                <w:szCs w:val="22"/>
              </w:rPr>
              <w:t>Bauskas slimnīca</w:t>
            </w:r>
          </w:p>
        </w:tc>
        <w:tc>
          <w:tcPr>
            <w:tcW w:w="2552" w:type="dxa"/>
            <w:vAlign w:val="bottom"/>
          </w:tcPr>
          <w:p w14:paraId="1EAA7C46" w14:textId="0AF283CB" w:rsidR="00FF05D2" w:rsidRPr="00901D16" w:rsidRDefault="00FF05D2" w:rsidP="008A27C5">
            <w:pPr>
              <w:jc w:val="center"/>
              <w:rPr>
                <w:sz w:val="22"/>
                <w:szCs w:val="22"/>
              </w:rPr>
            </w:pPr>
            <w:r w:rsidRPr="00901D16">
              <w:rPr>
                <w:sz w:val="22"/>
                <w:szCs w:val="22"/>
              </w:rPr>
              <w:t>118 337</w:t>
            </w:r>
          </w:p>
        </w:tc>
        <w:tc>
          <w:tcPr>
            <w:tcW w:w="2545" w:type="dxa"/>
            <w:vAlign w:val="bottom"/>
          </w:tcPr>
          <w:p w14:paraId="0D6E3950" w14:textId="3934215B" w:rsidR="00FF05D2" w:rsidRPr="00901D16" w:rsidRDefault="00FF05D2" w:rsidP="008A27C5">
            <w:pPr>
              <w:jc w:val="center"/>
              <w:rPr>
                <w:sz w:val="22"/>
                <w:szCs w:val="22"/>
              </w:rPr>
            </w:pPr>
            <w:r w:rsidRPr="00901D16">
              <w:rPr>
                <w:sz w:val="22"/>
                <w:szCs w:val="22"/>
              </w:rPr>
              <w:t>283</w:t>
            </w:r>
          </w:p>
        </w:tc>
      </w:tr>
      <w:tr w:rsidR="00FF05D2" w:rsidRPr="007B010A" w14:paraId="17029BFC" w14:textId="77777777" w:rsidTr="008A27C5">
        <w:tc>
          <w:tcPr>
            <w:tcW w:w="3964" w:type="dxa"/>
            <w:vAlign w:val="bottom"/>
          </w:tcPr>
          <w:p w14:paraId="7BA82C46" w14:textId="509FEA37" w:rsidR="00FF05D2" w:rsidRPr="00901D16" w:rsidRDefault="00FF05D2" w:rsidP="00FF05D2">
            <w:pPr>
              <w:jc w:val="both"/>
              <w:rPr>
                <w:sz w:val="22"/>
                <w:szCs w:val="22"/>
              </w:rPr>
            </w:pPr>
            <w:r w:rsidRPr="00901D16">
              <w:rPr>
                <w:sz w:val="22"/>
                <w:szCs w:val="22"/>
              </w:rPr>
              <w:t>Līvānu slimnīca</w:t>
            </w:r>
          </w:p>
        </w:tc>
        <w:tc>
          <w:tcPr>
            <w:tcW w:w="2552" w:type="dxa"/>
            <w:vAlign w:val="bottom"/>
          </w:tcPr>
          <w:p w14:paraId="7DB7737C" w14:textId="14B6C6EF" w:rsidR="00FF05D2" w:rsidRPr="00901D16" w:rsidRDefault="00FF05D2" w:rsidP="008A27C5">
            <w:pPr>
              <w:jc w:val="center"/>
              <w:rPr>
                <w:sz w:val="22"/>
                <w:szCs w:val="22"/>
              </w:rPr>
            </w:pPr>
            <w:r w:rsidRPr="00901D16">
              <w:rPr>
                <w:sz w:val="22"/>
                <w:szCs w:val="22"/>
              </w:rPr>
              <w:t>152 403</w:t>
            </w:r>
          </w:p>
        </w:tc>
        <w:tc>
          <w:tcPr>
            <w:tcW w:w="2545" w:type="dxa"/>
            <w:vAlign w:val="bottom"/>
          </w:tcPr>
          <w:p w14:paraId="01D65835" w14:textId="1FF06DC3" w:rsidR="00FF05D2" w:rsidRPr="00901D16" w:rsidRDefault="00FF05D2" w:rsidP="008A27C5">
            <w:pPr>
              <w:jc w:val="center"/>
              <w:rPr>
                <w:sz w:val="22"/>
                <w:szCs w:val="22"/>
              </w:rPr>
            </w:pPr>
            <w:r w:rsidRPr="00901D16">
              <w:rPr>
                <w:sz w:val="22"/>
                <w:szCs w:val="22"/>
              </w:rPr>
              <w:t>370</w:t>
            </w:r>
          </w:p>
        </w:tc>
      </w:tr>
      <w:tr w:rsidR="00FF05D2" w:rsidRPr="007B010A" w14:paraId="400D18AA" w14:textId="77777777" w:rsidTr="008A27C5">
        <w:tc>
          <w:tcPr>
            <w:tcW w:w="3964" w:type="dxa"/>
            <w:vAlign w:val="bottom"/>
          </w:tcPr>
          <w:p w14:paraId="6F8E131B" w14:textId="21E91A92" w:rsidR="00FF05D2" w:rsidRPr="00901D16" w:rsidRDefault="00FF05D2" w:rsidP="00FF05D2">
            <w:pPr>
              <w:jc w:val="both"/>
              <w:rPr>
                <w:sz w:val="22"/>
                <w:szCs w:val="22"/>
              </w:rPr>
            </w:pPr>
            <w:r w:rsidRPr="00901D16">
              <w:rPr>
                <w:sz w:val="22"/>
                <w:szCs w:val="22"/>
              </w:rPr>
              <w:t>Ludzas medicīnas centrs</w:t>
            </w:r>
          </w:p>
        </w:tc>
        <w:tc>
          <w:tcPr>
            <w:tcW w:w="2552" w:type="dxa"/>
            <w:vAlign w:val="bottom"/>
          </w:tcPr>
          <w:p w14:paraId="387FF350" w14:textId="42FA7D8A" w:rsidR="00FF05D2" w:rsidRPr="00901D16" w:rsidRDefault="00FF05D2" w:rsidP="008A27C5">
            <w:pPr>
              <w:jc w:val="center"/>
              <w:rPr>
                <w:sz w:val="22"/>
                <w:szCs w:val="22"/>
              </w:rPr>
            </w:pPr>
            <w:r w:rsidRPr="00901D16">
              <w:rPr>
                <w:sz w:val="22"/>
                <w:szCs w:val="22"/>
              </w:rPr>
              <w:t>307 053</w:t>
            </w:r>
          </w:p>
        </w:tc>
        <w:tc>
          <w:tcPr>
            <w:tcW w:w="2545" w:type="dxa"/>
            <w:vAlign w:val="bottom"/>
          </w:tcPr>
          <w:p w14:paraId="1FA60B52" w14:textId="65AF932D" w:rsidR="00FF05D2" w:rsidRPr="00901D16" w:rsidRDefault="00FF05D2" w:rsidP="008A27C5">
            <w:pPr>
              <w:jc w:val="center"/>
              <w:rPr>
                <w:sz w:val="22"/>
                <w:szCs w:val="22"/>
              </w:rPr>
            </w:pPr>
            <w:r w:rsidRPr="00901D16">
              <w:rPr>
                <w:sz w:val="22"/>
                <w:szCs w:val="22"/>
              </w:rPr>
              <w:t>737</w:t>
            </w:r>
          </w:p>
        </w:tc>
      </w:tr>
      <w:tr w:rsidR="00FF05D2" w:rsidRPr="007B010A" w14:paraId="017FD947" w14:textId="77777777" w:rsidTr="008A27C5">
        <w:tc>
          <w:tcPr>
            <w:tcW w:w="3964" w:type="dxa"/>
            <w:vAlign w:val="bottom"/>
          </w:tcPr>
          <w:p w14:paraId="7F0C7710" w14:textId="06AD1DAC" w:rsidR="00FF05D2" w:rsidRPr="00901D16" w:rsidRDefault="00FF05D2" w:rsidP="00FF05D2">
            <w:pPr>
              <w:jc w:val="both"/>
              <w:rPr>
                <w:sz w:val="22"/>
                <w:szCs w:val="22"/>
              </w:rPr>
            </w:pPr>
            <w:r w:rsidRPr="00901D16">
              <w:rPr>
                <w:sz w:val="22"/>
                <w:szCs w:val="22"/>
              </w:rPr>
              <w:t>Saldus medicīnas centrs</w:t>
            </w:r>
          </w:p>
        </w:tc>
        <w:tc>
          <w:tcPr>
            <w:tcW w:w="2552" w:type="dxa"/>
            <w:vAlign w:val="bottom"/>
          </w:tcPr>
          <w:p w14:paraId="1C409481" w14:textId="1EAEF23F" w:rsidR="00FF05D2" w:rsidRPr="00901D16" w:rsidRDefault="00FF05D2" w:rsidP="008A27C5">
            <w:pPr>
              <w:jc w:val="center"/>
              <w:rPr>
                <w:sz w:val="22"/>
                <w:szCs w:val="22"/>
              </w:rPr>
            </w:pPr>
            <w:r w:rsidRPr="00901D16">
              <w:rPr>
                <w:sz w:val="22"/>
                <w:szCs w:val="22"/>
              </w:rPr>
              <w:t>59 514</w:t>
            </w:r>
          </w:p>
        </w:tc>
        <w:tc>
          <w:tcPr>
            <w:tcW w:w="2545" w:type="dxa"/>
            <w:vAlign w:val="bottom"/>
          </w:tcPr>
          <w:p w14:paraId="748DDDB8" w14:textId="1BAE0E2D" w:rsidR="00FF05D2" w:rsidRPr="00901D16" w:rsidRDefault="00FF05D2" w:rsidP="008A27C5">
            <w:pPr>
              <w:jc w:val="center"/>
              <w:rPr>
                <w:sz w:val="22"/>
                <w:szCs w:val="22"/>
              </w:rPr>
            </w:pPr>
            <w:r w:rsidRPr="00901D16">
              <w:rPr>
                <w:sz w:val="22"/>
                <w:szCs w:val="22"/>
              </w:rPr>
              <w:t>150</w:t>
            </w:r>
          </w:p>
        </w:tc>
      </w:tr>
      <w:tr w:rsidR="00FF05D2" w:rsidRPr="007B010A" w14:paraId="36A74B9C" w14:textId="77777777" w:rsidTr="008A27C5">
        <w:tc>
          <w:tcPr>
            <w:tcW w:w="3964" w:type="dxa"/>
            <w:vAlign w:val="bottom"/>
          </w:tcPr>
          <w:p w14:paraId="0833A2D8" w14:textId="45DC561D" w:rsidR="00FF05D2" w:rsidRPr="00901D16" w:rsidRDefault="00FF05D2" w:rsidP="00FF05D2">
            <w:pPr>
              <w:jc w:val="both"/>
              <w:rPr>
                <w:sz w:val="22"/>
                <w:szCs w:val="22"/>
              </w:rPr>
            </w:pPr>
            <w:r w:rsidRPr="00901D16">
              <w:rPr>
                <w:sz w:val="22"/>
                <w:szCs w:val="22"/>
              </w:rPr>
              <w:t>Limbažu slimnīca</w:t>
            </w:r>
          </w:p>
        </w:tc>
        <w:tc>
          <w:tcPr>
            <w:tcW w:w="2552" w:type="dxa"/>
            <w:vAlign w:val="bottom"/>
          </w:tcPr>
          <w:p w14:paraId="3FFAFC94" w14:textId="38902FEE" w:rsidR="00FF05D2" w:rsidRPr="00901D16" w:rsidRDefault="00FF05D2" w:rsidP="008A27C5">
            <w:pPr>
              <w:jc w:val="center"/>
              <w:rPr>
                <w:sz w:val="22"/>
                <w:szCs w:val="22"/>
              </w:rPr>
            </w:pPr>
            <w:r w:rsidRPr="00901D16">
              <w:rPr>
                <w:sz w:val="22"/>
                <w:szCs w:val="22"/>
              </w:rPr>
              <w:t>108 566</w:t>
            </w:r>
          </w:p>
        </w:tc>
        <w:tc>
          <w:tcPr>
            <w:tcW w:w="2545" w:type="dxa"/>
            <w:vAlign w:val="bottom"/>
          </w:tcPr>
          <w:p w14:paraId="1AB897E1" w14:textId="7F628C3E" w:rsidR="00FF05D2" w:rsidRPr="00901D16" w:rsidRDefault="00FF05D2" w:rsidP="008A27C5">
            <w:pPr>
              <w:jc w:val="center"/>
              <w:rPr>
                <w:sz w:val="22"/>
                <w:szCs w:val="22"/>
              </w:rPr>
            </w:pPr>
            <w:r w:rsidRPr="00901D16">
              <w:rPr>
                <w:sz w:val="22"/>
                <w:szCs w:val="22"/>
              </w:rPr>
              <w:t>253</w:t>
            </w:r>
          </w:p>
        </w:tc>
      </w:tr>
      <w:tr w:rsidR="00FF05D2" w:rsidRPr="007B010A" w14:paraId="6985D524" w14:textId="77777777" w:rsidTr="008A27C5">
        <w:tc>
          <w:tcPr>
            <w:tcW w:w="3964" w:type="dxa"/>
          </w:tcPr>
          <w:p w14:paraId="73C1552A" w14:textId="5E576B89" w:rsidR="00FF05D2" w:rsidRPr="00901D16" w:rsidRDefault="00FF05D2" w:rsidP="00FF05D2">
            <w:pPr>
              <w:jc w:val="both"/>
              <w:rPr>
                <w:sz w:val="22"/>
                <w:szCs w:val="22"/>
              </w:rPr>
            </w:pPr>
            <w:r w:rsidRPr="00901D16">
              <w:rPr>
                <w:sz w:val="22"/>
                <w:szCs w:val="22"/>
              </w:rPr>
              <w:t>Kopā programma "Hroniskā aprūpe"</w:t>
            </w:r>
          </w:p>
        </w:tc>
        <w:tc>
          <w:tcPr>
            <w:tcW w:w="2552" w:type="dxa"/>
          </w:tcPr>
          <w:p w14:paraId="5AED2B43" w14:textId="4EBFA65A" w:rsidR="00FF05D2" w:rsidRPr="00901D16" w:rsidRDefault="00FF05D2" w:rsidP="008A27C5">
            <w:pPr>
              <w:jc w:val="center"/>
              <w:rPr>
                <w:b/>
                <w:sz w:val="22"/>
                <w:szCs w:val="22"/>
              </w:rPr>
            </w:pPr>
            <w:r w:rsidRPr="00901D16">
              <w:rPr>
                <w:b/>
                <w:sz w:val="22"/>
                <w:szCs w:val="22"/>
              </w:rPr>
              <w:t>2 086 638</w:t>
            </w:r>
          </w:p>
        </w:tc>
        <w:tc>
          <w:tcPr>
            <w:tcW w:w="2545" w:type="dxa"/>
          </w:tcPr>
          <w:p w14:paraId="57A17EAF" w14:textId="46EEC288" w:rsidR="00FF05D2" w:rsidRPr="00901D16" w:rsidRDefault="00FF05D2" w:rsidP="008A27C5">
            <w:pPr>
              <w:jc w:val="center"/>
              <w:rPr>
                <w:b/>
                <w:sz w:val="22"/>
                <w:szCs w:val="22"/>
              </w:rPr>
            </w:pPr>
            <w:r w:rsidRPr="00901D16">
              <w:rPr>
                <w:b/>
                <w:sz w:val="22"/>
                <w:szCs w:val="22"/>
              </w:rPr>
              <w:t>5 181</w:t>
            </w:r>
          </w:p>
        </w:tc>
      </w:tr>
    </w:tbl>
    <w:p w14:paraId="1DB7810C" w14:textId="77777777" w:rsidR="0078375E" w:rsidRPr="007B010A" w:rsidRDefault="0078375E" w:rsidP="00304257">
      <w:pPr>
        <w:ind w:firstLine="720"/>
        <w:jc w:val="both"/>
      </w:pPr>
    </w:p>
    <w:p w14:paraId="7D0BDD3C" w14:textId="4198DE36" w:rsidR="0053560F" w:rsidRPr="007B010A" w:rsidRDefault="0053560F" w:rsidP="00304257">
      <w:pPr>
        <w:ind w:firstLine="720"/>
        <w:jc w:val="both"/>
      </w:pPr>
      <w:r w:rsidRPr="007B010A">
        <w:t xml:space="preserve">Ņemot vērā to, ka plānotā pakalpojuma apjoma realizāciju kavēja ne tikai </w:t>
      </w:r>
      <w:r w:rsidR="000F0B96" w:rsidRPr="007B010A">
        <w:t xml:space="preserve">veselības aprūpes pakalpojuma </w:t>
      </w:r>
      <w:r w:rsidRPr="007B010A">
        <w:t>uzsākšanas termiņš, bet arī reālā slimnīcu gatavība uzņemt šos konkrētos pacientus un nodrošin</w:t>
      </w:r>
      <w:r w:rsidR="00EF2261">
        <w:t>ā</w:t>
      </w:r>
      <w:r w:rsidRPr="007B010A">
        <w:t>t tiem nepieciešamo veselības aprūpi</w:t>
      </w:r>
      <w:r w:rsidR="000F0B96" w:rsidRPr="007B010A">
        <w:t xml:space="preserve">, līdz ar to atbilstoši 2018.gada faktiskajai izpildei 5 181 pacients </w:t>
      </w:r>
      <w:r w:rsidR="00EF2261">
        <w:t xml:space="preserve">ar hronisku saslimšanu </w:t>
      </w:r>
      <w:r w:rsidR="000F0B96" w:rsidRPr="007B010A">
        <w:t xml:space="preserve">saņēma aprūpi par kopējo summu 2 086 638 </w:t>
      </w:r>
      <w:proofErr w:type="spellStart"/>
      <w:r w:rsidR="000F0B96" w:rsidRPr="007B010A">
        <w:rPr>
          <w:i/>
        </w:rPr>
        <w:t>euro</w:t>
      </w:r>
      <w:proofErr w:type="spellEnd"/>
      <w:r w:rsidR="000F0B96" w:rsidRPr="007B010A">
        <w:t xml:space="preserve"> (13.tabula), līdz ar to nodrošinot 76,74% finansējuma izpildi no plānotā apjoma.</w:t>
      </w:r>
    </w:p>
    <w:p w14:paraId="314B05F0" w14:textId="69A18B51" w:rsidR="000F0B96" w:rsidRPr="007B010A" w:rsidRDefault="000F0B96" w:rsidP="000F0B96">
      <w:pPr>
        <w:ind w:firstLine="720"/>
        <w:jc w:val="both"/>
      </w:pPr>
      <w:r w:rsidRPr="007B010A">
        <w:t xml:space="preserve">Savukārt NVD slimnīcu aptaujas 2018.gada nogales  dati liecina, ka 2019.gadā hronisko pacientu aprūpe tiks nodrošināta pilnā apmērā, atbilstoši plānotajam, jo tās ir apzinājušas </w:t>
      </w:r>
      <w:r w:rsidR="0018631D" w:rsidRPr="007B010A">
        <w:t>nepieciešamos resursus</w:t>
      </w:r>
      <w:r w:rsidRPr="007B010A">
        <w:t>, lai pilnvērtīgi nodrošinātu hronisko pacientu aprūpi.</w:t>
      </w:r>
    </w:p>
    <w:p w14:paraId="3D3ADD6A" w14:textId="77777777" w:rsidR="00D923AA" w:rsidRPr="007B010A" w:rsidRDefault="00D923AA" w:rsidP="001731CD">
      <w:pPr>
        <w:autoSpaceDE w:val="0"/>
        <w:autoSpaceDN w:val="0"/>
        <w:adjustRightInd w:val="0"/>
        <w:spacing w:line="293" w:lineRule="atLeast"/>
      </w:pPr>
    </w:p>
    <w:p w14:paraId="01540E91" w14:textId="77777777" w:rsidR="000D0D8A" w:rsidRPr="007B010A" w:rsidRDefault="000D0D8A" w:rsidP="00D923AA">
      <w:pPr>
        <w:autoSpaceDE w:val="0"/>
        <w:autoSpaceDN w:val="0"/>
        <w:adjustRightInd w:val="0"/>
        <w:spacing w:line="293" w:lineRule="atLeast"/>
        <w:jc w:val="center"/>
      </w:pPr>
    </w:p>
    <w:p w14:paraId="164CFC95" w14:textId="75AFE986" w:rsidR="00D923AA" w:rsidRPr="007B010A" w:rsidRDefault="00D923AA" w:rsidP="00D923AA">
      <w:pPr>
        <w:autoSpaceDE w:val="0"/>
        <w:autoSpaceDN w:val="0"/>
        <w:adjustRightInd w:val="0"/>
        <w:spacing w:line="293" w:lineRule="atLeast"/>
        <w:jc w:val="center"/>
      </w:pPr>
      <w:r w:rsidRPr="007B010A">
        <w:t>2.2. Onkoloģija</w:t>
      </w:r>
    </w:p>
    <w:p w14:paraId="2282A823" w14:textId="7D0F64E7" w:rsidR="00D923AA" w:rsidRPr="007B010A" w:rsidRDefault="00D923AA" w:rsidP="00D923AA">
      <w:pPr>
        <w:jc w:val="center"/>
        <w:rPr>
          <w:u w:val="single"/>
        </w:rPr>
      </w:pPr>
      <w:r w:rsidRPr="007B010A">
        <w:rPr>
          <w:u w:val="single"/>
        </w:rPr>
        <w:t>Primārā diagnostika</w:t>
      </w:r>
    </w:p>
    <w:p w14:paraId="09790F8C" w14:textId="77777777" w:rsidR="00D923AA" w:rsidRPr="007B010A" w:rsidRDefault="00D923AA" w:rsidP="00D923AA">
      <w:pPr>
        <w:jc w:val="both"/>
        <w:rPr>
          <w:u w:val="single"/>
        </w:rPr>
      </w:pPr>
    </w:p>
    <w:p w14:paraId="0456369E" w14:textId="77C45705" w:rsidR="00D923AA" w:rsidRPr="007B010A" w:rsidRDefault="00D923AA" w:rsidP="00D923AA">
      <w:pPr>
        <w:ind w:firstLine="720"/>
        <w:jc w:val="both"/>
      </w:pPr>
      <w:r w:rsidRPr="007B010A">
        <w:t xml:space="preserve">2018.gadā tika prognozēts, ka papildus 22 tūkst. pacientiem tiks veikti  onkoloģisko slimību primārās diagnostikas algoritmos iekļautie izmeklējumi ļaundabīgo audzēju prioritārai </w:t>
      </w:r>
      <w:r w:rsidRPr="007B010A">
        <w:lastRenderedPageBreak/>
        <w:t xml:space="preserve">diagnostikai noteiktās lokalizācijās. No 2017. gada 1.janvāra tika ieviesti primārās diagnostikas algoritmi šādās lokalizācijās- krūts, priekšdziedzeris, āda, izņemot </w:t>
      </w:r>
      <w:proofErr w:type="spellStart"/>
      <w:r w:rsidRPr="007B010A">
        <w:t>melanomu</w:t>
      </w:r>
      <w:proofErr w:type="spellEnd"/>
      <w:r w:rsidRPr="007B010A">
        <w:t xml:space="preserve">, resnā un taisnā zarna, bronhi un plaušas, kuņģis, nieres, urīnpūslis, aizkuņģa dziedzeris, dzemdes ķermenis, olnīcas, kuras tika papildinātas no 2017.gada 3.novembra ar sekojošām lokalizācijām - lūpas, mutes dobums, rīkles mutes daļa, vairogdziedzeris, āda, ja ir aizdomas par </w:t>
      </w:r>
      <w:proofErr w:type="spellStart"/>
      <w:r w:rsidRPr="007B010A">
        <w:t>melanomu</w:t>
      </w:r>
      <w:proofErr w:type="spellEnd"/>
      <w:r w:rsidRPr="007B010A">
        <w:t xml:space="preserve">, aknas, </w:t>
      </w:r>
      <w:proofErr w:type="spellStart"/>
      <w:r w:rsidRPr="007B010A">
        <w:t>žultsceļi</w:t>
      </w:r>
      <w:proofErr w:type="spellEnd"/>
      <w:r w:rsidRPr="007B010A">
        <w:t xml:space="preserve">, </w:t>
      </w:r>
      <w:proofErr w:type="spellStart"/>
      <w:r w:rsidRPr="007B010A">
        <w:t>žūltpūslis</w:t>
      </w:r>
      <w:proofErr w:type="spellEnd"/>
      <w:r w:rsidRPr="007B010A">
        <w:t xml:space="preserve">, tūplis, centrālā nervu sistēma. </w:t>
      </w:r>
      <w:r w:rsidR="000369D8" w:rsidRPr="007B010A">
        <w:t xml:space="preserve">Savukārt </w:t>
      </w:r>
      <w:r w:rsidR="000369D8" w:rsidRPr="007B010A">
        <w:rPr>
          <w:shd w:val="clear" w:color="auto" w:fill="FFFFFF"/>
        </w:rPr>
        <w:t>n</w:t>
      </w:r>
      <w:r w:rsidRPr="007B010A">
        <w:rPr>
          <w:shd w:val="clear" w:color="auto" w:fill="FFFFFF"/>
        </w:rPr>
        <w:t>o 2018. gada 1. janvāra “Zaļajā koridorā” ir iekļautas visas onkoloģisko slimību lokalizācijas un rezultātā ir nodrošināta visu lokalizāciju ļaundabīgo audzēju diagnostikai nepieciešamo izmeklējumu un ārstu konsultāciju apmaksa prioritārā kārtībā.</w:t>
      </w:r>
    </w:p>
    <w:p w14:paraId="7A7A0D2F" w14:textId="424B44C4" w:rsidR="00D923AA" w:rsidRPr="007B010A" w:rsidRDefault="00D923AA" w:rsidP="00780965">
      <w:pPr>
        <w:jc w:val="right"/>
        <w:rPr>
          <w:i/>
        </w:rPr>
      </w:pPr>
      <w:r w:rsidRPr="007B010A">
        <w:rPr>
          <w:i/>
        </w:rPr>
        <w:t>1</w:t>
      </w:r>
      <w:r w:rsidR="00AF0BE2" w:rsidRPr="007B010A">
        <w:rPr>
          <w:i/>
        </w:rPr>
        <w:t>4</w:t>
      </w:r>
      <w:r w:rsidRPr="007B010A">
        <w:rPr>
          <w:i/>
        </w:rPr>
        <w:t xml:space="preserve">.tabula </w:t>
      </w:r>
    </w:p>
    <w:p w14:paraId="3758B059" w14:textId="5C99E70C" w:rsidR="00D923AA" w:rsidRPr="007B010A" w:rsidRDefault="00D923AA" w:rsidP="002923D0">
      <w:pPr>
        <w:jc w:val="center"/>
      </w:pPr>
      <w:r w:rsidRPr="007B010A">
        <w:t>Primārās diagnostikas algoritmu ieviešanas 2018.gada izpilde</w:t>
      </w:r>
    </w:p>
    <w:p w14:paraId="60720BF0" w14:textId="77777777" w:rsidR="00D923AA" w:rsidRPr="007B010A" w:rsidRDefault="00D923AA" w:rsidP="00D923AA">
      <w:pPr>
        <w:jc w:val="center"/>
      </w:pPr>
    </w:p>
    <w:tbl>
      <w:tblPr>
        <w:tblW w:w="9351" w:type="dxa"/>
        <w:jc w:val="center"/>
        <w:tblLook w:val="04A0" w:firstRow="1" w:lastRow="0" w:firstColumn="1" w:lastColumn="0" w:noHBand="0" w:noVBand="1"/>
      </w:tblPr>
      <w:tblGrid>
        <w:gridCol w:w="1574"/>
        <w:gridCol w:w="1275"/>
        <w:gridCol w:w="1418"/>
        <w:gridCol w:w="1134"/>
        <w:gridCol w:w="1257"/>
        <w:gridCol w:w="1417"/>
        <w:gridCol w:w="1276"/>
      </w:tblGrid>
      <w:tr w:rsidR="00D923AA" w:rsidRPr="007B010A" w14:paraId="064F20FF" w14:textId="77777777" w:rsidTr="00376CF0">
        <w:trPr>
          <w:trHeight w:val="600"/>
          <w:jc w:val="center"/>
        </w:trPr>
        <w:tc>
          <w:tcPr>
            <w:tcW w:w="157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240EC94" w14:textId="77777777" w:rsidR="00D923AA" w:rsidRPr="007B010A" w:rsidRDefault="00D923AA" w:rsidP="00376CF0">
            <w:pPr>
              <w:jc w:val="center"/>
              <w:rPr>
                <w:b/>
                <w:bCs/>
                <w:sz w:val="22"/>
                <w:szCs w:val="22"/>
              </w:rPr>
            </w:pPr>
            <w:r w:rsidRPr="007B010A">
              <w:rPr>
                <w:b/>
                <w:bCs/>
                <w:sz w:val="22"/>
                <w:szCs w:val="22"/>
              </w:rPr>
              <w:t>Primārās diagnostikas algoritmu ieviešana</w:t>
            </w:r>
          </w:p>
        </w:tc>
        <w:tc>
          <w:tcPr>
            <w:tcW w:w="3827"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5FC09CF1" w14:textId="77777777" w:rsidR="00D923AA" w:rsidRPr="007B010A" w:rsidRDefault="00D923AA" w:rsidP="00376CF0">
            <w:pPr>
              <w:jc w:val="center"/>
              <w:rPr>
                <w:sz w:val="22"/>
                <w:szCs w:val="22"/>
              </w:rPr>
            </w:pPr>
            <w:r w:rsidRPr="007B010A">
              <w:rPr>
                <w:sz w:val="22"/>
                <w:szCs w:val="22"/>
              </w:rPr>
              <w:t>Plānotais ārstējamo unikālo onkoloģisko pacientu apjoms</w:t>
            </w:r>
          </w:p>
        </w:tc>
        <w:tc>
          <w:tcPr>
            <w:tcW w:w="3950"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7B51A5B6" w14:textId="77777777" w:rsidR="00D923AA" w:rsidRPr="007B010A" w:rsidRDefault="00D923AA" w:rsidP="00376CF0">
            <w:pPr>
              <w:jc w:val="center"/>
              <w:rPr>
                <w:sz w:val="22"/>
                <w:szCs w:val="22"/>
              </w:rPr>
            </w:pPr>
            <w:r w:rsidRPr="007B010A">
              <w:rPr>
                <w:sz w:val="22"/>
                <w:szCs w:val="22"/>
              </w:rPr>
              <w:t>Faktiskā izpilde ārstējamo unikālo onkoloģisko pacientu apjomam</w:t>
            </w:r>
          </w:p>
        </w:tc>
      </w:tr>
      <w:tr w:rsidR="00D923AA" w:rsidRPr="007B010A" w14:paraId="54F7EC2A" w14:textId="77777777" w:rsidTr="00376CF0">
        <w:trPr>
          <w:trHeight w:val="1350"/>
          <w:jc w:val="center"/>
        </w:trPr>
        <w:tc>
          <w:tcPr>
            <w:tcW w:w="1574" w:type="dxa"/>
            <w:vMerge/>
            <w:tcBorders>
              <w:top w:val="single" w:sz="4" w:space="0" w:color="auto"/>
              <w:left w:val="single" w:sz="4" w:space="0" w:color="auto"/>
              <w:bottom w:val="single" w:sz="4" w:space="0" w:color="auto"/>
              <w:right w:val="single" w:sz="4" w:space="0" w:color="auto"/>
            </w:tcBorders>
            <w:vAlign w:val="center"/>
            <w:hideMark/>
          </w:tcPr>
          <w:p w14:paraId="24B17D14" w14:textId="77777777" w:rsidR="00D923AA" w:rsidRPr="007B010A" w:rsidRDefault="00D923AA" w:rsidP="00376CF0">
            <w:pPr>
              <w:rPr>
                <w:b/>
                <w:bCs/>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481822B6" w14:textId="6D1A6238" w:rsidR="00D923AA" w:rsidRPr="007B010A" w:rsidRDefault="00D923AA" w:rsidP="00376CF0">
            <w:pPr>
              <w:jc w:val="center"/>
              <w:rPr>
                <w:sz w:val="22"/>
                <w:szCs w:val="22"/>
              </w:rPr>
            </w:pPr>
            <w:r w:rsidRPr="007B010A">
              <w:rPr>
                <w:sz w:val="22"/>
                <w:szCs w:val="22"/>
              </w:rPr>
              <w:t xml:space="preserve">Plānotais pacientu skaits </w:t>
            </w:r>
            <w:r w:rsidR="00485D70" w:rsidRPr="007B010A">
              <w:rPr>
                <w:sz w:val="22"/>
                <w:szCs w:val="22"/>
              </w:rPr>
              <w:t>2018.</w:t>
            </w:r>
            <w:r w:rsidRPr="007B010A">
              <w:rPr>
                <w:sz w:val="22"/>
                <w:szCs w:val="22"/>
              </w:rPr>
              <w:t>gadā</w:t>
            </w:r>
          </w:p>
        </w:tc>
        <w:tc>
          <w:tcPr>
            <w:tcW w:w="141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0F86DAB" w14:textId="0771572A"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iCs/>
                <w:sz w:val="22"/>
                <w:szCs w:val="22"/>
              </w:rPr>
              <w:t>euro</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59412E3" w14:textId="77777777"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iCs/>
                <w:sz w:val="22"/>
                <w:szCs w:val="22"/>
              </w:rPr>
              <w:t>euro</w:t>
            </w:r>
            <w:proofErr w:type="spellEnd"/>
          </w:p>
        </w:tc>
        <w:tc>
          <w:tcPr>
            <w:tcW w:w="125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CA5592C" w14:textId="17419B04" w:rsidR="00D923AA" w:rsidRPr="007B010A" w:rsidRDefault="00D923AA" w:rsidP="00376CF0">
            <w:pPr>
              <w:jc w:val="center"/>
              <w:rPr>
                <w:sz w:val="22"/>
                <w:szCs w:val="22"/>
              </w:rPr>
            </w:pPr>
            <w:r w:rsidRPr="007B010A">
              <w:rPr>
                <w:sz w:val="22"/>
                <w:szCs w:val="22"/>
              </w:rPr>
              <w:t>Pacientu skaita pieaugums 2018.gadā</w:t>
            </w:r>
          </w:p>
        </w:tc>
        <w:tc>
          <w:tcPr>
            <w:tcW w:w="1417"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E5AA422" w14:textId="4AE4B242"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iCs/>
                <w:sz w:val="22"/>
                <w:szCs w:val="22"/>
              </w:rPr>
              <w:t>euro</w:t>
            </w:r>
            <w:proofErr w:type="spellEnd"/>
          </w:p>
        </w:tc>
        <w:tc>
          <w:tcPr>
            <w:tcW w:w="1276" w:type="dxa"/>
            <w:tcBorders>
              <w:top w:val="nil"/>
              <w:left w:val="single" w:sz="4" w:space="0" w:color="auto"/>
              <w:bottom w:val="single" w:sz="8" w:space="0" w:color="auto"/>
              <w:right w:val="single" w:sz="8" w:space="0" w:color="auto"/>
            </w:tcBorders>
            <w:shd w:val="clear" w:color="000000" w:fill="FCE4D6"/>
            <w:vAlign w:val="center"/>
            <w:hideMark/>
          </w:tcPr>
          <w:p w14:paraId="36577A34" w14:textId="42976498"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iCs/>
                <w:sz w:val="22"/>
                <w:szCs w:val="22"/>
              </w:rPr>
              <w:t>euro</w:t>
            </w:r>
            <w:proofErr w:type="spellEnd"/>
          </w:p>
        </w:tc>
      </w:tr>
      <w:tr w:rsidR="00D923AA" w:rsidRPr="007B010A" w14:paraId="1703268A" w14:textId="77777777" w:rsidTr="00376CF0">
        <w:trPr>
          <w:trHeight w:val="315"/>
          <w:jc w:val="center"/>
        </w:trPr>
        <w:tc>
          <w:tcPr>
            <w:tcW w:w="1574"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62BE7D7" w14:textId="44FAF429" w:rsidR="00D923AA" w:rsidRPr="007B010A" w:rsidRDefault="00B14022" w:rsidP="00376CF0">
            <w:pPr>
              <w:jc w:val="center"/>
              <w:rPr>
                <w:sz w:val="22"/>
                <w:szCs w:val="22"/>
              </w:rPr>
            </w:pPr>
            <w:r w:rsidRPr="007B010A">
              <w:rPr>
                <w:sz w:val="22"/>
                <w:szCs w:val="22"/>
              </w:rPr>
              <w:t>69</w:t>
            </w:r>
            <w:r w:rsidR="00D923AA" w:rsidRPr="007B010A">
              <w:rPr>
                <w:sz w:val="22"/>
                <w:szCs w:val="22"/>
              </w:rPr>
              <w:t xml:space="preserve"> ārstniecības iestādes</w:t>
            </w:r>
          </w:p>
        </w:tc>
        <w:tc>
          <w:tcPr>
            <w:tcW w:w="1275" w:type="dxa"/>
            <w:tcBorders>
              <w:top w:val="single" w:sz="4" w:space="0" w:color="auto"/>
              <w:left w:val="nil"/>
              <w:bottom w:val="single" w:sz="8" w:space="0" w:color="auto"/>
              <w:right w:val="single" w:sz="8" w:space="0" w:color="auto"/>
            </w:tcBorders>
            <w:shd w:val="clear" w:color="auto" w:fill="auto"/>
            <w:noWrap/>
            <w:vAlign w:val="center"/>
            <w:hideMark/>
          </w:tcPr>
          <w:p w14:paraId="1D6A021E" w14:textId="62FFB937" w:rsidR="00D923AA" w:rsidRPr="007B010A" w:rsidRDefault="00D923AA" w:rsidP="00376CF0">
            <w:pPr>
              <w:jc w:val="center"/>
              <w:rPr>
                <w:sz w:val="22"/>
                <w:szCs w:val="22"/>
              </w:rPr>
            </w:pPr>
            <w:r w:rsidRPr="007B010A">
              <w:rPr>
                <w:sz w:val="22"/>
                <w:szCs w:val="22"/>
              </w:rPr>
              <w:t>22</w:t>
            </w:r>
            <w:r w:rsidR="00582976" w:rsidRPr="007B010A">
              <w:rPr>
                <w:sz w:val="22"/>
                <w:szCs w:val="22"/>
              </w:rPr>
              <w:t> </w:t>
            </w:r>
            <w:r w:rsidRPr="007B010A">
              <w:rPr>
                <w:sz w:val="22"/>
                <w:szCs w:val="22"/>
              </w:rPr>
              <w:t>000</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06DFF8AB" w14:textId="3061A69B" w:rsidR="00D923AA" w:rsidRPr="007B010A" w:rsidRDefault="00D923AA" w:rsidP="00376CF0">
            <w:pPr>
              <w:jc w:val="center"/>
              <w:rPr>
                <w:sz w:val="22"/>
                <w:szCs w:val="22"/>
              </w:rPr>
            </w:pPr>
            <w:r w:rsidRPr="007B010A">
              <w:rPr>
                <w:sz w:val="22"/>
                <w:szCs w:val="22"/>
              </w:rPr>
              <w:t>1</w:t>
            </w:r>
            <w:r w:rsidR="00582976" w:rsidRPr="007B010A">
              <w:rPr>
                <w:sz w:val="22"/>
                <w:szCs w:val="22"/>
              </w:rPr>
              <w:t> </w:t>
            </w:r>
            <w:r w:rsidRPr="007B010A">
              <w:rPr>
                <w:sz w:val="22"/>
                <w:szCs w:val="22"/>
              </w:rPr>
              <w:t>499</w:t>
            </w:r>
            <w:r w:rsidR="00582976" w:rsidRPr="007B010A">
              <w:rPr>
                <w:sz w:val="22"/>
                <w:szCs w:val="22"/>
              </w:rPr>
              <w:t> </w:t>
            </w:r>
            <w:r w:rsidRPr="007B010A">
              <w:rPr>
                <w:sz w:val="22"/>
                <w:szCs w:val="22"/>
              </w:rPr>
              <w:t>520</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59535B56" w14:textId="77777777" w:rsidR="00D923AA" w:rsidRPr="007B010A" w:rsidRDefault="00D923AA" w:rsidP="00376CF0">
            <w:pPr>
              <w:jc w:val="center"/>
              <w:rPr>
                <w:sz w:val="22"/>
                <w:szCs w:val="22"/>
              </w:rPr>
            </w:pPr>
            <w:r w:rsidRPr="007B010A">
              <w:rPr>
                <w:sz w:val="22"/>
                <w:szCs w:val="22"/>
              </w:rPr>
              <w:t>68,16</w:t>
            </w:r>
          </w:p>
        </w:tc>
        <w:tc>
          <w:tcPr>
            <w:tcW w:w="1257" w:type="dxa"/>
            <w:tcBorders>
              <w:top w:val="single" w:sz="4" w:space="0" w:color="auto"/>
              <w:left w:val="nil"/>
              <w:bottom w:val="single" w:sz="8" w:space="0" w:color="auto"/>
              <w:right w:val="single" w:sz="8" w:space="0" w:color="auto"/>
            </w:tcBorders>
            <w:shd w:val="clear" w:color="auto" w:fill="auto"/>
            <w:noWrap/>
            <w:vAlign w:val="center"/>
            <w:hideMark/>
          </w:tcPr>
          <w:p w14:paraId="6DE3DA51" w14:textId="120F1173" w:rsidR="00D923AA" w:rsidRPr="007B010A" w:rsidRDefault="00222FC9" w:rsidP="00376CF0">
            <w:pPr>
              <w:jc w:val="center"/>
              <w:rPr>
                <w:sz w:val="22"/>
                <w:szCs w:val="22"/>
              </w:rPr>
            </w:pPr>
            <w:r w:rsidRPr="007B010A">
              <w:rPr>
                <w:sz w:val="22"/>
                <w:szCs w:val="22"/>
              </w:rPr>
              <w:t>33</w:t>
            </w:r>
            <w:r w:rsidR="00582976" w:rsidRPr="007B010A">
              <w:rPr>
                <w:sz w:val="22"/>
                <w:szCs w:val="22"/>
              </w:rPr>
              <w:t> </w:t>
            </w:r>
            <w:r w:rsidRPr="007B010A">
              <w:rPr>
                <w:sz w:val="22"/>
                <w:szCs w:val="22"/>
              </w:rPr>
              <w:t>518</w:t>
            </w:r>
          </w:p>
        </w:tc>
        <w:tc>
          <w:tcPr>
            <w:tcW w:w="1417" w:type="dxa"/>
            <w:tcBorders>
              <w:top w:val="single" w:sz="4" w:space="0" w:color="auto"/>
              <w:left w:val="nil"/>
              <w:bottom w:val="single" w:sz="8" w:space="0" w:color="auto"/>
              <w:right w:val="single" w:sz="8" w:space="0" w:color="auto"/>
            </w:tcBorders>
            <w:shd w:val="clear" w:color="auto" w:fill="auto"/>
            <w:noWrap/>
            <w:vAlign w:val="center"/>
            <w:hideMark/>
          </w:tcPr>
          <w:p w14:paraId="593B3ABA" w14:textId="10CF3187" w:rsidR="00D923AA" w:rsidRPr="007B010A" w:rsidRDefault="00222FC9" w:rsidP="00376CF0">
            <w:pPr>
              <w:jc w:val="center"/>
              <w:rPr>
                <w:sz w:val="22"/>
                <w:szCs w:val="22"/>
              </w:rPr>
            </w:pPr>
            <w:r w:rsidRPr="007B010A">
              <w:rPr>
                <w:sz w:val="22"/>
                <w:szCs w:val="22"/>
              </w:rPr>
              <w:t>1</w:t>
            </w:r>
            <w:r w:rsidR="00582976" w:rsidRPr="007B010A">
              <w:rPr>
                <w:sz w:val="22"/>
                <w:szCs w:val="22"/>
              </w:rPr>
              <w:t> </w:t>
            </w:r>
            <w:r w:rsidRPr="007B010A">
              <w:rPr>
                <w:sz w:val="22"/>
                <w:szCs w:val="22"/>
              </w:rPr>
              <w:t>245</w:t>
            </w:r>
            <w:r w:rsidR="00582976" w:rsidRPr="007B010A">
              <w:rPr>
                <w:sz w:val="22"/>
                <w:szCs w:val="22"/>
              </w:rPr>
              <w:t> </w:t>
            </w:r>
            <w:r w:rsidRPr="007B010A">
              <w:rPr>
                <w:sz w:val="22"/>
                <w:szCs w:val="22"/>
              </w:rPr>
              <w:t>866</w:t>
            </w:r>
          </w:p>
        </w:tc>
        <w:tc>
          <w:tcPr>
            <w:tcW w:w="1276" w:type="dxa"/>
            <w:tcBorders>
              <w:top w:val="nil"/>
              <w:left w:val="nil"/>
              <w:bottom w:val="single" w:sz="8" w:space="0" w:color="auto"/>
              <w:right w:val="single" w:sz="8" w:space="0" w:color="auto"/>
            </w:tcBorders>
            <w:shd w:val="clear" w:color="auto" w:fill="auto"/>
            <w:noWrap/>
            <w:vAlign w:val="center"/>
            <w:hideMark/>
          </w:tcPr>
          <w:p w14:paraId="5048E196" w14:textId="4650FA76" w:rsidR="00D923AA" w:rsidRPr="007B010A" w:rsidRDefault="00222FC9" w:rsidP="00376CF0">
            <w:pPr>
              <w:jc w:val="center"/>
              <w:rPr>
                <w:sz w:val="22"/>
                <w:szCs w:val="22"/>
              </w:rPr>
            </w:pPr>
            <w:r w:rsidRPr="007B010A">
              <w:rPr>
                <w:sz w:val="22"/>
                <w:szCs w:val="22"/>
              </w:rPr>
              <w:t>37,17</w:t>
            </w:r>
          </w:p>
        </w:tc>
      </w:tr>
    </w:tbl>
    <w:p w14:paraId="6EEA36F3" w14:textId="77777777" w:rsidR="00D923AA" w:rsidRPr="007B010A" w:rsidRDefault="00D923AA" w:rsidP="00D923AA">
      <w:pPr>
        <w:jc w:val="both"/>
        <w:rPr>
          <w:i/>
          <w:sz w:val="20"/>
          <w:szCs w:val="20"/>
        </w:rPr>
      </w:pPr>
      <w:r w:rsidRPr="007B010A">
        <w:rPr>
          <w:i/>
          <w:sz w:val="20"/>
          <w:szCs w:val="20"/>
        </w:rPr>
        <w:t>Avots: NVD</w:t>
      </w:r>
    </w:p>
    <w:p w14:paraId="2A4AF8AC" w14:textId="77777777" w:rsidR="00D923AA" w:rsidRPr="007B010A" w:rsidRDefault="00D923AA" w:rsidP="00D923AA">
      <w:pPr>
        <w:jc w:val="both"/>
        <w:rPr>
          <w:i/>
          <w:sz w:val="20"/>
          <w:szCs w:val="20"/>
        </w:rPr>
      </w:pPr>
      <w:r w:rsidRPr="007B010A">
        <w:rPr>
          <w:i/>
          <w:sz w:val="20"/>
          <w:szCs w:val="20"/>
        </w:rPr>
        <w:tab/>
      </w:r>
    </w:p>
    <w:p w14:paraId="1932A3A5" w14:textId="0FB09D11" w:rsidR="00D923AA" w:rsidRPr="007B010A" w:rsidRDefault="00D923AA" w:rsidP="00D923AA">
      <w:pPr>
        <w:ind w:firstLine="720"/>
        <w:jc w:val="both"/>
      </w:pPr>
      <w:r w:rsidRPr="007B010A">
        <w:t xml:space="preserve">Atbilstoši 2018.gada faktiskajai izpildei un reformas ietvarā izstrādātajiem algoritmiem primārajā veselības aprūpē ar ģimenes ārsta nosūtījumu un citu speciālistu </w:t>
      </w:r>
      <w:r w:rsidR="00B4581F" w:rsidRPr="007B010A">
        <w:t xml:space="preserve">(ginekologi un piecu ārstniecības iestāžu (VSIA “Piejūras slimnīca”, SIA “Liepājas reģionālā slimnīca”, SIA “Rīgas Austrumu klīniskā universitātes slimnīca”, VSIA “Paula Stradiņa klīniskā universitātes slimnīca” un SIA “Daugavpils reģionālā slimnīca”) speciālisti) </w:t>
      </w:r>
      <w:r w:rsidRPr="007B010A">
        <w:t xml:space="preserve">nosūtījumu tika veikti </w:t>
      </w:r>
      <w:r w:rsidR="009346BB" w:rsidRPr="007B010A">
        <w:t>156</w:t>
      </w:r>
      <w:r w:rsidR="00582976" w:rsidRPr="007B010A">
        <w:t> </w:t>
      </w:r>
      <w:r w:rsidR="009346BB" w:rsidRPr="007B010A">
        <w:t>066</w:t>
      </w:r>
      <w:r w:rsidRPr="007B010A">
        <w:t xml:space="preserve"> primārās diagnostikas izmeklējumi </w:t>
      </w:r>
      <w:r w:rsidR="009346BB" w:rsidRPr="007B010A">
        <w:t>33</w:t>
      </w:r>
      <w:r w:rsidR="00582976" w:rsidRPr="007B010A">
        <w:t> </w:t>
      </w:r>
      <w:r w:rsidR="009346BB" w:rsidRPr="007B010A">
        <w:t>518</w:t>
      </w:r>
      <w:r w:rsidRPr="007B010A">
        <w:t xml:space="preserve"> unikālajiem pacientiem, kur vidējās izmaksas primāro diagnostikas algoritmu ieviešanai ir par </w:t>
      </w:r>
      <w:r w:rsidR="000F624C" w:rsidRPr="007B010A">
        <w:t>54</w:t>
      </w:r>
      <w:r w:rsidRPr="007B010A">
        <w:t>,</w:t>
      </w:r>
      <w:r w:rsidR="000F624C" w:rsidRPr="007B010A">
        <w:t>53</w:t>
      </w:r>
      <w:r w:rsidRPr="007B010A">
        <w:t>% zemākas kā plānotās. Kopumā primārās diagnostikas vidējā izmaksa ir zemāka, jo no visiem izmeklējumiem, kas tika veikti</w:t>
      </w:r>
      <w:r w:rsidR="0080224B" w:rsidRPr="007B010A">
        <w:t>,</w:t>
      </w:r>
      <w:r w:rsidRPr="007B010A">
        <w:t xml:space="preserve"> 9</w:t>
      </w:r>
      <w:r w:rsidR="000827E5" w:rsidRPr="007B010A">
        <w:t>2</w:t>
      </w:r>
      <w:r w:rsidRPr="007B010A">
        <w:t>,</w:t>
      </w:r>
      <w:r w:rsidR="000827E5" w:rsidRPr="007B010A">
        <w:t>09</w:t>
      </w:r>
      <w:r w:rsidRPr="007B010A">
        <w:t xml:space="preserve">% sastāda laboratoriskie izmeklējumi, kam ir zemākas izmaksas nekā diagnostiskajiem izmeklējumiem, kuru īpatsvars kopējā veikto izmeklējumu apjomā sastāda vien </w:t>
      </w:r>
      <w:r w:rsidR="000827E5" w:rsidRPr="007B010A">
        <w:t>7</w:t>
      </w:r>
      <w:r w:rsidRPr="007B010A">
        <w:t>,</w:t>
      </w:r>
      <w:r w:rsidR="000827E5" w:rsidRPr="007B010A">
        <w:t>9</w:t>
      </w:r>
      <w:r w:rsidRPr="007B010A">
        <w:t xml:space="preserve">1%. </w:t>
      </w:r>
    </w:p>
    <w:p w14:paraId="46BCBD85" w14:textId="13BA9105" w:rsidR="00D923AA" w:rsidRPr="007B010A" w:rsidRDefault="00D923AA" w:rsidP="00D923AA">
      <w:pPr>
        <w:jc w:val="both"/>
      </w:pPr>
      <w:r w:rsidRPr="007B010A">
        <w:tab/>
        <w:t>Attiecīgi 2018.gadā paplašinot “</w:t>
      </w:r>
      <w:r w:rsidR="005A5D65" w:rsidRPr="007B010A">
        <w:t>Z</w:t>
      </w:r>
      <w:r w:rsidRPr="007B010A">
        <w:t>aļ</w:t>
      </w:r>
      <w:r w:rsidR="005A5D65" w:rsidRPr="007B010A">
        <w:t>ajā koridorā</w:t>
      </w:r>
      <w:r w:rsidRPr="007B010A">
        <w:t>” diagnostikas iespējas ar jaunām ļaundabīgo audzēju lokalizācijām, kā arī atbilstošu kārtību</w:t>
      </w:r>
      <w:r w:rsidR="00045D91" w:rsidRPr="007B010A">
        <w:t>,</w:t>
      </w:r>
      <w:r w:rsidRPr="007B010A">
        <w:t xml:space="preserve"> kādā veicami izmeklējumi</w:t>
      </w:r>
      <w:r w:rsidR="00045D91" w:rsidRPr="007B010A">
        <w:t>,</w:t>
      </w:r>
      <w:r w:rsidRPr="007B010A">
        <w:t xml:space="preserve"> ir nodrošināta pacientiem ar onkoloģiskām slimībām ātrāka un efektīvāka diagnosticēšana, uzsākot savlaicīgu onkoloģisko slimību ārstēšanu</w:t>
      </w:r>
      <w:r w:rsidR="00045D91" w:rsidRPr="007B010A">
        <w:t>, pacientu skaitam sasniedzot</w:t>
      </w:r>
      <w:r w:rsidRPr="007B010A">
        <w:t xml:space="preserve"> </w:t>
      </w:r>
      <w:r w:rsidR="000F624C" w:rsidRPr="007B010A">
        <w:t>152</w:t>
      </w:r>
      <w:r w:rsidRPr="007B010A">
        <w:t>,</w:t>
      </w:r>
      <w:r w:rsidR="000F624C" w:rsidRPr="007B010A">
        <w:t>35</w:t>
      </w:r>
      <w:r w:rsidRPr="007B010A">
        <w:t xml:space="preserve">% no 2018.gadā plānotā pacientu skaita pieauguma. Papildus tam, pacientiem tika ātrāk uzsākta </w:t>
      </w:r>
      <w:r w:rsidR="00B4581F" w:rsidRPr="007B010A">
        <w:t>primārā diagnosticēšana (onkoloģiskās diagnozes esamība)</w:t>
      </w:r>
      <w:r w:rsidRPr="007B010A">
        <w:t xml:space="preserve">, ņemot vērā izmaiņas primārās diagnostikas pakalpojumu saņemšanā, paredzot, ka </w:t>
      </w:r>
      <w:r w:rsidR="0080224B" w:rsidRPr="007B010A">
        <w:t>VSIA “Piejūras slimnīca”</w:t>
      </w:r>
      <w:r w:rsidRPr="007B010A">
        <w:t xml:space="preserve">, </w:t>
      </w:r>
      <w:r w:rsidR="0080224B" w:rsidRPr="007B010A">
        <w:t>SIA “Liepājas reģionālā slimnīca”</w:t>
      </w:r>
      <w:r w:rsidRPr="007B010A">
        <w:t xml:space="preserve">, </w:t>
      </w:r>
      <w:r w:rsidR="0080224B" w:rsidRPr="007B010A">
        <w:t>SIA “</w:t>
      </w:r>
      <w:r w:rsidRPr="007B010A">
        <w:t>Rīgas Austrumu k</w:t>
      </w:r>
      <w:r w:rsidR="0080224B" w:rsidRPr="007B010A">
        <w:t>līniskā universitātes slimnīca”</w:t>
      </w:r>
      <w:r w:rsidRPr="007B010A">
        <w:t xml:space="preserve">, </w:t>
      </w:r>
      <w:r w:rsidR="0080224B" w:rsidRPr="007B010A">
        <w:t>VSIA “</w:t>
      </w:r>
      <w:r w:rsidRPr="007B010A">
        <w:t>Paula Stradiņa klīniskā universitātes slimnīca</w:t>
      </w:r>
      <w:r w:rsidR="0080224B" w:rsidRPr="007B010A">
        <w:t>”</w:t>
      </w:r>
      <w:r w:rsidRPr="007B010A">
        <w:t xml:space="preserve"> un </w:t>
      </w:r>
      <w:r w:rsidR="0080224B" w:rsidRPr="007B010A">
        <w:t>SIA “Daugavpils reģionālā slimnīca”</w:t>
      </w:r>
      <w:r w:rsidRPr="007B010A">
        <w:t xml:space="preserve"> konstatēto pacientu sūdzību vai simptomu gadījumā varēs arī nodrošināt onkoloģisko pacientu ļaundabīgo audzēju primāro diagnostiku atbilstoši noteiktajiem algoritmiem. </w:t>
      </w:r>
    </w:p>
    <w:p w14:paraId="51BF6338" w14:textId="775A3784" w:rsidR="00D923AA" w:rsidRPr="007B010A" w:rsidRDefault="00D923AA" w:rsidP="00D923AA">
      <w:pPr>
        <w:ind w:firstLine="720"/>
        <w:jc w:val="both"/>
        <w:rPr>
          <w:shd w:val="clear" w:color="auto" w:fill="FFFFFF"/>
        </w:rPr>
      </w:pPr>
      <w:r w:rsidRPr="007B010A">
        <w:rPr>
          <w:shd w:val="clear" w:color="auto" w:fill="FFFFFF"/>
        </w:rPr>
        <w:t>Onkoloģisko slimību primārā diagnostika notiek ģimenes ārstu praksēs, kur pacientiem tiek atpazītas sūdzības un simptomi, kas var liecināt par onkoloģisku slimību</w:t>
      </w:r>
      <w:r w:rsidR="005A1471" w:rsidRPr="007B010A">
        <w:rPr>
          <w:shd w:val="clear" w:color="auto" w:fill="FFFFFF"/>
        </w:rPr>
        <w:t>,</w:t>
      </w:r>
      <w:r w:rsidRPr="007B010A">
        <w:rPr>
          <w:shd w:val="clear" w:color="auto" w:fill="FFFFFF"/>
        </w:rPr>
        <w:t xml:space="preserve"> un nozīmēti pirmie izmeklējumi, kas var apstiprināt aizdomas par onkoloģiskajām slimībām.</w:t>
      </w:r>
      <w:r w:rsidR="00B4581F" w:rsidRPr="007B010A">
        <w:rPr>
          <w:shd w:val="clear" w:color="auto" w:fill="FFFFFF"/>
        </w:rPr>
        <w:t xml:space="preserve"> Uz primārās diagnostikas izmeklējumiem var nosūtīt ginekologi, dzemdību speciālisti un piecās noteiktās, ārstniecības iestādēs strādājošie speciālisti, tādējādi izslēdzot gadījumus, kad pacienti pirmreizēji nevēršas pie ģimenes ārsta, bet pie speciālista (piemēram, krūts saslimšanas gadījumā sieviete pirmreizēji vēršas pie ginekologa). </w:t>
      </w:r>
      <w:r w:rsidRPr="007B010A">
        <w:rPr>
          <w:shd w:val="clear" w:color="auto" w:fill="FFFFFF"/>
        </w:rPr>
        <w:t xml:space="preserve">Šie sniegtie pakalpojumi tiek apmaksāti </w:t>
      </w:r>
      <w:r w:rsidRPr="007B010A">
        <w:rPr>
          <w:shd w:val="clear" w:color="auto" w:fill="FFFFFF"/>
        </w:rPr>
        <w:lastRenderedPageBreak/>
        <w:t>prioritārā kārtībā no šim mērķiem paredzētiem finanšu līdzekļiem. Praksē bieži veidojās situācija, ka pacientiem tiek nozīmēti izmeklējumi saistībā ar citām slimībām, bet izmeklējuma rezultāts  norāda uz aizdomām par onkoloģisku slimību. Šajos gadījumos pirmie izmeklējumi ir veikti ārpus “Zaļā koridora”, bet pacient</w:t>
      </w:r>
      <w:r w:rsidR="005A1471" w:rsidRPr="007B010A">
        <w:rPr>
          <w:shd w:val="clear" w:color="auto" w:fill="FFFFFF"/>
        </w:rPr>
        <w:t>s tiek ievirzīts “Z</w:t>
      </w:r>
      <w:r w:rsidRPr="007B010A">
        <w:rPr>
          <w:shd w:val="clear" w:color="auto" w:fill="FFFFFF"/>
        </w:rPr>
        <w:t xml:space="preserve">aļajā koridorā” ar jau kādu veiktu izmeklējumu vispārīgā kārtībā. </w:t>
      </w:r>
    </w:p>
    <w:p w14:paraId="6A6D8D56" w14:textId="50DA2193" w:rsidR="00B85B8D" w:rsidRPr="007B010A" w:rsidRDefault="00B4581F" w:rsidP="00D923AA">
      <w:pPr>
        <w:ind w:firstLine="720"/>
        <w:jc w:val="both"/>
      </w:pPr>
      <w:r w:rsidRPr="007B010A">
        <w:t xml:space="preserve">Atbilstoši NVD datiem </w:t>
      </w:r>
      <w:r w:rsidR="00901D16">
        <w:t>“</w:t>
      </w:r>
      <w:r w:rsidRPr="007B010A">
        <w:t>Zaļā koridora</w:t>
      </w:r>
      <w:r w:rsidR="00901D16">
        <w:t>”</w:t>
      </w:r>
      <w:r w:rsidRPr="007B010A">
        <w:t xml:space="preserve"> ietvaros izmeklētiem pacientiem uzlabojas atsevišķu agrīno (0, I un II) stadiju īpatsvars. Kopējo valsts rādītāju agrīni atklāto ļaundabīgo audzēju īpatsvarā, iespējams, tieši </w:t>
      </w:r>
      <w:r w:rsidR="00522F49">
        <w:t>“</w:t>
      </w:r>
      <w:r w:rsidRPr="007B010A">
        <w:t>Zaļā koridora</w:t>
      </w:r>
      <w:r w:rsidR="00522F49">
        <w:t>”</w:t>
      </w:r>
      <w:r w:rsidRPr="007B010A">
        <w:t xml:space="preserve"> ieviešana ir uzlabojusi septiņos – kuņģa, resnās zarnas, bronhu un plaušu, krūts, </w:t>
      </w:r>
      <w:proofErr w:type="spellStart"/>
      <w:r w:rsidRPr="007B010A">
        <w:t>prostatas</w:t>
      </w:r>
      <w:proofErr w:type="spellEnd"/>
      <w:r w:rsidRPr="007B010A">
        <w:t>, nieru un urīnpūšļa vēža gadījumos. (Salīdzinot 2017.gadu ar 2015.gadu).</w:t>
      </w:r>
      <w:r w:rsidR="00B85B8D" w:rsidRPr="007B010A">
        <w:t xml:space="preserve"> Šie dati liecina, ka izveidojot onkoloģisko slimību diagnostikas algoritmu pacientiem onkoloģiskās slimības ir iespējams diagnosticēt agrīnāk un uzsākt to savlaicīgāku ārstēšanu, kad ir iespējams sasniegt labākus rezultātus.</w:t>
      </w:r>
    </w:p>
    <w:p w14:paraId="2212A80D" w14:textId="468A6FCC" w:rsidR="00DB3D5B" w:rsidRPr="007B010A" w:rsidRDefault="00DB3D5B" w:rsidP="00D923AA">
      <w:pPr>
        <w:ind w:firstLine="720"/>
        <w:jc w:val="both"/>
        <w:rPr>
          <w:shd w:val="clear" w:color="auto" w:fill="FFFFFF"/>
        </w:rPr>
      </w:pPr>
      <w:r w:rsidRPr="007B010A">
        <w:t>Lai uzlabotu diagnostisko izmeklējumu kvalitāti vēža atklāšanai agrīnās stadijās, tālākai onkoloģiskās aprūpes reformai, atbilstoši SVP noteiktajam prioritārajam virzienam, tika paredzēti papildu finanšu līdzekļi onkoloģisko slimību agrīnai diagnostikai.</w:t>
      </w:r>
    </w:p>
    <w:p w14:paraId="5523D229" w14:textId="71A05374" w:rsidR="00B42A49" w:rsidRPr="007B010A" w:rsidRDefault="00B42A49" w:rsidP="00D923AA">
      <w:pPr>
        <w:ind w:firstLine="720"/>
        <w:jc w:val="both"/>
        <w:rPr>
          <w:shd w:val="clear" w:color="auto" w:fill="FFFFFF"/>
        </w:rPr>
      </w:pPr>
      <w:r w:rsidRPr="007B010A">
        <w:rPr>
          <w:shd w:val="clear" w:color="auto" w:fill="FFFFFF"/>
        </w:rPr>
        <w:t xml:space="preserve">Ņemot vērā to, ka onkoloģijas jomā tika ieviests pavisam jauns pakalpojuma klasifikācijas veids, tas neietekmē avota apguvi, jo Eiropas </w:t>
      </w:r>
      <w:r w:rsidR="00F45E31">
        <w:rPr>
          <w:shd w:val="clear" w:color="auto" w:fill="FFFFFF"/>
        </w:rPr>
        <w:t>K</w:t>
      </w:r>
      <w:r w:rsidRPr="007B010A">
        <w:rPr>
          <w:shd w:val="clear" w:color="auto" w:fill="FFFFFF"/>
        </w:rPr>
        <w:t>omisijas pieļautās budžeta deficīta atkāpes finansējums tiek novirzīts</w:t>
      </w:r>
      <w:r w:rsidR="00C81A0F" w:rsidRPr="007B010A">
        <w:rPr>
          <w:shd w:val="clear" w:color="auto" w:fill="FFFFFF"/>
        </w:rPr>
        <w:t xml:space="preserve"> tikai </w:t>
      </w:r>
      <w:r w:rsidR="00CF7D4B" w:rsidRPr="007B010A">
        <w:rPr>
          <w:shd w:val="clear" w:color="auto" w:fill="FFFFFF"/>
        </w:rPr>
        <w:t xml:space="preserve">onkoloģijas </w:t>
      </w:r>
      <w:r w:rsidR="00F56C9A" w:rsidRPr="007B010A">
        <w:rPr>
          <w:shd w:val="clear" w:color="auto" w:fill="FFFFFF"/>
        </w:rPr>
        <w:t>reformas plānā iekļautajiem pasākumiem, kas ir virs visa esošā b</w:t>
      </w:r>
      <w:r w:rsidR="00C81A0F" w:rsidRPr="007B010A">
        <w:rPr>
          <w:shd w:val="clear" w:color="auto" w:fill="FFFFFF"/>
        </w:rPr>
        <w:t>āzes finansējuma.</w:t>
      </w:r>
      <w:r w:rsidR="00F56C9A" w:rsidRPr="007B010A">
        <w:rPr>
          <w:shd w:val="clear" w:color="auto" w:fill="FFFFFF"/>
        </w:rPr>
        <w:t xml:space="preserve"> </w:t>
      </w:r>
    </w:p>
    <w:p w14:paraId="715DFD9D" w14:textId="1A8A8D16" w:rsidR="00D923AA" w:rsidRPr="007B010A" w:rsidRDefault="00D923AA" w:rsidP="00C91FA4">
      <w:pPr>
        <w:rPr>
          <w:u w:val="single"/>
        </w:rPr>
      </w:pPr>
    </w:p>
    <w:p w14:paraId="3DD76BAB" w14:textId="77777777" w:rsidR="00D923AA" w:rsidRPr="007B010A" w:rsidRDefault="00D923AA" w:rsidP="00D923AA">
      <w:pPr>
        <w:jc w:val="center"/>
        <w:rPr>
          <w:u w:val="single"/>
        </w:rPr>
      </w:pPr>
      <w:r w:rsidRPr="007B010A">
        <w:rPr>
          <w:u w:val="single"/>
        </w:rPr>
        <w:t>Speciālistu konsultācijas</w:t>
      </w:r>
    </w:p>
    <w:p w14:paraId="0C4A4DE0" w14:textId="77777777" w:rsidR="00D923AA" w:rsidRPr="007B010A" w:rsidRDefault="00D923AA" w:rsidP="00D923AA">
      <w:pPr>
        <w:jc w:val="both"/>
      </w:pPr>
    </w:p>
    <w:p w14:paraId="199A3A2F" w14:textId="34FAEDBF" w:rsidR="00D923AA" w:rsidRPr="007B010A" w:rsidRDefault="00D923AA" w:rsidP="00D923AA">
      <w:pPr>
        <w:ind w:firstLine="720"/>
        <w:jc w:val="both"/>
      </w:pPr>
      <w:r w:rsidRPr="007B010A">
        <w:t>Lai veicinātu agrīnu onkoloģisko slimību diagnostiku un ārstēšanu pacientiem ir nepieciešams nodrošināt savlaicīgas speciālistu konsultācijas</w:t>
      </w:r>
      <w:r w:rsidR="00263F13" w:rsidRPr="007B010A">
        <w:t xml:space="preserve"> pēc primārās diagnostikas izmeklējumu rezultātu saņemšanas, ja pastāv aizdomas par onkoloģisku slimību</w:t>
      </w:r>
      <w:r w:rsidRPr="007B010A">
        <w:t xml:space="preserve">. Līdz ar ko onkoloģijas jomas reformu ietvaros plānots ievērojams speciālistu konsultāciju pieejamības pieaugums, paredzot attiecīgā speciālista (atbilstoši ļaundabīgā audzēja lokalizācijas vietai) pieejamību 10 darbdienu laikā no pacienta vēršanās ārstniecības iestādē vai konsultācijas pieteikšanas. </w:t>
      </w:r>
    </w:p>
    <w:p w14:paraId="761DBFD9" w14:textId="16065B80" w:rsidR="00346C12" w:rsidRPr="007B010A" w:rsidRDefault="00D923AA" w:rsidP="00780965">
      <w:pPr>
        <w:ind w:firstLine="720"/>
        <w:jc w:val="both"/>
        <w:rPr>
          <w:i/>
        </w:rPr>
      </w:pPr>
      <w:r w:rsidRPr="007B010A">
        <w:t>2018.gadā 11 tūkst</w:t>
      </w:r>
      <w:r w:rsidR="005A1471" w:rsidRPr="007B010A">
        <w:t xml:space="preserve">. unikālo onkoloģisko pacientu ar aizdomām </w:t>
      </w:r>
      <w:r w:rsidR="00263F13" w:rsidRPr="007B010A">
        <w:t>par</w:t>
      </w:r>
      <w:r w:rsidR="005A1471" w:rsidRPr="007B010A">
        <w:t xml:space="preserve"> onkoloģisku </w:t>
      </w:r>
      <w:r w:rsidR="00263F13" w:rsidRPr="007B010A">
        <w:t>slimību vai diagnosticēto ļaundabīgo audzēju</w:t>
      </w:r>
      <w:r w:rsidRPr="007B010A">
        <w:t xml:space="preserve"> </w:t>
      </w:r>
      <w:r w:rsidR="005A1471" w:rsidRPr="007B010A">
        <w:t>plānots sniegt</w:t>
      </w:r>
      <w:r w:rsidRPr="007B010A">
        <w:t xml:space="preserve"> speciālista konsultācijas, t.sk. arī speciālistu konsīlijus ārstēšanas taktikas noteikšanai. Šādas speciālistu konsultācijas paredzētas </w:t>
      </w:r>
      <w:r w:rsidR="005A1471" w:rsidRPr="007B010A">
        <w:t>VSIA “Piejūras slimnīca”</w:t>
      </w:r>
      <w:r w:rsidRPr="007B010A">
        <w:t>,</w:t>
      </w:r>
      <w:r w:rsidR="005A1471" w:rsidRPr="007B010A">
        <w:t xml:space="preserve"> SIA</w:t>
      </w:r>
      <w:r w:rsidRPr="007B010A">
        <w:t xml:space="preserve"> </w:t>
      </w:r>
      <w:r w:rsidR="005A1471" w:rsidRPr="007B010A">
        <w:t>“Liepājas reģionālā slimnīca”</w:t>
      </w:r>
      <w:r w:rsidRPr="007B010A">
        <w:t xml:space="preserve">, </w:t>
      </w:r>
      <w:r w:rsidR="005A1471" w:rsidRPr="007B010A">
        <w:t>SIA “</w:t>
      </w:r>
      <w:r w:rsidRPr="007B010A">
        <w:t>Rīgas Austrumu klīniskā universitātes slimnīc</w:t>
      </w:r>
      <w:r w:rsidR="005A1471" w:rsidRPr="007B010A">
        <w:t>a”</w:t>
      </w:r>
      <w:r w:rsidRPr="007B010A">
        <w:t xml:space="preserve">, </w:t>
      </w:r>
      <w:r w:rsidR="005A1471" w:rsidRPr="007B010A">
        <w:t>VSIA “</w:t>
      </w:r>
      <w:r w:rsidRPr="007B010A">
        <w:t>Paula Stradiņa klīnisk</w:t>
      </w:r>
      <w:r w:rsidR="005A1471" w:rsidRPr="007B010A">
        <w:t>ā universitātes slimnīca”</w:t>
      </w:r>
      <w:r w:rsidRPr="007B010A">
        <w:t xml:space="preserve">, </w:t>
      </w:r>
      <w:r w:rsidR="005A1471" w:rsidRPr="007B010A">
        <w:t>VSIA “</w:t>
      </w:r>
      <w:r w:rsidRPr="007B010A">
        <w:t>Daugavpils reģionāl</w:t>
      </w:r>
      <w:r w:rsidR="005A1471" w:rsidRPr="007B010A">
        <w:t>ā slimnīca”</w:t>
      </w:r>
      <w:r w:rsidRPr="007B010A">
        <w:t>. No 2017.gada 1.aprīļa tika ieviesti pirmreizējo onkoloģisko pacientu konsīliju apmaksas jaunie nosacījumi.</w:t>
      </w:r>
    </w:p>
    <w:p w14:paraId="1BC4CA66" w14:textId="2E52B32A" w:rsidR="00D923AA" w:rsidRPr="007B010A" w:rsidRDefault="00D923AA" w:rsidP="00D923AA">
      <w:pPr>
        <w:ind w:firstLine="720"/>
        <w:jc w:val="right"/>
        <w:rPr>
          <w:i/>
        </w:rPr>
      </w:pPr>
      <w:r w:rsidRPr="007B010A">
        <w:rPr>
          <w:i/>
        </w:rPr>
        <w:t>1</w:t>
      </w:r>
      <w:r w:rsidR="00AF0BE2" w:rsidRPr="007B010A">
        <w:rPr>
          <w:i/>
        </w:rPr>
        <w:t>5</w:t>
      </w:r>
      <w:r w:rsidRPr="007B010A">
        <w:rPr>
          <w:i/>
        </w:rPr>
        <w:t xml:space="preserve">.tabula </w:t>
      </w:r>
    </w:p>
    <w:p w14:paraId="679566EC" w14:textId="1261D738" w:rsidR="00D923AA" w:rsidRPr="007B010A" w:rsidRDefault="00D923AA" w:rsidP="00D923AA">
      <w:pPr>
        <w:jc w:val="center"/>
      </w:pPr>
      <w:r w:rsidRPr="007B010A">
        <w:t>Speciālistu konsultācijas 2018.gada izpilde</w:t>
      </w:r>
    </w:p>
    <w:p w14:paraId="699A4A97" w14:textId="77777777" w:rsidR="00D923AA" w:rsidRPr="007B010A" w:rsidRDefault="00D923AA" w:rsidP="00D923AA">
      <w:pPr>
        <w:jc w:val="both"/>
        <w:rPr>
          <w:sz w:val="22"/>
          <w:szCs w:val="22"/>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1418"/>
        <w:gridCol w:w="1329"/>
        <w:gridCol w:w="1303"/>
        <w:gridCol w:w="1337"/>
        <w:gridCol w:w="1329"/>
        <w:gridCol w:w="1222"/>
      </w:tblGrid>
      <w:tr w:rsidR="00D923AA" w:rsidRPr="007B010A" w14:paraId="693D9E6E" w14:textId="77777777" w:rsidTr="00376CF0">
        <w:trPr>
          <w:trHeight w:val="600"/>
          <w:jc w:val="center"/>
        </w:trPr>
        <w:tc>
          <w:tcPr>
            <w:tcW w:w="1691" w:type="dxa"/>
            <w:vMerge w:val="restart"/>
            <w:shd w:val="clear" w:color="000000" w:fill="FCE4D6"/>
            <w:vAlign w:val="center"/>
            <w:hideMark/>
          </w:tcPr>
          <w:p w14:paraId="5F2C8168" w14:textId="77777777" w:rsidR="00D923AA" w:rsidRPr="007B010A" w:rsidRDefault="00D923AA" w:rsidP="00376CF0">
            <w:pPr>
              <w:jc w:val="center"/>
              <w:rPr>
                <w:b/>
                <w:bCs/>
                <w:sz w:val="22"/>
                <w:szCs w:val="22"/>
              </w:rPr>
            </w:pPr>
            <w:r w:rsidRPr="007B010A">
              <w:rPr>
                <w:b/>
                <w:bCs/>
                <w:sz w:val="22"/>
                <w:szCs w:val="22"/>
              </w:rPr>
              <w:t xml:space="preserve">Speciālistu konsultācijas atbilstoši noteiktajiem algoritmiem </w:t>
            </w:r>
          </w:p>
        </w:tc>
        <w:tc>
          <w:tcPr>
            <w:tcW w:w="4050" w:type="dxa"/>
            <w:gridSpan w:val="3"/>
            <w:shd w:val="clear" w:color="000000" w:fill="FCE4D6"/>
            <w:vAlign w:val="center"/>
            <w:hideMark/>
          </w:tcPr>
          <w:p w14:paraId="496D6AF7" w14:textId="77777777" w:rsidR="00D923AA" w:rsidRPr="007B010A" w:rsidRDefault="00D923AA" w:rsidP="00376CF0">
            <w:pPr>
              <w:jc w:val="center"/>
              <w:rPr>
                <w:sz w:val="22"/>
                <w:szCs w:val="22"/>
              </w:rPr>
            </w:pPr>
            <w:r w:rsidRPr="007B010A">
              <w:rPr>
                <w:sz w:val="22"/>
                <w:szCs w:val="22"/>
              </w:rPr>
              <w:t>Plānotais unikālo onkoloģisko pacientu apjoms</w:t>
            </w:r>
          </w:p>
        </w:tc>
        <w:tc>
          <w:tcPr>
            <w:tcW w:w="3888" w:type="dxa"/>
            <w:gridSpan w:val="3"/>
            <w:shd w:val="clear" w:color="000000" w:fill="FCE4D6"/>
            <w:vAlign w:val="center"/>
            <w:hideMark/>
          </w:tcPr>
          <w:p w14:paraId="05AD6D0F" w14:textId="77777777" w:rsidR="00D923AA" w:rsidRPr="007B010A" w:rsidRDefault="00D923AA" w:rsidP="00376CF0">
            <w:pPr>
              <w:jc w:val="center"/>
              <w:rPr>
                <w:sz w:val="22"/>
                <w:szCs w:val="22"/>
              </w:rPr>
            </w:pPr>
            <w:r w:rsidRPr="007B010A">
              <w:rPr>
                <w:sz w:val="22"/>
                <w:szCs w:val="22"/>
              </w:rPr>
              <w:t>Faktiskā izpilde  unikālo  onkoloģisko  pacientu apjomam</w:t>
            </w:r>
          </w:p>
        </w:tc>
      </w:tr>
      <w:tr w:rsidR="00D923AA" w:rsidRPr="007B010A" w14:paraId="65D67489" w14:textId="77777777" w:rsidTr="00376CF0">
        <w:trPr>
          <w:trHeight w:val="1215"/>
          <w:jc w:val="center"/>
        </w:trPr>
        <w:tc>
          <w:tcPr>
            <w:tcW w:w="1691" w:type="dxa"/>
            <w:vMerge/>
            <w:vAlign w:val="center"/>
            <w:hideMark/>
          </w:tcPr>
          <w:p w14:paraId="7BF3D4D3" w14:textId="77777777" w:rsidR="00D923AA" w:rsidRPr="007B010A" w:rsidRDefault="00D923AA" w:rsidP="00376CF0">
            <w:pPr>
              <w:rPr>
                <w:b/>
                <w:bCs/>
                <w:sz w:val="22"/>
                <w:szCs w:val="22"/>
              </w:rPr>
            </w:pPr>
          </w:p>
        </w:tc>
        <w:tc>
          <w:tcPr>
            <w:tcW w:w="1418" w:type="dxa"/>
            <w:shd w:val="clear" w:color="000000" w:fill="FCE4D6"/>
            <w:vAlign w:val="center"/>
            <w:hideMark/>
          </w:tcPr>
          <w:p w14:paraId="54388DF3" w14:textId="7FAA5E8D" w:rsidR="00D923AA" w:rsidRPr="007B010A" w:rsidRDefault="00D923AA" w:rsidP="00376CF0">
            <w:pPr>
              <w:jc w:val="center"/>
              <w:rPr>
                <w:sz w:val="22"/>
                <w:szCs w:val="22"/>
              </w:rPr>
            </w:pPr>
            <w:r w:rsidRPr="007B010A">
              <w:rPr>
                <w:sz w:val="22"/>
                <w:szCs w:val="22"/>
              </w:rPr>
              <w:t xml:space="preserve">Plānotais pacientu skaits </w:t>
            </w:r>
            <w:r w:rsidR="00485D70" w:rsidRPr="007B010A">
              <w:rPr>
                <w:sz w:val="22"/>
                <w:szCs w:val="22"/>
              </w:rPr>
              <w:t>2018.</w:t>
            </w:r>
            <w:r w:rsidRPr="007B010A">
              <w:rPr>
                <w:sz w:val="22"/>
                <w:szCs w:val="22"/>
              </w:rPr>
              <w:t>gadā</w:t>
            </w:r>
          </w:p>
        </w:tc>
        <w:tc>
          <w:tcPr>
            <w:tcW w:w="1329" w:type="dxa"/>
            <w:shd w:val="clear" w:color="000000" w:fill="FCE4D6"/>
            <w:vAlign w:val="center"/>
            <w:hideMark/>
          </w:tcPr>
          <w:p w14:paraId="18AA8151" w14:textId="77777777"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iCs/>
                <w:sz w:val="22"/>
                <w:szCs w:val="22"/>
              </w:rPr>
              <w:t>euro</w:t>
            </w:r>
            <w:proofErr w:type="spellEnd"/>
          </w:p>
        </w:tc>
        <w:tc>
          <w:tcPr>
            <w:tcW w:w="1303" w:type="dxa"/>
            <w:shd w:val="clear" w:color="000000" w:fill="FCE4D6"/>
            <w:vAlign w:val="center"/>
            <w:hideMark/>
          </w:tcPr>
          <w:p w14:paraId="602FB254" w14:textId="77777777"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iCs/>
                <w:sz w:val="22"/>
                <w:szCs w:val="22"/>
              </w:rPr>
              <w:t>euro</w:t>
            </w:r>
            <w:proofErr w:type="spellEnd"/>
          </w:p>
        </w:tc>
        <w:tc>
          <w:tcPr>
            <w:tcW w:w="1337" w:type="dxa"/>
            <w:shd w:val="clear" w:color="000000" w:fill="FCE4D6"/>
            <w:vAlign w:val="center"/>
            <w:hideMark/>
          </w:tcPr>
          <w:p w14:paraId="20D9194F" w14:textId="4E8A3A50" w:rsidR="00D923AA" w:rsidRPr="007B010A" w:rsidRDefault="00D923AA" w:rsidP="00376CF0">
            <w:pPr>
              <w:jc w:val="center"/>
              <w:rPr>
                <w:sz w:val="22"/>
                <w:szCs w:val="22"/>
              </w:rPr>
            </w:pPr>
            <w:r w:rsidRPr="007B010A">
              <w:rPr>
                <w:sz w:val="22"/>
                <w:szCs w:val="22"/>
              </w:rPr>
              <w:t>Pacientu skaita pieaugums 2018.gadā</w:t>
            </w:r>
          </w:p>
        </w:tc>
        <w:tc>
          <w:tcPr>
            <w:tcW w:w="1329" w:type="dxa"/>
            <w:shd w:val="clear" w:color="000000" w:fill="FCE4D6"/>
            <w:vAlign w:val="center"/>
            <w:hideMark/>
          </w:tcPr>
          <w:p w14:paraId="43ACA88B" w14:textId="27EBE708"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iCs/>
                <w:sz w:val="22"/>
                <w:szCs w:val="22"/>
              </w:rPr>
              <w:t>euro</w:t>
            </w:r>
            <w:proofErr w:type="spellEnd"/>
          </w:p>
        </w:tc>
        <w:tc>
          <w:tcPr>
            <w:tcW w:w="1222" w:type="dxa"/>
            <w:shd w:val="clear" w:color="000000" w:fill="FCE4D6"/>
            <w:vAlign w:val="center"/>
            <w:hideMark/>
          </w:tcPr>
          <w:p w14:paraId="51CAA2DA" w14:textId="200ADAD3"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iCs/>
                <w:sz w:val="22"/>
                <w:szCs w:val="22"/>
              </w:rPr>
              <w:t>euro</w:t>
            </w:r>
            <w:proofErr w:type="spellEnd"/>
          </w:p>
        </w:tc>
      </w:tr>
      <w:tr w:rsidR="00D923AA" w:rsidRPr="007B010A" w14:paraId="4B52C110" w14:textId="77777777" w:rsidTr="00376CF0">
        <w:trPr>
          <w:trHeight w:val="315"/>
          <w:jc w:val="center"/>
        </w:trPr>
        <w:tc>
          <w:tcPr>
            <w:tcW w:w="1691" w:type="dxa"/>
            <w:shd w:val="clear" w:color="auto" w:fill="auto"/>
            <w:noWrap/>
            <w:vAlign w:val="center"/>
            <w:hideMark/>
          </w:tcPr>
          <w:p w14:paraId="6F41A8D3" w14:textId="63AE6B0A" w:rsidR="00D923AA" w:rsidRPr="007B010A" w:rsidRDefault="004B693A" w:rsidP="00376CF0">
            <w:pPr>
              <w:jc w:val="center"/>
              <w:rPr>
                <w:sz w:val="22"/>
                <w:szCs w:val="22"/>
              </w:rPr>
            </w:pPr>
            <w:r w:rsidRPr="007B010A">
              <w:rPr>
                <w:sz w:val="22"/>
                <w:szCs w:val="22"/>
              </w:rPr>
              <w:t>5</w:t>
            </w:r>
            <w:r w:rsidR="00D923AA" w:rsidRPr="007B010A">
              <w:rPr>
                <w:sz w:val="22"/>
                <w:szCs w:val="22"/>
              </w:rPr>
              <w:t xml:space="preserve"> ārstniecības iestādes</w:t>
            </w:r>
          </w:p>
        </w:tc>
        <w:tc>
          <w:tcPr>
            <w:tcW w:w="1418" w:type="dxa"/>
            <w:shd w:val="clear" w:color="auto" w:fill="auto"/>
            <w:noWrap/>
            <w:vAlign w:val="center"/>
            <w:hideMark/>
          </w:tcPr>
          <w:p w14:paraId="44F68690" w14:textId="7D7F74CB" w:rsidR="00D923AA" w:rsidRPr="007B010A" w:rsidRDefault="00D923AA" w:rsidP="00376CF0">
            <w:pPr>
              <w:jc w:val="center"/>
              <w:rPr>
                <w:sz w:val="22"/>
                <w:szCs w:val="22"/>
              </w:rPr>
            </w:pPr>
            <w:r w:rsidRPr="007B010A">
              <w:rPr>
                <w:sz w:val="22"/>
                <w:szCs w:val="22"/>
              </w:rPr>
              <w:t>11</w:t>
            </w:r>
            <w:r w:rsidR="00582976" w:rsidRPr="007B010A">
              <w:rPr>
                <w:sz w:val="22"/>
                <w:szCs w:val="22"/>
              </w:rPr>
              <w:t> </w:t>
            </w:r>
            <w:r w:rsidRPr="007B010A">
              <w:rPr>
                <w:sz w:val="22"/>
                <w:szCs w:val="22"/>
              </w:rPr>
              <w:t>000</w:t>
            </w:r>
          </w:p>
        </w:tc>
        <w:tc>
          <w:tcPr>
            <w:tcW w:w="1329" w:type="dxa"/>
            <w:shd w:val="clear" w:color="auto" w:fill="auto"/>
            <w:noWrap/>
            <w:vAlign w:val="center"/>
            <w:hideMark/>
          </w:tcPr>
          <w:p w14:paraId="409508F8" w14:textId="0E9A9DF1" w:rsidR="00D923AA" w:rsidRPr="007B010A" w:rsidRDefault="00D923AA" w:rsidP="00376CF0">
            <w:pPr>
              <w:jc w:val="center"/>
              <w:rPr>
                <w:sz w:val="22"/>
                <w:szCs w:val="22"/>
              </w:rPr>
            </w:pPr>
            <w:r w:rsidRPr="007B010A">
              <w:rPr>
                <w:sz w:val="22"/>
                <w:szCs w:val="22"/>
              </w:rPr>
              <w:t>650</w:t>
            </w:r>
            <w:r w:rsidR="00582976" w:rsidRPr="007B010A">
              <w:rPr>
                <w:sz w:val="22"/>
                <w:szCs w:val="22"/>
              </w:rPr>
              <w:t> </w:t>
            </w:r>
            <w:r w:rsidRPr="007B010A">
              <w:rPr>
                <w:sz w:val="22"/>
                <w:szCs w:val="22"/>
              </w:rPr>
              <w:t>320</w:t>
            </w:r>
          </w:p>
        </w:tc>
        <w:tc>
          <w:tcPr>
            <w:tcW w:w="1303" w:type="dxa"/>
            <w:shd w:val="clear" w:color="auto" w:fill="auto"/>
            <w:noWrap/>
            <w:vAlign w:val="center"/>
            <w:hideMark/>
          </w:tcPr>
          <w:p w14:paraId="3085F6F3" w14:textId="77777777" w:rsidR="00D923AA" w:rsidRPr="007B010A" w:rsidRDefault="00D923AA" w:rsidP="00376CF0">
            <w:pPr>
              <w:jc w:val="center"/>
              <w:rPr>
                <w:sz w:val="22"/>
                <w:szCs w:val="22"/>
              </w:rPr>
            </w:pPr>
            <w:r w:rsidRPr="007B010A">
              <w:rPr>
                <w:sz w:val="22"/>
                <w:szCs w:val="22"/>
              </w:rPr>
              <w:t>59,12</w:t>
            </w:r>
          </w:p>
        </w:tc>
        <w:tc>
          <w:tcPr>
            <w:tcW w:w="1337" w:type="dxa"/>
            <w:shd w:val="clear" w:color="auto" w:fill="auto"/>
            <w:noWrap/>
            <w:vAlign w:val="center"/>
            <w:hideMark/>
          </w:tcPr>
          <w:p w14:paraId="1E5F8E7D" w14:textId="1ACB60CD" w:rsidR="00D923AA" w:rsidRPr="007B010A" w:rsidRDefault="00B01660" w:rsidP="00376CF0">
            <w:pPr>
              <w:jc w:val="center"/>
              <w:rPr>
                <w:sz w:val="22"/>
                <w:szCs w:val="22"/>
              </w:rPr>
            </w:pPr>
            <w:r w:rsidRPr="007B010A">
              <w:rPr>
                <w:sz w:val="22"/>
                <w:szCs w:val="22"/>
              </w:rPr>
              <w:t>35</w:t>
            </w:r>
            <w:r w:rsidR="00582976" w:rsidRPr="007B010A">
              <w:rPr>
                <w:sz w:val="22"/>
                <w:szCs w:val="22"/>
              </w:rPr>
              <w:t> </w:t>
            </w:r>
            <w:r w:rsidRPr="007B010A">
              <w:rPr>
                <w:sz w:val="22"/>
                <w:szCs w:val="22"/>
              </w:rPr>
              <w:t>666</w:t>
            </w:r>
          </w:p>
        </w:tc>
        <w:tc>
          <w:tcPr>
            <w:tcW w:w="1329" w:type="dxa"/>
            <w:shd w:val="clear" w:color="auto" w:fill="auto"/>
            <w:noWrap/>
            <w:vAlign w:val="center"/>
            <w:hideMark/>
          </w:tcPr>
          <w:p w14:paraId="52EA0C74" w14:textId="3D6FC38B" w:rsidR="00D923AA" w:rsidRPr="007B010A" w:rsidRDefault="00051EAF" w:rsidP="00376CF0">
            <w:pPr>
              <w:jc w:val="center"/>
              <w:rPr>
                <w:sz w:val="22"/>
                <w:szCs w:val="22"/>
              </w:rPr>
            </w:pPr>
            <w:r w:rsidRPr="007B010A">
              <w:rPr>
                <w:sz w:val="22"/>
                <w:szCs w:val="22"/>
              </w:rPr>
              <w:t>905</w:t>
            </w:r>
            <w:r w:rsidR="00582976" w:rsidRPr="007B010A">
              <w:rPr>
                <w:sz w:val="22"/>
                <w:szCs w:val="22"/>
              </w:rPr>
              <w:t> </w:t>
            </w:r>
            <w:r w:rsidRPr="007B010A">
              <w:rPr>
                <w:sz w:val="22"/>
                <w:szCs w:val="22"/>
              </w:rPr>
              <w:t>831</w:t>
            </w:r>
          </w:p>
        </w:tc>
        <w:tc>
          <w:tcPr>
            <w:tcW w:w="1222" w:type="dxa"/>
            <w:shd w:val="clear" w:color="auto" w:fill="auto"/>
            <w:noWrap/>
            <w:vAlign w:val="center"/>
            <w:hideMark/>
          </w:tcPr>
          <w:p w14:paraId="77EC9D12" w14:textId="4058DB26" w:rsidR="00D923AA" w:rsidRPr="007B010A" w:rsidRDefault="00E577D7" w:rsidP="00376CF0">
            <w:pPr>
              <w:jc w:val="center"/>
              <w:rPr>
                <w:sz w:val="22"/>
                <w:szCs w:val="22"/>
              </w:rPr>
            </w:pPr>
            <w:r w:rsidRPr="007B010A">
              <w:rPr>
                <w:sz w:val="22"/>
                <w:szCs w:val="22"/>
              </w:rPr>
              <w:t>25,40</w:t>
            </w:r>
          </w:p>
        </w:tc>
      </w:tr>
    </w:tbl>
    <w:p w14:paraId="40C550AA" w14:textId="77777777" w:rsidR="00D923AA" w:rsidRPr="007B010A" w:rsidRDefault="00D923AA" w:rsidP="00D923AA">
      <w:pPr>
        <w:jc w:val="both"/>
        <w:rPr>
          <w:i/>
          <w:sz w:val="20"/>
          <w:szCs w:val="20"/>
        </w:rPr>
      </w:pPr>
      <w:r w:rsidRPr="007B010A">
        <w:rPr>
          <w:i/>
          <w:sz w:val="20"/>
          <w:szCs w:val="20"/>
        </w:rPr>
        <w:t>Avots: NVD</w:t>
      </w:r>
    </w:p>
    <w:p w14:paraId="6CB45908" w14:textId="77777777" w:rsidR="00D923AA" w:rsidRPr="007B010A" w:rsidRDefault="00D923AA" w:rsidP="00D923AA">
      <w:pPr>
        <w:jc w:val="both"/>
        <w:rPr>
          <w:sz w:val="22"/>
          <w:szCs w:val="22"/>
        </w:rPr>
      </w:pPr>
    </w:p>
    <w:p w14:paraId="5DC8687D" w14:textId="2AC6241B" w:rsidR="00D923AA" w:rsidRPr="007B010A" w:rsidRDefault="00B91768" w:rsidP="00D923AA">
      <w:pPr>
        <w:shd w:val="clear" w:color="auto" w:fill="FFFFFF"/>
        <w:ind w:firstLine="720"/>
        <w:jc w:val="both"/>
        <w:rPr>
          <w:rFonts w:ascii="Segoe UI" w:hAnsi="Segoe UI" w:cs="Segoe UI"/>
        </w:rPr>
      </w:pPr>
      <w:r w:rsidRPr="007B010A">
        <w:t xml:space="preserve">Tā kā jebkura jauna pakalpojuma ieviešana ietver sevī pakāpenisku, </w:t>
      </w:r>
      <w:proofErr w:type="spellStart"/>
      <w:r w:rsidRPr="007B010A">
        <w:t>etapveidīgu</w:t>
      </w:r>
      <w:proofErr w:type="spellEnd"/>
      <w:r w:rsidRPr="007B010A">
        <w:t xml:space="preserve"> uzsākšanu, tad pakalpojumu apjomam ir tendence pieaugt – pakalpojumu ieviešanas sākumā – </w:t>
      </w:r>
      <w:r w:rsidRPr="007B010A">
        <w:lastRenderedPageBreak/>
        <w:t xml:space="preserve">lēni, pakalpojumu ieviešanā ilgtermiņā – pat </w:t>
      </w:r>
      <w:proofErr w:type="spellStart"/>
      <w:r w:rsidRPr="007B010A">
        <w:t>pī</w:t>
      </w:r>
      <w:r w:rsidR="00CA6AB4">
        <w:t>ķ</w:t>
      </w:r>
      <w:r w:rsidRPr="007B010A">
        <w:t>veidīgi</w:t>
      </w:r>
      <w:proofErr w:type="spellEnd"/>
      <w:r w:rsidRPr="007B010A">
        <w:t xml:space="preserve">, nonākot līdz progresa punktam, pēc kura ir straujš kāpums, ja sistēma tiek savlaicīgi sakārtota. Tika ņemti vērā 5 ārstniecības iestāžu ieteikumi un asociāciju rosinājumi, lai </w:t>
      </w:r>
      <w:r w:rsidR="00522F49">
        <w:t>“</w:t>
      </w:r>
      <w:r w:rsidRPr="007B010A">
        <w:t>Zaļais koridors</w:t>
      </w:r>
      <w:r w:rsidR="00522F49">
        <w:t>”</w:t>
      </w:r>
      <w:r w:rsidRPr="007B010A">
        <w:t xml:space="preserve"> efektīvāk strādātu un </w:t>
      </w:r>
      <w:r w:rsidR="00CA6AB4">
        <w:t>efektīvāk izlietotu</w:t>
      </w:r>
      <w:r w:rsidRPr="007B010A">
        <w:t xml:space="preserve"> budžeta līdzekļu</w:t>
      </w:r>
      <w:r w:rsidR="00CA6AB4">
        <w:t>s</w:t>
      </w:r>
      <w:r w:rsidRPr="007B010A">
        <w:t>.</w:t>
      </w:r>
      <w:r w:rsidR="00860589" w:rsidRPr="007B010A">
        <w:t xml:space="preserve"> </w:t>
      </w:r>
      <w:r w:rsidR="00D923AA" w:rsidRPr="007B010A">
        <w:t xml:space="preserve">Tāpat 2017.gada laikā tika paplašināts ārstu loks, kuri </w:t>
      </w:r>
      <w:r w:rsidR="00477AED" w:rsidRPr="007B010A">
        <w:t xml:space="preserve">“Zaļā koridora” ietvaros </w:t>
      </w:r>
      <w:r w:rsidR="00D923AA" w:rsidRPr="007B010A">
        <w:t xml:space="preserve">ir tiesīgi nosūtīt pacientu speciālista konsultāciju saņemšanai aizdomu gadījumā par ļaundabīgu saslimšanu. Šādu nosūtījumu var izsniegt ne tikai ģimenes ārsti, bet arī ginekologi (savas kompetences ietvaros) un ārsti-speciālisti piecās specializētajās ārstniecības iestādēs – </w:t>
      </w:r>
      <w:r w:rsidR="005A1471" w:rsidRPr="007B010A">
        <w:t>SIA “</w:t>
      </w:r>
      <w:r w:rsidR="00D923AA" w:rsidRPr="007B010A">
        <w:t>Rīgas Austrumu klīniskā universitātes slimnīc</w:t>
      </w:r>
      <w:r w:rsidR="005A1471" w:rsidRPr="007B010A">
        <w:t>a”</w:t>
      </w:r>
      <w:r w:rsidR="00D923AA" w:rsidRPr="007B010A">
        <w:t>,</w:t>
      </w:r>
      <w:r w:rsidR="005A1471" w:rsidRPr="007B010A">
        <w:t xml:space="preserve"> VSIA </w:t>
      </w:r>
      <w:r w:rsidR="00901D16">
        <w:t>“</w:t>
      </w:r>
      <w:r w:rsidR="00D923AA" w:rsidRPr="007B010A">
        <w:t>Paula Stradiņa Klīniskā universitātes slimnīc</w:t>
      </w:r>
      <w:r w:rsidR="005A1471" w:rsidRPr="007B010A">
        <w:t>a”</w:t>
      </w:r>
      <w:r w:rsidR="00D923AA" w:rsidRPr="007B010A">
        <w:t xml:space="preserve">, </w:t>
      </w:r>
      <w:r w:rsidR="005A1471" w:rsidRPr="007B010A">
        <w:t>SIA “</w:t>
      </w:r>
      <w:r w:rsidR="00D923AA" w:rsidRPr="007B010A">
        <w:t>Liepājas reģionālā slimnīc</w:t>
      </w:r>
      <w:r w:rsidR="005A1471" w:rsidRPr="007B010A">
        <w:t>a”</w:t>
      </w:r>
      <w:r w:rsidR="00D923AA" w:rsidRPr="007B010A">
        <w:t xml:space="preserve">, </w:t>
      </w:r>
      <w:r w:rsidR="005A1471" w:rsidRPr="007B010A">
        <w:t>VSIA “Piejūras slimnīca”</w:t>
      </w:r>
      <w:r w:rsidR="00D923AA" w:rsidRPr="007B010A">
        <w:t xml:space="preserve"> un </w:t>
      </w:r>
      <w:r w:rsidR="005A1471" w:rsidRPr="007B010A">
        <w:t>SIA “</w:t>
      </w:r>
      <w:r w:rsidR="00D923AA" w:rsidRPr="007B010A">
        <w:t>Daugavpils reģionāl</w:t>
      </w:r>
      <w:r w:rsidR="005A1471" w:rsidRPr="007B010A">
        <w:t>ā slimnīca”</w:t>
      </w:r>
      <w:r w:rsidR="00D923AA" w:rsidRPr="007B010A">
        <w:t>. Tādējādi tika atvieglots pacienta “ceļš” līdz speciālista konsultācijai un paātrināta diagnozes noteikšana.</w:t>
      </w:r>
    </w:p>
    <w:p w14:paraId="559868DE" w14:textId="2E6AD391" w:rsidR="00D923AA" w:rsidRPr="007B010A" w:rsidRDefault="005A1471" w:rsidP="00137ECD">
      <w:pPr>
        <w:ind w:firstLine="720"/>
        <w:jc w:val="both"/>
      </w:pPr>
      <w:r w:rsidRPr="007B010A">
        <w:t>Ņemot vērā</w:t>
      </w:r>
      <w:r w:rsidR="00D923AA" w:rsidRPr="007B010A">
        <w:t xml:space="preserve"> to</w:t>
      </w:r>
      <w:r w:rsidRPr="007B010A">
        <w:t>,</w:t>
      </w:r>
      <w:r w:rsidR="00D923AA" w:rsidRPr="007B010A">
        <w:t xml:space="preserve"> ka unikālo pacienu ārstēšanas process ir uzsākts gada sākumā un līdz gada beigām plānoto ārstēšanu uzsākušie pacienti ir saņēmuši atkārtotas vizītes, tā rezultātā gada ietvaros ir samazināj</w:t>
      </w:r>
      <w:r w:rsidRPr="007B010A">
        <w:t>u</w:t>
      </w:r>
      <w:r w:rsidR="00D923AA" w:rsidRPr="007B010A">
        <w:t>s</w:t>
      </w:r>
      <w:r w:rsidRPr="007B010A">
        <w:t>ies</w:t>
      </w:r>
      <w:r w:rsidR="00D923AA" w:rsidRPr="007B010A">
        <w:t xml:space="preserve"> faktiskā </w:t>
      </w:r>
      <w:r w:rsidR="009A7C3C" w:rsidRPr="007B010A">
        <w:t xml:space="preserve">unikālā pacienta </w:t>
      </w:r>
      <w:r w:rsidR="00D923AA" w:rsidRPr="007B010A">
        <w:t xml:space="preserve">konsultāciju vidējā izmaksa kā sākotnēji tika plānots. </w:t>
      </w:r>
      <w:r w:rsidR="00E86D81" w:rsidRPr="007B010A">
        <w:t>Kopumā ir uzlabota primārās un sekundārās diagnostikas kārtība, tāpēc speciālistam konsultācijas laikā vairāk nav nepieciešams veikt papildus diagnosticējošas manipulācijas, bet pacients atnāk ar izmeklējumu vai veikto manipulāciju primārajā diagnostikā rezultātiem, tā rezultātā speciālistam konsultācijas laikā vairs nav nepieciešams tik bieži veikt manipulācijas.</w:t>
      </w:r>
      <w:r w:rsidR="00860589" w:rsidRPr="007B010A">
        <w:t xml:space="preserve"> </w:t>
      </w:r>
      <w:r w:rsidR="00D923AA" w:rsidRPr="007B010A">
        <w:t xml:space="preserve">2018.gadā onkoloģisko pacientu konsultāciju aptvere ir </w:t>
      </w:r>
      <w:r w:rsidR="00860589" w:rsidRPr="007B010A">
        <w:t>324,24</w:t>
      </w:r>
      <w:r w:rsidR="00D923AA" w:rsidRPr="007B010A">
        <w:t>% no gada plānotā unikālo onkoloģisk</w:t>
      </w:r>
      <w:r w:rsidR="005A5D65" w:rsidRPr="007B010A">
        <w:t>o pacientu apjoma, paplašinot “Z</w:t>
      </w:r>
      <w:r w:rsidR="00D923AA" w:rsidRPr="007B010A">
        <w:t>aļā koridora” ļaundabīgo audzēju lokalizācijas, tādējādi turpinot palielināt arī pieejamību pie speciālistiem ar aizdomām par ļaundabīgo audzēju saslimšanām. Tāpat ārstniecības iestādes pēc līgumu noslēgšanas ar NVD ir veikušas izmaiņas</w:t>
      </w:r>
      <w:r w:rsidRPr="007B010A">
        <w:t>,</w:t>
      </w:r>
      <w:r w:rsidR="00D923AA" w:rsidRPr="007B010A">
        <w:t xml:space="preserve"> darbu organizācijā nodrošinot lielāku valsts apmaksājamo un papildus konsultāciju sniegšanu</w:t>
      </w:r>
      <w:r w:rsidR="00137ECD" w:rsidRPr="007B010A">
        <w:t>, jo šīs pakalpojums tiek apmaksāts ārpus NVD un ārstniecības iestādes savstarpējā līgumā atrunātā finansējuma jeb kvotas, kas ir viens no ārstniecības iestāžu motivējošiem faktoriem šo pakalpojumu nodrošināšanā.</w:t>
      </w:r>
    </w:p>
    <w:p w14:paraId="2777FC0C" w14:textId="38810A0E" w:rsidR="00D923AA" w:rsidRPr="007B010A" w:rsidRDefault="00C8382B" w:rsidP="00B14649">
      <w:pPr>
        <w:ind w:firstLine="720"/>
        <w:jc w:val="both"/>
      </w:pPr>
      <w:r w:rsidRPr="007B010A">
        <w:t>Izvērtējot 2018.gada rādītājus Eiropas Komisijas pieļautajai deficīta atkāpei veselības aprūpes sistēmas reformas ieviešanai ir sasniegts gadā plānotais rādītājs līdz ar to prognozējam 2019.gada izpildi gan EK atkāpes sadaļā, gan pārējā finansējuma sadaļā</w:t>
      </w:r>
      <w:r w:rsidR="00B14649" w:rsidRPr="007B010A">
        <w:t>.</w:t>
      </w:r>
    </w:p>
    <w:p w14:paraId="496B7CF3" w14:textId="3BA54328" w:rsidR="001042CE" w:rsidRPr="007B010A" w:rsidRDefault="001042CE" w:rsidP="00B14649">
      <w:pPr>
        <w:ind w:firstLine="720"/>
        <w:jc w:val="both"/>
      </w:pPr>
    </w:p>
    <w:p w14:paraId="4E0E16F1" w14:textId="77777777" w:rsidR="001042CE" w:rsidRPr="007B010A" w:rsidRDefault="001042CE" w:rsidP="00B14649">
      <w:pPr>
        <w:ind w:firstLine="720"/>
        <w:jc w:val="both"/>
      </w:pPr>
    </w:p>
    <w:p w14:paraId="410D13C7" w14:textId="77777777" w:rsidR="00D923AA" w:rsidRPr="007B010A" w:rsidRDefault="00D923AA" w:rsidP="00D923AA">
      <w:pPr>
        <w:jc w:val="center"/>
        <w:rPr>
          <w:u w:val="single"/>
        </w:rPr>
      </w:pPr>
      <w:r w:rsidRPr="007B010A">
        <w:rPr>
          <w:u w:val="single"/>
        </w:rPr>
        <w:t>Sekundārā diagnostika un izmeklējumi</w:t>
      </w:r>
    </w:p>
    <w:p w14:paraId="2DBC94B5" w14:textId="77777777" w:rsidR="00D923AA" w:rsidRPr="007B010A" w:rsidRDefault="00D923AA" w:rsidP="00D923AA">
      <w:pPr>
        <w:jc w:val="both"/>
        <w:rPr>
          <w:u w:val="single"/>
        </w:rPr>
      </w:pPr>
    </w:p>
    <w:p w14:paraId="36A1AE4F" w14:textId="03AD73E1" w:rsidR="00D923AA" w:rsidRPr="007B010A" w:rsidRDefault="00D923AA" w:rsidP="00D923AA">
      <w:pPr>
        <w:ind w:firstLine="335"/>
        <w:jc w:val="both"/>
      </w:pPr>
      <w:r w:rsidRPr="007B010A">
        <w:tab/>
        <w:t xml:space="preserve">Ļaundabīgo audzēju sekundārās diagnostikas noteiktām lokalizācijām kārtība paredz ārstniecības iestādēm, kas specializējušās onkoloģisko slimību ārstēšanā, pēc speciālistu konsultācijas </w:t>
      </w:r>
      <w:r w:rsidR="00137ECD" w:rsidRPr="007B010A">
        <w:t>saņemšanas</w:t>
      </w:r>
      <w:r w:rsidRPr="007B010A">
        <w:t xml:space="preserve"> veikt visus tālāk nepieciešamos izmeklējumus onkoloģiskās slimības morfoloģisk</w:t>
      </w:r>
      <w:r w:rsidR="00137ECD" w:rsidRPr="007B010A">
        <w:t>ai</w:t>
      </w:r>
      <w:r w:rsidRPr="007B010A">
        <w:t xml:space="preserve"> apstiprināšan</w:t>
      </w:r>
      <w:r w:rsidR="00137ECD" w:rsidRPr="007B010A">
        <w:t>ai</w:t>
      </w:r>
      <w:r w:rsidRPr="007B010A">
        <w:t xml:space="preserve"> un  tās izplatības noteikšanu.</w:t>
      </w:r>
    </w:p>
    <w:p w14:paraId="22DE069F" w14:textId="2A5A357F" w:rsidR="005D7E3B" w:rsidRPr="007B010A" w:rsidRDefault="00D923AA" w:rsidP="00897850">
      <w:pPr>
        <w:jc w:val="both"/>
        <w:rPr>
          <w:i/>
        </w:rPr>
      </w:pPr>
      <w:r w:rsidRPr="007B010A">
        <w:tab/>
        <w:t xml:space="preserve">2018.gadā </w:t>
      </w:r>
      <w:r w:rsidR="00F47308" w:rsidRPr="007B010A">
        <w:t xml:space="preserve">tika </w:t>
      </w:r>
      <w:r w:rsidRPr="007B010A">
        <w:t xml:space="preserve">plānoti 14,6 tūkst. sekundāro diagnostiku saņemošie onkoloģiskie pacienti, kuriem atbilstoši noteiktajiem algoritmiem tiktu veikta slimību morfoloģiska diagnostika, diferenciālā diagnostika, slimības izplatības novērtējums. Šādus veselības aprūpes pakalpojumus nodrošina </w:t>
      </w:r>
      <w:r w:rsidR="005A1471" w:rsidRPr="007B010A">
        <w:t>VSIA “</w:t>
      </w:r>
      <w:r w:rsidRPr="007B010A">
        <w:t>Piejūras slimnīc</w:t>
      </w:r>
      <w:r w:rsidR="005A1471" w:rsidRPr="007B010A">
        <w:t>a”</w:t>
      </w:r>
      <w:r w:rsidRPr="007B010A">
        <w:t xml:space="preserve">, </w:t>
      </w:r>
      <w:r w:rsidR="005A1471" w:rsidRPr="007B010A">
        <w:t>SIA “</w:t>
      </w:r>
      <w:r w:rsidRPr="007B010A">
        <w:t>Liepājas reģionālā slimnīc</w:t>
      </w:r>
      <w:r w:rsidR="005A1471" w:rsidRPr="007B010A">
        <w:t>a”</w:t>
      </w:r>
      <w:r w:rsidRPr="007B010A">
        <w:t>,</w:t>
      </w:r>
      <w:r w:rsidR="005A1471" w:rsidRPr="007B010A">
        <w:t xml:space="preserve"> SIA</w:t>
      </w:r>
      <w:r w:rsidR="00A67A4E" w:rsidRPr="007B010A">
        <w:t> </w:t>
      </w:r>
      <w:r w:rsidR="005A1471" w:rsidRPr="007B010A">
        <w:t>“</w:t>
      </w:r>
      <w:r w:rsidRPr="007B010A">
        <w:t>Rīgas Austrumu klīniskā universitātes slimnīc</w:t>
      </w:r>
      <w:r w:rsidR="005A1471" w:rsidRPr="007B010A">
        <w:t>a”</w:t>
      </w:r>
      <w:r w:rsidRPr="007B010A">
        <w:t xml:space="preserve">, </w:t>
      </w:r>
      <w:r w:rsidR="005A1471" w:rsidRPr="007B010A">
        <w:t>VSIA “</w:t>
      </w:r>
      <w:r w:rsidRPr="007B010A">
        <w:t>Paula Stradiņa klīniskā universitātes slimnīc</w:t>
      </w:r>
      <w:r w:rsidR="005A1471" w:rsidRPr="007B010A">
        <w:t>a”</w:t>
      </w:r>
      <w:r w:rsidRPr="007B010A">
        <w:t xml:space="preserve"> un </w:t>
      </w:r>
      <w:r w:rsidR="005A1471" w:rsidRPr="007B010A">
        <w:t>SIA “</w:t>
      </w:r>
      <w:r w:rsidRPr="007B010A">
        <w:t>Daugavpils reģionālā slimnīc</w:t>
      </w:r>
      <w:r w:rsidR="005A1471" w:rsidRPr="007B010A">
        <w:t>a”</w:t>
      </w:r>
      <w:r w:rsidRPr="007B010A">
        <w:t xml:space="preserve">. </w:t>
      </w:r>
      <w:r w:rsidRPr="007B010A">
        <w:rPr>
          <w:shd w:val="clear" w:color="auto" w:fill="FFFFFF"/>
        </w:rPr>
        <w:t>No 2018.gada,  konstatējot atbilstošas medicīniskas sūdzības un simptomus, pacientus ar aizdomām par</w:t>
      </w:r>
      <w:r w:rsidR="00137ECD" w:rsidRPr="007B010A">
        <w:rPr>
          <w:shd w:val="clear" w:color="auto" w:fill="FFFFFF"/>
        </w:rPr>
        <w:t xml:space="preserve"> jebkuras</w:t>
      </w:r>
      <w:r w:rsidRPr="007B010A">
        <w:rPr>
          <w:shd w:val="clear" w:color="auto" w:fill="FFFFFF"/>
        </w:rPr>
        <w:t xml:space="preserve"> ļaundabīgu audzēju</w:t>
      </w:r>
      <w:r w:rsidR="00137ECD" w:rsidRPr="007B010A">
        <w:rPr>
          <w:shd w:val="clear" w:color="auto" w:fill="FFFFFF"/>
        </w:rPr>
        <w:t xml:space="preserve"> lokalizācijas vietas</w:t>
      </w:r>
      <w:r w:rsidRPr="007B010A">
        <w:rPr>
          <w:shd w:val="clear" w:color="auto" w:fill="FFFFFF"/>
        </w:rPr>
        <w:t xml:space="preserve">, atbilstoši medicīniskajām indikācijām </w:t>
      </w:r>
      <w:r w:rsidR="00137ECD" w:rsidRPr="007B010A">
        <w:rPr>
          <w:shd w:val="clear" w:color="auto" w:fill="FFFFFF"/>
        </w:rPr>
        <w:t>gan ģimenes ārsti (tikai primārajā diagnostikā), gan</w:t>
      </w:r>
      <w:r w:rsidRPr="007B010A">
        <w:rPr>
          <w:shd w:val="clear" w:color="auto" w:fill="FFFFFF"/>
        </w:rPr>
        <w:t xml:space="preserve"> piecu specializēto ārstniecības iestāžu sekundārās veselības aprūpes speciālist</w:t>
      </w:r>
      <w:r w:rsidR="00137ECD" w:rsidRPr="007B010A">
        <w:rPr>
          <w:shd w:val="clear" w:color="auto" w:fill="FFFFFF"/>
        </w:rPr>
        <w:t>i (gan primārā, gan sekundārā diagnostikā)</w:t>
      </w:r>
      <w:r w:rsidRPr="007B010A">
        <w:rPr>
          <w:shd w:val="clear" w:color="auto" w:fill="FFFFFF"/>
        </w:rPr>
        <w:t xml:space="preserve"> var nosūtīt mērķtiecīgu, pamatotu laboratoriskos un vizuālās diagnostikas izmeklējumu saņemšanai prioritārā kārtībā, kā arī virzīt  pie atbilstoša speciālista vai pie onkologa </w:t>
      </w:r>
      <w:proofErr w:type="spellStart"/>
      <w:r w:rsidRPr="007B010A">
        <w:rPr>
          <w:shd w:val="clear" w:color="auto" w:fill="FFFFFF"/>
        </w:rPr>
        <w:t>ķīmijterapeita</w:t>
      </w:r>
      <w:proofErr w:type="spellEnd"/>
      <w:r w:rsidRPr="007B010A">
        <w:rPr>
          <w:shd w:val="clear" w:color="auto" w:fill="FFFFFF"/>
        </w:rPr>
        <w:t xml:space="preserve"> konsultācijas saņemšanai vienā no specializētajām ārstniecības iestādēm.</w:t>
      </w:r>
    </w:p>
    <w:p w14:paraId="43084A81" w14:textId="77777777" w:rsidR="00C34E72" w:rsidRDefault="00C34E72" w:rsidP="00D923AA">
      <w:pPr>
        <w:spacing w:after="200" w:line="276" w:lineRule="auto"/>
        <w:jc w:val="right"/>
        <w:rPr>
          <w:i/>
        </w:rPr>
      </w:pPr>
    </w:p>
    <w:p w14:paraId="06ECC649" w14:textId="3D5D6569" w:rsidR="00D923AA" w:rsidRPr="007B010A" w:rsidRDefault="00D923AA" w:rsidP="00D923AA">
      <w:pPr>
        <w:spacing w:after="200" w:line="276" w:lineRule="auto"/>
        <w:jc w:val="right"/>
        <w:rPr>
          <w:i/>
        </w:rPr>
      </w:pPr>
      <w:r w:rsidRPr="007B010A">
        <w:rPr>
          <w:i/>
        </w:rPr>
        <w:lastRenderedPageBreak/>
        <w:t>1</w:t>
      </w:r>
      <w:r w:rsidR="00AF0BE2" w:rsidRPr="007B010A">
        <w:rPr>
          <w:i/>
        </w:rPr>
        <w:t>6</w:t>
      </w:r>
      <w:r w:rsidRPr="007B010A">
        <w:rPr>
          <w:i/>
        </w:rPr>
        <w:t xml:space="preserve">.tabula </w:t>
      </w:r>
    </w:p>
    <w:p w14:paraId="447F8063" w14:textId="34153C7B" w:rsidR="00D923AA" w:rsidRPr="007B010A" w:rsidRDefault="00D923AA" w:rsidP="00D923AA">
      <w:pPr>
        <w:jc w:val="center"/>
      </w:pPr>
      <w:r w:rsidRPr="007B010A">
        <w:t>Sekundārās diagnostikas un izmeklējumu 2018.gada izpilde</w:t>
      </w:r>
    </w:p>
    <w:p w14:paraId="6A6D33B3" w14:textId="77777777" w:rsidR="00D923AA" w:rsidRPr="007B010A" w:rsidRDefault="00D923AA" w:rsidP="00D923AA">
      <w:pPr>
        <w:jc w:val="both"/>
      </w:pPr>
    </w:p>
    <w:tbl>
      <w:tblPr>
        <w:tblW w:w="9506" w:type="dxa"/>
        <w:jc w:val="center"/>
        <w:tblLook w:val="04A0" w:firstRow="1" w:lastRow="0" w:firstColumn="1" w:lastColumn="0" w:noHBand="0" w:noVBand="1"/>
      </w:tblPr>
      <w:tblGrid>
        <w:gridCol w:w="1691"/>
        <w:gridCol w:w="1276"/>
        <w:gridCol w:w="1329"/>
        <w:gridCol w:w="1364"/>
        <w:gridCol w:w="1170"/>
        <w:gridCol w:w="1382"/>
        <w:gridCol w:w="1294"/>
      </w:tblGrid>
      <w:tr w:rsidR="00D923AA" w:rsidRPr="007B010A" w14:paraId="7B22D6EF" w14:textId="77777777" w:rsidTr="00376CF0">
        <w:trPr>
          <w:trHeight w:val="600"/>
          <w:jc w:val="center"/>
        </w:trPr>
        <w:tc>
          <w:tcPr>
            <w:tcW w:w="1691"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A653CC8" w14:textId="77777777" w:rsidR="00D923AA" w:rsidRPr="007B010A" w:rsidRDefault="00D923AA" w:rsidP="00376CF0">
            <w:pPr>
              <w:jc w:val="center"/>
              <w:rPr>
                <w:b/>
                <w:bCs/>
                <w:sz w:val="22"/>
                <w:szCs w:val="22"/>
              </w:rPr>
            </w:pPr>
            <w:r w:rsidRPr="007B010A">
              <w:rPr>
                <w:b/>
                <w:bCs/>
                <w:sz w:val="22"/>
                <w:szCs w:val="22"/>
              </w:rPr>
              <w:t>Sekundārā diagnostika un izmeklējumi</w:t>
            </w:r>
          </w:p>
        </w:tc>
        <w:tc>
          <w:tcPr>
            <w:tcW w:w="3969"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18D9ADEF" w14:textId="77777777" w:rsidR="00D923AA" w:rsidRPr="007B010A" w:rsidRDefault="00D923AA" w:rsidP="00376CF0">
            <w:pPr>
              <w:jc w:val="center"/>
              <w:rPr>
                <w:sz w:val="22"/>
                <w:szCs w:val="22"/>
              </w:rPr>
            </w:pPr>
            <w:r w:rsidRPr="007B010A">
              <w:rPr>
                <w:sz w:val="22"/>
                <w:szCs w:val="22"/>
              </w:rPr>
              <w:t>Plānotais ārstējamo unikālo onkoloģisko pacientu apjoms</w:t>
            </w:r>
          </w:p>
        </w:tc>
        <w:tc>
          <w:tcPr>
            <w:tcW w:w="384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71F2653D" w14:textId="77777777" w:rsidR="00D923AA" w:rsidRPr="007B010A" w:rsidRDefault="00D923AA" w:rsidP="00376CF0">
            <w:pPr>
              <w:jc w:val="center"/>
              <w:rPr>
                <w:sz w:val="22"/>
                <w:szCs w:val="22"/>
              </w:rPr>
            </w:pPr>
            <w:r w:rsidRPr="007B010A">
              <w:rPr>
                <w:sz w:val="22"/>
                <w:szCs w:val="22"/>
              </w:rPr>
              <w:t>Faktiskā izpilde ārstējamo unikālo onkoloģisko pacientu apjomam</w:t>
            </w:r>
          </w:p>
        </w:tc>
      </w:tr>
      <w:tr w:rsidR="00D923AA" w:rsidRPr="007B010A" w14:paraId="20E44C1B" w14:textId="77777777" w:rsidTr="00376CF0">
        <w:trPr>
          <w:trHeight w:val="517"/>
          <w:jc w:val="center"/>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029C7FBF" w14:textId="77777777" w:rsidR="00D923AA" w:rsidRPr="007B010A" w:rsidRDefault="00D923AA" w:rsidP="00376CF0">
            <w:pPr>
              <w:rPr>
                <w:b/>
                <w:bCs/>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48DD6BAC" w14:textId="10DB099D" w:rsidR="00D923AA" w:rsidRPr="007B010A" w:rsidRDefault="00D923AA" w:rsidP="00376CF0">
            <w:pPr>
              <w:jc w:val="center"/>
              <w:rPr>
                <w:sz w:val="22"/>
                <w:szCs w:val="22"/>
              </w:rPr>
            </w:pPr>
            <w:r w:rsidRPr="007B010A">
              <w:rPr>
                <w:sz w:val="22"/>
                <w:szCs w:val="22"/>
              </w:rPr>
              <w:t xml:space="preserve">Plānotais pacientu skaits </w:t>
            </w:r>
            <w:r w:rsidR="00450E12" w:rsidRPr="007B010A">
              <w:rPr>
                <w:sz w:val="22"/>
                <w:szCs w:val="22"/>
              </w:rPr>
              <w:t>2018.</w:t>
            </w:r>
            <w:r w:rsidRPr="007B010A">
              <w:rPr>
                <w:sz w:val="22"/>
                <w:szCs w:val="22"/>
              </w:rPr>
              <w:t>gadā</w:t>
            </w:r>
          </w:p>
        </w:tc>
        <w:tc>
          <w:tcPr>
            <w:tcW w:w="1329"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7178828C" w14:textId="77777777"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sz w:val="22"/>
                <w:szCs w:val="22"/>
              </w:rPr>
              <w:t>euro</w:t>
            </w:r>
            <w:proofErr w:type="spellEnd"/>
          </w:p>
        </w:tc>
        <w:tc>
          <w:tcPr>
            <w:tcW w:w="1364"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37351644" w14:textId="77777777"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sz w:val="22"/>
                <w:szCs w:val="22"/>
              </w:rPr>
              <w:t>euro</w:t>
            </w:r>
            <w:proofErr w:type="spellEnd"/>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0AA40DA4" w14:textId="2DBDF73A" w:rsidR="00D923AA" w:rsidRPr="007B010A" w:rsidRDefault="00D923AA" w:rsidP="00376CF0">
            <w:pPr>
              <w:jc w:val="center"/>
              <w:rPr>
                <w:sz w:val="22"/>
                <w:szCs w:val="22"/>
              </w:rPr>
            </w:pPr>
            <w:r w:rsidRPr="007B010A">
              <w:rPr>
                <w:sz w:val="22"/>
                <w:szCs w:val="22"/>
              </w:rPr>
              <w:t>Pacientu skaita pieaugums 2018.gadā</w:t>
            </w:r>
          </w:p>
        </w:tc>
        <w:tc>
          <w:tcPr>
            <w:tcW w:w="1382"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52AC055F" w14:textId="6BC23CEA"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sz w:val="22"/>
                <w:szCs w:val="22"/>
              </w:rPr>
              <w:t>euro</w:t>
            </w:r>
            <w:proofErr w:type="spellEnd"/>
          </w:p>
        </w:tc>
        <w:tc>
          <w:tcPr>
            <w:tcW w:w="1294" w:type="dxa"/>
            <w:vMerge w:val="restart"/>
            <w:tcBorders>
              <w:top w:val="nil"/>
              <w:left w:val="single" w:sz="4" w:space="0" w:color="auto"/>
              <w:bottom w:val="single" w:sz="8" w:space="0" w:color="000000"/>
              <w:right w:val="single" w:sz="8" w:space="0" w:color="auto"/>
            </w:tcBorders>
            <w:shd w:val="clear" w:color="000000" w:fill="FCE4D6"/>
            <w:vAlign w:val="center"/>
            <w:hideMark/>
          </w:tcPr>
          <w:p w14:paraId="2C570194" w14:textId="15A7DCD7"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sz w:val="22"/>
                <w:szCs w:val="22"/>
              </w:rPr>
              <w:t>euro</w:t>
            </w:r>
            <w:proofErr w:type="spellEnd"/>
          </w:p>
        </w:tc>
      </w:tr>
      <w:tr w:rsidR="00D923AA" w:rsidRPr="007B010A" w14:paraId="781AFE13" w14:textId="77777777" w:rsidTr="00376CF0">
        <w:trPr>
          <w:trHeight w:val="624"/>
          <w:jc w:val="center"/>
        </w:trPr>
        <w:tc>
          <w:tcPr>
            <w:tcW w:w="1691" w:type="dxa"/>
            <w:vMerge/>
            <w:tcBorders>
              <w:top w:val="single" w:sz="4" w:space="0" w:color="auto"/>
              <w:left w:val="single" w:sz="4" w:space="0" w:color="auto"/>
              <w:bottom w:val="single" w:sz="4" w:space="0" w:color="auto"/>
              <w:right w:val="single" w:sz="4" w:space="0" w:color="auto"/>
            </w:tcBorders>
            <w:vAlign w:val="center"/>
            <w:hideMark/>
          </w:tcPr>
          <w:p w14:paraId="71486A44" w14:textId="77777777" w:rsidR="00D923AA" w:rsidRPr="007B010A" w:rsidRDefault="00D923AA" w:rsidP="00376CF0">
            <w:pPr>
              <w:rPr>
                <w:b/>
                <w:bCs/>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221B755" w14:textId="77777777" w:rsidR="00D923AA" w:rsidRPr="007B010A" w:rsidRDefault="00D923AA" w:rsidP="00376CF0">
            <w:pPr>
              <w:rPr>
                <w:sz w:val="22"/>
                <w:szCs w:val="22"/>
              </w:rPr>
            </w:pPr>
          </w:p>
        </w:tc>
        <w:tc>
          <w:tcPr>
            <w:tcW w:w="1329" w:type="dxa"/>
            <w:vMerge/>
            <w:tcBorders>
              <w:top w:val="single" w:sz="4" w:space="0" w:color="auto"/>
              <w:left w:val="single" w:sz="4" w:space="0" w:color="auto"/>
              <w:bottom w:val="single" w:sz="4" w:space="0" w:color="auto"/>
              <w:right w:val="single" w:sz="4" w:space="0" w:color="auto"/>
            </w:tcBorders>
            <w:vAlign w:val="center"/>
            <w:hideMark/>
          </w:tcPr>
          <w:p w14:paraId="6282D879" w14:textId="77777777" w:rsidR="00D923AA" w:rsidRPr="007B010A" w:rsidRDefault="00D923AA" w:rsidP="00376CF0">
            <w:pPr>
              <w:rPr>
                <w:sz w:val="22"/>
                <w:szCs w:val="22"/>
              </w:rPr>
            </w:pPr>
          </w:p>
        </w:tc>
        <w:tc>
          <w:tcPr>
            <w:tcW w:w="1364" w:type="dxa"/>
            <w:vMerge/>
            <w:tcBorders>
              <w:top w:val="single" w:sz="4" w:space="0" w:color="auto"/>
              <w:left w:val="single" w:sz="4" w:space="0" w:color="auto"/>
              <w:bottom w:val="single" w:sz="4" w:space="0" w:color="auto"/>
              <w:right w:val="single" w:sz="4" w:space="0" w:color="auto"/>
            </w:tcBorders>
            <w:vAlign w:val="center"/>
            <w:hideMark/>
          </w:tcPr>
          <w:p w14:paraId="50B77452" w14:textId="77777777" w:rsidR="00D923AA" w:rsidRPr="007B010A" w:rsidRDefault="00D923AA" w:rsidP="00376CF0">
            <w:pPr>
              <w:rPr>
                <w:sz w:val="22"/>
                <w:szCs w:val="22"/>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28F660E1" w14:textId="77777777" w:rsidR="00D923AA" w:rsidRPr="007B010A" w:rsidRDefault="00D923AA" w:rsidP="00376CF0">
            <w:pPr>
              <w:rPr>
                <w:sz w:val="22"/>
                <w:szCs w:val="22"/>
              </w:rPr>
            </w:pPr>
          </w:p>
        </w:tc>
        <w:tc>
          <w:tcPr>
            <w:tcW w:w="1382" w:type="dxa"/>
            <w:vMerge/>
            <w:tcBorders>
              <w:top w:val="single" w:sz="4" w:space="0" w:color="auto"/>
              <w:left w:val="single" w:sz="4" w:space="0" w:color="auto"/>
              <w:bottom w:val="single" w:sz="4" w:space="0" w:color="auto"/>
              <w:right w:val="single" w:sz="4" w:space="0" w:color="auto"/>
            </w:tcBorders>
            <w:vAlign w:val="center"/>
            <w:hideMark/>
          </w:tcPr>
          <w:p w14:paraId="0EEF7195" w14:textId="77777777" w:rsidR="00D923AA" w:rsidRPr="007B010A" w:rsidRDefault="00D923AA" w:rsidP="00376CF0">
            <w:pPr>
              <w:rPr>
                <w:sz w:val="22"/>
                <w:szCs w:val="22"/>
              </w:rPr>
            </w:pPr>
          </w:p>
        </w:tc>
        <w:tc>
          <w:tcPr>
            <w:tcW w:w="1294" w:type="dxa"/>
            <w:vMerge/>
            <w:tcBorders>
              <w:top w:val="nil"/>
              <w:left w:val="single" w:sz="4" w:space="0" w:color="auto"/>
              <w:bottom w:val="single" w:sz="8" w:space="0" w:color="000000"/>
              <w:right w:val="single" w:sz="8" w:space="0" w:color="auto"/>
            </w:tcBorders>
            <w:vAlign w:val="center"/>
            <w:hideMark/>
          </w:tcPr>
          <w:p w14:paraId="12E50C71" w14:textId="77777777" w:rsidR="00D923AA" w:rsidRPr="007B010A" w:rsidRDefault="00D923AA" w:rsidP="00376CF0">
            <w:pPr>
              <w:rPr>
                <w:sz w:val="22"/>
                <w:szCs w:val="22"/>
              </w:rPr>
            </w:pPr>
          </w:p>
        </w:tc>
      </w:tr>
      <w:tr w:rsidR="00D923AA" w:rsidRPr="007B010A" w14:paraId="018B3C6A" w14:textId="77777777" w:rsidTr="00376CF0">
        <w:trPr>
          <w:trHeight w:val="315"/>
          <w:jc w:val="center"/>
        </w:trPr>
        <w:tc>
          <w:tcPr>
            <w:tcW w:w="1691"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92137E" w14:textId="77777777" w:rsidR="00D923AA" w:rsidRPr="007B010A" w:rsidRDefault="00D923AA" w:rsidP="00376CF0">
            <w:pPr>
              <w:jc w:val="center"/>
              <w:rPr>
                <w:sz w:val="22"/>
                <w:szCs w:val="22"/>
              </w:rPr>
            </w:pPr>
            <w:r w:rsidRPr="007B010A">
              <w:rPr>
                <w:sz w:val="22"/>
                <w:szCs w:val="22"/>
              </w:rPr>
              <w:t>5 ārstniecības iestādes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05029488" w14:textId="77777777" w:rsidR="00D923AA" w:rsidRPr="007B010A" w:rsidRDefault="00D923AA" w:rsidP="00376CF0">
            <w:pPr>
              <w:jc w:val="center"/>
              <w:rPr>
                <w:sz w:val="22"/>
                <w:szCs w:val="22"/>
              </w:rPr>
            </w:pPr>
            <w:r w:rsidRPr="007B010A">
              <w:rPr>
                <w:sz w:val="22"/>
                <w:szCs w:val="22"/>
              </w:rPr>
              <w:t>14 659</w:t>
            </w:r>
          </w:p>
        </w:tc>
        <w:tc>
          <w:tcPr>
            <w:tcW w:w="1329" w:type="dxa"/>
            <w:tcBorders>
              <w:top w:val="single" w:sz="4" w:space="0" w:color="auto"/>
              <w:left w:val="nil"/>
              <w:bottom w:val="single" w:sz="8" w:space="0" w:color="auto"/>
              <w:right w:val="single" w:sz="8" w:space="0" w:color="auto"/>
            </w:tcBorders>
            <w:shd w:val="clear" w:color="auto" w:fill="auto"/>
            <w:noWrap/>
            <w:vAlign w:val="center"/>
            <w:hideMark/>
          </w:tcPr>
          <w:p w14:paraId="4F08CB05" w14:textId="77777777" w:rsidR="00D923AA" w:rsidRPr="007B010A" w:rsidRDefault="00D923AA" w:rsidP="00376CF0">
            <w:pPr>
              <w:jc w:val="center"/>
              <w:rPr>
                <w:sz w:val="22"/>
                <w:szCs w:val="22"/>
              </w:rPr>
            </w:pPr>
            <w:r w:rsidRPr="007B010A">
              <w:rPr>
                <w:sz w:val="22"/>
                <w:szCs w:val="22"/>
              </w:rPr>
              <w:t>2 332 540</w:t>
            </w:r>
          </w:p>
        </w:tc>
        <w:tc>
          <w:tcPr>
            <w:tcW w:w="1364" w:type="dxa"/>
            <w:tcBorders>
              <w:top w:val="single" w:sz="4" w:space="0" w:color="auto"/>
              <w:left w:val="nil"/>
              <w:bottom w:val="single" w:sz="8" w:space="0" w:color="auto"/>
              <w:right w:val="single" w:sz="8" w:space="0" w:color="auto"/>
            </w:tcBorders>
            <w:shd w:val="clear" w:color="auto" w:fill="auto"/>
            <w:noWrap/>
            <w:vAlign w:val="center"/>
            <w:hideMark/>
          </w:tcPr>
          <w:p w14:paraId="1F615FB3" w14:textId="77777777" w:rsidR="00D923AA" w:rsidRPr="007B010A" w:rsidRDefault="00D923AA" w:rsidP="00376CF0">
            <w:pPr>
              <w:jc w:val="center"/>
              <w:rPr>
                <w:sz w:val="22"/>
                <w:szCs w:val="22"/>
              </w:rPr>
            </w:pPr>
            <w:r w:rsidRPr="007B010A">
              <w:rPr>
                <w:sz w:val="22"/>
                <w:szCs w:val="22"/>
              </w:rPr>
              <w:t>159,12</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75A12A8B" w14:textId="63CFD315" w:rsidR="00D923AA" w:rsidRPr="007B010A" w:rsidRDefault="005E6357" w:rsidP="00376CF0">
            <w:pPr>
              <w:jc w:val="center"/>
              <w:rPr>
                <w:sz w:val="22"/>
                <w:szCs w:val="22"/>
              </w:rPr>
            </w:pPr>
            <w:r w:rsidRPr="007B010A">
              <w:rPr>
                <w:sz w:val="22"/>
                <w:szCs w:val="22"/>
              </w:rPr>
              <w:t>21 461</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14:paraId="42EA1281" w14:textId="36E1C890" w:rsidR="00D923AA" w:rsidRPr="007B010A" w:rsidRDefault="005E6357" w:rsidP="00376CF0">
            <w:pPr>
              <w:jc w:val="center"/>
              <w:rPr>
                <w:sz w:val="22"/>
                <w:szCs w:val="22"/>
              </w:rPr>
            </w:pPr>
            <w:r w:rsidRPr="007B010A">
              <w:rPr>
                <w:sz w:val="22"/>
                <w:szCs w:val="22"/>
              </w:rPr>
              <w:t>3 112 735</w:t>
            </w:r>
          </w:p>
        </w:tc>
        <w:tc>
          <w:tcPr>
            <w:tcW w:w="1294" w:type="dxa"/>
            <w:tcBorders>
              <w:top w:val="nil"/>
              <w:left w:val="nil"/>
              <w:bottom w:val="single" w:sz="8" w:space="0" w:color="auto"/>
              <w:right w:val="single" w:sz="8" w:space="0" w:color="auto"/>
            </w:tcBorders>
            <w:shd w:val="clear" w:color="auto" w:fill="auto"/>
            <w:noWrap/>
            <w:vAlign w:val="center"/>
            <w:hideMark/>
          </w:tcPr>
          <w:p w14:paraId="28D4AA05" w14:textId="0F950D59" w:rsidR="00D923AA" w:rsidRPr="007B010A" w:rsidRDefault="00D923AA" w:rsidP="00376CF0">
            <w:pPr>
              <w:jc w:val="center"/>
              <w:rPr>
                <w:sz w:val="22"/>
                <w:szCs w:val="22"/>
              </w:rPr>
            </w:pPr>
            <w:r w:rsidRPr="007B010A">
              <w:rPr>
                <w:sz w:val="22"/>
                <w:szCs w:val="22"/>
              </w:rPr>
              <w:t>1</w:t>
            </w:r>
            <w:r w:rsidR="005E6357" w:rsidRPr="007B010A">
              <w:rPr>
                <w:sz w:val="22"/>
                <w:szCs w:val="22"/>
              </w:rPr>
              <w:t>45</w:t>
            </w:r>
            <w:r w:rsidRPr="007B010A">
              <w:rPr>
                <w:sz w:val="22"/>
                <w:szCs w:val="22"/>
              </w:rPr>
              <w:t>,</w:t>
            </w:r>
            <w:r w:rsidR="005E6357" w:rsidRPr="007B010A">
              <w:rPr>
                <w:sz w:val="22"/>
                <w:szCs w:val="22"/>
              </w:rPr>
              <w:t>04</w:t>
            </w:r>
          </w:p>
        </w:tc>
      </w:tr>
    </w:tbl>
    <w:p w14:paraId="559963A2" w14:textId="77777777" w:rsidR="00D923AA" w:rsidRPr="007B010A" w:rsidRDefault="00D923AA" w:rsidP="00D923AA">
      <w:pPr>
        <w:jc w:val="both"/>
        <w:rPr>
          <w:sz w:val="22"/>
          <w:szCs w:val="22"/>
        </w:rPr>
      </w:pPr>
      <w:r w:rsidRPr="007B010A">
        <w:rPr>
          <w:i/>
          <w:sz w:val="20"/>
          <w:szCs w:val="20"/>
        </w:rPr>
        <w:t>Avots: NVD</w:t>
      </w:r>
    </w:p>
    <w:p w14:paraId="78900F5F" w14:textId="77777777" w:rsidR="00D923AA" w:rsidRPr="007B010A" w:rsidRDefault="00D923AA" w:rsidP="00D923AA">
      <w:pPr>
        <w:ind w:firstLine="720"/>
        <w:jc w:val="both"/>
      </w:pPr>
    </w:p>
    <w:p w14:paraId="49AAACCB" w14:textId="1F965AE0"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rPr>
          <w:shd w:val="clear" w:color="auto" w:fill="FFFFFF"/>
        </w:rPr>
        <w:t> </w:t>
      </w:r>
      <w:r w:rsidRPr="007B010A">
        <w:t xml:space="preserve">NVD informācija liecina, ka pieaudzis pacientu skaits, kas veikuši valsts apmaksātus onkoloģisko slimību </w:t>
      </w:r>
      <w:r w:rsidR="00137ECD" w:rsidRPr="007B010A">
        <w:t xml:space="preserve">sekundāros </w:t>
      </w:r>
      <w:r w:rsidRPr="007B010A">
        <w:t>diagnostiskos izmeklējumus ārpus kopējās gaidīšanas rindas</w:t>
      </w:r>
      <w:r w:rsidR="005A5D65" w:rsidRPr="007B010A">
        <w:t xml:space="preserve"> </w:t>
      </w:r>
      <w:r w:rsidR="00137ECD" w:rsidRPr="007B010A">
        <w:t xml:space="preserve"> uz valsts</w:t>
      </w:r>
      <w:r w:rsidR="009B1CD2" w:rsidRPr="007B010A">
        <w:t xml:space="preserve"> apmaksātajiem pakalpojumiem, bet gan -</w:t>
      </w:r>
      <w:r w:rsidR="0034515D" w:rsidRPr="007B010A">
        <w:t>“</w:t>
      </w:r>
      <w:r w:rsidR="005A5D65" w:rsidRPr="007B010A">
        <w:t>Z</w:t>
      </w:r>
      <w:r w:rsidRPr="007B010A">
        <w:t>aļā koridora</w:t>
      </w:r>
      <w:r w:rsidR="0034515D" w:rsidRPr="007B010A">
        <w:t>”</w:t>
      </w:r>
      <w:r w:rsidRPr="007B010A">
        <w:t xml:space="preserve"> ietvaros</w:t>
      </w:r>
      <w:r w:rsidR="005A5D65" w:rsidRPr="007B010A">
        <w:t>. 2018.gad</w:t>
      </w:r>
      <w:r w:rsidR="009B1CD2" w:rsidRPr="007B010A">
        <w:t>a</w:t>
      </w:r>
      <w:r w:rsidR="005A1471" w:rsidRPr="007B010A">
        <w:t xml:space="preserve"> </w:t>
      </w:r>
      <w:r w:rsidR="009B1CD2" w:rsidRPr="007B010A">
        <w:t xml:space="preserve">sekundārās diagnostikas </w:t>
      </w:r>
      <w:r w:rsidR="005A1471" w:rsidRPr="007B010A">
        <w:t>“Z</w:t>
      </w:r>
      <w:r w:rsidRPr="007B010A">
        <w:t>aļ</w:t>
      </w:r>
      <w:r w:rsidR="005A5D65" w:rsidRPr="007B010A">
        <w:t>ajā koridorā</w:t>
      </w:r>
      <w:r w:rsidR="0034515D" w:rsidRPr="007B010A">
        <w:t>”</w:t>
      </w:r>
      <w:r w:rsidRPr="007B010A">
        <w:t xml:space="preserve"> pakalpojumus ir saņēmuši </w:t>
      </w:r>
      <w:r w:rsidR="009B1CD2" w:rsidRPr="007B010A">
        <w:t>21</w:t>
      </w:r>
      <w:r w:rsidR="00582976" w:rsidRPr="007B010A">
        <w:t> </w:t>
      </w:r>
      <w:r w:rsidR="009B1CD2" w:rsidRPr="007B010A">
        <w:t>461</w:t>
      </w:r>
      <w:r w:rsidRPr="007B010A">
        <w:t xml:space="preserve"> unikālie pacienti. </w:t>
      </w:r>
    </w:p>
    <w:p w14:paraId="33B3B632" w14:textId="1FE80266"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rPr>
          <w:shd w:val="clear" w:color="auto" w:fill="FFFFFF"/>
        </w:rPr>
        <w:t>2018.gadā  gandrīz 95% no kopumā 1</w:t>
      </w:r>
      <w:r w:rsidR="00582976" w:rsidRPr="007B010A">
        <w:rPr>
          <w:shd w:val="clear" w:color="auto" w:fill="FFFFFF"/>
        </w:rPr>
        <w:t> </w:t>
      </w:r>
      <w:r w:rsidRPr="007B010A">
        <w:rPr>
          <w:shd w:val="clear" w:color="auto" w:fill="FFFFFF"/>
        </w:rPr>
        <w:t>2</w:t>
      </w:r>
      <w:r w:rsidR="00F05D5C" w:rsidRPr="007B010A">
        <w:rPr>
          <w:shd w:val="clear" w:color="auto" w:fill="FFFFFF"/>
        </w:rPr>
        <w:t>66</w:t>
      </w:r>
      <w:r w:rsidRPr="007B010A">
        <w:rPr>
          <w:shd w:val="clear" w:color="auto" w:fill="FFFFFF"/>
        </w:rPr>
        <w:t xml:space="preserve"> ģimenes ārstiem kādam no saviem pacientiem ir nozīmējuši paātrinātā kārtā saņemt valsts apmaksātu izmeklējumu</w:t>
      </w:r>
      <w:r w:rsidR="00F05D5C" w:rsidRPr="007B010A">
        <w:rPr>
          <w:shd w:val="clear" w:color="auto" w:fill="FFFFFF"/>
        </w:rPr>
        <w:t xml:space="preserve"> </w:t>
      </w:r>
      <w:r w:rsidR="00F05D5C" w:rsidRPr="007B010A">
        <w:t>-“Zaļā koridora” ietvaros</w:t>
      </w:r>
      <w:r w:rsidRPr="007B010A">
        <w:rPr>
          <w:shd w:val="clear" w:color="auto" w:fill="FFFFFF"/>
        </w:rPr>
        <w:t xml:space="preserve">. Visbiežāk </w:t>
      </w:r>
      <w:r w:rsidR="00F05D5C" w:rsidRPr="007B010A">
        <w:rPr>
          <w:shd w:val="clear" w:color="auto" w:fill="FFFFFF"/>
        </w:rPr>
        <w:t xml:space="preserve">ģimenes ārsti </w:t>
      </w:r>
      <w:r w:rsidRPr="007B010A">
        <w:rPr>
          <w:shd w:val="clear" w:color="auto" w:fill="FFFFFF"/>
        </w:rPr>
        <w:t>prioritār</w:t>
      </w:r>
      <w:r w:rsidR="00F05D5C" w:rsidRPr="007B010A">
        <w:rPr>
          <w:shd w:val="clear" w:color="auto" w:fill="FFFFFF"/>
        </w:rPr>
        <w:t>ai</w:t>
      </w:r>
      <w:r w:rsidRPr="007B010A">
        <w:rPr>
          <w:shd w:val="clear" w:color="auto" w:fill="FFFFFF"/>
        </w:rPr>
        <w:t xml:space="preserve"> izmeklēšana</w:t>
      </w:r>
      <w:r w:rsidR="00F05D5C" w:rsidRPr="007B010A">
        <w:rPr>
          <w:shd w:val="clear" w:color="auto" w:fill="FFFFFF"/>
        </w:rPr>
        <w:t>i</w:t>
      </w:r>
      <w:r w:rsidRPr="007B010A">
        <w:rPr>
          <w:shd w:val="clear" w:color="auto" w:fill="FFFFFF"/>
        </w:rPr>
        <w:t xml:space="preserve">  ir </w:t>
      </w:r>
      <w:r w:rsidR="00F05D5C" w:rsidRPr="007B010A">
        <w:rPr>
          <w:shd w:val="clear" w:color="auto" w:fill="FFFFFF"/>
        </w:rPr>
        <w:t>nosūtījuši</w:t>
      </w:r>
      <w:r w:rsidRPr="007B010A">
        <w:rPr>
          <w:shd w:val="clear" w:color="auto" w:fill="FFFFFF"/>
        </w:rPr>
        <w:t xml:space="preserve"> pacient</w:t>
      </w:r>
      <w:r w:rsidR="00F05D5C" w:rsidRPr="007B010A">
        <w:rPr>
          <w:shd w:val="clear" w:color="auto" w:fill="FFFFFF"/>
        </w:rPr>
        <w:t>us</w:t>
      </w:r>
      <w:r w:rsidRPr="007B010A">
        <w:rPr>
          <w:shd w:val="clear" w:color="auto" w:fill="FFFFFF"/>
        </w:rPr>
        <w:t xml:space="preserve"> ar aizdomām par krūts (</w:t>
      </w:r>
      <w:r w:rsidR="00F05D5C" w:rsidRPr="007B010A">
        <w:rPr>
          <w:shd w:val="clear" w:color="auto" w:fill="FFFFFF"/>
        </w:rPr>
        <w:t>85</w:t>
      </w:r>
      <w:r w:rsidR="00582976" w:rsidRPr="007B010A">
        <w:rPr>
          <w:shd w:val="clear" w:color="auto" w:fill="FFFFFF"/>
        </w:rPr>
        <w:t>,</w:t>
      </w:r>
      <w:r w:rsidR="00F05D5C" w:rsidRPr="007B010A">
        <w:rPr>
          <w:shd w:val="clear" w:color="auto" w:fill="FFFFFF"/>
        </w:rPr>
        <w:t>7</w:t>
      </w:r>
      <w:r w:rsidRPr="007B010A">
        <w:rPr>
          <w:shd w:val="clear" w:color="auto" w:fill="FFFFFF"/>
        </w:rPr>
        <w:t xml:space="preserve">%), </w:t>
      </w:r>
      <w:proofErr w:type="spellStart"/>
      <w:r w:rsidRPr="007B010A">
        <w:rPr>
          <w:shd w:val="clear" w:color="auto" w:fill="FFFFFF"/>
        </w:rPr>
        <w:t>prostatas</w:t>
      </w:r>
      <w:proofErr w:type="spellEnd"/>
      <w:r w:rsidRPr="007B010A">
        <w:rPr>
          <w:shd w:val="clear" w:color="auto" w:fill="FFFFFF"/>
        </w:rPr>
        <w:t xml:space="preserve"> (</w:t>
      </w:r>
      <w:r w:rsidR="00F05D5C" w:rsidRPr="007B010A">
        <w:rPr>
          <w:shd w:val="clear" w:color="auto" w:fill="FFFFFF"/>
        </w:rPr>
        <w:t>85</w:t>
      </w:r>
      <w:r w:rsidR="00582976" w:rsidRPr="007B010A">
        <w:rPr>
          <w:shd w:val="clear" w:color="auto" w:fill="FFFFFF"/>
        </w:rPr>
        <w:t>,</w:t>
      </w:r>
      <w:r w:rsidR="00F05D5C" w:rsidRPr="007B010A">
        <w:rPr>
          <w:shd w:val="clear" w:color="auto" w:fill="FFFFFF"/>
        </w:rPr>
        <w:t>7</w:t>
      </w:r>
      <w:r w:rsidRPr="007B010A">
        <w:rPr>
          <w:shd w:val="clear" w:color="auto" w:fill="FFFFFF"/>
        </w:rPr>
        <w:t>%), resnās un taisnās zarnas (</w:t>
      </w:r>
      <w:r w:rsidR="00F05D5C" w:rsidRPr="007B010A">
        <w:rPr>
          <w:shd w:val="clear" w:color="auto" w:fill="FFFFFF"/>
        </w:rPr>
        <w:t>82</w:t>
      </w:r>
      <w:r w:rsidR="00582976" w:rsidRPr="007B010A">
        <w:rPr>
          <w:shd w:val="clear" w:color="auto" w:fill="FFFFFF"/>
        </w:rPr>
        <w:t>,</w:t>
      </w:r>
      <w:r w:rsidR="00F05D5C" w:rsidRPr="007B010A">
        <w:rPr>
          <w:shd w:val="clear" w:color="auto" w:fill="FFFFFF"/>
        </w:rPr>
        <w:t>9</w:t>
      </w:r>
      <w:r w:rsidRPr="007B010A">
        <w:rPr>
          <w:shd w:val="clear" w:color="auto" w:fill="FFFFFF"/>
        </w:rPr>
        <w:t>%), kuņģa (5</w:t>
      </w:r>
      <w:r w:rsidR="00F05D5C" w:rsidRPr="007B010A">
        <w:rPr>
          <w:shd w:val="clear" w:color="auto" w:fill="FFFFFF"/>
        </w:rPr>
        <w:t>6</w:t>
      </w:r>
      <w:r w:rsidR="00582976" w:rsidRPr="007B010A">
        <w:rPr>
          <w:shd w:val="clear" w:color="auto" w:fill="FFFFFF"/>
        </w:rPr>
        <w:t>,</w:t>
      </w:r>
      <w:r w:rsidRPr="007B010A">
        <w:rPr>
          <w:shd w:val="clear" w:color="auto" w:fill="FFFFFF"/>
        </w:rPr>
        <w:t xml:space="preserve">7%), kā arī </w:t>
      </w:r>
      <w:r w:rsidR="00F05D5C" w:rsidRPr="007B010A">
        <w:rPr>
          <w:shd w:val="clear" w:color="auto" w:fill="FFFFFF"/>
        </w:rPr>
        <w:t>nieres</w:t>
      </w:r>
      <w:r w:rsidRPr="007B010A">
        <w:rPr>
          <w:shd w:val="clear" w:color="auto" w:fill="FFFFFF"/>
        </w:rPr>
        <w:t xml:space="preserve"> (</w:t>
      </w:r>
      <w:r w:rsidR="00F05D5C" w:rsidRPr="007B010A">
        <w:rPr>
          <w:shd w:val="clear" w:color="auto" w:fill="FFFFFF"/>
        </w:rPr>
        <w:t>69</w:t>
      </w:r>
      <w:r w:rsidR="00582976" w:rsidRPr="007B010A">
        <w:rPr>
          <w:shd w:val="clear" w:color="auto" w:fill="FFFFFF"/>
        </w:rPr>
        <w:t>,</w:t>
      </w:r>
      <w:r w:rsidR="00F05D5C" w:rsidRPr="007B010A">
        <w:rPr>
          <w:shd w:val="clear" w:color="auto" w:fill="FFFFFF"/>
        </w:rPr>
        <w:t>3</w:t>
      </w:r>
      <w:r w:rsidRPr="007B010A">
        <w:rPr>
          <w:shd w:val="clear" w:color="auto" w:fill="FFFFFF"/>
        </w:rPr>
        <w:t>%) onkoloģiskajām slimībām</w:t>
      </w:r>
      <w:r w:rsidRPr="007B010A">
        <w:t>.</w:t>
      </w:r>
    </w:p>
    <w:p w14:paraId="693F94B5" w14:textId="3AC802B8"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Jau ziņots, ka, pateicoties veiktajiem uzlabojumiem savlaicīgā onkoloģisko slimību diagn</w:t>
      </w:r>
      <w:r w:rsidR="005A5D65" w:rsidRPr="007B010A">
        <w:t>ostikā, no 2016. gada oktobra "Z</w:t>
      </w:r>
      <w:r w:rsidRPr="007B010A">
        <w:t>aļā koridora" kārtība ļauj ģimenes ārstiem, ginekologiem vai specializēto ārstniecības iestāžu speciālistiem nosūtīt pacientus ar medicīniski pamatotām aizdomām par ļaundabīgu audzēju veikt izmeklējumus paātrinātā kārtībā. Izmeklējumi pacientiem tiek veikti 10 darbdienu laikā no vēršanās ārstniecības iestādē un apmaksāti pēc principa "nauda seko pacientam" jeb virs līgumos ar NVD noteiktā pakalpojuma apjoma (kvotām). </w:t>
      </w:r>
    </w:p>
    <w:p w14:paraId="4738D412" w14:textId="77777777"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Ja diagnostisko izmeklējumu rezultāti apstiprina ārsta aizdomas par onkoloģisku slimību, ģimenes ārsts (vai ginekologs vai arī specializēto iestāžu speciālists), vienojoties ar pacientu, piesaka apmeklējumu specializētā onkoloģiskajā ārstniecības iestādē. Arī šis apmeklējums tiek nodrošināts ārpus kopējās pacientu plūsmas 10 darbdienu laikā no pacienta pieteikšanas. Tādējādi izstrādātā kārtība nodrošina savlaicīgu izmeklēšanu un ārstēšanas uzsākšanu.</w:t>
      </w:r>
    </w:p>
    <w:p w14:paraId="6A2C9B17" w14:textId="22B0D986" w:rsidR="00D923AA" w:rsidRPr="007B010A" w:rsidRDefault="00D923AA" w:rsidP="00D923AA">
      <w:pPr>
        <w:ind w:firstLine="720"/>
        <w:jc w:val="both"/>
      </w:pPr>
      <w:r w:rsidRPr="007B010A">
        <w:t xml:space="preserve">2018.gada onkoloģisko pacientu aptvere sekundārajā diagnostikā un izmeklējumos sasniedz </w:t>
      </w:r>
      <w:r w:rsidR="004F1D12" w:rsidRPr="007B010A">
        <w:t>14</w:t>
      </w:r>
      <w:r w:rsidRPr="007B010A">
        <w:t>6,</w:t>
      </w:r>
      <w:r w:rsidR="004F1D12" w:rsidRPr="007B010A">
        <w:t>40</w:t>
      </w:r>
      <w:r w:rsidRPr="007B010A">
        <w:t>% no plānotā apjoma.</w:t>
      </w:r>
    </w:p>
    <w:p w14:paraId="6F2EF9DB" w14:textId="33974B03" w:rsidR="00F87D16" w:rsidRPr="007B010A" w:rsidRDefault="00522F49" w:rsidP="00F87D16">
      <w:pPr>
        <w:ind w:firstLine="720"/>
        <w:jc w:val="both"/>
      </w:pPr>
      <w:r>
        <w:t>“</w:t>
      </w:r>
      <w:r w:rsidR="00F87D16" w:rsidRPr="007B010A">
        <w:t>Zaļā koridora</w:t>
      </w:r>
      <w:r>
        <w:t>”</w:t>
      </w:r>
      <w:r w:rsidR="00F87D16" w:rsidRPr="007B010A">
        <w:t xml:space="preserve"> sekundāra diagnostika tiek veikta piecās iepriekš minētajās specializētajās ārstniecības iestādēs viena mēneša laikā kopš pirmās speciālista konsultācijas, iekļaujot šajā termiņā arī ārstu konsilija lēmumu par pacienta ārstēšanas taktiku.</w:t>
      </w:r>
    </w:p>
    <w:p w14:paraId="78343141" w14:textId="5BA7B5D5" w:rsidR="00F87D16" w:rsidRPr="007B010A" w:rsidRDefault="00F87D16" w:rsidP="00F87D16">
      <w:pPr>
        <w:ind w:firstLine="720"/>
        <w:jc w:val="both"/>
      </w:pPr>
      <w:r w:rsidRPr="007B010A">
        <w:t xml:space="preserve">Ļaundabīgo audzēju sekundārās diagnostikas kārtībā no 2018. gada 1. jūlija </w:t>
      </w:r>
      <w:r w:rsidR="00A554F1" w:rsidRPr="007B010A">
        <w:t>“</w:t>
      </w:r>
      <w:r w:rsidRPr="007B010A">
        <w:t>Zaļā koridora</w:t>
      </w:r>
      <w:r w:rsidR="00A554F1" w:rsidRPr="007B010A">
        <w:t>”</w:t>
      </w:r>
      <w:r w:rsidRPr="007B010A">
        <w:t xml:space="preserve"> ietvaros slimības sākotnējās izplatības novērtēšanai tiek nodrošināti arī PET/DT izmeklējumi, kas tiek veikti ļaundabīgo audzēju sekundārajā diagnostikā, pamatojoties uz</w:t>
      </w:r>
      <w:r w:rsidR="00440042" w:rsidRPr="007B010A">
        <w:t xml:space="preserve"> SIA “</w:t>
      </w:r>
      <w:r w:rsidRPr="007B010A">
        <w:t>Rīgas Austrumu klīniskās universitātes slimnīcas</w:t>
      </w:r>
      <w:r w:rsidR="00440042" w:rsidRPr="007B010A">
        <w:t>”</w:t>
      </w:r>
      <w:r w:rsidRPr="007B010A">
        <w:t xml:space="preserve">, </w:t>
      </w:r>
      <w:r w:rsidR="00440042" w:rsidRPr="007B010A">
        <w:t>VSIA “</w:t>
      </w:r>
      <w:r w:rsidRPr="007B010A">
        <w:t>Paula Stradiņa Klīniskās universitātes slimnīcas</w:t>
      </w:r>
      <w:r w:rsidR="00440042" w:rsidRPr="007B010A">
        <w:t>”</w:t>
      </w:r>
      <w:r w:rsidRPr="007B010A">
        <w:t xml:space="preserve">, </w:t>
      </w:r>
      <w:r w:rsidR="00440042" w:rsidRPr="007B010A">
        <w:t>SIA “</w:t>
      </w:r>
      <w:r w:rsidRPr="007B010A">
        <w:t>Daugavpils reģionālās slimnīcas</w:t>
      </w:r>
      <w:r w:rsidR="00440042" w:rsidRPr="007B010A">
        <w:t>”</w:t>
      </w:r>
      <w:r w:rsidRPr="007B010A">
        <w:t xml:space="preserve">, </w:t>
      </w:r>
      <w:r w:rsidR="00440042" w:rsidRPr="007B010A">
        <w:t>SIA “</w:t>
      </w:r>
      <w:r w:rsidRPr="007B010A">
        <w:t>Liepājas reģionālās slimnīcas</w:t>
      </w:r>
      <w:r w:rsidR="00440042" w:rsidRPr="007B010A">
        <w:t>”</w:t>
      </w:r>
      <w:r w:rsidRPr="007B010A">
        <w:t xml:space="preserve">, </w:t>
      </w:r>
      <w:r w:rsidR="00440042" w:rsidRPr="007B010A">
        <w:t>VSIA “</w:t>
      </w:r>
      <w:r w:rsidRPr="007B010A">
        <w:t>Piejūras slimnīcas</w:t>
      </w:r>
      <w:r w:rsidR="00440042" w:rsidRPr="007B010A">
        <w:t>”</w:t>
      </w:r>
      <w:r w:rsidRPr="007B010A">
        <w:t xml:space="preserve"> izsniegtu nosūtījumu, ja par šī izmeklējuma nepieciešamību ir lēmis ārstu konsilijs pie šādām indikācijām: </w:t>
      </w:r>
    </w:p>
    <w:p w14:paraId="05527DA2" w14:textId="628D8072" w:rsidR="00F87D16" w:rsidRPr="007B010A" w:rsidRDefault="00F87D16" w:rsidP="00F87D16">
      <w:pPr>
        <w:ind w:firstLine="720"/>
        <w:jc w:val="both"/>
      </w:pPr>
      <w:r w:rsidRPr="007B010A">
        <w:t>1.1.</w:t>
      </w:r>
      <w:r w:rsidRPr="007B010A">
        <w:tab/>
        <w:t>krūts vēža gadījumā;</w:t>
      </w:r>
    </w:p>
    <w:p w14:paraId="48AA5C6F" w14:textId="77777777" w:rsidR="00F87D16" w:rsidRPr="007B010A" w:rsidRDefault="00F87D16" w:rsidP="00F87D16">
      <w:pPr>
        <w:ind w:firstLine="720"/>
        <w:jc w:val="both"/>
      </w:pPr>
      <w:r w:rsidRPr="007B010A">
        <w:t>1.2.</w:t>
      </w:r>
      <w:r w:rsidRPr="007B010A">
        <w:tab/>
        <w:t xml:space="preserve">bronhu, plaušu vēža gadījumā – ļaundabīgā audzēja I-III stadijā; </w:t>
      </w:r>
    </w:p>
    <w:p w14:paraId="4AA8EB16" w14:textId="77777777" w:rsidR="00F87D16" w:rsidRPr="007B010A" w:rsidRDefault="00F87D16" w:rsidP="00F87D16">
      <w:pPr>
        <w:ind w:firstLine="720"/>
        <w:jc w:val="both"/>
      </w:pPr>
      <w:r w:rsidRPr="007B010A">
        <w:lastRenderedPageBreak/>
        <w:t>1.3.</w:t>
      </w:r>
      <w:r w:rsidRPr="007B010A">
        <w:tab/>
        <w:t xml:space="preserve">resnās un taisnās zarnas vēža gadījumā – iepriekš diagnosticētu (nosūtījumam pievienota informācija par konstatēto atradni) </w:t>
      </w:r>
      <w:proofErr w:type="spellStart"/>
      <w:r w:rsidRPr="007B010A">
        <w:t>distālu</w:t>
      </w:r>
      <w:proofErr w:type="spellEnd"/>
      <w:r w:rsidRPr="007B010A">
        <w:t xml:space="preserve"> metastāžu novērtēšanai potenciāli operējamiem pacientiem;</w:t>
      </w:r>
    </w:p>
    <w:p w14:paraId="4D4F7FE3" w14:textId="77777777" w:rsidR="00F87D16" w:rsidRPr="007B010A" w:rsidRDefault="00F87D16" w:rsidP="00F87D16">
      <w:pPr>
        <w:ind w:firstLine="720"/>
        <w:jc w:val="both"/>
      </w:pPr>
      <w:r w:rsidRPr="007B010A">
        <w:t>1.4.</w:t>
      </w:r>
      <w:r w:rsidRPr="007B010A">
        <w:tab/>
      </w:r>
      <w:proofErr w:type="spellStart"/>
      <w:r w:rsidRPr="007B010A">
        <w:t>melanomas</w:t>
      </w:r>
      <w:proofErr w:type="spellEnd"/>
      <w:r w:rsidRPr="007B010A">
        <w:t xml:space="preserve"> gadījumā – ļaundabīgā audzēja III vai IV stadijā.</w:t>
      </w:r>
    </w:p>
    <w:p w14:paraId="4A886F9F" w14:textId="22158E2C" w:rsidR="00F87D16" w:rsidRPr="007B010A" w:rsidRDefault="00F87D16" w:rsidP="00F87D16">
      <w:pPr>
        <w:ind w:firstLine="720"/>
        <w:jc w:val="both"/>
      </w:pPr>
      <w:r w:rsidRPr="007B010A">
        <w:t xml:space="preserve">Jāņem vērā, ka onkoloģisko saslimšanu ārstēšanas gaitā visi ārstēšanas veidi var savstarpēji papildināties, ko determinē arī precīza slimības stadijas jeb audzēja morfoloģijas noteikšana, kas ļauj precīzāk iezīmēt tālāko ārstēšanas ceļu. Būtiski, ka kombinējot dažādus ārstēšanas veidus (ķīmijterapija, staru terapija vai ķirurģiska iejaukšanas), svarīgs ir laiks, kurā secīgi jāsāk katrs nākamais ārstēšanas posms, kas ir nozīmīgs aspekts, lai pieejamību uzlabotu visos diagnostikas un ārstēšanas posmos kompleksi, tādejādi garantējot iespējami labāko rezultātu pacientam un secīgi arī iegūstot </w:t>
      </w:r>
      <w:r w:rsidR="00522F49">
        <w:t>potenciāli zaudēto mūža gadu</w:t>
      </w:r>
      <w:r w:rsidRPr="007B010A">
        <w:t xml:space="preserve"> uzlabojumu.</w:t>
      </w:r>
    </w:p>
    <w:p w14:paraId="6787D294" w14:textId="29090E09" w:rsidR="004365BA" w:rsidRPr="007B010A" w:rsidRDefault="004365BA" w:rsidP="00D923AA">
      <w:pPr>
        <w:ind w:firstLine="720"/>
        <w:jc w:val="both"/>
      </w:pPr>
      <w:r w:rsidRPr="007B010A">
        <w:rPr>
          <w:shd w:val="clear" w:color="auto" w:fill="FFFFFF"/>
        </w:rPr>
        <w:t xml:space="preserve">Ņemot vērā to, ka onkoloģijas jomā tika ieviests pavisam jauns pakalpojuma klasifikācijas veids, tas neietekmē avota apguvi, jo Eiropas </w:t>
      </w:r>
      <w:proofErr w:type="spellStart"/>
      <w:r w:rsidR="00CA6AB4">
        <w:rPr>
          <w:shd w:val="clear" w:color="auto" w:fill="FFFFFF"/>
        </w:rPr>
        <w:t>Ķ</w:t>
      </w:r>
      <w:r w:rsidRPr="007B010A">
        <w:rPr>
          <w:shd w:val="clear" w:color="auto" w:fill="FFFFFF"/>
        </w:rPr>
        <w:t>omisijas</w:t>
      </w:r>
      <w:proofErr w:type="spellEnd"/>
      <w:r w:rsidRPr="007B010A">
        <w:rPr>
          <w:shd w:val="clear" w:color="auto" w:fill="FFFFFF"/>
        </w:rPr>
        <w:t xml:space="preserve"> pieļautās budžeta deficīta atkāpes finansējums tiek novirzīts tikai onkoloģijas reformas plānā iekļautajiem pasākumiem, kas ir virs visa esošā bāzes finansējuma.</w:t>
      </w:r>
    </w:p>
    <w:p w14:paraId="4C46B86B" w14:textId="77777777" w:rsidR="00D923AA" w:rsidRPr="007B010A" w:rsidRDefault="00D923AA" w:rsidP="00D923AA">
      <w:pPr>
        <w:rPr>
          <w:u w:val="single"/>
        </w:rPr>
      </w:pPr>
    </w:p>
    <w:p w14:paraId="501DAC66" w14:textId="77777777" w:rsidR="00D923AA" w:rsidRPr="007B010A" w:rsidRDefault="00D923AA" w:rsidP="00D923AA">
      <w:pPr>
        <w:jc w:val="center"/>
        <w:rPr>
          <w:u w:val="single"/>
        </w:rPr>
      </w:pPr>
      <w:r w:rsidRPr="007B010A">
        <w:rPr>
          <w:u w:val="single"/>
        </w:rPr>
        <w:t>Ambulatorā ārstēšana</w:t>
      </w:r>
    </w:p>
    <w:p w14:paraId="1D6BA27E" w14:textId="77777777" w:rsidR="00D923AA" w:rsidRPr="007B010A" w:rsidRDefault="00D923AA" w:rsidP="00D923AA">
      <w:pPr>
        <w:ind w:firstLine="720"/>
        <w:jc w:val="both"/>
        <w:rPr>
          <w:rFonts w:ascii="Tahoma" w:hAnsi="Tahoma" w:cs="Tahoma"/>
          <w:sz w:val="18"/>
          <w:szCs w:val="18"/>
        </w:rPr>
      </w:pPr>
    </w:p>
    <w:p w14:paraId="454582A8" w14:textId="77777777" w:rsidR="00D923AA" w:rsidRPr="007B010A" w:rsidRDefault="00D923AA" w:rsidP="00D923AA">
      <w:pPr>
        <w:ind w:firstLine="720"/>
        <w:jc w:val="both"/>
      </w:pPr>
      <w:r w:rsidRPr="007B010A">
        <w:t xml:space="preserve">Onkoloģijas reformu ietvaros plānota ambulatora pacientu ārstēšana, izmantojot staru terapijas un ķīmijterapijas metodes.  </w:t>
      </w:r>
      <w:r w:rsidRPr="007B010A">
        <w:rPr>
          <w:rStyle w:val="Strong"/>
          <w:b w:val="0"/>
        </w:rPr>
        <w:t>Ķīmijterapijas mērķis</w:t>
      </w:r>
      <w:r w:rsidRPr="007B010A">
        <w:rPr>
          <w:rStyle w:val="Strong"/>
        </w:rPr>
        <w:t xml:space="preserve"> </w:t>
      </w:r>
      <w:r w:rsidRPr="007B010A">
        <w:t>ir panākt pilnu vai iespējami ilgāku remisiju (slimības pierimšana un simptomu mazināšanās) audzēja attīstībā vai arī, lai likvidētu organismā cirkulējošās atsevišķās audzēja šūnas (metastāžu novēršanai). Savukārt, staru terapija tiek pielietota apmēram pusei visu onkoloģisko slimnieku kādā no ārstēšanas etapiem. Staru terapija onkoloģijā ir ļoti pieprasīta ārstēšanas metode, kuras pamatā ir jonizētā starojuma graujošā iedarbība uz vēža šūnām. Staru terapijā izmanto elektronu lineāros paātrinātājus, kas izstaro lielas enerģijas rentgena starojumu, ko centrē uz audzēju tā, lai tas iznīcinātu tikai vēža šūnas, pēc iespējas neskarot veselos audus.</w:t>
      </w:r>
    </w:p>
    <w:p w14:paraId="6EEB2166" w14:textId="14A6BDFC" w:rsidR="00B17070" w:rsidRPr="007B010A" w:rsidRDefault="00D923AA" w:rsidP="00780965">
      <w:pPr>
        <w:ind w:firstLine="720"/>
        <w:jc w:val="both"/>
        <w:rPr>
          <w:i/>
        </w:rPr>
      </w:pPr>
      <w:r w:rsidRPr="007B010A">
        <w:t xml:space="preserve">2018.gadā </w:t>
      </w:r>
      <w:r w:rsidR="00ED49F3" w:rsidRPr="007B010A">
        <w:t xml:space="preserve">tika </w:t>
      </w:r>
      <w:r w:rsidRPr="007B010A">
        <w:t xml:space="preserve">plānoti 3,3 tūkst. unikālo onkoloģisko pacientu, kuriem atbilstoši noteiktajiem algoritmiem tiks nodrošināta ambulatorā ārstēšana izmantojot staru terapiju un ķīmijterapiju. Šādus veselības aprūpes pakalpojumus paredzēts nodrošināt </w:t>
      </w:r>
      <w:r w:rsidR="007F6FDD" w:rsidRPr="007B010A">
        <w:t>VSIA “</w:t>
      </w:r>
      <w:r w:rsidRPr="007B010A">
        <w:t>Bērnu k</w:t>
      </w:r>
      <w:r w:rsidR="007F6FDD" w:rsidRPr="007B010A">
        <w:t>līniskā universitātes slimnīca”</w:t>
      </w:r>
      <w:r w:rsidRPr="007B010A">
        <w:t xml:space="preserve">, </w:t>
      </w:r>
      <w:r w:rsidR="007F6FDD" w:rsidRPr="007B010A">
        <w:t>VSIA “</w:t>
      </w:r>
      <w:r w:rsidRPr="007B010A">
        <w:t>Piejūras slimnīc</w:t>
      </w:r>
      <w:r w:rsidR="007F6FDD" w:rsidRPr="007B010A">
        <w:t>a”</w:t>
      </w:r>
      <w:r w:rsidRPr="007B010A">
        <w:t xml:space="preserve">, </w:t>
      </w:r>
      <w:r w:rsidR="007F6FDD" w:rsidRPr="007B010A">
        <w:t>SIA “</w:t>
      </w:r>
      <w:r w:rsidRPr="007B010A">
        <w:t>Liepājas reģionālā slimnīc</w:t>
      </w:r>
      <w:r w:rsidR="007F6FDD" w:rsidRPr="007B010A">
        <w:t>a”</w:t>
      </w:r>
      <w:r w:rsidRPr="007B010A">
        <w:t xml:space="preserve">, </w:t>
      </w:r>
      <w:r w:rsidR="007F6FDD" w:rsidRPr="007B010A">
        <w:t>SIA “</w:t>
      </w:r>
      <w:r w:rsidRPr="007B010A">
        <w:t>Rīgas Austrumu klīniskā universitātes slimnīc</w:t>
      </w:r>
      <w:r w:rsidR="007F6FDD" w:rsidRPr="007B010A">
        <w:t>a”</w:t>
      </w:r>
      <w:r w:rsidRPr="007B010A">
        <w:t xml:space="preserve">, </w:t>
      </w:r>
      <w:r w:rsidR="007F6FDD" w:rsidRPr="007B010A">
        <w:t>VSIA “</w:t>
      </w:r>
      <w:r w:rsidRPr="007B010A">
        <w:t>Paula Stradiņa klīniskā universitātes slimnīc</w:t>
      </w:r>
      <w:r w:rsidR="007F6FDD" w:rsidRPr="007B010A">
        <w:t>a”</w:t>
      </w:r>
      <w:r w:rsidRPr="007B010A">
        <w:t xml:space="preserve"> un </w:t>
      </w:r>
      <w:r w:rsidR="007F6FDD" w:rsidRPr="007B010A">
        <w:t>SIA “</w:t>
      </w:r>
      <w:r w:rsidRPr="007B010A">
        <w:t>Daugavpils reģionālā slimnīc</w:t>
      </w:r>
      <w:r w:rsidR="007F6FDD" w:rsidRPr="007B010A">
        <w:t>a”</w:t>
      </w:r>
      <w:r w:rsidRPr="007B010A">
        <w:t xml:space="preserve">. </w:t>
      </w:r>
    </w:p>
    <w:p w14:paraId="3E741A8F" w14:textId="77777777" w:rsidR="000D0D8A" w:rsidRPr="007B010A" w:rsidRDefault="000D0D8A" w:rsidP="00D923AA">
      <w:pPr>
        <w:ind w:firstLine="720"/>
        <w:jc w:val="right"/>
        <w:rPr>
          <w:i/>
        </w:rPr>
      </w:pPr>
    </w:p>
    <w:p w14:paraId="4E7847CE" w14:textId="072BC076" w:rsidR="00D923AA" w:rsidRPr="007B010A" w:rsidRDefault="00D923AA" w:rsidP="00D923AA">
      <w:pPr>
        <w:ind w:firstLine="720"/>
        <w:jc w:val="right"/>
      </w:pPr>
      <w:r w:rsidRPr="007B010A">
        <w:rPr>
          <w:i/>
        </w:rPr>
        <w:t>1</w:t>
      </w:r>
      <w:r w:rsidR="00AF0BE2" w:rsidRPr="007B010A">
        <w:rPr>
          <w:i/>
        </w:rPr>
        <w:t>7</w:t>
      </w:r>
      <w:r w:rsidRPr="007B010A">
        <w:rPr>
          <w:i/>
        </w:rPr>
        <w:t xml:space="preserve">.tabula </w:t>
      </w:r>
    </w:p>
    <w:p w14:paraId="77678C5D" w14:textId="5BB7ABD9" w:rsidR="00D923AA" w:rsidRPr="007B010A" w:rsidRDefault="00D923AA" w:rsidP="00D923AA">
      <w:pPr>
        <w:jc w:val="center"/>
      </w:pPr>
      <w:r w:rsidRPr="007B010A">
        <w:t>Ambulatorās ārstēšanas 2018.gada izpilde</w:t>
      </w:r>
    </w:p>
    <w:p w14:paraId="5A80C684" w14:textId="77777777" w:rsidR="00D923AA" w:rsidRPr="007B010A" w:rsidRDefault="00D923AA" w:rsidP="00D923AA">
      <w:pPr>
        <w:ind w:firstLine="720"/>
        <w:jc w:val="both"/>
      </w:pPr>
    </w:p>
    <w:tbl>
      <w:tblPr>
        <w:tblW w:w="9493" w:type="dxa"/>
        <w:jc w:val="center"/>
        <w:tblLook w:val="04A0" w:firstRow="1" w:lastRow="0" w:firstColumn="1" w:lastColumn="0" w:noHBand="0" w:noVBand="1"/>
      </w:tblPr>
      <w:tblGrid>
        <w:gridCol w:w="1833"/>
        <w:gridCol w:w="1170"/>
        <w:gridCol w:w="1382"/>
        <w:gridCol w:w="1134"/>
        <w:gridCol w:w="1170"/>
        <w:gridCol w:w="1386"/>
        <w:gridCol w:w="1418"/>
      </w:tblGrid>
      <w:tr w:rsidR="00D923AA" w:rsidRPr="007B010A" w14:paraId="2E68D9B8" w14:textId="77777777" w:rsidTr="00376CF0">
        <w:trPr>
          <w:trHeight w:val="600"/>
          <w:jc w:val="center"/>
        </w:trPr>
        <w:tc>
          <w:tcPr>
            <w:tcW w:w="1833" w:type="dxa"/>
            <w:vMerge w:val="restart"/>
            <w:tcBorders>
              <w:top w:val="single" w:sz="4" w:space="0" w:color="auto"/>
              <w:left w:val="single" w:sz="4" w:space="0" w:color="auto"/>
              <w:bottom w:val="single" w:sz="4" w:space="0" w:color="auto"/>
              <w:right w:val="single" w:sz="4" w:space="0" w:color="auto"/>
            </w:tcBorders>
            <w:shd w:val="clear" w:color="000000" w:fill="FCE4D6"/>
            <w:vAlign w:val="center"/>
            <w:hideMark/>
          </w:tcPr>
          <w:p w14:paraId="194CA42D" w14:textId="77777777" w:rsidR="00D923AA" w:rsidRPr="007B010A" w:rsidRDefault="00D923AA" w:rsidP="00376CF0">
            <w:pPr>
              <w:jc w:val="center"/>
              <w:rPr>
                <w:b/>
                <w:bCs/>
                <w:sz w:val="22"/>
                <w:szCs w:val="22"/>
              </w:rPr>
            </w:pPr>
            <w:r w:rsidRPr="007B010A">
              <w:rPr>
                <w:b/>
                <w:bCs/>
                <w:sz w:val="22"/>
                <w:szCs w:val="22"/>
              </w:rPr>
              <w:t>Ambulatorā ārstēšana</w:t>
            </w:r>
          </w:p>
        </w:tc>
        <w:tc>
          <w:tcPr>
            <w:tcW w:w="3686"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2C430D3E" w14:textId="77777777" w:rsidR="00D923AA" w:rsidRPr="007B010A" w:rsidRDefault="00D923AA" w:rsidP="00376CF0">
            <w:pPr>
              <w:jc w:val="center"/>
              <w:rPr>
                <w:sz w:val="22"/>
                <w:szCs w:val="22"/>
              </w:rPr>
            </w:pPr>
            <w:r w:rsidRPr="007B010A">
              <w:rPr>
                <w:sz w:val="22"/>
                <w:szCs w:val="22"/>
              </w:rPr>
              <w:t>Plānotais unikālo onkoloģisko pacientu apjoms</w:t>
            </w:r>
          </w:p>
        </w:tc>
        <w:tc>
          <w:tcPr>
            <w:tcW w:w="3974" w:type="dxa"/>
            <w:gridSpan w:val="3"/>
            <w:tcBorders>
              <w:top w:val="single" w:sz="4" w:space="0" w:color="auto"/>
              <w:left w:val="single" w:sz="4" w:space="0" w:color="auto"/>
              <w:bottom w:val="single" w:sz="4" w:space="0" w:color="auto"/>
              <w:right w:val="single" w:sz="4" w:space="0" w:color="auto"/>
            </w:tcBorders>
            <w:shd w:val="clear" w:color="000000" w:fill="FCE4D6"/>
            <w:vAlign w:val="center"/>
            <w:hideMark/>
          </w:tcPr>
          <w:p w14:paraId="235FD486" w14:textId="77777777" w:rsidR="00D923AA" w:rsidRPr="007B010A" w:rsidRDefault="00D923AA" w:rsidP="00376CF0">
            <w:pPr>
              <w:jc w:val="center"/>
              <w:rPr>
                <w:sz w:val="22"/>
                <w:szCs w:val="22"/>
              </w:rPr>
            </w:pPr>
            <w:r w:rsidRPr="007B010A">
              <w:rPr>
                <w:sz w:val="22"/>
                <w:szCs w:val="22"/>
              </w:rPr>
              <w:t>Faktiskā izpilde  unikālo  onkoloģisko  pacientu apjomam</w:t>
            </w:r>
          </w:p>
        </w:tc>
      </w:tr>
      <w:tr w:rsidR="00D923AA" w:rsidRPr="007B010A" w14:paraId="15CB62FE" w14:textId="77777777" w:rsidTr="00376CF0">
        <w:trPr>
          <w:trHeight w:val="1275"/>
          <w:jc w:val="center"/>
        </w:trPr>
        <w:tc>
          <w:tcPr>
            <w:tcW w:w="1833" w:type="dxa"/>
            <w:vMerge/>
            <w:tcBorders>
              <w:top w:val="single" w:sz="4" w:space="0" w:color="auto"/>
              <w:left w:val="single" w:sz="4" w:space="0" w:color="auto"/>
              <w:bottom w:val="single" w:sz="4" w:space="0" w:color="auto"/>
              <w:right w:val="single" w:sz="4" w:space="0" w:color="auto"/>
            </w:tcBorders>
            <w:vAlign w:val="center"/>
            <w:hideMark/>
          </w:tcPr>
          <w:p w14:paraId="077534CD" w14:textId="77777777" w:rsidR="00D923AA" w:rsidRPr="007B010A" w:rsidRDefault="00D923AA" w:rsidP="00376CF0">
            <w:pPr>
              <w:rPr>
                <w:b/>
                <w:bCs/>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6773E7E" w14:textId="6147E054" w:rsidR="00D923AA" w:rsidRPr="007B010A" w:rsidRDefault="00D923AA" w:rsidP="00376CF0">
            <w:pPr>
              <w:jc w:val="center"/>
              <w:rPr>
                <w:sz w:val="22"/>
                <w:szCs w:val="22"/>
              </w:rPr>
            </w:pPr>
            <w:r w:rsidRPr="007B010A">
              <w:rPr>
                <w:sz w:val="22"/>
                <w:szCs w:val="22"/>
              </w:rPr>
              <w:t xml:space="preserve">Plānotais pacientu skaits </w:t>
            </w:r>
            <w:r w:rsidR="00450E12" w:rsidRPr="007B010A">
              <w:rPr>
                <w:sz w:val="22"/>
                <w:szCs w:val="22"/>
              </w:rPr>
              <w:t>2018.</w:t>
            </w:r>
            <w:r w:rsidRPr="007B010A">
              <w:rPr>
                <w:sz w:val="22"/>
                <w:szCs w:val="22"/>
              </w:rPr>
              <w:t>gadā</w:t>
            </w:r>
          </w:p>
        </w:tc>
        <w:tc>
          <w:tcPr>
            <w:tcW w:w="1382"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17A52D16" w14:textId="322CE502" w:rsidR="00D923AA" w:rsidRPr="007B010A" w:rsidRDefault="00D923AA" w:rsidP="00376CF0">
            <w:pPr>
              <w:jc w:val="center"/>
              <w:rPr>
                <w:sz w:val="22"/>
                <w:szCs w:val="22"/>
              </w:rPr>
            </w:pPr>
            <w:r w:rsidRPr="007B010A">
              <w:rPr>
                <w:sz w:val="22"/>
                <w:szCs w:val="22"/>
              </w:rPr>
              <w:t>Finansējums  201</w:t>
            </w:r>
            <w:r w:rsidR="005949EB" w:rsidRPr="007B010A">
              <w:rPr>
                <w:sz w:val="22"/>
                <w:szCs w:val="22"/>
              </w:rPr>
              <w:t>8</w:t>
            </w:r>
            <w:r w:rsidRPr="007B010A">
              <w:rPr>
                <w:sz w:val="22"/>
                <w:szCs w:val="22"/>
              </w:rPr>
              <w:t xml:space="preserve">.gadā </w:t>
            </w:r>
            <w:proofErr w:type="spellStart"/>
            <w:r w:rsidRPr="007B010A">
              <w:rPr>
                <w:i/>
                <w:iCs/>
                <w:sz w:val="22"/>
                <w:szCs w:val="22"/>
              </w:rPr>
              <w:t>euro</w:t>
            </w:r>
            <w:proofErr w:type="spellEnd"/>
          </w:p>
        </w:tc>
        <w:tc>
          <w:tcPr>
            <w:tcW w:w="1134"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36BF5925" w14:textId="7F5A5DDB" w:rsidR="00D923AA" w:rsidRPr="007B010A" w:rsidRDefault="00D923AA" w:rsidP="00376CF0">
            <w:pPr>
              <w:jc w:val="center"/>
              <w:rPr>
                <w:sz w:val="22"/>
                <w:szCs w:val="22"/>
              </w:rPr>
            </w:pPr>
            <w:r w:rsidRPr="007B010A">
              <w:rPr>
                <w:sz w:val="22"/>
                <w:szCs w:val="22"/>
              </w:rPr>
              <w:t>Vidējā izmaksa 201</w:t>
            </w:r>
            <w:r w:rsidR="00CF558A" w:rsidRPr="007B010A">
              <w:rPr>
                <w:sz w:val="22"/>
                <w:szCs w:val="22"/>
              </w:rPr>
              <w:t>8</w:t>
            </w:r>
            <w:r w:rsidRPr="007B010A">
              <w:rPr>
                <w:sz w:val="22"/>
                <w:szCs w:val="22"/>
              </w:rPr>
              <w:t xml:space="preserve">.gadā </w:t>
            </w:r>
            <w:proofErr w:type="spellStart"/>
            <w:r w:rsidRPr="007B010A">
              <w:rPr>
                <w:i/>
                <w:iCs/>
                <w:sz w:val="22"/>
                <w:szCs w:val="22"/>
              </w:rPr>
              <w:t>euro</w:t>
            </w:r>
            <w:proofErr w:type="spellEnd"/>
          </w:p>
        </w:tc>
        <w:tc>
          <w:tcPr>
            <w:tcW w:w="1170"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65CBA41A" w14:textId="3048920E" w:rsidR="00D923AA" w:rsidRPr="007B010A" w:rsidRDefault="00D923AA" w:rsidP="00376CF0">
            <w:pPr>
              <w:jc w:val="center"/>
              <w:rPr>
                <w:sz w:val="22"/>
                <w:szCs w:val="22"/>
              </w:rPr>
            </w:pPr>
            <w:r w:rsidRPr="007B010A">
              <w:rPr>
                <w:sz w:val="22"/>
                <w:szCs w:val="22"/>
              </w:rPr>
              <w:t>Pacientu skaita pieaugums 2018.gadā</w:t>
            </w:r>
          </w:p>
        </w:tc>
        <w:tc>
          <w:tcPr>
            <w:tcW w:w="1386"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5063541C" w14:textId="6B17DDFA"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iCs/>
                <w:sz w:val="22"/>
                <w:szCs w:val="22"/>
              </w:rPr>
              <w:t>euro</w:t>
            </w:r>
            <w:proofErr w:type="spellEnd"/>
          </w:p>
        </w:tc>
        <w:tc>
          <w:tcPr>
            <w:tcW w:w="1418" w:type="dxa"/>
            <w:tcBorders>
              <w:top w:val="single" w:sz="4" w:space="0" w:color="auto"/>
              <w:left w:val="single" w:sz="4" w:space="0" w:color="auto"/>
              <w:bottom w:val="single" w:sz="4" w:space="0" w:color="auto"/>
              <w:right w:val="single" w:sz="4" w:space="0" w:color="auto"/>
            </w:tcBorders>
            <w:shd w:val="clear" w:color="000000" w:fill="FCE4D6"/>
            <w:vAlign w:val="center"/>
            <w:hideMark/>
          </w:tcPr>
          <w:p w14:paraId="0D9E87C6" w14:textId="0DABB72F"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iCs/>
                <w:sz w:val="22"/>
                <w:szCs w:val="22"/>
              </w:rPr>
              <w:t>euro</w:t>
            </w:r>
            <w:proofErr w:type="spellEnd"/>
          </w:p>
        </w:tc>
      </w:tr>
      <w:tr w:rsidR="00D923AA" w:rsidRPr="007B010A" w14:paraId="5D41FBBC" w14:textId="77777777" w:rsidTr="00376CF0">
        <w:trPr>
          <w:trHeight w:val="315"/>
          <w:jc w:val="center"/>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6A15642" w14:textId="77777777" w:rsidR="00D923AA" w:rsidRPr="007B010A" w:rsidRDefault="00D923AA" w:rsidP="00376CF0">
            <w:pPr>
              <w:jc w:val="center"/>
              <w:rPr>
                <w:sz w:val="22"/>
                <w:szCs w:val="22"/>
              </w:rPr>
            </w:pPr>
            <w:r w:rsidRPr="007B010A">
              <w:rPr>
                <w:sz w:val="22"/>
                <w:szCs w:val="22"/>
              </w:rPr>
              <w:t>6 ārstniecības iestādes</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6676ED5A" w14:textId="77777777" w:rsidR="00D923AA" w:rsidRPr="007B010A" w:rsidRDefault="00D923AA" w:rsidP="00376CF0">
            <w:pPr>
              <w:jc w:val="center"/>
              <w:rPr>
                <w:sz w:val="22"/>
                <w:szCs w:val="22"/>
              </w:rPr>
            </w:pPr>
            <w:r w:rsidRPr="007B010A">
              <w:rPr>
                <w:sz w:val="22"/>
                <w:szCs w:val="22"/>
              </w:rPr>
              <w:t>3 306</w:t>
            </w:r>
          </w:p>
        </w:tc>
        <w:tc>
          <w:tcPr>
            <w:tcW w:w="1382" w:type="dxa"/>
            <w:tcBorders>
              <w:top w:val="single" w:sz="4" w:space="0" w:color="auto"/>
              <w:left w:val="nil"/>
              <w:bottom w:val="single" w:sz="8" w:space="0" w:color="auto"/>
              <w:right w:val="single" w:sz="8" w:space="0" w:color="auto"/>
            </w:tcBorders>
            <w:shd w:val="clear" w:color="auto" w:fill="auto"/>
            <w:noWrap/>
            <w:vAlign w:val="center"/>
            <w:hideMark/>
          </w:tcPr>
          <w:p w14:paraId="7B7C8B8E" w14:textId="77777777" w:rsidR="00D923AA" w:rsidRPr="007B010A" w:rsidRDefault="00D923AA" w:rsidP="00376CF0">
            <w:pPr>
              <w:jc w:val="center"/>
              <w:rPr>
                <w:sz w:val="22"/>
                <w:szCs w:val="22"/>
              </w:rPr>
            </w:pPr>
            <w:r w:rsidRPr="007B010A">
              <w:rPr>
                <w:sz w:val="22"/>
                <w:szCs w:val="22"/>
              </w:rPr>
              <w:t>1 177 895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7402BC12" w14:textId="77777777" w:rsidR="00D923AA" w:rsidRPr="007B010A" w:rsidRDefault="00D923AA" w:rsidP="00376CF0">
            <w:pPr>
              <w:jc w:val="center"/>
              <w:rPr>
                <w:sz w:val="22"/>
                <w:szCs w:val="22"/>
              </w:rPr>
            </w:pPr>
            <w:r w:rsidRPr="007B010A">
              <w:rPr>
                <w:sz w:val="22"/>
                <w:szCs w:val="22"/>
              </w:rPr>
              <w:t>356,29</w:t>
            </w:r>
          </w:p>
        </w:tc>
        <w:tc>
          <w:tcPr>
            <w:tcW w:w="1170" w:type="dxa"/>
            <w:tcBorders>
              <w:top w:val="single" w:sz="4" w:space="0" w:color="auto"/>
              <w:left w:val="nil"/>
              <w:bottom w:val="single" w:sz="8" w:space="0" w:color="auto"/>
              <w:right w:val="single" w:sz="8" w:space="0" w:color="auto"/>
            </w:tcBorders>
            <w:shd w:val="clear" w:color="auto" w:fill="auto"/>
            <w:noWrap/>
            <w:vAlign w:val="center"/>
            <w:hideMark/>
          </w:tcPr>
          <w:p w14:paraId="27F5F78D" w14:textId="0F9F4731" w:rsidR="00D923AA" w:rsidRPr="007B010A" w:rsidRDefault="00AB0684" w:rsidP="00376CF0">
            <w:pPr>
              <w:jc w:val="center"/>
              <w:rPr>
                <w:sz w:val="22"/>
                <w:szCs w:val="22"/>
              </w:rPr>
            </w:pPr>
            <w:r w:rsidRPr="007B010A">
              <w:rPr>
                <w:sz w:val="22"/>
                <w:szCs w:val="22"/>
              </w:rPr>
              <w:t>2 126</w:t>
            </w:r>
          </w:p>
        </w:tc>
        <w:tc>
          <w:tcPr>
            <w:tcW w:w="1386" w:type="dxa"/>
            <w:tcBorders>
              <w:top w:val="single" w:sz="4" w:space="0" w:color="auto"/>
              <w:left w:val="nil"/>
              <w:bottom w:val="single" w:sz="8" w:space="0" w:color="auto"/>
              <w:right w:val="single" w:sz="8" w:space="0" w:color="auto"/>
            </w:tcBorders>
            <w:shd w:val="clear" w:color="auto" w:fill="auto"/>
            <w:noWrap/>
            <w:vAlign w:val="center"/>
            <w:hideMark/>
          </w:tcPr>
          <w:p w14:paraId="22269D30" w14:textId="6C7AD05B" w:rsidR="00D923AA" w:rsidRPr="007B010A" w:rsidRDefault="00AB0684" w:rsidP="00376CF0">
            <w:pPr>
              <w:jc w:val="center"/>
              <w:rPr>
                <w:sz w:val="22"/>
                <w:szCs w:val="22"/>
              </w:rPr>
            </w:pPr>
            <w:r w:rsidRPr="007B010A">
              <w:rPr>
                <w:sz w:val="22"/>
                <w:szCs w:val="22"/>
              </w:rPr>
              <w:t>1 170 486</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3E69006C" w14:textId="6CB78854" w:rsidR="00D923AA" w:rsidRPr="007B010A" w:rsidRDefault="00D923AA" w:rsidP="00376CF0">
            <w:pPr>
              <w:jc w:val="center"/>
              <w:rPr>
                <w:sz w:val="22"/>
                <w:szCs w:val="22"/>
              </w:rPr>
            </w:pPr>
            <w:r w:rsidRPr="007B010A">
              <w:rPr>
                <w:sz w:val="22"/>
                <w:szCs w:val="22"/>
              </w:rPr>
              <w:t>5</w:t>
            </w:r>
            <w:r w:rsidR="00AB0684" w:rsidRPr="007B010A">
              <w:rPr>
                <w:sz w:val="22"/>
                <w:szCs w:val="22"/>
              </w:rPr>
              <w:t>50</w:t>
            </w:r>
            <w:r w:rsidRPr="007B010A">
              <w:rPr>
                <w:sz w:val="22"/>
                <w:szCs w:val="22"/>
              </w:rPr>
              <w:t>,</w:t>
            </w:r>
            <w:r w:rsidR="00AB0684" w:rsidRPr="007B010A">
              <w:rPr>
                <w:sz w:val="22"/>
                <w:szCs w:val="22"/>
              </w:rPr>
              <w:t>56</w:t>
            </w:r>
          </w:p>
        </w:tc>
      </w:tr>
    </w:tbl>
    <w:p w14:paraId="47634698" w14:textId="77777777" w:rsidR="00D923AA" w:rsidRPr="007B010A" w:rsidRDefault="00D923AA" w:rsidP="00D923AA">
      <w:pPr>
        <w:jc w:val="both"/>
      </w:pPr>
      <w:r w:rsidRPr="007B010A">
        <w:rPr>
          <w:i/>
          <w:sz w:val="20"/>
          <w:szCs w:val="20"/>
        </w:rPr>
        <w:t>Avots: NVD</w:t>
      </w:r>
    </w:p>
    <w:p w14:paraId="46981341" w14:textId="77777777" w:rsidR="00D923AA" w:rsidRPr="007B010A" w:rsidRDefault="00D923AA" w:rsidP="00D923AA">
      <w:pPr>
        <w:ind w:firstLine="720"/>
        <w:jc w:val="both"/>
      </w:pPr>
    </w:p>
    <w:p w14:paraId="53277CE1" w14:textId="69858042" w:rsidR="00D923AA" w:rsidRPr="007B010A" w:rsidRDefault="00D923AA" w:rsidP="00D923AA">
      <w:pPr>
        <w:ind w:firstLine="720"/>
        <w:jc w:val="both"/>
      </w:pPr>
      <w:r w:rsidRPr="007B010A">
        <w:t>Atbilstoši 2018.gada faktiskajai izpildei vidējās ārstēšanas izmaksas ambulatori palielinājušās par 5</w:t>
      </w:r>
      <w:r w:rsidR="000E4F1B" w:rsidRPr="007B010A">
        <w:t>4</w:t>
      </w:r>
      <w:r w:rsidRPr="007B010A">
        <w:t>,</w:t>
      </w:r>
      <w:r w:rsidR="000E4F1B" w:rsidRPr="007B010A">
        <w:t>53</w:t>
      </w:r>
      <w:r w:rsidRPr="007B010A">
        <w:t xml:space="preserve">% salīdzinot ar plānoto, jo pieaudzis ilgstoši ārstējamo pacientu skaits, kuri saņem garākus un komplicētākus ārstēšanas kursus. 2018.gadā tika veiktas  manipulācijas </w:t>
      </w:r>
      <w:r w:rsidR="004C71F2" w:rsidRPr="007B010A">
        <w:t>2 126</w:t>
      </w:r>
      <w:r w:rsidRPr="007B010A">
        <w:t xml:space="preserve"> unikālajiem pacientiem. Izmaksu pieaugumu ietekmēja arī tarifa pieaugums.</w:t>
      </w:r>
    </w:p>
    <w:p w14:paraId="2CEE9C88" w14:textId="419664EE" w:rsidR="00D923AA" w:rsidRPr="007B010A" w:rsidRDefault="00D923AA" w:rsidP="00D923AA">
      <w:pPr>
        <w:ind w:firstLine="720"/>
        <w:jc w:val="both"/>
      </w:pPr>
      <w:r w:rsidRPr="007B010A">
        <w:lastRenderedPageBreak/>
        <w:t xml:space="preserve">Attiecībā uz 2018.gada onkoloģisko pacientu aptveri, ārstēšanai pakļauti </w:t>
      </w:r>
      <w:r w:rsidR="00E7406B" w:rsidRPr="007B010A">
        <w:t>64</w:t>
      </w:r>
      <w:r w:rsidRPr="007B010A">
        <w:t>,</w:t>
      </w:r>
      <w:r w:rsidR="00E7406B" w:rsidRPr="007B010A">
        <w:t>31</w:t>
      </w:r>
      <w:r w:rsidRPr="007B010A">
        <w:t xml:space="preserve">% no plānotā unikālo pacientu skaita. Ambulatorās ārstēšanas izmaksu palielinājums saistāms ar pacientu atšķirīgajām diagnozēm, katrai piemērojot efektīvāko ārstēšanas veidu. Vairums gadījumos tie bijuši ilgstoši ārstējami pacienti, kā arī ir pieaudzis pacientu skaits staru terapijas ārstēšanas metodes pielietošanā, kas ir izmaksu ietilpīgāka ārstēšanas metode, </w:t>
      </w:r>
      <w:r w:rsidR="0001597D" w:rsidRPr="007B010A">
        <w:t>kura tiek</w:t>
      </w:r>
      <w:r w:rsidRPr="007B010A">
        <w:t xml:space="preserve"> veikta vairākas reizes. </w:t>
      </w:r>
    </w:p>
    <w:p w14:paraId="58F7CA3F" w14:textId="4FF14DE6" w:rsidR="00D923AA" w:rsidRPr="007B010A" w:rsidRDefault="00D923AA" w:rsidP="003B45BD">
      <w:pPr>
        <w:ind w:firstLine="720"/>
        <w:jc w:val="both"/>
      </w:pPr>
      <w:r w:rsidRPr="007B010A">
        <w:t xml:space="preserve">Ņemot vērā minēto, līdz 2018.gada </w:t>
      </w:r>
      <w:r w:rsidR="008260ED" w:rsidRPr="007B010A">
        <w:t>3</w:t>
      </w:r>
      <w:r w:rsidRPr="007B010A">
        <w:t>1.</w:t>
      </w:r>
      <w:r w:rsidR="008260ED" w:rsidRPr="007B010A">
        <w:t>decembri</w:t>
      </w:r>
      <w:r w:rsidRPr="007B010A">
        <w:t xml:space="preserve">m onkoloģijas reformu ietvaros atbilstoši noteiktajiem algoritmiem ambulatori ir nodrošināta pieejama ārstēšana </w:t>
      </w:r>
      <w:r w:rsidR="002B477B" w:rsidRPr="007B010A">
        <w:t>2</w:t>
      </w:r>
      <w:r w:rsidR="007A3C60" w:rsidRPr="007B010A">
        <w:t> </w:t>
      </w:r>
      <w:r w:rsidR="002B477B" w:rsidRPr="007B010A">
        <w:t>126</w:t>
      </w:r>
      <w:r w:rsidR="007A3C60" w:rsidRPr="007B010A">
        <w:t> </w:t>
      </w:r>
      <w:r w:rsidRPr="007B010A">
        <w:t>pacientiem ar onkoloģiskajām saslimšanām, atbilstoši nepieciešamajam ārstēšanas kursa ilgumam, var secināt, ka ir pieaudzis ilgstoši ārstējamo pacientu skaits, kuriem nepieciešama atkārtota atbilstošas ārstēšanas metodes pielietošana, piemēram, staru terapija</w:t>
      </w:r>
      <w:r w:rsidR="006D44E5" w:rsidRPr="007B010A">
        <w:t xml:space="preserve">, kas ir pakārtoti, tam, ka onkoloģiskās slimības kļūst sarežģītākas, gan izplatītākas visā populācijā, gan terapijas </w:t>
      </w:r>
      <w:proofErr w:type="spellStart"/>
      <w:r w:rsidR="006D44E5" w:rsidRPr="007B010A">
        <w:t>rezistentākas</w:t>
      </w:r>
      <w:proofErr w:type="spellEnd"/>
      <w:r w:rsidR="006D44E5" w:rsidRPr="007B010A">
        <w:t>, tāpēc arī terapijas ilgumi kļūst garāki jeb biežāki.</w:t>
      </w:r>
    </w:p>
    <w:p w14:paraId="53F235B0" w14:textId="0F8BFD36" w:rsidR="00210D2E" w:rsidRPr="007B010A" w:rsidRDefault="00210D2E" w:rsidP="00210D2E">
      <w:pPr>
        <w:ind w:firstLine="720"/>
        <w:jc w:val="both"/>
      </w:pPr>
      <w:r w:rsidRPr="007B010A">
        <w:t>Izvērtējot 2018.gada rādītājus Eiropas Komisijas pieļautajai deficīta atkāpei veselības aprūpes sistēmas reformas ieviešanai ir sasniegts gadā plānotais rādītājs līdz ar to prognozējam 2019.gada izpildi gan EK atkāpes sadaļā, gan pārējā finansējuma sadaļā.</w:t>
      </w:r>
    </w:p>
    <w:p w14:paraId="3516BF9C" w14:textId="77777777" w:rsidR="00D923AA" w:rsidRPr="007B010A" w:rsidRDefault="00D923AA" w:rsidP="00D923AA">
      <w:pPr>
        <w:ind w:firstLine="720"/>
        <w:jc w:val="both"/>
      </w:pPr>
    </w:p>
    <w:p w14:paraId="44C18CA7" w14:textId="77777777" w:rsidR="00D923AA" w:rsidRPr="007B010A" w:rsidRDefault="00D923AA" w:rsidP="00D923AA">
      <w:pPr>
        <w:jc w:val="center"/>
        <w:rPr>
          <w:u w:val="single"/>
        </w:rPr>
      </w:pPr>
      <w:r w:rsidRPr="007B010A">
        <w:rPr>
          <w:u w:val="single"/>
        </w:rPr>
        <w:t>Stacionārā ārstēšana</w:t>
      </w:r>
    </w:p>
    <w:p w14:paraId="503DB95C" w14:textId="77777777" w:rsidR="00D923AA" w:rsidRPr="007B010A" w:rsidRDefault="00D923AA" w:rsidP="00D923AA">
      <w:pPr>
        <w:jc w:val="both"/>
        <w:rPr>
          <w:u w:val="single"/>
        </w:rPr>
      </w:pPr>
    </w:p>
    <w:p w14:paraId="6AFCDE54" w14:textId="77777777" w:rsidR="00D923AA" w:rsidRPr="007B010A" w:rsidRDefault="00D923AA" w:rsidP="00D923AA">
      <w:pPr>
        <w:ind w:firstLine="720"/>
        <w:jc w:val="both"/>
      </w:pPr>
      <w:r w:rsidRPr="007B010A">
        <w:t>Onkoloģijas reformu ietvaros plānota onkoloģisko saslimšanu ārstēšana stacionārā, nodrošinot savlaicīgas operācijas. Lai esošā stacionāra finansējuma ietvaros īstenotu kvalitatīvāku onkoloģisko operāciju veikšanu sākot ar 2017.gada. 1.aprīli noteikta piemaksa par sarežģītas onkoloģiskās operācijas veikšanu pacientam ar pirmreizēji diagnosticētu onkoloģisko slimību pēc ārstu konsīlija terapijas taktikas pieņemšanas</w:t>
      </w:r>
      <w:r w:rsidRPr="007B010A">
        <w:rPr>
          <w:noProof/>
        </w:rPr>
        <w:t xml:space="preserve">. Minētā piemaksa nodrošināta </w:t>
      </w:r>
      <w:r w:rsidRPr="007B010A">
        <w:t xml:space="preserve">pārdalītā finansējuma veselības nozares reformu īstenošanai onkoloģijas jomā ietvaros. </w:t>
      </w:r>
    </w:p>
    <w:p w14:paraId="092A1392" w14:textId="74E76A93" w:rsidR="00F130F4" w:rsidRPr="007B010A" w:rsidRDefault="007F6FDD" w:rsidP="00780965">
      <w:pPr>
        <w:ind w:firstLine="720"/>
        <w:jc w:val="both"/>
        <w:rPr>
          <w:i/>
        </w:rPr>
      </w:pPr>
      <w:r w:rsidRPr="007B010A">
        <w:t>2018.gadā plānoti 6,</w:t>
      </w:r>
      <w:r w:rsidR="00D923AA" w:rsidRPr="007B010A">
        <w:t>0 tūkstoši unikālie pacienti, kuriem par sarežģītas primāras onkoloģiskas operācijas veikšanu pacientiem ar pirmreizēji diagnosticētu onkoloģisko slimību piemēro piemaksu</w:t>
      </w:r>
      <w:r w:rsidR="00D923AA" w:rsidRPr="007B010A">
        <w:rPr>
          <w:noProof/>
        </w:rPr>
        <w:t xml:space="preserve">. </w:t>
      </w:r>
      <w:r w:rsidR="00D923AA" w:rsidRPr="007B010A">
        <w:t xml:space="preserve">Šādas operācijas tiek veiktas </w:t>
      </w:r>
      <w:r w:rsidRPr="007B010A">
        <w:t>VSIA “</w:t>
      </w:r>
      <w:r w:rsidR="00D923AA" w:rsidRPr="007B010A">
        <w:t>Bērnu klīniskā u</w:t>
      </w:r>
      <w:r w:rsidRPr="007B010A">
        <w:t>niversitātes slimnīca”</w:t>
      </w:r>
      <w:r w:rsidR="00D923AA" w:rsidRPr="007B010A">
        <w:t xml:space="preserve">, </w:t>
      </w:r>
      <w:r w:rsidRPr="007B010A">
        <w:t>VSIA “</w:t>
      </w:r>
      <w:r w:rsidR="00D923AA" w:rsidRPr="007B010A">
        <w:t>Piejūras slimnīc</w:t>
      </w:r>
      <w:r w:rsidRPr="007B010A">
        <w:t>a”</w:t>
      </w:r>
      <w:r w:rsidR="00D923AA" w:rsidRPr="007B010A">
        <w:t xml:space="preserve">, </w:t>
      </w:r>
      <w:r w:rsidRPr="007B010A">
        <w:t>SIA “</w:t>
      </w:r>
      <w:r w:rsidR="00D923AA" w:rsidRPr="007B010A">
        <w:t>Liepājas reģionāl</w:t>
      </w:r>
      <w:r w:rsidRPr="007B010A">
        <w:t>ā slimnīca”</w:t>
      </w:r>
      <w:r w:rsidR="00D923AA" w:rsidRPr="007B010A">
        <w:t xml:space="preserve">, </w:t>
      </w:r>
      <w:r w:rsidRPr="007B010A">
        <w:t>SIA “Rīgas Austrumu klīniskā universitātes slimnīca”</w:t>
      </w:r>
      <w:r w:rsidR="00D923AA" w:rsidRPr="007B010A">
        <w:t xml:space="preserve">, </w:t>
      </w:r>
      <w:r w:rsidRPr="007B010A">
        <w:t>VSIA “</w:t>
      </w:r>
      <w:r w:rsidR="00D923AA" w:rsidRPr="007B010A">
        <w:t>Paula Stradiņa klīniskā universitātes slimnīc</w:t>
      </w:r>
      <w:r w:rsidRPr="007B010A">
        <w:t>a”</w:t>
      </w:r>
      <w:r w:rsidR="00D923AA" w:rsidRPr="007B010A">
        <w:t xml:space="preserve">, </w:t>
      </w:r>
      <w:r w:rsidRPr="007B010A">
        <w:t>SIA “</w:t>
      </w:r>
      <w:r w:rsidR="00D923AA" w:rsidRPr="007B010A">
        <w:t>Daugavpils reģionāl</w:t>
      </w:r>
      <w:r w:rsidRPr="007B010A">
        <w:t>ā slimnīca”</w:t>
      </w:r>
      <w:r w:rsidR="00D923AA" w:rsidRPr="007B010A">
        <w:t xml:space="preserve"> un </w:t>
      </w:r>
      <w:r w:rsidRPr="007B010A">
        <w:t>VSIA “</w:t>
      </w:r>
      <w:r w:rsidR="00D923AA" w:rsidRPr="007B010A">
        <w:t>Traumat</w:t>
      </w:r>
      <w:r w:rsidRPr="007B010A">
        <w:t>oloģijas un ortopēdijas slimnīca”</w:t>
      </w:r>
      <w:r w:rsidR="00D923AA" w:rsidRPr="007B010A">
        <w:t>.</w:t>
      </w:r>
    </w:p>
    <w:p w14:paraId="19FCB22D" w14:textId="77777777" w:rsidR="00897850" w:rsidRPr="007B010A" w:rsidRDefault="00897850" w:rsidP="00780965">
      <w:pPr>
        <w:jc w:val="right"/>
        <w:rPr>
          <w:i/>
        </w:rPr>
      </w:pPr>
    </w:p>
    <w:p w14:paraId="2CCE782E" w14:textId="0E4C233F" w:rsidR="00D923AA" w:rsidRPr="007B010A" w:rsidRDefault="00D923AA" w:rsidP="00780965">
      <w:pPr>
        <w:jc w:val="right"/>
        <w:rPr>
          <w:noProof/>
        </w:rPr>
      </w:pPr>
      <w:r w:rsidRPr="007B010A">
        <w:rPr>
          <w:i/>
        </w:rPr>
        <w:t>1</w:t>
      </w:r>
      <w:r w:rsidR="00AF0BE2" w:rsidRPr="007B010A">
        <w:rPr>
          <w:i/>
        </w:rPr>
        <w:t>8</w:t>
      </w:r>
      <w:r w:rsidRPr="007B010A">
        <w:rPr>
          <w:i/>
        </w:rPr>
        <w:t xml:space="preserve">.tabula </w:t>
      </w:r>
    </w:p>
    <w:p w14:paraId="07E552F5" w14:textId="6ADB907D" w:rsidR="00D923AA" w:rsidRPr="007B010A" w:rsidRDefault="00D923AA" w:rsidP="00780965">
      <w:pPr>
        <w:jc w:val="center"/>
      </w:pPr>
      <w:r w:rsidRPr="007B010A">
        <w:t>Stacionārā ārstēto onkoloģisko pacientu 2018.gada izpilde</w:t>
      </w:r>
    </w:p>
    <w:p w14:paraId="03AC371B" w14:textId="77777777" w:rsidR="00D923AA" w:rsidRPr="007B010A" w:rsidRDefault="00D923AA" w:rsidP="00D923AA">
      <w:pPr>
        <w:ind w:firstLine="720"/>
        <w:jc w:val="both"/>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11"/>
        <w:gridCol w:w="1381"/>
        <w:gridCol w:w="1276"/>
        <w:gridCol w:w="1276"/>
        <w:gridCol w:w="1417"/>
        <w:gridCol w:w="1277"/>
      </w:tblGrid>
      <w:tr w:rsidR="00D923AA" w:rsidRPr="007B010A" w14:paraId="25E621A5" w14:textId="77777777" w:rsidTr="00376CF0">
        <w:trPr>
          <w:trHeight w:val="600"/>
          <w:jc w:val="center"/>
        </w:trPr>
        <w:tc>
          <w:tcPr>
            <w:tcW w:w="1555" w:type="dxa"/>
            <w:vMerge w:val="restart"/>
            <w:shd w:val="clear" w:color="000000" w:fill="FCE4D6"/>
            <w:vAlign w:val="center"/>
            <w:hideMark/>
          </w:tcPr>
          <w:p w14:paraId="00CABFD5" w14:textId="77777777" w:rsidR="00D923AA" w:rsidRPr="007B010A" w:rsidRDefault="00D923AA" w:rsidP="00376CF0">
            <w:pPr>
              <w:jc w:val="center"/>
              <w:rPr>
                <w:b/>
                <w:bCs/>
                <w:sz w:val="22"/>
                <w:szCs w:val="22"/>
              </w:rPr>
            </w:pPr>
            <w:r w:rsidRPr="007B010A">
              <w:rPr>
                <w:b/>
                <w:bCs/>
                <w:sz w:val="22"/>
                <w:szCs w:val="22"/>
              </w:rPr>
              <w:t>Ārstēšana stacionāri</w:t>
            </w:r>
          </w:p>
        </w:tc>
        <w:tc>
          <w:tcPr>
            <w:tcW w:w="3968" w:type="dxa"/>
            <w:gridSpan w:val="3"/>
            <w:shd w:val="clear" w:color="000000" w:fill="FCE4D6"/>
            <w:vAlign w:val="center"/>
            <w:hideMark/>
          </w:tcPr>
          <w:p w14:paraId="7D2E0A9E" w14:textId="77777777" w:rsidR="00D923AA" w:rsidRPr="007B010A" w:rsidRDefault="00D923AA" w:rsidP="00376CF0">
            <w:pPr>
              <w:jc w:val="center"/>
              <w:rPr>
                <w:sz w:val="22"/>
                <w:szCs w:val="22"/>
              </w:rPr>
            </w:pPr>
            <w:r w:rsidRPr="007B010A">
              <w:rPr>
                <w:sz w:val="22"/>
                <w:szCs w:val="22"/>
              </w:rPr>
              <w:t>Plānotais ārstējamo unikālo onkoloģisko pacientu apjoms</w:t>
            </w:r>
          </w:p>
        </w:tc>
        <w:tc>
          <w:tcPr>
            <w:tcW w:w="3970" w:type="dxa"/>
            <w:gridSpan w:val="3"/>
            <w:shd w:val="clear" w:color="000000" w:fill="FCE4D6"/>
            <w:vAlign w:val="center"/>
            <w:hideMark/>
          </w:tcPr>
          <w:p w14:paraId="6A5A5119" w14:textId="77777777" w:rsidR="00D923AA" w:rsidRPr="007B010A" w:rsidRDefault="00D923AA" w:rsidP="00376CF0">
            <w:pPr>
              <w:jc w:val="center"/>
              <w:rPr>
                <w:sz w:val="22"/>
                <w:szCs w:val="22"/>
              </w:rPr>
            </w:pPr>
            <w:r w:rsidRPr="007B010A">
              <w:rPr>
                <w:sz w:val="22"/>
                <w:szCs w:val="22"/>
              </w:rPr>
              <w:t>Faktiskā izpilde ārstējamo unikālo onkoloģisko pacientu apjomam</w:t>
            </w:r>
          </w:p>
        </w:tc>
      </w:tr>
      <w:tr w:rsidR="00D923AA" w:rsidRPr="007B010A" w14:paraId="35500F3F" w14:textId="77777777" w:rsidTr="00376CF0">
        <w:trPr>
          <w:trHeight w:val="1215"/>
          <w:jc w:val="center"/>
        </w:trPr>
        <w:tc>
          <w:tcPr>
            <w:tcW w:w="1555" w:type="dxa"/>
            <w:vMerge/>
            <w:vAlign w:val="center"/>
            <w:hideMark/>
          </w:tcPr>
          <w:p w14:paraId="08A5908F" w14:textId="77777777" w:rsidR="00D923AA" w:rsidRPr="007B010A" w:rsidRDefault="00D923AA" w:rsidP="00376CF0">
            <w:pPr>
              <w:rPr>
                <w:b/>
                <w:bCs/>
                <w:sz w:val="22"/>
                <w:szCs w:val="22"/>
              </w:rPr>
            </w:pPr>
          </w:p>
        </w:tc>
        <w:tc>
          <w:tcPr>
            <w:tcW w:w="1311" w:type="dxa"/>
            <w:shd w:val="clear" w:color="000000" w:fill="FCE4D6"/>
            <w:vAlign w:val="center"/>
            <w:hideMark/>
          </w:tcPr>
          <w:p w14:paraId="52A77AB7" w14:textId="26F6176E" w:rsidR="00D923AA" w:rsidRPr="007B010A" w:rsidRDefault="00D923AA" w:rsidP="00376CF0">
            <w:pPr>
              <w:jc w:val="center"/>
              <w:rPr>
                <w:sz w:val="22"/>
                <w:szCs w:val="22"/>
              </w:rPr>
            </w:pPr>
            <w:r w:rsidRPr="007B010A">
              <w:rPr>
                <w:sz w:val="22"/>
                <w:szCs w:val="22"/>
              </w:rPr>
              <w:t xml:space="preserve">Plānotais pacientu skaits </w:t>
            </w:r>
            <w:r w:rsidR="00450E12" w:rsidRPr="007B010A">
              <w:rPr>
                <w:sz w:val="22"/>
                <w:szCs w:val="22"/>
              </w:rPr>
              <w:t>2018.</w:t>
            </w:r>
            <w:r w:rsidRPr="007B010A">
              <w:rPr>
                <w:sz w:val="22"/>
                <w:szCs w:val="22"/>
              </w:rPr>
              <w:t>gadā</w:t>
            </w:r>
          </w:p>
        </w:tc>
        <w:tc>
          <w:tcPr>
            <w:tcW w:w="1381" w:type="dxa"/>
            <w:shd w:val="clear" w:color="000000" w:fill="FCE4D6"/>
            <w:vAlign w:val="center"/>
            <w:hideMark/>
          </w:tcPr>
          <w:p w14:paraId="7E1BA43B" w14:textId="77777777"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iCs/>
                <w:sz w:val="22"/>
                <w:szCs w:val="22"/>
              </w:rPr>
              <w:t>euro</w:t>
            </w:r>
            <w:proofErr w:type="spellEnd"/>
          </w:p>
        </w:tc>
        <w:tc>
          <w:tcPr>
            <w:tcW w:w="1276" w:type="dxa"/>
            <w:shd w:val="clear" w:color="000000" w:fill="FCE4D6"/>
            <w:vAlign w:val="center"/>
            <w:hideMark/>
          </w:tcPr>
          <w:p w14:paraId="05785EE7" w14:textId="77777777"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iCs/>
                <w:sz w:val="22"/>
                <w:szCs w:val="22"/>
              </w:rPr>
              <w:t>euro</w:t>
            </w:r>
            <w:proofErr w:type="spellEnd"/>
          </w:p>
        </w:tc>
        <w:tc>
          <w:tcPr>
            <w:tcW w:w="1276" w:type="dxa"/>
            <w:shd w:val="clear" w:color="000000" w:fill="FCE4D6"/>
            <w:vAlign w:val="center"/>
            <w:hideMark/>
          </w:tcPr>
          <w:p w14:paraId="75DD73F2" w14:textId="04430C5E" w:rsidR="00D923AA" w:rsidRPr="007B010A" w:rsidRDefault="00D923AA" w:rsidP="00376CF0">
            <w:pPr>
              <w:jc w:val="center"/>
              <w:rPr>
                <w:sz w:val="22"/>
                <w:szCs w:val="22"/>
              </w:rPr>
            </w:pPr>
            <w:r w:rsidRPr="007B010A">
              <w:rPr>
                <w:sz w:val="22"/>
                <w:szCs w:val="22"/>
              </w:rPr>
              <w:t>Pacientu skaita pieaugums 2018.gadā</w:t>
            </w:r>
          </w:p>
        </w:tc>
        <w:tc>
          <w:tcPr>
            <w:tcW w:w="1417" w:type="dxa"/>
            <w:shd w:val="clear" w:color="000000" w:fill="FCE4D6"/>
            <w:vAlign w:val="center"/>
            <w:hideMark/>
          </w:tcPr>
          <w:p w14:paraId="4BB5F550" w14:textId="1B3E167E" w:rsidR="00D923AA" w:rsidRPr="007B010A" w:rsidRDefault="00D923AA" w:rsidP="00376CF0">
            <w:pPr>
              <w:jc w:val="center"/>
              <w:rPr>
                <w:sz w:val="22"/>
                <w:szCs w:val="22"/>
              </w:rPr>
            </w:pPr>
            <w:r w:rsidRPr="007B010A">
              <w:rPr>
                <w:sz w:val="22"/>
                <w:szCs w:val="22"/>
              </w:rPr>
              <w:t>Finansējums 2018.gadā</w:t>
            </w:r>
            <w:r w:rsidR="00450E12" w:rsidRPr="007B010A">
              <w:rPr>
                <w:sz w:val="22"/>
                <w:szCs w:val="22"/>
              </w:rPr>
              <w:t xml:space="preserve"> </w:t>
            </w:r>
            <w:proofErr w:type="spellStart"/>
            <w:r w:rsidR="00450E12" w:rsidRPr="007B010A">
              <w:rPr>
                <w:i/>
                <w:sz w:val="22"/>
                <w:szCs w:val="22"/>
              </w:rPr>
              <w:t>euro</w:t>
            </w:r>
            <w:proofErr w:type="spellEnd"/>
          </w:p>
        </w:tc>
        <w:tc>
          <w:tcPr>
            <w:tcW w:w="1277" w:type="dxa"/>
            <w:shd w:val="clear" w:color="000000" w:fill="FCE4D6"/>
            <w:vAlign w:val="center"/>
            <w:hideMark/>
          </w:tcPr>
          <w:p w14:paraId="1E90D535" w14:textId="37F196EC" w:rsidR="00D923AA" w:rsidRPr="007B010A" w:rsidRDefault="00D923AA" w:rsidP="00376CF0">
            <w:pPr>
              <w:jc w:val="center"/>
              <w:rPr>
                <w:sz w:val="22"/>
                <w:szCs w:val="22"/>
              </w:rPr>
            </w:pPr>
            <w:r w:rsidRPr="007B010A">
              <w:rPr>
                <w:sz w:val="22"/>
                <w:szCs w:val="22"/>
              </w:rPr>
              <w:t>Vidējā izmaksa 2018.gadā</w:t>
            </w:r>
          </w:p>
        </w:tc>
      </w:tr>
      <w:tr w:rsidR="00D923AA" w:rsidRPr="007B010A" w14:paraId="334D276E" w14:textId="77777777" w:rsidTr="00376CF0">
        <w:trPr>
          <w:trHeight w:val="315"/>
          <w:jc w:val="center"/>
        </w:trPr>
        <w:tc>
          <w:tcPr>
            <w:tcW w:w="1555" w:type="dxa"/>
            <w:shd w:val="clear" w:color="auto" w:fill="auto"/>
            <w:noWrap/>
            <w:vAlign w:val="center"/>
            <w:hideMark/>
          </w:tcPr>
          <w:p w14:paraId="5B65B82E" w14:textId="77777777" w:rsidR="00D923AA" w:rsidRPr="007B010A" w:rsidRDefault="00D923AA" w:rsidP="00376CF0">
            <w:pPr>
              <w:jc w:val="center"/>
              <w:rPr>
                <w:sz w:val="22"/>
                <w:szCs w:val="22"/>
              </w:rPr>
            </w:pPr>
            <w:r w:rsidRPr="007B010A">
              <w:rPr>
                <w:sz w:val="22"/>
                <w:szCs w:val="22"/>
              </w:rPr>
              <w:t>7 ārstniecības iestādes</w:t>
            </w:r>
          </w:p>
        </w:tc>
        <w:tc>
          <w:tcPr>
            <w:tcW w:w="1311" w:type="dxa"/>
            <w:shd w:val="clear" w:color="auto" w:fill="auto"/>
            <w:noWrap/>
            <w:vAlign w:val="center"/>
            <w:hideMark/>
          </w:tcPr>
          <w:p w14:paraId="6857A3CF" w14:textId="77777777" w:rsidR="00D923AA" w:rsidRPr="007B010A" w:rsidRDefault="00D923AA" w:rsidP="00376CF0">
            <w:pPr>
              <w:jc w:val="center"/>
              <w:rPr>
                <w:sz w:val="22"/>
                <w:szCs w:val="22"/>
              </w:rPr>
            </w:pPr>
            <w:r w:rsidRPr="007B010A">
              <w:rPr>
                <w:sz w:val="22"/>
                <w:szCs w:val="22"/>
              </w:rPr>
              <w:t>5 998</w:t>
            </w:r>
          </w:p>
        </w:tc>
        <w:tc>
          <w:tcPr>
            <w:tcW w:w="1381" w:type="dxa"/>
            <w:shd w:val="clear" w:color="auto" w:fill="auto"/>
            <w:noWrap/>
            <w:vAlign w:val="center"/>
            <w:hideMark/>
          </w:tcPr>
          <w:p w14:paraId="05343A02" w14:textId="77777777" w:rsidR="00D923AA" w:rsidRPr="007B010A" w:rsidRDefault="00D923AA" w:rsidP="00376CF0">
            <w:pPr>
              <w:jc w:val="center"/>
              <w:rPr>
                <w:sz w:val="22"/>
                <w:szCs w:val="22"/>
              </w:rPr>
            </w:pPr>
            <w:r w:rsidRPr="007B010A">
              <w:rPr>
                <w:sz w:val="22"/>
                <w:szCs w:val="22"/>
              </w:rPr>
              <w:t>2 462 176</w:t>
            </w:r>
          </w:p>
        </w:tc>
        <w:tc>
          <w:tcPr>
            <w:tcW w:w="1276" w:type="dxa"/>
            <w:shd w:val="clear" w:color="auto" w:fill="auto"/>
            <w:noWrap/>
            <w:vAlign w:val="center"/>
            <w:hideMark/>
          </w:tcPr>
          <w:p w14:paraId="3FA2113B" w14:textId="77777777" w:rsidR="00D923AA" w:rsidRPr="007B010A" w:rsidRDefault="00D923AA" w:rsidP="00376CF0">
            <w:pPr>
              <w:jc w:val="center"/>
              <w:rPr>
                <w:sz w:val="22"/>
                <w:szCs w:val="22"/>
              </w:rPr>
            </w:pPr>
            <w:r w:rsidRPr="007B010A">
              <w:rPr>
                <w:sz w:val="22"/>
                <w:szCs w:val="22"/>
              </w:rPr>
              <w:t>410,51</w:t>
            </w:r>
          </w:p>
        </w:tc>
        <w:tc>
          <w:tcPr>
            <w:tcW w:w="1276" w:type="dxa"/>
            <w:shd w:val="clear" w:color="auto" w:fill="auto"/>
            <w:noWrap/>
            <w:vAlign w:val="center"/>
            <w:hideMark/>
          </w:tcPr>
          <w:p w14:paraId="477BC83E" w14:textId="4A37A996" w:rsidR="00D923AA" w:rsidRPr="007B010A" w:rsidRDefault="00007EDE" w:rsidP="00376CF0">
            <w:pPr>
              <w:jc w:val="center"/>
              <w:rPr>
                <w:sz w:val="22"/>
                <w:szCs w:val="22"/>
              </w:rPr>
            </w:pPr>
            <w:r w:rsidRPr="007B010A">
              <w:rPr>
                <w:sz w:val="22"/>
                <w:szCs w:val="22"/>
              </w:rPr>
              <w:t>6 481</w:t>
            </w:r>
          </w:p>
        </w:tc>
        <w:tc>
          <w:tcPr>
            <w:tcW w:w="1417" w:type="dxa"/>
            <w:shd w:val="clear" w:color="auto" w:fill="auto"/>
            <w:noWrap/>
            <w:vAlign w:val="center"/>
            <w:hideMark/>
          </w:tcPr>
          <w:p w14:paraId="72BDDB1F" w14:textId="5471AEC4" w:rsidR="00D923AA" w:rsidRPr="007B010A" w:rsidRDefault="00007EDE" w:rsidP="00376CF0">
            <w:pPr>
              <w:jc w:val="center"/>
              <w:rPr>
                <w:sz w:val="22"/>
                <w:szCs w:val="22"/>
              </w:rPr>
            </w:pPr>
            <w:r w:rsidRPr="007B010A">
              <w:rPr>
                <w:sz w:val="22"/>
                <w:szCs w:val="22"/>
              </w:rPr>
              <w:t>2 660 515</w:t>
            </w:r>
          </w:p>
        </w:tc>
        <w:tc>
          <w:tcPr>
            <w:tcW w:w="1277" w:type="dxa"/>
            <w:shd w:val="clear" w:color="auto" w:fill="auto"/>
            <w:noWrap/>
            <w:vAlign w:val="center"/>
            <w:hideMark/>
          </w:tcPr>
          <w:p w14:paraId="788C23FA" w14:textId="77777777" w:rsidR="00D923AA" w:rsidRPr="007B010A" w:rsidRDefault="00D923AA" w:rsidP="00376CF0">
            <w:pPr>
              <w:jc w:val="center"/>
              <w:rPr>
                <w:sz w:val="22"/>
                <w:szCs w:val="22"/>
              </w:rPr>
            </w:pPr>
            <w:r w:rsidRPr="007B010A">
              <w:rPr>
                <w:sz w:val="22"/>
                <w:szCs w:val="22"/>
              </w:rPr>
              <w:t>410,51</w:t>
            </w:r>
          </w:p>
        </w:tc>
      </w:tr>
    </w:tbl>
    <w:p w14:paraId="24B09714" w14:textId="0A19316E" w:rsidR="00D923AA" w:rsidRPr="007B010A" w:rsidRDefault="00D923AA" w:rsidP="00780965">
      <w:pPr>
        <w:jc w:val="both"/>
      </w:pPr>
      <w:r w:rsidRPr="007B010A">
        <w:rPr>
          <w:i/>
          <w:sz w:val="20"/>
          <w:szCs w:val="20"/>
        </w:rPr>
        <w:t>Avots: NVD</w:t>
      </w:r>
    </w:p>
    <w:p w14:paraId="25A0A9C4" w14:textId="0E06B8D2" w:rsidR="00D923AA" w:rsidRPr="007B010A" w:rsidRDefault="00D923AA" w:rsidP="00D923AA">
      <w:pPr>
        <w:ind w:firstLine="720"/>
        <w:contextualSpacing/>
        <w:jc w:val="both"/>
      </w:pPr>
      <w:r w:rsidRPr="007B010A">
        <w:rPr>
          <w:shd w:val="clear" w:color="auto" w:fill="FFFFFF"/>
        </w:rPr>
        <w:t xml:space="preserve">2017.gada 31.oktobrī stājoties spēkā Ministru kabineta noteikumiem Nr.645 “Grozījumi Ministru kabineta 2013.gada 17.decembra noteikumos Nr.1529 </w:t>
      </w:r>
      <w:r w:rsidR="00041147">
        <w:rPr>
          <w:shd w:val="clear" w:color="auto" w:fill="FFFFFF"/>
        </w:rPr>
        <w:t>“</w:t>
      </w:r>
      <w:r w:rsidRPr="007B010A">
        <w:rPr>
          <w:shd w:val="clear" w:color="auto" w:fill="FFFFFF"/>
        </w:rPr>
        <w:t>Veselības aprūpes organizēšanas un finansēšanas kārtība</w:t>
      </w:r>
      <w:r w:rsidR="00041147">
        <w:rPr>
          <w:shd w:val="clear" w:color="auto" w:fill="FFFFFF"/>
        </w:rPr>
        <w:t>”</w:t>
      </w:r>
      <w:r w:rsidRPr="007B010A">
        <w:rPr>
          <w:shd w:val="clear" w:color="auto" w:fill="FFFFFF"/>
        </w:rPr>
        <w:t xml:space="preserve">, ir paplašināta </w:t>
      </w:r>
      <w:r w:rsidRPr="007B010A">
        <w:rPr>
          <w:bCs/>
        </w:rPr>
        <w:t>onkoloģisko operāciju piemaksu aptvere</w:t>
      </w:r>
      <w:r w:rsidRPr="007B010A">
        <w:rPr>
          <w:shd w:val="clear" w:color="auto" w:fill="FFFFFF"/>
        </w:rPr>
        <w:t>, piemērojot  arī gadījumos, kad tiek veikta atkārtota, sarežģīta operācija vai arī sarežģīta operācija pacientam, kura noris vairākos etapos, pirmajā operācijā veicot tikai zināmus sagatavošanās darbus tālākajai.</w:t>
      </w:r>
    </w:p>
    <w:p w14:paraId="1F9D9354" w14:textId="413715AC" w:rsidR="00D923AA" w:rsidRPr="007B010A" w:rsidRDefault="00D923AA" w:rsidP="00D923AA">
      <w:pPr>
        <w:ind w:firstLine="720"/>
        <w:jc w:val="both"/>
      </w:pPr>
      <w:r w:rsidRPr="007B010A">
        <w:lastRenderedPageBreak/>
        <w:t xml:space="preserve">2018.gadā sarežģītas primāras onkoloģiskas operācijas pacientiem ar pirmreizēji diagnosticētu onkoloģisko slimību sniegtas </w:t>
      </w:r>
      <w:r w:rsidR="008270A3" w:rsidRPr="007B010A">
        <w:t>108</w:t>
      </w:r>
      <w:r w:rsidR="0034515D" w:rsidRPr="007B010A">
        <w:t>,</w:t>
      </w:r>
      <w:r w:rsidR="008270A3" w:rsidRPr="007B010A">
        <w:t>05</w:t>
      </w:r>
      <w:r w:rsidRPr="007B010A">
        <w:t>% apmērā no gadam plānotā apjoma, tādējādi īstenojot onkoloģisko saslimšanu ārstēšanu atbilstoši noteiktajam plānam.</w:t>
      </w:r>
    </w:p>
    <w:p w14:paraId="0845A940" w14:textId="0C3E5BD9" w:rsidR="00ED1D46" w:rsidRPr="007B010A" w:rsidRDefault="00ED1D46" w:rsidP="00D923AA">
      <w:pPr>
        <w:ind w:firstLine="720"/>
        <w:jc w:val="both"/>
      </w:pPr>
      <w:r w:rsidRPr="007B010A">
        <w:t xml:space="preserve">Izvērtējot 2018.gada rādītājus Eiropas Komisijas pieļautajai deficīta atkāpei veselības aprūpes sistēmas reformas ieviešanai ir </w:t>
      </w:r>
      <w:r w:rsidR="00562032" w:rsidRPr="007B010A">
        <w:t>pār</w:t>
      </w:r>
      <w:r w:rsidRPr="007B010A">
        <w:t xml:space="preserve">sniegts gadā plānotais rādītājs līdz ar to prognozējam </w:t>
      </w:r>
      <w:r w:rsidR="00210D2E" w:rsidRPr="007B010A">
        <w:t>2019.</w:t>
      </w:r>
      <w:r w:rsidRPr="007B010A">
        <w:t>gada izpildi gan EK atkāpes sadaļā, gan pārējā finansējuma sadaļā.</w:t>
      </w:r>
    </w:p>
    <w:p w14:paraId="383B977C" w14:textId="77777777" w:rsidR="000522B0" w:rsidRPr="007B010A" w:rsidRDefault="000522B0" w:rsidP="00780965">
      <w:pPr>
        <w:rPr>
          <w:u w:val="single"/>
        </w:rPr>
      </w:pPr>
    </w:p>
    <w:p w14:paraId="0E239C26" w14:textId="46013ADA" w:rsidR="00D923AA" w:rsidRPr="007B010A" w:rsidRDefault="00D923AA" w:rsidP="00D923AA">
      <w:pPr>
        <w:jc w:val="center"/>
        <w:rPr>
          <w:u w:val="single"/>
        </w:rPr>
      </w:pPr>
      <w:r w:rsidRPr="007B010A">
        <w:rPr>
          <w:u w:val="single"/>
        </w:rPr>
        <w:t>Kompensējamie medikamenti</w:t>
      </w:r>
    </w:p>
    <w:p w14:paraId="072A1CF9" w14:textId="77777777" w:rsidR="00D923AA" w:rsidRPr="007B010A" w:rsidRDefault="00D923AA" w:rsidP="00D923AA">
      <w:pPr>
        <w:ind w:firstLine="720"/>
        <w:jc w:val="both"/>
      </w:pPr>
    </w:p>
    <w:p w14:paraId="75A634A6" w14:textId="50746C7E" w:rsidR="00D923AA" w:rsidRPr="007B010A" w:rsidRDefault="00D923AA" w:rsidP="00D923AA">
      <w:pPr>
        <w:ind w:firstLine="720"/>
        <w:jc w:val="both"/>
      </w:pPr>
      <w:r w:rsidRPr="007B010A">
        <w:t xml:space="preserve">Onkoloģijas reformu ietvaros plānota onkoloģisko saslimšanu ārstēšana ārpus ambulatorām un stacionārām ārstniecības iestādēm palielinot pieejamību pacientiem  atbilstoši noteiktajiem algoritmiem kompensējamo medikamentu saņemšanai. </w:t>
      </w:r>
    </w:p>
    <w:p w14:paraId="1D730E05" w14:textId="385333BE" w:rsidR="000726E8" w:rsidRPr="007B010A" w:rsidRDefault="000726E8" w:rsidP="008A27C5">
      <w:pPr>
        <w:autoSpaceDE w:val="0"/>
        <w:autoSpaceDN w:val="0"/>
        <w:adjustRightInd w:val="0"/>
        <w:spacing w:line="293" w:lineRule="atLeast"/>
        <w:ind w:firstLine="425"/>
        <w:jc w:val="both"/>
      </w:pPr>
      <w:r w:rsidRPr="007B010A">
        <w:t xml:space="preserve">Atbilstoši 2018.gada 6 mēnešu faktiskajai izpildei salīdzinot ar plānu kompensējamo medikamentu pieejamības nodrošināšanai uzsākto reformu ietvaros ir izlietoti 143,60% no šim periodam paredzētā finansējuma. Turpinoties pacientu skaita pieaugumam, kā arī ņemot vērā to, ka 6 mēnešos terapiju uzsākušie pacienti pārsvarā turpinās terapiju arī nākamajos mēnešos, lai nodrošinātu kompensējamo medikamentu pieejamību saglabājoties 2018.gada 6 mēnešu izpildes tempiem, līdz 2018.gada beigām papildus </w:t>
      </w:r>
      <w:r w:rsidR="004B3EBC" w:rsidRPr="007B010A">
        <w:t>tika piešķirti</w:t>
      </w:r>
      <w:r w:rsidRPr="007B010A">
        <w:t xml:space="preserve"> 1 501 025 </w:t>
      </w:r>
      <w:proofErr w:type="spellStart"/>
      <w:r w:rsidRPr="007B010A">
        <w:rPr>
          <w:i/>
        </w:rPr>
        <w:t>euro</w:t>
      </w:r>
      <w:proofErr w:type="spellEnd"/>
      <w:r w:rsidRPr="007B010A">
        <w:t>, kurus Veselības ministrija novirzī</w:t>
      </w:r>
      <w:r w:rsidR="004B3EBC" w:rsidRPr="007B010A">
        <w:t>ja</w:t>
      </w:r>
      <w:r w:rsidRPr="007B010A">
        <w:t xml:space="preserve"> no 2018.gadam plānotās līdzekļu ekonomijas hronisko pacientu aprūpei, atbilstoši Ministru kabineta 2018.gada 28.augusta sēdes protokola Nr.40 30§ </w:t>
      </w:r>
      <w:r w:rsidRPr="007B010A">
        <w:rPr>
          <w:shd w:val="clear" w:color="auto" w:fill="FFFFFF"/>
        </w:rPr>
        <w:t>3.1.1.1.</w:t>
      </w:r>
      <w:r w:rsidRPr="007B010A">
        <w:rPr>
          <w:sz w:val="19"/>
          <w:szCs w:val="19"/>
          <w:shd w:val="clear" w:color="auto" w:fill="FFFFFF"/>
        </w:rPr>
        <w:t xml:space="preserve"> </w:t>
      </w:r>
      <w:r w:rsidRPr="007B010A">
        <w:t xml:space="preserve">apakšpunktā noteiktajam, ka 1 501 025 </w:t>
      </w:r>
      <w:proofErr w:type="spellStart"/>
      <w:r w:rsidRPr="007B010A">
        <w:rPr>
          <w:i/>
        </w:rPr>
        <w:t>euro</w:t>
      </w:r>
      <w:proofErr w:type="spellEnd"/>
      <w:r w:rsidRPr="007B010A">
        <w:rPr>
          <w:shd w:val="clear" w:color="auto" w:fill="FFFFFF"/>
        </w:rPr>
        <w:t xml:space="preserve"> apmērā apakšprogrammā 33.18.00 </w:t>
      </w:r>
      <w:r w:rsidR="00041147">
        <w:rPr>
          <w:shd w:val="clear" w:color="auto" w:fill="FFFFFF"/>
        </w:rPr>
        <w:t>“</w:t>
      </w:r>
      <w:r w:rsidRPr="007B010A">
        <w:rPr>
          <w:shd w:val="clear" w:color="auto" w:fill="FFFFFF"/>
        </w:rPr>
        <w:t>Plānveida stacionāro veselības aprūpes pakalpojumu nodrošināšana</w:t>
      </w:r>
      <w:r w:rsidR="00041147">
        <w:rPr>
          <w:shd w:val="clear" w:color="auto" w:fill="FFFFFF"/>
        </w:rPr>
        <w:t>”</w:t>
      </w:r>
      <w:r w:rsidRPr="007B010A">
        <w:rPr>
          <w:shd w:val="clear" w:color="auto" w:fill="FFFFFF"/>
        </w:rPr>
        <w:t xml:space="preserve"> samazinot dotāciju no vispārējiem ieņēmumiem un izdevumus subsīdijām un dotācijām hronisko pacientu veselības aprūpes pakalpojumu pieejamībai,  lai Eiropas Komisijas pieļautās budžeta deficīta veselības aprūpes reformas ietvaros nodrošinātu medikamentu pieejamību onkoloģiskajiem pacientiem</w:t>
      </w:r>
      <w:r w:rsidR="004B3EBC" w:rsidRPr="007B010A">
        <w:rPr>
          <w:shd w:val="clear" w:color="auto" w:fill="FFFFFF"/>
        </w:rPr>
        <w:t>.</w:t>
      </w:r>
    </w:p>
    <w:p w14:paraId="043ECD5A" w14:textId="77777777" w:rsidR="00D923AA" w:rsidRPr="007B010A" w:rsidRDefault="00D923AA" w:rsidP="00D923AA">
      <w:pPr>
        <w:ind w:firstLine="720"/>
        <w:jc w:val="both"/>
      </w:pPr>
      <w:r w:rsidRPr="007B010A">
        <w:t xml:space="preserve">2018.gadā plānots kompensējamo medikamentu pieaugums 6,09 tūkst. onkoloģijas pacientu, kas uzsākuši terapijas saņemšanu 2017. un 2018.gadā. </w:t>
      </w:r>
    </w:p>
    <w:p w14:paraId="7858B1B6" w14:textId="7A33B3B4" w:rsidR="00D923AA" w:rsidRPr="007B010A" w:rsidRDefault="00D923AA" w:rsidP="00D923AA">
      <w:pPr>
        <w:jc w:val="right"/>
        <w:rPr>
          <w:i/>
        </w:rPr>
      </w:pPr>
      <w:r w:rsidRPr="007B010A">
        <w:rPr>
          <w:i/>
        </w:rPr>
        <w:t>1</w:t>
      </w:r>
      <w:r w:rsidR="00AF0BE2" w:rsidRPr="007B010A">
        <w:rPr>
          <w:i/>
        </w:rPr>
        <w:t>9</w:t>
      </w:r>
      <w:r w:rsidRPr="007B010A">
        <w:rPr>
          <w:i/>
        </w:rPr>
        <w:t xml:space="preserve">.tabula </w:t>
      </w:r>
    </w:p>
    <w:p w14:paraId="7DA67FE9" w14:textId="3A98E347" w:rsidR="00D923AA" w:rsidRPr="007B010A" w:rsidRDefault="00D923AA" w:rsidP="00D923AA">
      <w:pPr>
        <w:jc w:val="center"/>
      </w:pPr>
      <w:r w:rsidRPr="007B010A">
        <w:t>Kompensējamo medikamentu 2018.gada izpilde</w:t>
      </w:r>
    </w:p>
    <w:p w14:paraId="778603F4" w14:textId="77777777" w:rsidR="00D923AA" w:rsidRPr="007B010A" w:rsidRDefault="00D923AA" w:rsidP="00D923AA">
      <w:pPr>
        <w:jc w:val="cente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1276"/>
        <w:gridCol w:w="1329"/>
        <w:gridCol w:w="1296"/>
        <w:gridCol w:w="1397"/>
        <w:gridCol w:w="1417"/>
        <w:gridCol w:w="1418"/>
      </w:tblGrid>
      <w:tr w:rsidR="00D923AA" w:rsidRPr="007B010A" w14:paraId="2A9E791E" w14:textId="77777777" w:rsidTr="00376CF0">
        <w:trPr>
          <w:trHeight w:val="600"/>
          <w:jc w:val="center"/>
        </w:trPr>
        <w:tc>
          <w:tcPr>
            <w:tcW w:w="1785" w:type="dxa"/>
            <w:vMerge w:val="restart"/>
            <w:shd w:val="clear" w:color="000000" w:fill="FCE4D6"/>
            <w:vAlign w:val="center"/>
            <w:hideMark/>
          </w:tcPr>
          <w:p w14:paraId="6B52A0A6" w14:textId="77777777" w:rsidR="00D923AA" w:rsidRPr="007B010A" w:rsidRDefault="00D923AA" w:rsidP="00376CF0">
            <w:pPr>
              <w:jc w:val="center"/>
              <w:rPr>
                <w:b/>
                <w:bCs/>
                <w:sz w:val="22"/>
                <w:szCs w:val="22"/>
              </w:rPr>
            </w:pPr>
            <w:r w:rsidRPr="007B010A">
              <w:rPr>
                <w:b/>
                <w:bCs/>
                <w:sz w:val="22"/>
                <w:szCs w:val="22"/>
              </w:rPr>
              <w:t>Kompensējamie medikamenti</w:t>
            </w:r>
          </w:p>
        </w:tc>
        <w:tc>
          <w:tcPr>
            <w:tcW w:w="3901" w:type="dxa"/>
            <w:gridSpan w:val="3"/>
            <w:shd w:val="clear" w:color="000000" w:fill="FCE4D6"/>
            <w:vAlign w:val="center"/>
            <w:hideMark/>
          </w:tcPr>
          <w:p w14:paraId="5BE9E7A1" w14:textId="77777777" w:rsidR="00D923AA" w:rsidRPr="007B010A" w:rsidRDefault="00D923AA" w:rsidP="00376CF0">
            <w:pPr>
              <w:jc w:val="center"/>
              <w:rPr>
                <w:sz w:val="22"/>
                <w:szCs w:val="22"/>
              </w:rPr>
            </w:pPr>
            <w:r w:rsidRPr="007B010A">
              <w:rPr>
                <w:sz w:val="22"/>
                <w:szCs w:val="22"/>
              </w:rPr>
              <w:t>Plānotais unikālo  onkoloģisko pacientu apjoms</w:t>
            </w:r>
          </w:p>
        </w:tc>
        <w:tc>
          <w:tcPr>
            <w:tcW w:w="4232" w:type="dxa"/>
            <w:gridSpan w:val="3"/>
            <w:shd w:val="clear" w:color="000000" w:fill="FCE4D6"/>
            <w:vAlign w:val="center"/>
            <w:hideMark/>
          </w:tcPr>
          <w:p w14:paraId="3767F7E9" w14:textId="77777777" w:rsidR="00D923AA" w:rsidRPr="007B010A" w:rsidRDefault="00D923AA" w:rsidP="00376CF0">
            <w:pPr>
              <w:jc w:val="center"/>
              <w:rPr>
                <w:sz w:val="22"/>
                <w:szCs w:val="22"/>
              </w:rPr>
            </w:pPr>
            <w:r w:rsidRPr="007B010A">
              <w:rPr>
                <w:sz w:val="22"/>
                <w:szCs w:val="22"/>
              </w:rPr>
              <w:t>Faktiskā izpilde  unikālo  onkoloģisko  pacientu apjomam</w:t>
            </w:r>
          </w:p>
        </w:tc>
      </w:tr>
      <w:tr w:rsidR="00D923AA" w:rsidRPr="007B010A" w14:paraId="368D4498" w14:textId="77777777" w:rsidTr="00376CF0">
        <w:trPr>
          <w:trHeight w:val="551"/>
          <w:jc w:val="center"/>
        </w:trPr>
        <w:tc>
          <w:tcPr>
            <w:tcW w:w="1785" w:type="dxa"/>
            <w:vMerge/>
            <w:vAlign w:val="center"/>
            <w:hideMark/>
          </w:tcPr>
          <w:p w14:paraId="1C9934B7" w14:textId="77777777" w:rsidR="00D923AA" w:rsidRPr="007B010A" w:rsidRDefault="00D923AA" w:rsidP="00376CF0">
            <w:pPr>
              <w:rPr>
                <w:b/>
                <w:bCs/>
                <w:sz w:val="22"/>
                <w:szCs w:val="22"/>
              </w:rPr>
            </w:pPr>
          </w:p>
        </w:tc>
        <w:tc>
          <w:tcPr>
            <w:tcW w:w="1276" w:type="dxa"/>
            <w:shd w:val="clear" w:color="000000" w:fill="FCE4D6"/>
            <w:vAlign w:val="center"/>
            <w:hideMark/>
          </w:tcPr>
          <w:p w14:paraId="3C880887" w14:textId="1879593B" w:rsidR="00D923AA" w:rsidRPr="007B010A" w:rsidRDefault="00D923AA" w:rsidP="00376CF0">
            <w:pPr>
              <w:jc w:val="center"/>
              <w:rPr>
                <w:sz w:val="22"/>
                <w:szCs w:val="22"/>
              </w:rPr>
            </w:pPr>
            <w:r w:rsidRPr="007B010A">
              <w:rPr>
                <w:sz w:val="22"/>
                <w:szCs w:val="22"/>
              </w:rPr>
              <w:t xml:space="preserve">Plānotais pacientu skaits </w:t>
            </w:r>
            <w:r w:rsidR="00450E12" w:rsidRPr="007B010A">
              <w:rPr>
                <w:sz w:val="22"/>
                <w:szCs w:val="22"/>
              </w:rPr>
              <w:t>2018.</w:t>
            </w:r>
            <w:r w:rsidRPr="007B010A">
              <w:rPr>
                <w:sz w:val="22"/>
                <w:szCs w:val="22"/>
              </w:rPr>
              <w:t>gadā</w:t>
            </w:r>
          </w:p>
        </w:tc>
        <w:tc>
          <w:tcPr>
            <w:tcW w:w="1329" w:type="dxa"/>
            <w:shd w:val="clear" w:color="000000" w:fill="FCE4D6"/>
            <w:vAlign w:val="center"/>
            <w:hideMark/>
          </w:tcPr>
          <w:p w14:paraId="49BBF7C9" w14:textId="77777777" w:rsidR="00D923AA" w:rsidRPr="007B010A" w:rsidRDefault="00D923AA" w:rsidP="00376CF0">
            <w:pPr>
              <w:jc w:val="center"/>
              <w:rPr>
                <w:sz w:val="22"/>
                <w:szCs w:val="22"/>
              </w:rPr>
            </w:pPr>
            <w:r w:rsidRPr="007B010A">
              <w:rPr>
                <w:sz w:val="22"/>
                <w:szCs w:val="22"/>
              </w:rPr>
              <w:t xml:space="preserve">Finansējums  2018.gadā </w:t>
            </w:r>
            <w:proofErr w:type="spellStart"/>
            <w:r w:rsidRPr="007B010A">
              <w:rPr>
                <w:i/>
                <w:iCs/>
                <w:sz w:val="22"/>
                <w:szCs w:val="22"/>
              </w:rPr>
              <w:t>euro</w:t>
            </w:r>
            <w:proofErr w:type="spellEnd"/>
          </w:p>
        </w:tc>
        <w:tc>
          <w:tcPr>
            <w:tcW w:w="1296" w:type="dxa"/>
            <w:shd w:val="clear" w:color="000000" w:fill="FCE4D6"/>
            <w:vAlign w:val="center"/>
            <w:hideMark/>
          </w:tcPr>
          <w:p w14:paraId="4B1DC491" w14:textId="77777777" w:rsidR="00D923AA" w:rsidRPr="007B010A" w:rsidRDefault="00D923AA" w:rsidP="00376CF0">
            <w:pPr>
              <w:jc w:val="center"/>
              <w:rPr>
                <w:sz w:val="22"/>
                <w:szCs w:val="22"/>
              </w:rPr>
            </w:pPr>
            <w:r w:rsidRPr="007B010A">
              <w:rPr>
                <w:sz w:val="22"/>
                <w:szCs w:val="22"/>
              </w:rPr>
              <w:t xml:space="preserve">Vidējā izmaksa 2018.gadā </w:t>
            </w:r>
            <w:proofErr w:type="spellStart"/>
            <w:r w:rsidRPr="007B010A">
              <w:rPr>
                <w:i/>
                <w:iCs/>
                <w:sz w:val="22"/>
                <w:szCs w:val="22"/>
              </w:rPr>
              <w:t>euro</w:t>
            </w:r>
            <w:proofErr w:type="spellEnd"/>
          </w:p>
        </w:tc>
        <w:tc>
          <w:tcPr>
            <w:tcW w:w="1397" w:type="dxa"/>
            <w:shd w:val="clear" w:color="000000" w:fill="FCE4D6"/>
            <w:vAlign w:val="center"/>
            <w:hideMark/>
          </w:tcPr>
          <w:p w14:paraId="500AD3C1" w14:textId="1653FC5A" w:rsidR="00D923AA" w:rsidRPr="007B010A" w:rsidRDefault="00D923AA" w:rsidP="00376CF0">
            <w:pPr>
              <w:jc w:val="center"/>
              <w:rPr>
                <w:sz w:val="22"/>
                <w:szCs w:val="22"/>
              </w:rPr>
            </w:pPr>
            <w:r w:rsidRPr="007B010A">
              <w:rPr>
                <w:sz w:val="22"/>
                <w:szCs w:val="22"/>
              </w:rPr>
              <w:t>Pacientu skaita pieaugums 2018.gadā</w:t>
            </w:r>
          </w:p>
        </w:tc>
        <w:tc>
          <w:tcPr>
            <w:tcW w:w="1417" w:type="dxa"/>
            <w:shd w:val="clear" w:color="000000" w:fill="FCE4D6"/>
            <w:vAlign w:val="center"/>
            <w:hideMark/>
          </w:tcPr>
          <w:p w14:paraId="4A6A6E3A" w14:textId="2F04CF34" w:rsidR="00D923AA" w:rsidRPr="007B010A" w:rsidRDefault="00D923AA" w:rsidP="00376CF0">
            <w:pPr>
              <w:jc w:val="center"/>
              <w:rPr>
                <w:i/>
                <w:sz w:val="22"/>
                <w:szCs w:val="22"/>
              </w:rPr>
            </w:pPr>
            <w:r w:rsidRPr="007B010A">
              <w:rPr>
                <w:sz w:val="22"/>
                <w:szCs w:val="22"/>
              </w:rPr>
              <w:t>Finansējums 2018.gadā</w:t>
            </w:r>
            <w:r w:rsidR="00450E12" w:rsidRPr="007B010A">
              <w:rPr>
                <w:sz w:val="22"/>
                <w:szCs w:val="22"/>
              </w:rPr>
              <w:t xml:space="preserve"> </w:t>
            </w:r>
            <w:proofErr w:type="spellStart"/>
            <w:r w:rsidR="00450E12" w:rsidRPr="007B010A">
              <w:rPr>
                <w:i/>
                <w:sz w:val="22"/>
                <w:szCs w:val="22"/>
              </w:rPr>
              <w:t>euro</w:t>
            </w:r>
            <w:proofErr w:type="spellEnd"/>
          </w:p>
        </w:tc>
        <w:tc>
          <w:tcPr>
            <w:tcW w:w="1418" w:type="dxa"/>
            <w:shd w:val="clear" w:color="000000" w:fill="FCE4D6"/>
            <w:vAlign w:val="center"/>
            <w:hideMark/>
          </w:tcPr>
          <w:p w14:paraId="70137C1C" w14:textId="668DD4CE" w:rsidR="00D923AA" w:rsidRPr="007B010A" w:rsidRDefault="00D923AA" w:rsidP="00376CF0">
            <w:pPr>
              <w:jc w:val="center"/>
              <w:rPr>
                <w:sz w:val="22"/>
                <w:szCs w:val="22"/>
              </w:rPr>
            </w:pPr>
            <w:r w:rsidRPr="007B010A">
              <w:rPr>
                <w:sz w:val="22"/>
                <w:szCs w:val="22"/>
              </w:rPr>
              <w:t>Vidējā izmaksa 2018.gadā</w:t>
            </w:r>
          </w:p>
        </w:tc>
      </w:tr>
      <w:tr w:rsidR="00D923AA" w:rsidRPr="007B010A" w14:paraId="351DD9DE" w14:textId="77777777" w:rsidTr="00376CF0">
        <w:trPr>
          <w:trHeight w:val="915"/>
          <w:jc w:val="center"/>
        </w:trPr>
        <w:tc>
          <w:tcPr>
            <w:tcW w:w="1785" w:type="dxa"/>
            <w:shd w:val="clear" w:color="auto" w:fill="auto"/>
            <w:vAlign w:val="center"/>
            <w:hideMark/>
          </w:tcPr>
          <w:p w14:paraId="648D4FF6" w14:textId="77777777" w:rsidR="00D923AA" w:rsidRPr="007B010A" w:rsidRDefault="00D923AA" w:rsidP="00376CF0">
            <w:pPr>
              <w:jc w:val="center"/>
              <w:rPr>
                <w:sz w:val="22"/>
                <w:szCs w:val="22"/>
              </w:rPr>
            </w:pPr>
            <w:r w:rsidRPr="007B010A">
              <w:rPr>
                <w:sz w:val="22"/>
                <w:szCs w:val="22"/>
              </w:rPr>
              <w:t>Onkoloģiskie pacienti atbilstoši noteiktajiem algoritmiem</w:t>
            </w:r>
          </w:p>
        </w:tc>
        <w:tc>
          <w:tcPr>
            <w:tcW w:w="1276" w:type="dxa"/>
            <w:shd w:val="clear" w:color="auto" w:fill="auto"/>
            <w:noWrap/>
            <w:vAlign w:val="center"/>
            <w:hideMark/>
          </w:tcPr>
          <w:p w14:paraId="1C417AEB" w14:textId="77777777" w:rsidR="00D923AA" w:rsidRPr="007B010A" w:rsidRDefault="00D923AA" w:rsidP="00376CF0">
            <w:pPr>
              <w:jc w:val="center"/>
              <w:rPr>
                <w:sz w:val="22"/>
                <w:szCs w:val="22"/>
              </w:rPr>
            </w:pPr>
            <w:r w:rsidRPr="007B010A">
              <w:rPr>
                <w:sz w:val="22"/>
                <w:szCs w:val="22"/>
              </w:rPr>
              <w:t>6 094</w:t>
            </w:r>
          </w:p>
        </w:tc>
        <w:tc>
          <w:tcPr>
            <w:tcW w:w="1329" w:type="dxa"/>
            <w:shd w:val="clear" w:color="auto" w:fill="auto"/>
            <w:noWrap/>
            <w:vAlign w:val="center"/>
            <w:hideMark/>
          </w:tcPr>
          <w:p w14:paraId="17154817" w14:textId="39FD5258" w:rsidR="00D923AA" w:rsidRPr="007B010A" w:rsidRDefault="00D923AA" w:rsidP="00376CF0">
            <w:pPr>
              <w:jc w:val="center"/>
              <w:rPr>
                <w:sz w:val="22"/>
                <w:szCs w:val="22"/>
              </w:rPr>
            </w:pPr>
            <w:r w:rsidRPr="007B010A">
              <w:rPr>
                <w:sz w:val="22"/>
                <w:szCs w:val="22"/>
              </w:rPr>
              <w:t>1</w:t>
            </w:r>
            <w:r w:rsidR="00547C2B" w:rsidRPr="007B010A">
              <w:rPr>
                <w:sz w:val="22"/>
                <w:szCs w:val="22"/>
              </w:rPr>
              <w:t>2</w:t>
            </w:r>
            <w:r w:rsidRPr="007B010A">
              <w:rPr>
                <w:sz w:val="22"/>
                <w:szCs w:val="22"/>
              </w:rPr>
              <w:t> </w:t>
            </w:r>
            <w:r w:rsidR="00547C2B" w:rsidRPr="007B010A">
              <w:rPr>
                <w:sz w:val="22"/>
                <w:szCs w:val="22"/>
              </w:rPr>
              <w:t>709</w:t>
            </w:r>
            <w:r w:rsidRPr="007B010A">
              <w:rPr>
                <w:sz w:val="22"/>
                <w:szCs w:val="22"/>
              </w:rPr>
              <w:t xml:space="preserve"> 1</w:t>
            </w:r>
            <w:r w:rsidR="00547C2B" w:rsidRPr="007B010A">
              <w:rPr>
                <w:sz w:val="22"/>
                <w:szCs w:val="22"/>
              </w:rPr>
              <w:t>64</w:t>
            </w:r>
          </w:p>
        </w:tc>
        <w:tc>
          <w:tcPr>
            <w:tcW w:w="1296" w:type="dxa"/>
            <w:shd w:val="clear" w:color="auto" w:fill="auto"/>
            <w:noWrap/>
            <w:vAlign w:val="center"/>
            <w:hideMark/>
          </w:tcPr>
          <w:p w14:paraId="267B4F1B" w14:textId="301F1D24" w:rsidR="00D923AA" w:rsidRPr="007B010A" w:rsidRDefault="008C6A06" w:rsidP="00376CF0">
            <w:pPr>
              <w:jc w:val="center"/>
              <w:rPr>
                <w:sz w:val="22"/>
                <w:szCs w:val="22"/>
              </w:rPr>
            </w:pPr>
            <w:r w:rsidRPr="007B010A">
              <w:rPr>
                <w:sz w:val="22"/>
                <w:szCs w:val="22"/>
              </w:rPr>
              <w:t>2</w:t>
            </w:r>
            <w:r w:rsidR="00C34E72">
              <w:rPr>
                <w:sz w:val="22"/>
                <w:szCs w:val="22"/>
              </w:rPr>
              <w:t> </w:t>
            </w:r>
            <w:r w:rsidRPr="007B010A">
              <w:rPr>
                <w:sz w:val="22"/>
                <w:szCs w:val="22"/>
              </w:rPr>
              <w:t>085,52</w:t>
            </w:r>
          </w:p>
        </w:tc>
        <w:tc>
          <w:tcPr>
            <w:tcW w:w="1397" w:type="dxa"/>
            <w:shd w:val="clear" w:color="auto" w:fill="auto"/>
            <w:noWrap/>
            <w:vAlign w:val="center"/>
            <w:hideMark/>
          </w:tcPr>
          <w:p w14:paraId="639693DA" w14:textId="35CED6B8" w:rsidR="00D923AA" w:rsidRPr="007B010A" w:rsidRDefault="00034E46" w:rsidP="00376CF0">
            <w:pPr>
              <w:jc w:val="center"/>
              <w:rPr>
                <w:sz w:val="22"/>
                <w:szCs w:val="22"/>
              </w:rPr>
            </w:pPr>
            <w:r w:rsidRPr="007B010A">
              <w:rPr>
                <w:sz w:val="22"/>
                <w:szCs w:val="22"/>
              </w:rPr>
              <w:t xml:space="preserve">7 </w:t>
            </w:r>
            <w:r w:rsidR="005F1924" w:rsidRPr="007B010A">
              <w:rPr>
                <w:sz w:val="22"/>
                <w:szCs w:val="22"/>
              </w:rPr>
              <w:t>275</w:t>
            </w:r>
          </w:p>
        </w:tc>
        <w:tc>
          <w:tcPr>
            <w:tcW w:w="1417" w:type="dxa"/>
            <w:shd w:val="clear" w:color="auto" w:fill="auto"/>
            <w:noWrap/>
            <w:vAlign w:val="center"/>
            <w:hideMark/>
          </w:tcPr>
          <w:p w14:paraId="22B2F241" w14:textId="5B102549" w:rsidR="00D923AA" w:rsidRPr="007B010A" w:rsidRDefault="00E22716" w:rsidP="00376CF0">
            <w:pPr>
              <w:jc w:val="center"/>
              <w:rPr>
                <w:sz w:val="22"/>
                <w:szCs w:val="22"/>
              </w:rPr>
            </w:pPr>
            <w:r w:rsidRPr="007B010A">
              <w:rPr>
                <w:sz w:val="22"/>
                <w:szCs w:val="22"/>
              </w:rPr>
              <w:t>13 478 477</w:t>
            </w:r>
          </w:p>
        </w:tc>
        <w:tc>
          <w:tcPr>
            <w:tcW w:w="1418" w:type="dxa"/>
            <w:shd w:val="clear" w:color="auto" w:fill="auto"/>
            <w:noWrap/>
            <w:vAlign w:val="center"/>
            <w:hideMark/>
          </w:tcPr>
          <w:p w14:paraId="46047C35" w14:textId="04CC7B27" w:rsidR="00D923AA" w:rsidRPr="007B010A" w:rsidRDefault="00CD6202" w:rsidP="00376CF0">
            <w:pPr>
              <w:jc w:val="center"/>
              <w:rPr>
                <w:sz w:val="22"/>
                <w:szCs w:val="22"/>
              </w:rPr>
            </w:pPr>
            <w:r w:rsidRPr="007B010A">
              <w:rPr>
                <w:sz w:val="22"/>
                <w:szCs w:val="22"/>
              </w:rPr>
              <w:t xml:space="preserve">1 </w:t>
            </w:r>
            <w:r w:rsidR="003D783B" w:rsidRPr="007B010A">
              <w:rPr>
                <w:sz w:val="22"/>
                <w:szCs w:val="22"/>
              </w:rPr>
              <w:t>8</w:t>
            </w:r>
            <w:r w:rsidR="005F1924" w:rsidRPr="007B010A">
              <w:rPr>
                <w:sz w:val="22"/>
                <w:szCs w:val="22"/>
              </w:rPr>
              <w:t>52</w:t>
            </w:r>
            <w:r w:rsidRPr="007B010A">
              <w:rPr>
                <w:sz w:val="22"/>
                <w:szCs w:val="22"/>
              </w:rPr>
              <w:t>,</w:t>
            </w:r>
            <w:r w:rsidR="005F1924" w:rsidRPr="007B010A">
              <w:rPr>
                <w:sz w:val="22"/>
                <w:szCs w:val="22"/>
              </w:rPr>
              <w:t>71</w:t>
            </w:r>
          </w:p>
        </w:tc>
      </w:tr>
    </w:tbl>
    <w:p w14:paraId="553BE09B" w14:textId="77777777" w:rsidR="00D923AA" w:rsidRPr="007B010A" w:rsidRDefault="00D923AA" w:rsidP="00D923AA">
      <w:pPr>
        <w:jc w:val="both"/>
      </w:pPr>
      <w:r w:rsidRPr="007B010A">
        <w:rPr>
          <w:i/>
          <w:sz w:val="20"/>
          <w:szCs w:val="20"/>
        </w:rPr>
        <w:t>Avots: NVD</w:t>
      </w:r>
    </w:p>
    <w:p w14:paraId="752474AB" w14:textId="77777777" w:rsidR="00D923AA" w:rsidRPr="007B010A" w:rsidRDefault="00D923AA" w:rsidP="00D923AA">
      <w:pPr>
        <w:ind w:firstLine="720"/>
        <w:jc w:val="both"/>
      </w:pPr>
    </w:p>
    <w:p w14:paraId="129CC693" w14:textId="34ADC598" w:rsidR="00D923AA" w:rsidRPr="007B010A" w:rsidRDefault="00D923AA" w:rsidP="00D923AA">
      <w:pPr>
        <w:ind w:firstLine="720"/>
        <w:jc w:val="both"/>
      </w:pPr>
      <w:r w:rsidRPr="007B010A">
        <w:t>Atbilstoši 2018.gada faktiskajai izpildei vidējās kompensējamo medikamentu izmaksas unikālo onkoloģisko pacientu atbilstoši noteiktajiem algoritmiem pie</w:t>
      </w:r>
      <w:r w:rsidR="007F6FDD" w:rsidRPr="007B010A">
        <w:t xml:space="preserve">augumam īstenotas </w:t>
      </w:r>
      <w:r w:rsidR="00497AAF" w:rsidRPr="007B010A">
        <w:t>88,84</w:t>
      </w:r>
      <w:r w:rsidR="007F6FDD" w:rsidRPr="007B010A">
        <w:t>%</w:t>
      </w:r>
      <w:r w:rsidRPr="007B010A">
        <w:t xml:space="preserve"> apmērā no gada plānoto vidējo izmaksu apjoma. Ņemot vērā to, ka </w:t>
      </w:r>
      <w:r w:rsidR="007F6FDD" w:rsidRPr="007B010A">
        <w:t>2017.gad</w:t>
      </w:r>
      <w:r w:rsidRPr="007B010A">
        <w:t xml:space="preserve">ā terapiju uzsākušie pacienti turpināja terapiju arī </w:t>
      </w:r>
      <w:r w:rsidR="007F6FDD" w:rsidRPr="007B010A">
        <w:t>201</w:t>
      </w:r>
      <w:r w:rsidR="00F14EB2" w:rsidRPr="007B010A">
        <w:t>8</w:t>
      </w:r>
      <w:r w:rsidR="007F6FDD" w:rsidRPr="007B010A">
        <w:t>.gad</w:t>
      </w:r>
      <w:r w:rsidRPr="007B010A">
        <w:t>ā, papildus tam nāca klāt jauni pacienti</w:t>
      </w:r>
      <w:r w:rsidR="007F6FDD" w:rsidRPr="007B010A">
        <w:t xml:space="preserve"> 2018.gadā</w:t>
      </w:r>
      <w:r w:rsidRPr="007B010A">
        <w:t>,</w:t>
      </w:r>
      <w:r w:rsidR="005F1924" w:rsidRPr="007B010A">
        <w:t xml:space="preserve"> kā arī papildus</w:t>
      </w:r>
      <w:r w:rsidR="00E26690" w:rsidRPr="007B010A">
        <w:t xml:space="preserve"> tika</w:t>
      </w:r>
      <w:r w:rsidR="005F1924" w:rsidRPr="007B010A">
        <w:t xml:space="preserve"> piešķirts finansējums</w:t>
      </w:r>
      <w:r w:rsidR="002359B1" w:rsidRPr="007B010A">
        <w:t>, lai nodrošinātu pacientus ar</w:t>
      </w:r>
      <w:r w:rsidR="005F1924" w:rsidRPr="007B010A">
        <w:t xml:space="preserve"> inovatīvajiem medikamentiem, kur vienas pacienta vidējās ārstēšanas izmaksas ir augstākas,</w:t>
      </w:r>
      <w:r w:rsidRPr="007B010A">
        <w:t xml:space="preserve"> tā rezultātā tika realizēts vidējo izmaksu </w:t>
      </w:r>
      <w:r w:rsidR="00497AAF" w:rsidRPr="007B010A">
        <w:t xml:space="preserve">samazinājums </w:t>
      </w:r>
      <w:r w:rsidRPr="007B010A">
        <w:t xml:space="preserve">no gadā sākumā plānotā apmēra. </w:t>
      </w:r>
    </w:p>
    <w:p w14:paraId="237AB205" w14:textId="3BE2483E" w:rsidR="00D923AA" w:rsidRPr="007B010A" w:rsidRDefault="00D923AA" w:rsidP="00D923AA">
      <w:pPr>
        <w:ind w:firstLine="720"/>
        <w:jc w:val="both"/>
      </w:pPr>
      <w:r w:rsidRPr="007B010A">
        <w:rPr>
          <w:bCs/>
          <w:kern w:val="1"/>
          <w:lang w:eastAsia="ar-SA"/>
        </w:rPr>
        <w:t xml:space="preserve">Saskaņā ar informatīvo ziņojumu par pārdali un </w:t>
      </w:r>
      <w:r w:rsidR="007F6FDD" w:rsidRPr="007B010A">
        <w:rPr>
          <w:bCs/>
          <w:kern w:val="1"/>
          <w:lang w:eastAsia="ar-SA"/>
        </w:rPr>
        <w:t>Konceptuālā</w:t>
      </w:r>
      <w:r w:rsidRPr="007B010A">
        <w:rPr>
          <w:bCs/>
          <w:kern w:val="1"/>
          <w:lang w:eastAsia="ar-SA"/>
        </w:rPr>
        <w:t xml:space="preserve"> ziņojuma mērķi mazināt nevienlīdzību zāļu pieejamībā, līdz ar to mazinot invaliditātes, priekšlaicīgas mirstības risku un </w:t>
      </w:r>
      <w:r w:rsidRPr="007B010A">
        <w:rPr>
          <w:bCs/>
          <w:kern w:val="1"/>
          <w:lang w:eastAsia="ar-SA"/>
        </w:rPr>
        <w:lastRenderedPageBreak/>
        <w:t xml:space="preserve">uzlabojot onkoloģisko pacientu dzīvildzi, kā viena no </w:t>
      </w:r>
      <w:r w:rsidRPr="007B010A">
        <w:t>onkoloģijas jomas reformu sastāvdaļām tika izvirzīta medikamentu pieejamības uzlabošana. Lai to īstenotu, Reformu ziņojumā tika paredzēts, ka kopā ar 2017.gad</w:t>
      </w:r>
      <w:r w:rsidR="005A5D65" w:rsidRPr="007B010A">
        <w:t>ā uzsākto reformu onkoloģijas “Z</w:t>
      </w:r>
      <w:r w:rsidRPr="007B010A">
        <w:t>aļ</w:t>
      </w:r>
      <w:r w:rsidR="005A5D65" w:rsidRPr="007B010A">
        <w:t>aj</w:t>
      </w:r>
      <w:r w:rsidRPr="007B010A">
        <w:t xml:space="preserve">ā koridora” ieviešanā un ārstniecības pieejamības uzlabošanā, papildus medikamenti tiks nodrošināti 6 094 onkoloģiskiem pacientiem, nodrošinot būtisku medikamentu pieejamības uzlabošanos. Tajā skaitā tiks nodrošināta inovatīvo medikamentu terapijas uzsākšana 300 pacientiem. </w:t>
      </w:r>
    </w:p>
    <w:p w14:paraId="2B5388BC" w14:textId="77A7074E" w:rsidR="00D923AA" w:rsidRPr="007B010A" w:rsidRDefault="00D923AA" w:rsidP="002F6B01">
      <w:pPr>
        <w:ind w:firstLine="720"/>
        <w:jc w:val="both"/>
      </w:pPr>
      <w:r w:rsidRPr="007B010A">
        <w:t>Atbilstoši 2018.gad</w:t>
      </w:r>
      <w:r w:rsidR="00A661C2" w:rsidRPr="007B010A">
        <w:t>a</w:t>
      </w:r>
      <w:r w:rsidRPr="007B010A">
        <w:t xml:space="preserve"> faktiskajai izpildei no šim mērķim Reformu ziņojumā plānotajiem pasākumiem paredzētajiem līdzekļiem Eiropas Komisijas pieļautās budžeta </w:t>
      </w:r>
      <w:r w:rsidR="007F6FDD" w:rsidRPr="007B010A">
        <w:t xml:space="preserve">deficīta </w:t>
      </w:r>
      <w:r w:rsidRPr="007B010A">
        <w:t xml:space="preserve">atkāpes ietvaros kompensējamie medikamenti tika nodrošināti </w:t>
      </w:r>
      <w:r w:rsidR="00FC1EBF" w:rsidRPr="007B010A">
        <w:t>7</w:t>
      </w:r>
      <w:r w:rsidR="00E734C1" w:rsidRPr="007B010A">
        <w:t> </w:t>
      </w:r>
      <w:r w:rsidR="00FC1EBF" w:rsidRPr="007B010A">
        <w:t>275</w:t>
      </w:r>
      <w:r w:rsidRPr="007B010A">
        <w:t xml:space="preserve"> onkoloģiskiem pacientiem, no kuriem </w:t>
      </w:r>
      <w:r w:rsidR="00097058" w:rsidRPr="007B010A">
        <w:t>4</w:t>
      </w:r>
      <w:r w:rsidR="00E734C1" w:rsidRPr="007B010A">
        <w:t> </w:t>
      </w:r>
      <w:r w:rsidR="00FC1EBF" w:rsidRPr="007B010A">
        <w:t>119</w:t>
      </w:r>
      <w:r w:rsidRPr="007B010A">
        <w:t xml:space="preserve"> ir “Zaļ</w:t>
      </w:r>
      <w:r w:rsidR="005A5D65" w:rsidRPr="007B010A">
        <w:t>aj</w:t>
      </w:r>
      <w:r w:rsidRPr="007B010A">
        <w:t>ā koridor</w:t>
      </w:r>
      <w:r w:rsidR="005A5D65" w:rsidRPr="007B010A">
        <w:t>ā</w:t>
      </w:r>
      <w:r w:rsidRPr="007B010A">
        <w:t xml:space="preserve">” 2018.gada pirmreizējie pacienti, </w:t>
      </w:r>
      <w:r w:rsidR="0036765D" w:rsidRPr="007B010A">
        <w:t xml:space="preserve">105 </w:t>
      </w:r>
      <w:r w:rsidRPr="007B010A">
        <w:t xml:space="preserve">individuālie pacienti un </w:t>
      </w:r>
      <w:r w:rsidR="00205EBB" w:rsidRPr="007B010A">
        <w:t>4</w:t>
      </w:r>
      <w:r w:rsidR="00FC1EBF" w:rsidRPr="007B010A">
        <w:t>82</w:t>
      </w:r>
      <w:r w:rsidR="00205EBB" w:rsidRPr="007B010A">
        <w:t xml:space="preserve"> </w:t>
      </w:r>
      <w:r w:rsidRPr="007B010A">
        <w:t>pacienti, kas saņem inovatīvus medikamentus.</w:t>
      </w:r>
      <w:r w:rsidR="009D0A6E" w:rsidRPr="007B010A">
        <w:t xml:space="preserve"> </w:t>
      </w:r>
      <w:r w:rsidRPr="007B010A">
        <w:t>Līdz ar to nepieciešams turpināt onkoloģijas jomas reformas, papildus turpmākajos periodos uzlabojot diagnostiku, padarot to kvalitatīvāku, precīzāku un ātrāku, vēl vairāk samazinot izmaksas, kas saistītas ar pacienta atrašanos ārstniecības iestādēs un nodrošinot personalizētu, mērķētu ārstēšanu, samazinot arī tiešās ārstēšanas izmaksas.</w:t>
      </w:r>
    </w:p>
    <w:p w14:paraId="3EB15868" w14:textId="77777777" w:rsidR="00D923AA" w:rsidRPr="007B010A" w:rsidRDefault="00D923AA" w:rsidP="00D923AA">
      <w:pPr>
        <w:autoSpaceDE w:val="0"/>
        <w:autoSpaceDN w:val="0"/>
        <w:adjustRightInd w:val="0"/>
        <w:spacing w:line="293" w:lineRule="atLeast"/>
        <w:jc w:val="center"/>
        <w:rPr>
          <w:u w:val="single"/>
        </w:rPr>
      </w:pPr>
    </w:p>
    <w:p w14:paraId="34996BE4" w14:textId="77777777" w:rsidR="00D923AA" w:rsidRPr="007B010A" w:rsidRDefault="00D923AA" w:rsidP="00D923AA">
      <w:pPr>
        <w:autoSpaceDE w:val="0"/>
        <w:autoSpaceDN w:val="0"/>
        <w:adjustRightInd w:val="0"/>
        <w:spacing w:line="293" w:lineRule="atLeast"/>
        <w:jc w:val="center"/>
        <w:rPr>
          <w:u w:val="single"/>
        </w:rPr>
      </w:pPr>
      <w:r w:rsidRPr="007B010A">
        <w:rPr>
          <w:u w:val="single"/>
        </w:rPr>
        <w:t>Pozitronu emisijas tomogrāfija/datortomogrāfija</w:t>
      </w:r>
    </w:p>
    <w:p w14:paraId="7CCCE90F" w14:textId="77777777" w:rsidR="00D923AA" w:rsidRPr="007B010A" w:rsidRDefault="00D923AA" w:rsidP="00D923AA">
      <w:pPr>
        <w:autoSpaceDE w:val="0"/>
        <w:autoSpaceDN w:val="0"/>
        <w:adjustRightInd w:val="0"/>
        <w:spacing w:line="293" w:lineRule="atLeast"/>
        <w:jc w:val="both"/>
      </w:pPr>
    </w:p>
    <w:p w14:paraId="5C15DF7B" w14:textId="16164B13" w:rsidR="00D923AA" w:rsidRPr="007B010A" w:rsidRDefault="00D923AA" w:rsidP="00D923AA">
      <w:pPr>
        <w:ind w:firstLine="720"/>
        <w:jc w:val="both"/>
      </w:pPr>
      <w:r w:rsidRPr="007B010A">
        <w:t xml:space="preserve">Pozitronu emisijas tomogrāfija/datortomogrāfija (turpmāk – PET/DT) Eiropas un pasaules kontekstā ir modernākā  metode (specifiskums, jutīgums) </w:t>
      </w:r>
      <w:r w:rsidR="008D1F64" w:rsidRPr="007B010A">
        <w:t xml:space="preserve">onkoloģiskās slimības izplatības novērtēšanā, kā arī uzsāktās ārstēšanas efektivitātes monitoringā, kā arī slimības recidīvu atklāšanā. </w:t>
      </w:r>
      <w:r w:rsidRPr="007B010A">
        <w:t xml:space="preserve">PET/DT ir </w:t>
      </w:r>
      <w:proofErr w:type="spellStart"/>
      <w:r w:rsidRPr="007B010A">
        <w:t>radioloģisks</w:t>
      </w:r>
      <w:proofErr w:type="spellEnd"/>
      <w:r w:rsidRPr="007B010A">
        <w:t xml:space="preserve"> izmeklējums, izmantojot specifisku radioaktīvo izotopu ievadīšanu, galvenokārt, dažādu orgānu sistēmu ļaundabīgu audzēju diagnostikai, </w:t>
      </w:r>
      <w:proofErr w:type="spellStart"/>
      <w:r w:rsidRPr="007B010A">
        <w:t>diferenciāldiagnostikai</w:t>
      </w:r>
      <w:proofErr w:type="spellEnd"/>
      <w:r w:rsidRPr="007B010A">
        <w:t xml:space="preserve"> un ārstēšanas efektivitātes kontrolei. Izmantojot PET/DT iespējams biežāk konstatēt saslimstību ar vēzi 1.-2.stadijā, iespējama agrīna vēža recidīva un metastāžu konstatēšana. Izmantojot PET/DT, 30-70% gadījumos pēc audzēju atklāšanas tiek mainīta terapijas stratēģija. </w:t>
      </w:r>
    </w:p>
    <w:p w14:paraId="149A1EB6" w14:textId="2C25524B" w:rsidR="00F14BB4" w:rsidRPr="007B010A" w:rsidRDefault="00B660C4" w:rsidP="00F14BB4">
      <w:pPr>
        <w:ind w:firstLine="720"/>
        <w:jc w:val="both"/>
      </w:pPr>
      <w:r w:rsidRPr="007B010A">
        <w:t>2018.gada 1.</w:t>
      </w:r>
      <w:r w:rsidR="000602D5" w:rsidRPr="007B010A">
        <w:t xml:space="preserve">pusgadā tika veikta pakalpojumu sniedzēju atlase, kurā bija definēti noteikti  valsts apmaksāto pakalpojumu sniegšanas nosacījumi. </w:t>
      </w:r>
      <w:r w:rsidR="00477AED" w:rsidRPr="007B010A">
        <w:t xml:space="preserve">Sākot ar 2018.gada 1.jūliju </w:t>
      </w:r>
      <w:r w:rsidR="00F14BB4" w:rsidRPr="007B010A">
        <w:t xml:space="preserve">tika </w:t>
      </w:r>
      <w:r w:rsidR="00477AED" w:rsidRPr="007B010A">
        <w:t xml:space="preserve">uzsākts apmaksāt PET/DT izmeklējumus personām ar aizdomām par ļaundabīgu audzēju, ja tas nepieciešams ārstēšanas taktikas noteikšanai un ja par pakalpojuma nepieciešamību ir lēmis ārstu konsīlijs – ja ir krūts vēzis, plaušu vēzis, resnās un taisnās zarnas vēzis, </w:t>
      </w:r>
      <w:proofErr w:type="spellStart"/>
      <w:r w:rsidR="00477AED" w:rsidRPr="007B010A">
        <w:t>melanoma</w:t>
      </w:r>
      <w:proofErr w:type="spellEnd"/>
      <w:r w:rsidR="00477AED" w:rsidRPr="007B010A">
        <w:t xml:space="preserve">, savukārt no 2018.gada 1.septembra - ar hematologu konsīlija lēmumu – </w:t>
      </w:r>
      <w:proofErr w:type="spellStart"/>
      <w:r w:rsidR="00477AED" w:rsidRPr="007B010A">
        <w:t>limfoīdo</w:t>
      </w:r>
      <w:proofErr w:type="spellEnd"/>
      <w:r w:rsidR="00477AED" w:rsidRPr="007B010A">
        <w:t xml:space="preserve"> audu ļaundabīgo audzēju un </w:t>
      </w:r>
      <w:proofErr w:type="spellStart"/>
      <w:r w:rsidR="00477AED" w:rsidRPr="007B010A">
        <w:t>mielomas</w:t>
      </w:r>
      <w:proofErr w:type="spellEnd"/>
      <w:r w:rsidR="00477AED" w:rsidRPr="007B010A">
        <w:t xml:space="preserve"> </w:t>
      </w:r>
      <w:proofErr w:type="spellStart"/>
      <w:r w:rsidR="00477AED" w:rsidRPr="007B010A">
        <w:t>ekstramedulāras</w:t>
      </w:r>
      <w:proofErr w:type="spellEnd"/>
      <w:r w:rsidR="00477AED" w:rsidRPr="007B010A">
        <w:t xml:space="preserve"> </w:t>
      </w:r>
      <w:proofErr w:type="spellStart"/>
      <w:r w:rsidR="00477AED" w:rsidRPr="007B010A">
        <w:t>diseminācijas</w:t>
      </w:r>
      <w:proofErr w:type="spellEnd"/>
      <w:r w:rsidR="00477AED" w:rsidRPr="007B010A">
        <w:t xml:space="preserve"> gadījumā. Sākot ar 2018.gada 1.septembri PET/DT izmeklējumus apmaksā bērniem ar ļaundabīgiem audzējiem, ja tādu lēmumu ir pieņēmis bērnu </w:t>
      </w:r>
      <w:proofErr w:type="spellStart"/>
      <w:r w:rsidR="00477AED" w:rsidRPr="007B010A">
        <w:t>hematoonkologu</w:t>
      </w:r>
      <w:proofErr w:type="spellEnd"/>
      <w:r w:rsidR="00477AED" w:rsidRPr="007B010A">
        <w:t xml:space="preserve"> konsīlijs</w:t>
      </w:r>
      <w:r w:rsidR="00D923AA" w:rsidRPr="007B010A">
        <w:t>.</w:t>
      </w:r>
    </w:p>
    <w:p w14:paraId="6C7A4808" w14:textId="0982380E" w:rsidR="00447F8F" w:rsidRPr="007B010A" w:rsidRDefault="00447F8F" w:rsidP="00F14BB4">
      <w:pPr>
        <w:ind w:firstLine="720"/>
        <w:jc w:val="both"/>
      </w:pPr>
      <w:r w:rsidRPr="007B010A">
        <w:t xml:space="preserve">Līdz 2018.gada 31.decembrim PET/DT pirmreizēji plānotus izmeklējums ar II un III stadijas audzēju ir saņēmuši 118 pacienti par kopējo summu 128 045 </w:t>
      </w:r>
      <w:proofErr w:type="spellStart"/>
      <w:r w:rsidRPr="007B010A">
        <w:rPr>
          <w:i/>
        </w:rPr>
        <w:t>euro</w:t>
      </w:r>
      <w:proofErr w:type="spellEnd"/>
      <w:r w:rsidRPr="007B010A">
        <w:t>, tas ir 54,38% no plānotā pusgada finansējuma apjoma.</w:t>
      </w:r>
    </w:p>
    <w:p w14:paraId="702463E1" w14:textId="169A6C82" w:rsidR="00447F8F" w:rsidRPr="007B010A" w:rsidRDefault="00447F8F" w:rsidP="00DE16DB">
      <w:pPr>
        <w:pStyle w:val="CommentText"/>
        <w:spacing w:after="0"/>
        <w:ind w:firstLine="720"/>
        <w:jc w:val="both"/>
        <w:rPr>
          <w:rFonts w:ascii="Times New Roman" w:hAnsi="Times New Roman" w:cs="Times New Roman"/>
          <w:sz w:val="24"/>
          <w:szCs w:val="24"/>
        </w:rPr>
      </w:pPr>
      <w:r w:rsidRPr="007B010A">
        <w:rPr>
          <w:rFonts w:ascii="Times New Roman" w:hAnsi="Times New Roman" w:cs="Times New Roman"/>
          <w:sz w:val="24"/>
          <w:szCs w:val="24"/>
        </w:rPr>
        <w:t>Neizpilde PET/CT izmeklējumus, galvenokārt, pamatojas ar to, ka pakalpojums ieviests no 2018.gada 1.jūlija. Kā jebkura jauna pakalpojumu ieviešanai arī šim pakalpojumam iesākumā ārstniecības iestādēm bija novērotas problēmas ar nosūtījumu šī pakalpojumu saņemšanai, vienotu izpratni par kritērijiem tā saņemšanai, kas noteikti savā veidā aizkavēja iesākumā pilnvērtīga apjoma pakalpojuma uzsākšanu.</w:t>
      </w:r>
    </w:p>
    <w:p w14:paraId="055FCA84" w14:textId="507A5CFF" w:rsidR="00447F8F" w:rsidRDefault="00447F8F" w:rsidP="00447F8F">
      <w:pPr>
        <w:ind w:firstLine="720"/>
        <w:jc w:val="both"/>
      </w:pPr>
      <w:r w:rsidRPr="007B010A">
        <w:t>Viena no trīs ārstniecības iestādēm (Medicīnas sabiedrība “ARS”) bija novērotas problēmas ar PET/CT aparāta piegādi un uzstādīšanu, tāpēc šī iestāde šo pakalpojumu nodrošināja tikai no 2018.gada 1.decembra.</w:t>
      </w:r>
    </w:p>
    <w:p w14:paraId="063504E8" w14:textId="3B09FE1D" w:rsidR="00C34E72" w:rsidRDefault="00C34E72" w:rsidP="00447F8F">
      <w:pPr>
        <w:ind w:firstLine="720"/>
        <w:jc w:val="both"/>
      </w:pPr>
    </w:p>
    <w:p w14:paraId="09668378" w14:textId="3CCE3968" w:rsidR="00C34E72" w:rsidRDefault="00C34E72" w:rsidP="00447F8F">
      <w:pPr>
        <w:ind w:firstLine="720"/>
        <w:jc w:val="both"/>
      </w:pPr>
    </w:p>
    <w:p w14:paraId="4E7D2811" w14:textId="77777777" w:rsidR="00C34E72" w:rsidRPr="007B010A" w:rsidRDefault="00C34E72" w:rsidP="00447F8F">
      <w:pPr>
        <w:ind w:firstLine="720"/>
        <w:jc w:val="both"/>
      </w:pPr>
    </w:p>
    <w:p w14:paraId="407D3C4D" w14:textId="77777777" w:rsidR="00477AED" w:rsidRPr="007B010A" w:rsidRDefault="00477AED" w:rsidP="008A27C5">
      <w:pPr>
        <w:autoSpaceDE w:val="0"/>
        <w:autoSpaceDN w:val="0"/>
        <w:adjustRightInd w:val="0"/>
        <w:jc w:val="both"/>
      </w:pPr>
    </w:p>
    <w:p w14:paraId="6AD1C00E" w14:textId="77777777" w:rsidR="00D923AA" w:rsidRPr="007B010A" w:rsidRDefault="00D923AA" w:rsidP="00D923AA">
      <w:pPr>
        <w:shd w:val="clear" w:color="auto" w:fill="FFFFFF"/>
        <w:jc w:val="center"/>
        <w:rPr>
          <w:u w:val="single"/>
        </w:rPr>
      </w:pPr>
      <w:r w:rsidRPr="007B010A">
        <w:rPr>
          <w:u w:val="single"/>
        </w:rPr>
        <w:lastRenderedPageBreak/>
        <w:t>Staru terapijas un ķīmijterapijas efektivitātes uzlabošana</w:t>
      </w:r>
    </w:p>
    <w:p w14:paraId="0BC1CDC1" w14:textId="77777777" w:rsidR="00D923AA" w:rsidRPr="007B010A" w:rsidRDefault="00D923AA" w:rsidP="00D923AA">
      <w:pPr>
        <w:shd w:val="clear" w:color="auto" w:fill="FFFFFF"/>
        <w:jc w:val="center"/>
        <w:rPr>
          <w:bCs/>
          <w:kern w:val="1"/>
          <w:lang w:eastAsia="ar-SA"/>
        </w:rPr>
      </w:pPr>
    </w:p>
    <w:p w14:paraId="7172657A" w14:textId="04372967" w:rsidR="00642622" w:rsidRPr="007B010A" w:rsidRDefault="00D923AA" w:rsidP="00196F4D">
      <w:pPr>
        <w:shd w:val="clear" w:color="auto" w:fill="FFFFFF"/>
        <w:ind w:firstLine="720"/>
        <w:jc w:val="both"/>
      </w:pPr>
      <w:r w:rsidRPr="007B010A">
        <w:t xml:space="preserve">Staru terapija ir viena no trim pamata ārstēšanas metodēm onkoloģijā. Pēc starptautiskiem onkoloģisko pacientu ārstēšanas protokoliem, staru terapiju saņem ne mazāk kā 60% no primāri ārstētiem pacientiem. Staru terapija var tikt pielietota gan kā vienīgā radikālā </w:t>
      </w:r>
      <w:proofErr w:type="spellStart"/>
      <w:r w:rsidRPr="007B010A">
        <w:t>neinvazīvā</w:t>
      </w:r>
      <w:proofErr w:type="spellEnd"/>
      <w:r w:rsidRPr="007B010A">
        <w:t xml:space="preserve"> ārstēšanas metode vēža agrīno stadiju gadījumā (priekšdziedzera, plaušu, aknu vēzis), gan kā kombinētas ārstēšanas sastāvdaļa (krūts, kuņģa zarnu trakta, ausu kakla, deguna, plaušu, nervu sistēmas, uroloģisko un citu lokalizāciju audzējiem), gan kā paliatīva un simptomātiska ārstēšana vēlīno stadiju pacientiem. Ar katru gadu palielinās ielaisto onkoloģisko saslimšanu skaits, kuru ārstēšanā staru terapija arvien biežāk tiek pielietota, ir efektīva un salīdzinoši lēta, bet ārstēšanas procesā jāievēro rekomendētie staru terapijas </w:t>
      </w:r>
      <w:r w:rsidR="00642622" w:rsidRPr="007B010A">
        <w:t xml:space="preserve">gaidīšanas un uzsākšanas laiki. </w:t>
      </w:r>
      <w:r w:rsidR="004438AF" w:rsidRPr="007B010A">
        <w:t xml:space="preserve">Jaunās staru terapijas </w:t>
      </w:r>
      <w:r w:rsidRPr="007B010A">
        <w:t xml:space="preserve">tehnoloģijas nodrošinās iespēju apkalpot vairāk </w:t>
      </w:r>
      <w:r w:rsidR="00642622" w:rsidRPr="007B010A">
        <w:t xml:space="preserve">pacientus, </w:t>
      </w:r>
      <w:proofErr w:type="spellStart"/>
      <w:r w:rsidR="00642622" w:rsidRPr="007B010A">
        <w:t>efektivizējot</w:t>
      </w:r>
      <w:proofErr w:type="spellEnd"/>
      <w:r w:rsidR="00642622" w:rsidRPr="007B010A">
        <w:t xml:space="preserve"> </w:t>
      </w:r>
      <w:r w:rsidR="009A7C3C" w:rsidRPr="007B010A">
        <w:t>pacientu aprūpi</w:t>
      </w:r>
      <w:r w:rsidR="00642622" w:rsidRPr="007B010A">
        <w:t xml:space="preserve">. </w:t>
      </w:r>
      <w:r w:rsidRPr="007B010A">
        <w:t xml:space="preserve">Kopumā 2018.gadā tika plānots iegādāties 3 lineāros paātrinātājus </w:t>
      </w:r>
      <w:r w:rsidR="00376CF0" w:rsidRPr="007B010A">
        <w:t>par kopējo summu 6</w:t>
      </w:r>
      <w:r w:rsidR="00E734C1" w:rsidRPr="007B010A">
        <w:t> </w:t>
      </w:r>
      <w:r w:rsidR="00376CF0" w:rsidRPr="007B010A">
        <w:t>654</w:t>
      </w:r>
      <w:r w:rsidR="00E734C1" w:rsidRPr="007B010A">
        <w:t> </w:t>
      </w:r>
      <w:r w:rsidR="00376CF0" w:rsidRPr="007B010A">
        <w:t xml:space="preserve">999 </w:t>
      </w:r>
      <w:proofErr w:type="spellStart"/>
      <w:r w:rsidR="00376CF0" w:rsidRPr="007B010A">
        <w:rPr>
          <w:i/>
        </w:rPr>
        <w:t>euro</w:t>
      </w:r>
      <w:proofErr w:type="spellEnd"/>
      <w:r w:rsidR="00376CF0" w:rsidRPr="007B010A">
        <w:t xml:space="preserve">. </w:t>
      </w:r>
    </w:p>
    <w:p w14:paraId="5F31D7D7" w14:textId="6C24CCB5" w:rsidR="00B634FC" w:rsidRPr="007B010A" w:rsidRDefault="00B634FC" w:rsidP="00B634FC">
      <w:pPr>
        <w:pStyle w:val="NoSpacing"/>
        <w:ind w:firstLine="720"/>
        <w:jc w:val="both"/>
        <w:rPr>
          <w:rFonts w:ascii="Times New Roman" w:hAnsi="Times New Roman" w:cs="Times New Roman"/>
          <w:sz w:val="24"/>
          <w:szCs w:val="24"/>
        </w:rPr>
      </w:pPr>
      <w:r w:rsidRPr="007B010A">
        <w:rPr>
          <w:rFonts w:ascii="Times New Roman" w:hAnsi="Times New Roman" w:cs="Times New Roman"/>
          <w:sz w:val="24"/>
          <w:szCs w:val="24"/>
        </w:rPr>
        <w:t xml:space="preserve">Iepirkums “Distances staru terapijas lineāro paātrinātāju piegāde un to piederumu modernizācija SIA „Rīgas Austrumu klīniskā universitātes slimnīca”, VSIA „Paula Stradiņa klīniskā universitātes slimnīca”, SIA „Liepājas reģionālā slimnīca” un SIA „Daugavpils reģionālā slimnīca”, tika izsludināts 2018.gada 26.aprīlī, piedāvājumu atvēršana </w:t>
      </w:r>
      <w:r w:rsidR="007571C8" w:rsidRPr="007B010A">
        <w:rPr>
          <w:rFonts w:ascii="Times New Roman" w:hAnsi="Times New Roman" w:cs="Times New Roman"/>
          <w:sz w:val="24"/>
          <w:szCs w:val="24"/>
        </w:rPr>
        <w:t xml:space="preserve">notika </w:t>
      </w:r>
      <w:r w:rsidRPr="007B010A">
        <w:rPr>
          <w:rFonts w:ascii="Times New Roman" w:hAnsi="Times New Roman" w:cs="Times New Roman"/>
          <w:sz w:val="24"/>
          <w:szCs w:val="24"/>
        </w:rPr>
        <w:t>2018.gada 25.maijā.</w:t>
      </w:r>
    </w:p>
    <w:p w14:paraId="315D3FA6" w14:textId="32B447B7" w:rsidR="00BE5358" w:rsidRPr="007B010A" w:rsidRDefault="00BE5358" w:rsidP="00BE5358">
      <w:pPr>
        <w:pStyle w:val="NoSpacing"/>
        <w:ind w:firstLine="720"/>
        <w:jc w:val="both"/>
        <w:rPr>
          <w:rFonts w:ascii="Times New Roman" w:hAnsi="Times New Roman" w:cs="Times New Roman"/>
          <w:sz w:val="24"/>
          <w:szCs w:val="24"/>
        </w:rPr>
      </w:pPr>
      <w:r w:rsidRPr="007B010A">
        <w:rPr>
          <w:rFonts w:ascii="Times New Roman" w:hAnsi="Times New Roman" w:cs="Times New Roman"/>
          <w:sz w:val="24"/>
          <w:szCs w:val="24"/>
        </w:rPr>
        <w:t>2018.gada 26.jūnijā tika noslēgts līgums starp SIA “Rīgas Austrumu klīnisko universitātes slimnīcu” un SIA “</w:t>
      </w:r>
      <w:proofErr w:type="spellStart"/>
      <w:r w:rsidRPr="007B010A">
        <w:rPr>
          <w:rFonts w:ascii="Times New Roman" w:hAnsi="Times New Roman" w:cs="Times New Roman"/>
          <w:sz w:val="24"/>
          <w:szCs w:val="24"/>
        </w:rPr>
        <w:t>Tradintek</w:t>
      </w:r>
      <w:proofErr w:type="spellEnd"/>
      <w:r w:rsidRPr="007B010A">
        <w:rPr>
          <w:rFonts w:ascii="Times New Roman" w:hAnsi="Times New Roman" w:cs="Times New Roman"/>
          <w:sz w:val="24"/>
          <w:szCs w:val="24"/>
        </w:rPr>
        <w:t>” par trīs distances taru terapijas iekārtu piegādi, kā arī SIA „Liepājas reģionālā slimnīca” un SIA „Daugavpils reģionālā slimnīca” piederumu modernizāciju, (kopējā līguma summa par 6</w:t>
      </w:r>
      <w:r w:rsidR="00E734C1" w:rsidRPr="007B010A">
        <w:rPr>
          <w:rFonts w:ascii="Times New Roman" w:hAnsi="Times New Roman" w:cs="Times New Roman"/>
          <w:sz w:val="24"/>
          <w:szCs w:val="24"/>
        </w:rPr>
        <w:t> </w:t>
      </w:r>
      <w:r w:rsidRPr="007B010A">
        <w:rPr>
          <w:rFonts w:ascii="Times New Roman" w:hAnsi="Times New Roman" w:cs="Times New Roman"/>
          <w:sz w:val="24"/>
          <w:szCs w:val="24"/>
        </w:rPr>
        <w:t>655</w:t>
      </w:r>
      <w:r w:rsidR="00E734C1" w:rsidRPr="007B010A">
        <w:rPr>
          <w:rFonts w:ascii="Times New Roman" w:hAnsi="Times New Roman" w:cs="Times New Roman"/>
          <w:sz w:val="24"/>
          <w:szCs w:val="24"/>
        </w:rPr>
        <w:t> </w:t>
      </w:r>
      <w:r w:rsidRPr="007B010A">
        <w:rPr>
          <w:rFonts w:ascii="Times New Roman" w:hAnsi="Times New Roman" w:cs="Times New Roman"/>
          <w:sz w:val="24"/>
          <w:szCs w:val="24"/>
        </w:rPr>
        <w:t xml:space="preserve">362,42 </w:t>
      </w:r>
      <w:proofErr w:type="spellStart"/>
      <w:r w:rsidRPr="007B010A">
        <w:rPr>
          <w:rFonts w:ascii="Times New Roman" w:hAnsi="Times New Roman" w:cs="Times New Roman"/>
          <w:i/>
          <w:sz w:val="24"/>
          <w:szCs w:val="24"/>
        </w:rPr>
        <w:t>euro</w:t>
      </w:r>
      <w:proofErr w:type="spellEnd"/>
      <w:r w:rsidRPr="007B010A">
        <w:rPr>
          <w:rFonts w:ascii="Times New Roman" w:hAnsi="Times New Roman" w:cs="Times New Roman"/>
          <w:sz w:val="24"/>
          <w:szCs w:val="24"/>
        </w:rPr>
        <w:t xml:space="preserve"> ar PVN, starpību 366,42 </w:t>
      </w:r>
      <w:proofErr w:type="spellStart"/>
      <w:r w:rsidRPr="007B010A">
        <w:rPr>
          <w:rFonts w:ascii="Times New Roman" w:hAnsi="Times New Roman" w:cs="Times New Roman"/>
          <w:i/>
          <w:sz w:val="24"/>
          <w:szCs w:val="24"/>
        </w:rPr>
        <w:t>euro</w:t>
      </w:r>
      <w:proofErr w:type="spellEnd"/>
      <w:r w:rsidRPr="007B010A">
        <w:rPr>
          <w:rFonts w:ascii="Times New Roman" w:hAnsi="Times New Roman" w:cs="Times New Roman"/>
          <w:sz w:val="24"/>
          <w:szCs w:val="24"/>
        </w:rPr>
        <w:t xml:space="preserve"> segs SIA “Rīgas Austrumu klīniskā universitātes slimnīca”). </w:t>
      </w:r>
    </w:p>
    <w:p w14:paraId="21C4659E" w14:textId="615F8324" w:rsidR="00B634FC" w:rsidRPr="007B010A" w:rsidRDefault="00BE5358" w:rsidP="00BE5358">
      <w:pPr>
        <w:pStyle w:val="NoSpacing"/>
        <w:ind w:firstLine="720"/>
        <w:jc w:val="both"/>
        <w:rPr>
          <w:rFonts w:ascii="Times New Roman" w:hAnsi="Times New Roman" w:cs="Times New Roman"/>
          <w:sz w:val="24"/>
          <w:szCs w:val="24"/>
        </w:rPr>
      </w:pPr>
      <w:r w:rsidRPr="007B010A">
        <w:rPr>
          <w:rFonts w:ascii="Times New Roman" w:hAnsi="Times New Roman" w:cs="Times New Roman"/>
          <w:sz w:val="24"/>
          <w:szCs w:val="24"/>
        </w:rPr>
        <w:t xml:space="preserve">Trīs distances staru terapijas iekārtu piegāde un uzstādīšana 2018.gada oktobrī tika pabeigta, bet lai uzsāktu distances staru terapiju pacientiem ar jaunajām iekārtām, tās bija jākalibrē. 2018.gada decembrī tika uzsākta pacientu distances staru terapija ar pirmo iekārtu, 2019.gada februārī tika uzsākta pacientu distances staru terapija ar otro iekārtu, bet 2019.gada aprīlī tiks uzsākta pacientu distances staru terapija ar trešo iekārtu. </w:t>
      </w:r>
      <w:r w:rsidR="00B634FC" w:rsidRPr="007B010A">
        <w:rPr>
          <w:rFonts w:ascii="Times New Roman" w:hAnsi="Times New Roman" w:cs="Times New Roman"/>
          <w:sz w:val="24"/>
          <w:szCs w:val="24"/>
        </w:rPr>
        <w:t xml:space="preserve"> </w:t>
      </w:r>
    </w:p>
    <w:p w14:paraId="113CA926" w14:textId="49300482" w:rsidR="00B634FC" w:rsidRPr="007B010A" w:rsidRDefault="0015392A" w:rsidP="00B634FC">
      <w:pPr>
        <w:shd w:val="clear" w:color="auto" w:fill="FFFFFF"/>
        <w:ind w:firstLine="720"/>
        <w:jc w:val="both"/>
      </w:pPr>
      <w:r w:rsidRPr="007B010A">
        <w:t>SIA „Daugavpils reģionālā slimnīca”</w:t>
      </w:r>
      <w:r w:rsidR="00B634FC" w:rsidRPr="007B010A">
        <w:t xml:space="preserve"> un </w:t>
      </w:r>
      <w:r w:rsidRPr="007B010A">
        <w:t xml:space="preserve">SIA „Liepājas reģionālā slimnīca” </w:t>
      </w:r>
      <w:r w:rsidR="00B634FC" w:rsidRPr="007B010A">
        <w:t xml:space="preserve">piederumu modernizācija distances un staru terapijas iekārtām </w:t>
      </w:r>
      <w:r w:rsidR="00D21AD9" w:rsidRPr="007B010A">
        <w:t>tik</w:t>
      </w:r>
      <w:r w:rsidR="00F70915" w:rsidRPr="007B010A">
        <w:t>a</w:t>
      </w:r>
      <w:r w:rsidR="00B634FC" w:rsidRPr="007B010A">
        <w:t xml:space="preserve"> pabeigta 2018.gada novembr</w:t>
      </w:r>
      <w:r w:rsidR="00F70915" w:rsidRPr="007B010A">
        <w:t>ī</w:t>
      </w:r>
      <w:r w:rsidR="00B634FC" w:rsidRPr="007B010A">
        <w:t>.</w:t>
      </w:r>
    </w:p>
    <w:p w14:paraId="752DA931" w14:textId="3ECF5310" w:rsidR="00376CF0" w:rsidRPr="007B010A" w:rsidRDefault="00376CF0" w:rsidP="00456149">
      <w:pPr>
        <w:ind w:firstLine="720"/>
        <w:jc w:val="both"/>
      </w:pPr>
      <w:r w:rsidRPr="007B010A">
        <w:t xml:space="preserve">Saskaņā ar plānoto veselības aprūpes sistēmas reformu, lai nodrošinātu efektīvāku onkoloģisko medikamentu iepirkšanu un izlietošanu, nodrošinot pacientu </w:t>
      </w:r>
      <w:proofErr w:type="spellStart"/>
      <w:r w:rsidRPr="007B010A">
        <w:t>līdzestību</w:t>
      </w:r>
      <w:proofErr w:type="spellEnd"/>
      <w:r w:rsidRPr="007B010A">
        <w:t xml:space="preserve">, plānots, ka onkoloģisko slimību ārstēšanai lietojamās </w:t>
      </w:r>
      <w:proofErr w:type="spellStart"/>
      <w:r w:rsidRPr="007B010A">
        <w:t>parenterāli</w:t>
      </w:r>
      <w:proofErr w:type="spellEnd"/>
      <w:r w:rsidRPr="007B010A">
        <w:t xml:space="preserve"> (intravenozi) ievadāmās zāles (izņemot tās, par kuru kompensācijas nodrošināšanu ir noslēgts finansiālas līdzdalības līgums ar zāļu reģistrācijas apliecības īpašnieku vai viņa pilnvarotām personām), kuru iegāde tiek apmaksāta no valsts budžeta līdzekļiem, tiks iepirktas centralizēti. Tādejādi tiks iegūts ietaupījums uz aptieku izcenojuma rēķina un novērsti zāļu zudumi pacienta </w:t>
      </w:r>
      <w:proofErr w:type="spellStart"/>
      <w:r w:rsidRPr="007B010A">
        <w:t>nelīdzestības</w:t>
      </w:r>
      <w:proofErr w:type="spellEnd"/>
      <w:r w:rsidRPr="007B010A">
        <w:t xml:space="preserve"> rīcības gadījumā un iepirkuma centralizēšanā, iegūstot zemākas cenas. Turklāt šķaidīšanas sistēmu automatizācija novērstu būtiskus zudumus </w:t>
      </w:r>
      <w:proofErr w:type="spellStart"/>
      <w:r w:rsidRPr="007B010A">
        <w:t>parenterāli</w:t>
      </w:r>
      <w:proofErr w:type="spellEnd"/>
      <w:r w:rsidRPr="007B010A">
        <w:t xml:space="preserve"> lietojamo ķīmijterapiju zāļu sagatavošanā, kas savukārt paplašinātu pacientu aptveri.</w:t>
      </w:r>
    </w:p>
    <w:p w14:paraId="051474B7" w14:textId="5451FD73" w:rsidR="00D923AA" w:rsidRPr="007B010A" w:rsidRDefault="00376CF0" w:rsidP="00456149">
      <w:pPr>
        <w:ind w:firstLine="720"/>
        <w:jc w:val="both"/>
      </w:pPr>
      <w:r w:rsidRPr="007B010A">
        <w:t xml:space="preserve"> L</w:t>
      </w:r>
      <w:r w:rsidR="00D923AA" w:rsidRPr="007B010A">
        <w:t xml:space="preserve">ai nodrošinātu reformas īstenošanu, </w:t>
      </w:r>
      <w:r w:rsidR="0015392A" w:rsidRPr="007B010A">
        <w:t xml:space="preserve">tika </w:t>
      </w:r>
      <w:r w:rsidR="00C92017" w:rsidRPr="007B010A">
        <w:t xml:space="preserve">plānots </w:t>
      </w:r>
      <w:r w:rsidR="009A13A0" w:rsidRPr="007B010A">
        <w:t>iegādāt</w:t>
      </w:r>
      <w:r w:rsidR="00C92017" w:rsidRPr="007B010A">
        <w:t>ie</w:t>
      </w:r>
      <w:r w:rsidR="009A13A0" w:rsidRPr="007B010A">
        <w:t xml:space="preserve">s specializētas ķīmijterapijas preparātu šķaidīšanas sistēmas, </w:t>
      </w:r>
      <w:r w:rsidR="00D923AA" w:rsidRPr="007B010A">
        <w:t>kas ļau</w:t>
      </w:r>
      <w:r w:rsidR="00C92017" w:rsidRPr="007B010A">
        <w:t>tu</w:t>
      </w:r>
      <w:r w:rsidR="00D923AA" w:rsidRPr="007B010A">
        <w:t xml:space="preserve"> </w:t>
      </w:r>
      <w:proofErr w:type="spellStart"/>
      <w:r w:rsidR="00D923AA" w:rsidRPr="007B010A">
        <w:t>parenterāli</w:t>
      </w:r>
      <w:proofErr w:type="spellEnd"/>
      <w:r w:rsidR="00D923AA" w:rsidRPr="007B010A">
        <w:t xml:space="preserve"> lietojamo ķīmijterapijas zāļu sagatavošanu nodrošināt ar mazāku ārstniecības personāla skaitu. Plānojot pakāpenisku darba samaksas pieaugumu ārstniecības personām, arī 2019.-2021.gada budžeta ietvarā, manuālā darba samazināšana nodrošinātu izmaksu optimizāciju, neradot deficītu šķaidīšanas sistēmu iegādes dēļ. Tāpat liela loma šķaidīšanas sistēmu ieviešanai ir ārstniecības personu darba apstākļu uzlabošana</w:t>
      </w:r>
      <w:r w:rsidR="0015392A" w:rsidRPr="007B010A">
        <w:t>i</w:t>
      </w:r>
      <w:r w:rsidR="00D923AA" w:rsidRPr="007B010A">
        <w:t xml:space="preserve">, lai nodrošinātu ārstniecības personu darbu bez paaugstināta riska un veselībai kaitīgiem faktoriem. Ieviešot </w:t>
      </w:r>
      <w:proofErr w:type="spellStart"/>
      <w:r w:rsidR="00D923AA" w:rsidRPr="007B010A">
        <w:t>parenterāli</w:t>
      </w:r>
      <w:proofErr w:type="spellEnd"/>
      <w:r w:rsidR="00D923AA" w:rsidRPr="007B010A">
        <w:t xml:space="preserve"> lietojamo ķīmijterapijas zāļu sagatavošanu </w:t>
      </w:r>
      <w:r w:rsidR="007F6FDD" w:rsidRPr="007B010A">
        <w:t>SIA “</w:t>
      </w:r>
      <w:r w:rsidR="00D923AA" w:rsidRPr="007B010A">
        <w:t>Rīgas Austrumu klīnisk</w:t>
      </w:r>
      <w:r w:rsidR="007F6FDD" w:rsidRPr="007B010A">
        <w:t>ā universitātes slimnīca”</w:t>
      </w:r>
      <w:r w:rsidR="00D923AA" w:rsidRPr="007B010A">
        <w:t xml:space="preserve"> ar speciālu automatizētu šķaidīšanas sistēmu, </w:t>
      </w:r>
      <w:r w:rsidR="00D923AA" w:rsidRPr="007B010A">
        <w:lastRenderedPageBreak/>
        <w:t>sistēmas iegādei un atbilstošas infrastruktūras izveidei 2018.gadā tik</w:t>
      </w:r>
      <w:r w:rsidR="0015392A" w:rsidRPr="007B010A">
        <w:t>a</w:t>
      </w:r>
      <w:r w:rsidR="00D923AA" w:rsidRPr="007B010A">
        <w:t xml:space="preserve"> </w:t>
      </w:r>
      <w:r w:rsidR="00C92017" w:rsidRPr="007B010A">
        <w:t xml:space="preserve">plānots </w:t>
      </w:r>
      <w:r w:rsidR="00D923AA" w:rsidRPr="007B010A">
        <w:t xml:space="preserve">novirzīt  2 319 872 </w:t>
      </w:r>
      <w:proofErr w:type="spellStart"/>
      <w:r w:rsidR="00D923AA" w:rsidRPr="007B010A">
        <w:rPr>
          <w:i/>
        </w:rPr>
        <w:t>euro</w:t>
      </w:r>
      <w:proofErr w:type="spellEnd"/>
      <w:r w:rsidR="00D923AA" w:rsidRPr="007B010A">
        <w:t xml:space="preserve">. </w:t>
      </w:r>
    </w:p>
    <w:p w14:paraId="453E0C79" w14:textId="0FB93090" w:rsidR="009D0A6E" w:rsidRPr="007B010A" w:rsidRDefault="009D0A6E" w:rsidP="009D0A6E">
      <w:pPr>
        <w:ind w:firstLine="720"/>
        <w:jc w:val="both"/>
        <w:rPr>
          <w:bCs/>
          <w:shd w:val="clear" w:color="auto" w:fill="FFFFFF"/>
        </w:rPr>
      </w:pPr>
      <w:r w:rsidRPr="007B010A">
        <w:rPr>
          <w:shd w:val="clear" w:color="auto" w:fill="FFFFFF"/>
        </w:rPr>
        <w:t xml:space="preserve">2018.gada 27.augustā tika izsludināts iepirkums “Centralizēti </w:t>
      </w:r>
      <w:proofErr w:type="spellStart"/>
      <w:r w:rsidRPr="007B010A">
        <w:rPr>
          <w:shd w:val="clear" w:color="auto" w:fill="FFFFFF"/>
        </w:rPr>
        <w:t>parenterāli</w:t>
      </w:r>
      <w:proofErr w:type="spellEnd"/>
      <w:r w:rsidRPr="007B010A">
        <w:rPr>
          <w:shd w:val="clear" w:color="auto" w:fill="FFFFFF"/>
        </w:rPr>
        <w:t xml:space="preserve"> ievadāmo </w:t>
      </w:r>
      <w:proofErr w:type="spellStart"/>
      <w:r w:rsidRPr="007B010A">
        <w:rPr>
          <w:shd w:val="clear" w:color="auto" w:fill="FFFFFF"/>
        </w:rPr>
        <w:t>citostatisko</w:t>
      </w:r>
      <w:proofErr w:type="spellEnd"/>
      <w:r w:rsidRPr="007B010A">
        <w:rPr>
          <w:shd w:val="clear" w:color="auto" w:fill="FFFFFF"/>
        </w:rPr>
        <w:t xml:space="preserve"> līdzekļu pagatavošanas bloka projektēšana un būvdarbu veikšana</w:t>
      </w:r>
      <w:r w:rsidR="00E734C1" w:rsidRPr="007B010A">
        <w:rPr>
          <w:shd w:val="clear" w:color="auto" w:fill="FFFFFF"/>
        </w:rPr>
        <w:t>”</w:t>
      </w:r>
      <w:r w:rsidRPr="007B010A">
        <w:rPr>
          <w:shd w:val="clear" w:color="auto" w:fill="FFFFFF"/>
        </w:rPr>
        <w:t>, kurā pieteicās tikai viens pretendents par kopējo līguma izpildes summu</w:t>
      </w:r>
      <w:r w:rsidR="00E734C1" w:rsidRPr="007B010A">
        <w:rPr>
          <w:shd w:val="clear" w:color="auto" w:fill="FFFFFF"/>
        </w:rPr>
        <w:t xml:space="preserve"> </w:t>
      </w:r>
      <w:r w:rsidRPr="007B010A">
        <w:rPr>
          <w:bCs/>
          <w:shd w:val="clear" w:color="auto" w:fill="FFFFFF"/>
        </w:rPr>
        <w:t>719</w:t>
      </w:r>
      <w:r w:rsidR="00E734C1" w:rsidRPr="007B010A">
        <w:rPr>
          <w:bCs/>
          <w:shd w:val="clear" w:color="auto" w:fill="FFFFFF"/>
        </w:rPr>
        <w:t> </w:t>
      </w:r>
      <w:r w:rsidRPr="007B010A">
        <w:rPr>
          <w:bCs/>
          <w:shd w:val="clear" w:color="auto" w:fill="FFFFFF"/>
        </w:rPr>
        <w:t xml:space="preserve">240,70 </w:t>
      </w:r>
      <w:proofErr w:type="spellStart"/>
      <w:r w:rsidRPr="007B010A">
        <w:rPr>
          <w:bCs/>
          <w:i/>
          <w:shd w:val="clear" w:color="auto" w:fill="FFFFFF"/>
        </w:rPr>
        <w:t>euro</w:t>
      </w:r>
      <w:proofErr w:type="spellEnd"/>
      <w:r w:rsidRPr="007B010A">
        <w:rPr>
          <w:bCs/>
          <w:shd w:val="clear" w:color="auto" w:fill="FFFFFF"/>
        </w:rPr>
        <w:t xml:space="preserve"> ar PVN</w:t>
      </w:r>
      <w:r w:rsidRPr="007B010A">
        <w:rPr>
          <w:shd w:val="clear" w:color="auto" w:fill="FFFFFF"/>
        </w:rPr>
        <w:t xml:space="preserve">. Tā kā iepirkums pārsniedza plānoto summu par 339 240,70 </w:t>
      </w:r>
      <w:proofErr w:type="spellStart"/>
      <w:r w:rsidRPr="007B010A">
        <w:rPr>
          <w:i/>
          <w:shd w:val="clear" w:color="auto" w:fill="FFFFFF"/>
        </w:rPr>
        <w:t>euro</w:t>
      </w:r>
      <w:proofErr w:type="spellEnd"/>
      <w:r w:rsidRPr="007B010A">
        <w:rPr>
          <w:shd w:val="clear" w:color="auto" w:fill="FFFFFF"/>
        </w:rPr>
        <w:t xml:space="preserve"> ar PVN </w:t>
      </w:r>
      <w:r w:rsidRPr="007B010A">
        <w:t>SIA “Rīgas Austrumu klīniskā universitātes slimnīca”</w:t>
      </w:r>
      <w:r w:rsidRPr="007B010A">
        <w:rPr>
          <w:shd w:val="clear" w:color="auto" w:fill="FFFFFF"/>
        </w:rPr>
        <w:t xml:space="preserve"> valde nolēma iepirkumu pārtraukt un uzsākt jaunu. 2018.gada 12.novembrī atkārtoti tika izsludināts iepirkums “Centralizēti </w:t>
      </w:r>
      <w:proofErr w:type="spellStart"/>
      <w:r w:rsidRPr="007B010A">
        <w:rPr>
          <w:shd w:val="clear" w:color="auto" w:fill="FFFFFF"/>
        </w:rPr>
        <w:t>parenterāli</w:t>
      </w:r>
      <w:proofErr w:type="spellEnd"/>
      <w:r w:rsidRPr="007B010A">
        <w:rPr>
          <w:shd w:val="clear" w:color="auto" w:fill="FFFFFF"/>
        </w:rPr>
        <w:t xml:space="preserve"> ievadāmo </w:t>
      </w:r>
      <w:proofErr w:type="spellStart"/>
      <w:r w:rsidRPr="007B010A">
        <w:rPr>
          <w:shd w:val="clear" w:color="auto" w:fill="FFFFFF"/>
        </w:rPr>
        <w:t>citostatisko</w:t>
      </w:r>
      <w:proofErr w:type="spellEnd"/>
      <w:r w:rsidRPr="007B010A">
        <w:rPr>
          <w:shd w:val="clear" w:color="auto" w:fill="FFFFFF"/>
        </w:rPr>
        <w:t xml:space="preserve"> līdzekļu pagatavošanas bloka projektēšana un būvdarbu veikšana”. 2018.gada 12.decembrī tika atvērti divi piedāvājumi un tehniskajām prasībām atbilstošs tika atzīts SIA "PRO DEV" piedāvājums par kopējo summu</w:t>
      </w:r>
      <w:r w:rsidR="00E734C1" w:rsidRPr="007B010A">
        <w:rPr>
          <w:shd w:val="clear" w:color="auto" w:fill="FFFFFF"/>
        </w:rPr>
        <w:t xml:space="preserve"> </w:t>
      </w:r>
      <w:r w:rsidRPr="007B010A">
        <w:rPr>
          <w:bCs/>
          <w:shd w:val="clear" w:color="auto" w:fill="FFFFFF"/>
        </w:rPr>
        <w:t>653</w:t>
      </w:r>
      <w:r w:rsidR="00F35F94" w:rsidRPr="007B010A">
        <w:rPr>
          <w:bCs/>
          <w:shd w:val="clear" w:color="auto" w:fill="FFFFFF"/>
        </w:rPr>
        <w:t> </w:t>
      </w:r>
      <w:r w:rsidRPr="007B010A">
        <w:rPr>
          <w:bCs/>
          <w:shd w:val="clear" w:color="auto" w:fill="FFFFFF"/>
        </w:rPr>
        <w:t xml:space="preserve">855,18 </w:t>
      </w:r>
      <w:proofErr w:type="spellStart"/>
      <w:r w:rsidRPr="007B010A">
        <w:rPr>
          <w:bCs/>
          <w:i/>
          <w:shd w:val="clear" w:color="auto" w:fill="FFFFFF"/>
        </w:rPr>
        <w:t>euro</w:t>
      </w:r>
      <w:proofErr w:type="spellEnd"/>
      <w:r w:rsidRPr="007B010A">
        <w:rPr>
          <w:bCs/>
          <w:i/>
          <w:shd w:val="clear" w:color="auto" w:fill="FFFFFF"/>
        </w:rPr>
        <w:t xml:space="preserve"> </w:t>
      </w:r>
      <w:r w:rsidRPr="007B010A">
        <w:rPr>
          <w:bCs/>
          <w:shd w:val="clear" w:color="auto" w:fill="FFFFFF"/>
        </w:rPr>
        <w:t>ar PVN</w:t>
      </w:r>
      <w:r w:rsidRPr="007B010A">
        <w:rPr>
          <w:shd w:val="clear" w:color="auto" w:fill="FFFFFF"/>
        </w:rPr>
        <w:t>. Salīdzinājumā ar iepriekšējo iepirkumu ir būtisks ietaupījums</w:t>
      </w:r>
      <w:r w:rsidR="00E734C1" w:rsidRPr="007B010A">
        <w:rPr>
          <w:shd w:val="clear" w:color="auto" w:fill="FFFFFF"/>
        </w:rPr>
        <w:t xml:space="preserve"> </w:t>
      </w:r>
      <w:r w:rsidRPr="007B010A">
        <w:rPr>
          <w:bCs/>
          <w:shd w:val="clear" w:color="auto" w:fill="FFFFFF"/>
        </w:rPr>
        <w:t xml:space="preserve">65 385,52 </w:t>
      </w:r>
      <w:proofErr w:type="spellStart"/>
      <w:r w:rsidRPr="007B010A">
        <w:rPr>
          <w:bCs/>
          <w:i/>
          <w:shd w:val="clear" w:color="auto" w:fill="FFFFFF"/>
        </w:rPr>
        <w:t>euro</w:t>
      </w:r>
      <w:proofErr w:type="spellEnd"/>
      <w:r w:rsidRPr="007B010A">
        <w:rPr>
          <w:bCs/>
          <w:shd w:val="clear" w:color="auto" w:fill="FFFFFF"/>
        </w:rPr>
        <w:t xml:space="preserve"> ar PVN</w:t>
      </w:r>
      <w:r w:rsidRPr="007B010A">
        <w:rPr>
          <w:shd w:val="clear" w:color="auto" w:fill="FFFFFF"/>
        </w:rPr>
        <w:t>. Pēc līguma noslēgšanas 2019.gada februārī, celtniecības kompānija iesniedza darbu izpildes laika grafiku, kurā ir redzams, ka līdz</w:t>
      </w:r>
      <w:r w:rsidR="00E734C1" w:rsidRPr="007B010A">
        <w:rPr>
          <w:shd w:val="clear" w:color="auto" w:fill="FFFFFF"/>
        </w:rPr>
        <w:t xml:space="preserve"> </w:t>
      </w:r>
      <w:r w:rsidRPr="007B010A">
        <w:rPr>
          <w:bCs/>
          <w:shd w:val="clear" w:color="auto" w:fill="FFFFFF"/>
        </w:rPr>
        <w:t>2019.gada 01.jūnijam celtniecības darbus pabeigt nebūs iespējams</w:t>
      </w:r>
      <w:r w:rsidR="0079595F" w:rsidRPr="007B010A">
        <w:rPr>
          <w:bCs/>
          <w:shd w:val="clear" w:color="auto" w:fill="FFFFFF"/>
        </w:rPr>
        <w:t>, bet tos pilnā apmērā īstenos līdz 2019.gada augustam.</w:t>
      </w:r>
    </w:p>
    <w:p w14:paraId="53047687" w14:textId="77777777" w:rsidR="00F35F94" w:rsidRPr="007B010A" w:rsidRDefault="00F35F94" w:rsidP="00456149">
      <w:pPr>
        <w:ind w:firstLine="720"/>
        <w:jc w:val="both"/>
        <w:rPr>
          <w:bCs/>
          <w:shd w:val="clear" w:color="auto" w:fill="FFFFFF"/>
        </w:rPr>
      </w:pPr>
      <w:r w:rsidRPr="007B010A">
        <w:rPr>
          <w:bCs/>
          <w:shd w:val="clear" w:color="auto" w:fill="FFFFFF"/>
        </w:rPr>
        <w:t>2018.gada 18.septembrī tika izsludināts iepirkums “</w:t>
      </w:r>
      <w:proofErr w:type="spellStart"/>
      <w:r w:rsidRPr="007B010A">
        <w:rPr>
          <w:bCs/>
          <w:shd w:val="clear" w:color="auto" w:fill="FFFFFF"/>
        </w:rPr>
        <w:t>Citostatisko</w:t>
      </w:r>
      <w:proofErr w:type="spellEnd"/>
      <w:r w:rsidRPr="007B010A">
        <w:rPr>
          <w:bCs/>
          <w:shd w:val="clear" w:color="auto" w:fill="FFFFFF"/>
        </w:rPr>
        <w:t xml:space="preserve"> līdzekļu pagatavošanas bloka iekārtu – ķīmijterapijas zāļu jaucēja robotu iegāde SIA „Rīgas Austrumu klīniskā universitātes slimnīca””. 2018.gada 18.oktobrī tika atvērti piedāvājumi un par uzvarētāju tika atzīts “</w:t>
      </w:r>
      <w:proofErr w:type="spellStart"/>
      <w:r w:rsidRPr="007B010A">
        <w:rPr>
          <w:bCs/>
          <w:shd w:val="clear" w:color="auto" w:fill="FFFFFF"/>
        </w:rPr>
        <w:t>Kiro</w:t>
      </w:r>
      <w:proofErr w:type="spellEnd"/>
      <w:r w:rsidRPr="007B010A">
        <w:rPr>
          <w:bCs/>
          <w:shd w:val="clear" w:color="auto" w:fill="FFFFFF"/>
        </w:rPr>
        <w:t xml:space="preserve"> </w:t>
      </w:r>
      <w:proofErr w:type="spellStart"/>
      <w:r w:rsidRPr="007B010A">
        <w:rPr>
          <w:bCs/>
          <w:shd w:val="clear" w:color="auto" w:fill="FFFFFF"/>
        </w:rPr>
        <w:t>Grifols</w:t>
      </w:r>
      <w:proofErr w:type="spellEnd"/>
      <w:r w:rsidRPr="007B010A">
        <w:rPr>
          <w:bCs/>
          <w:shd w:val="clear" w:color="auto" w:fill="FFFFFF"/>
        </w:rPr>
        <w:t xml:space="preserve"> S.L.” piedāvājums par kopējo summu 871 200 </w:t>
      </w:r>
      <w:proofErr w:type="spellStart"/>
      <w:r w:rsidRPr="007B010A">
        <w:rPr>
          <w:bCs/>
          <w:i/>
          <w:shd w:val="clear" w:color="auto" w:fill="FFFFFF"/>
        </w:rPr>
        <w:t>euro</w:t>
      </w:r>
      <w:proofErr w:type="spellEnd"/>
      <w:r w:rsidRPr="007B010A">
        <w:rPr>
          <w:bCs/>
          <w:shd w:val="clear" w:color="auto" w:fill="FFFFFF"/>
        </w:rPr>
        <w:t xml:space="preserve"> ar PVN. Ķīmijterapijas zāļu jaucēja robotus piegādāt varēs tiklīdz būs noslēdzies I kārtas būvniecības process, jo slimnīcai nav tādu telpu, kur uzglabāt šādus trīs robotus. </w:t>
      </w:r>
    </w:p>
    <w:p w14:paraId="152BC9CD" w14:textId="6FE22DD0" w:rsidR="00652B15" w:rsidRPr="007B010A" w:rsidRDefault="009D0A6E" w:rsidP="00456149">
      <w:pPr>
        <w:ind w:firstLine="720"/>
        <w:jc w:val="both"/>
      </w:pPr>
      <w:r w:rsidRPr="007B010A">
        <w:rPr>
          <w:shd w:val="clear" w:color="auto" w:fill="FFFFFF"/>
        </w:rPr>
        <w:t xml:space="preserve">Ņemot vērā to, ka tikai projekta uzsākšanas gaitā tika secināts, ka papildus nepieciešams pilnveidot IT tehnisko risinājumu, pārejot uz digitālu dokumentu apriti, lai gūtu priekšstatu, kā veikt </w:t>
      </w:r>
      <w:proofErr w:type="spellStart"/>
      <w:r w:rsidRPr="007B010A">
        <w:rPr>
          <w:shd w:val="clear" w:color="auto" w:fill="FFFFFF"/>
        </w:rPr>
        <w:t>ķīmijterapeitu</w:t>
      </w:r>
      <w:proofErr w:type="spellEnd"/>
      <w:r w:rsidRPr="007B010A">
        <w:rPr>
          <w:shd w:val="clear" w:color="auto" w:fill="FFFFFF"/>
        </w:rPr>
        <w:t xml:space="preserve">, hematologu un iesaistīto farmaceitu darba procesa </w:t>
      </w:r>
      <w:proofErr w:type="spellStart"/>
      <w:r w:rsidRPr="007B010A">
        <w:rPr>
          <w:shd w:val="clear" w:color="auto" w:fill="FFFFFF"/>
        </w:rPr>
        <w:t>digitalizāciju</w:t>
      </w:r>
      <w:proofErr w:type="spellEnd"/>
      <w:r w:rsidRPr="007B010A">
        <w:rPr>
          <w:shd w:val="clear" w:color="auto" w:fill="FFFFFF"/>
        </w:rPr>
        <w:t xml:space="preserve"> uzlabojot </w:t>
      </w:r>
      <w:proofErr w:type="spellStart"/>
      <w:r w:rsidRPr="007B010A">
        <w:rPr>
          <w:shd w:val="clear" w:color="auto" w:fill="FFFFFF"/>
        </w:rPr>
        <w:t>parenterāli</w:t>
      </w:r>
      <w:proofErr w:type="spellEnd"/>
      <w:r w:rsidRPr="007B010A">
        <w:rPr>
          <w:shd w:val="clear" w:color="auto" w:fill="FFFFFF"/>
        </w:rPr>
        <w:t xml:space="preserve"> ievadāmo </w:t>
      </w:r>
      <w:proofErr w:type="spellStart"/>
      <w:r w:rsidRPr="007B010A">
        <w:rPr>
          <w:shd w:val="clear" w:color="auto" w:fill="FFFFFF"/>
        </w:rPr>
        <w:t>citostatisko</w:t>
      </w:r>
      <w:proofErr w:type="spellEnd"/>
      <w:r w:rsidRPr="007B010A">
        <w:rPr>
          <w:shd w:val="clear" w:color="auto" w:fill="FFFFFF"/>
        </w:rPr>
        <w:t xml:space="preserve"> līdzekļu pagatavošanas procesu, </w:t>
      </w:r>
      <w:r w:rsidRPr="007B010A">
        <w:t>SIA “Rīgas Austrumu klīniskā universitātes slimnīca”</w:t>
      </w:r>
      <w:r w:rsidRPr="007B010A">
        <w:rPr>
          <w:shd w:val="clear" w:color="auto" w:fill="FFFFFF"/>
        </w:rPr>
        <w:t xml:space="preserve"> procesā iesaistītais personāls apmeklēja Spānijas Onkoloģijas klīniku, kur visi šie procesi ir pilnībā </w:t>
      </w:r>
      <w:proofErr w:type="spellStart"/>
      <w:r w:rsidRPr="007B010A">
        <w:rPr>
          <w:shd w:val="clear" w:color="auto" w:fill="FFFFFF"/>
        </w:rPr>
        <w:t>digitalizēti</w:t>
      </w:r>
      <w:proofErr w:type="spellEnd"/>
      <w:r w:rsidRPr="007B010A">
        <w:rPr>
          <w:shd w:val="clear" w:color="auto" w:fill="FFFFFF"/>
        </w:rPr>
        <w:t>. 2019.gada martā tiks izstrādātas prasības iepirkumam, lai pilnveidotu šos procesus</w:t>
      </w:r>
      <w:r w:rsidR="00652B15" w:rsidRPr="007B010A">
        <w:rPr>
          <w:shd w:val="clear" w:color="auto" w:fill="FFFFFF"/>
        </w:rPr>
        <w:t>.</w:t>
      </w:r>
    </w:p>
    <w:p w14:paraId="173987F6" w14:textId="152199AC" w:rsidR="004F5453" w:rsidRPr="007B010A" w:rsidRDefault="004F5453" w:rsidP="00456149">
      <w:pPr>
        <w:ind w:firstLine="720"/>
        <w:jc w:val="both"/>
        <w:rPr>
          <w:shd w:val="clear" w:color="auto" w:fill="FFFFFF"/>
        </w:rPr>
      </w:pPr>
    </w:p>
    <w:p w14:paraId="6E7432C8" w14:textId="633D5DDB" w:rsidR="004F5453" w:rsidRPr="007B010A" w:rsidRDefault="004F5453" w:rsidP="005C516C">
      <w:pPr>
        <w:ind w:firstLine="720"/>
        <w:jc w:val="center"/>
        <w:rPr>
          <w:u w:val="single"/>
          <w:shd w:val="clear" w:color="auto" w:fill="FFFFFF"/>
        </w:rPr>
      </w:pPr>
      <w:r w:rsidRPr="007B010A">
        <w:rPr>
          <w:u w:val="single"/>
          <w:shd w:val="clear" w:color="auto" w:fill="FFFFFF"/>
        </w:rPr>
        <w:t>Jaunas medicīniskās iekārtas iegāde priekšdziedzera un urīnpūšļa vēža ārstēšanai un diagnostikai</w:t>
      </w:r>
    </w:p>
    <w:p w14:paraId="602A825D" w14:textId="77777777" w:rsidR="00794B39" w:rsidRPr="007B010A" w:rsidRDefault="00794B39" w:rsidP="00456149">
      <w:pPr>
        <w:ind w:firstLine="720"/>
        <w:jc w:val="both"/>
      </w:pPr>
    </w:p>
    <w:p w14:paraId="4D8E9F7D" w14:textId="3FF59DF4" w:rsidR="0015392A" w:rsidRPr="007B010A" w:rsidRDefault="00885BE2" w:rsidP="00456149">
      <w:pPr>
        <w:ind w:firstLine="720"/>
        <w:jc w:val="both"/>
        <w:rPr>
          <w:bCs/>
          <w:kern w:val="1"/>
          <w:lang w:eastAsia="ar-SA"/>
        </w:rPr>
      </w:pPr>
      <w:r w:rsidRPr="007B010A">
        <w:rPr>
          <w:bCs/>
          <w:kern w:val="1"/>
          <w:shd w:val="clear" w:color="auto" w:fill="FFFFFF" w:themeFill="background1"/>
          <w:lang w:eastAsia="ar-SA"/>
        </w:rPr>
        <w:t xml:space="preserve">Papildus </w:t>
      </w:r>
      <w:r w:rsidR="0015392A" w:rsidRPr="007B010A">
        <w:rPr>
          <w:bCs/>
          <w:kern w:val="1"/>
          <w:shd w:val="clear" w:color="auto" w:fill="FFFFFF" w:themeFill="background1"/>
          <w:lang w:eastAsia="ar-SA"/>
        </w:rPr>
        <w:t xml:space="preserve">2018.gadā tika piešķirts finansējumu 3 224 650 </w:t>
      </w:r>
      <w:proofErr w:type="spellStart"/>
      <w:r w:rsidR="0015392A" w:rsidRPr="007B010A">
        <w:rPr>
          <w:bCs/>
          <w:i/>
          <w:kern w:val="1"/>
          <w:shd w:val="clear" w:color="auto" w:fill="FFFFFF" w:themeFill="background1"/>
          <w:lang w:eastAsia="ar-SA"/>
        </w:rPr>
        <w:t>euro</w:t>
      </w:r>
      <w:proofErr w:type="spellEnd"/>
      <w:r w:rsidR="0015392A" w:rsidRPr="007B010A">
        <w:rPr>
          <w:bCs/>
          <w:kern w:val="1"/>
          <w:shd w:val="clear" w:color="auto" w:fill="FFFFFF" w:themeFill="background1"/>
          <w:lang w:eastAsia="ar-SA"/>
        </w:rPr>
        <w:t xml:space="preserve"> apmērā, kas </w:t>
      </w:r>
      <w:r w:rsidRPr="007B010A">
        <w:rPr>
          <w:bCs/>
          <w:kern w:val="1"/>
          <w:shd w:val="clear" w:color="auto" w:fill="FFFFFF" w:themeFill="background1"/>
          <w:lang w:eastAsia="ar-SA"/>
        </w:rPr>
        <w:t xml:space="preserve">tika </w:t>
      </w:r>
      <w:r w:rsidR="0015392A" w:rsidRPr="007B010A">
        <w:rPr>
          <w:bCs/>
          <w:kern w:val="1"/>
          <w:shd w:val="clear" w:color="auto" w:fill="FFFFFF" w:themeFill="background1"/>
          <w:lang w:eastAsia="ar-SA"/>
        </w:rPr>
        <w:t xml:space="preserve">novirzīts </w:t>
      </w:r>
      <w:r w:rsidR="0015392A" w:rsidRPr="007B010A">
        <w:rPr>
          <w:shd w:val="clear" w:color="auto" w:fill="FFFFFF" w:themeFill="background1"/>
        </w:rPr>
        <w:t xml:space="preserve">no 2018.gadā plānotās līdzekļu ekonomijas hronisko pacientu aprūpei, atbilstoši Ministru kabineta 2018.gada 28.augusta sēdes protokola Nr.40 30§ 2.2.4.4. apakšpunktā noteiktajam, ka </w:t>
      </w:r>
      <w:r w:rsidR="0015392A" w:rsidRPr="007B010A">
        <w:rPr>
          <w:bCs/>
          <w:kern w:val="1"/>
          <w:shd w:val="clear" w:color="auto" w:fill="FFFFFF" w:themeFill="background1"/>
          <w:lang w:eastAsia="ar-SA"/>
        </w:rPr>
        <w:t xml:space="preserve">3 224 650 </w:t>
      </w:r>
      <w:proofErr w:type="spellStart"/>
      <w:r w:rsidR="0015392A" w:rsidRPr="007B010A">
        <w:rPr>
          <w:i/>
          <w:shd w:val="clear" w:color="auto" w:fill="FFFFFF" w:themeFill="background1"/>
        </w:rPr>
        <w:t>euro</w:t>
      </w:r>
      <w:proofErr w:type="spellEnd"/>
      <w:r w:rsidR="0015392A" w:rsidRPr="007B010A">
        <w:rPr>
          <w:shd w:val="clear" w:color="auto" w:fill="FFFFFF" w:themeFill="background1"/>
        </w:rPr>
        <w:t xml:space="preserve"> apmērā attiecīgi novirzāmi apakšprogrammā 33.18.00 </w:t>
      </w:r>
      <w:r w:rsidR="00041147">
        <w:rPr>
          <w:shd w:val="clear" w:color="auto" w:fill="FFFFFF" w:themeFill="background1"/>
        </w:rPr>
        <w:t>“</w:t>
      </w:r>
      <w:r w:rsidR="0015392A" w:rsidRPr="007B010A">
        <w:rPr>
          <w:shd w:val="clear" w:color="auto" w:fill="FFFFFF" w:themeFill="background1"/>
        </w:rPr>
        <w:t>Plānveida stacionāro veselības aprūpes pakalpojumu nodrošināšana</w:t>
      </w:r>
      <w:r w:rsidR="00041147">
        <w:rPr>
          <w:shd w:val="clear" w:color="auto" w:fill="FFFFFF" w:themeFill="background1"/>
        </w:rPr>
        <w:t>”</w:t>
      </w:r>
      <w:r w:rsidR="0015392A" w:rsidRPr="007B010A">
        <w:rPr>
          <w:shd w:val="clear" w:color="auto" w:fill="FFFFFF" w:themeFill="background1"/>
        </w:rPr>
        <w:t xml:space="preserve"> onkoloģisko saslimšanu diagnostikai un ārstēšanas pieejamības uzlabošanai, lai iegādātos jaunas medicīniskās iekārtas priekšdziedzera un urīnpūšļa vēža ārstēšanai un diagnostikai,</w:t>
      </w:r>
      <w:r w:rsidR="0015392A" w:rsidRPr="007B010A">
        <w:rPr>
          <w:bCs/>
          <w:kern w:val="1"/>
          <w:shd w:val="clear" w:color="auto" w:fill="FFFFFF" w:themeFill="background1"/>
          <w:lang w:eastAsia="ar-SA"/>
        </w:rPr>
        <w:t xml:space="preserve"> kas tika</w:t>
      </w:r>
      <w:r w:rsidR="0015392A" w:rsidRPr="007B010A">
        <w:rPr>
          <w:bCs/>
          <w:kern w:val="1"/>
          <w:lang w:eastAsia="ar-SA"/>
        </w:rPr>
        <w:t xml:space="preserve"> novirzīts šādu medicīnas iekārtu iegādei:</w:t>
      </w:r>
    </w:p>
    <w:p w14:paraId="0ECD0E4B" w14:textId="7B8E042F" w:rsidR="00D923AA" w:rsidRPr="007B010A" w:rsidRDefault="00D923AA" w:rsidP="00D923AA">
      <w:pPr>
        <w:numPr>
          <w:ilvl w:val="0"/>
          <w:numId w:val="14"/>
        </w:numPr>
        <w:shd w:val="clear" w:color="auto" w:fill="FFFFFF"/>
        <w:ind w:left="0" w:firstLine="720"/>
        <w:jc w:val="both"/>
        <w:rPr>
          <w:bCs/>
          <w:kern w:val="1"/>
          <w:lang w:eastAsia="ar-SA"/>
        </w:rPr>
      </w:pPr>
      <w:r w:rsidRPr="007B010A">
        <w:rPr>
          <w:bCs/>
          <w:kern w:val="1"/>
          <w:lang w:eastAsia="ar-SA"/>
        </w:rPr>
        <w:t xml:space="preserve">363 000 </w:t>
      </w:r>
      <w:proofErr w:type="spellStart"/>
      <w:r w:rsidRPr="007B010A">
        <w:rPr>
          <w:bCs/>
          <w:i/>
          <w:kern w:val="1"/>
          <w:lang w:eastAsia="ar-SA"/>
        </w:rPr>
        <w:t>euro</w:t>
      </w:r>
      <w:proofErr w:type="spellEnd"/>
      <w:r w:rsidR="00993E86" w:rsidRPr="007B010A">
        <w:rPr>
          <w:bCs/>
          <w:i/>
          <w:kern w:val="1"/>
          <w:lang w:eastAsia="ar-SA"/>
        </w:rPr>
        <w:t xml:space="preserve"> </w:t>
      </w:r>
      <w:r w:rsidR="00993E86" w:rsidRPr="007B010A">
        <w:rPr>
          <w:bCs/>
          <w:kern w:val="1"/>
          <w:lang w:eastAsia="ar-SA"/>
        </w:rPr>
        <w:t xml:space="preserve">(faktiski izlietoti 362 758 </w:t>
      </w:r>
      <w:proofErr w:type="spellStart"/>
      <w:r w:rsidR="00993E86" w:rsidRPr="007B010A">
        <w:rPr>
          <w:bCs/>
          <w:i/>
          <w:kern w:val="1"/>
          <w:lang w:eastAsia="ar-SA"/>
        </w:rPr>
        <w:t>euro</w:t>
      </w:r>
      <w:proofErr w:type="spellEnd"/>
      <w:r w:rsidR="00993E86" w:rsidRPr="007B010A">
        <w:rPr>
          <w:bCs/>
          <w:kern w:val="1"/>
          <w:lang w:eastAsia="ar-SA"/>
        </w:rPr>
        <w:t>)</w:t>
      </w:r>
      <w:r w:rsidRPr="007B010A">
        <w:rPr>
          <w:bCs/>
          <w:i/>
          <w:kern w:val="1"/>
          <w:lang w:eastAsia="ar-SA"/>
        </w:rPr>
        <w:t xml:space="preserve"> </w:t>
      </w:r>
      <w:r w:rsidRPr="007B010A">
        <w:rPr>
          <w:bCs/>
          <w:kern w:val="1"/>
          <w:lang w:eastAsia="ar-SA"/>
        </w:rPr>
        <w:t>- ultraskaņas un magnētiskās rezonanses attēlu sapludināšanas (</w:t>
      </w:r>
      <w:r w:rsidRPr="007B010A">
        <w:rPr>
          <w:bCs/>
          <w:i/>
          <w:kern w:val="1"/>
          <w:lang w:eastAsia="ar-SA"/>
        </w:rPr>
        <w:t xml:space="preserve">US/MR </w:t>
      </w:r>
      <w:proofErr w:type="spellStart"/>
      <w:r w:rsidRPr="007B010A">
        <w:rPr>
          <w:bCs/>
          <w:i/>
          <w:kern w:val="1"/>
          <w:lang w:eastAsia="ar-SA"/>
        </w:rPr>
        <w:t>Fusion</w:t>
      </w:r>
      <w:proofErr w:type="spellEnd"/>
      <w:r w:rsidRPr="007B010A">
        <w:rPr>
          <w:bCs/>
          <w:i/>
          <w:kern w:val="1"/>
          <w:lang w:eastAsia="ar-SA"/>
        </w:rPr>
        <w:t xml:space="preserve"> - </w:t>
      </w:r>
      <w:r w:rsidRPr="007B010A">
        <w:rPr>
          <w:bCs/>
          <w:kern w:val="1"/>
          <w:lang w:eastAsia="ar-SA"/>
        </w:rPr>
        <w:t>angļu val.) iekārtas, 2 gab. - ar kuru izmeklē pacientus, kuriem PSA (</w:t>
      </w:r>
      <w:proofErr w:type="spellStart"/>
      <w:r w:rsidRPr="007B010A">
        <w:rPr>
          <w:bCs/>
          <w:kern w:val="1"/>
          <w:lang w:eastAsia="ar-SA"/>
        </w:rPr>
        <w:t>prostatas</w:t>
      </w:r>
      <w:proofErr w:type="spellEnd"/>
      <w:r w:rsidRPr="007B010A">
        <w:rPr>
          <w:bCs/>
          <w:kern w:val="1"/>
          <w:lang w:eastAsia="ar-SA"/>
        </w:rPr>
        <w:t xml:space="preserve"> specifiskais antigēns) līmenis asinīs pārsniedz 2,5 </w:t>
      </w:r>
      <w:proofErr w:type="spellStart"/>
      <w:r w:rsidRPr="007B010A">
        <w:rPr>
          <w:bCs/>
          <w:kern w:val="1"/>
          <w:lang w:eastAsia="ar-SA"/>
        </w:rPr>
        <w:t>ng</w:t>
      </w:r>
      <w:proofErr w:type="spellEnd"/>
      <w:r w:rsidRPr="007B010A">
        <w:rPr>
          <w:bCs/>
          <w:kern w:val="1"/>
          <w:lang w:eastAsia="ar-SA"/>
        </w:rPr>
        <w:t xml:space="preserve">/ml; atrodot magnētiskās rezonanses izmeklējumā norādes par </w:t>
      </w:r>
      <w:proofErr w:type="spellStart"/>
      <w:r w:rsidRPr="007B010A">
        <w:rPr>
          <w:bCs/>
          <w:kern w:val="1"/>
          <w:lang w:eastAsia="ar-SA"/>
        </w:rPr>
        <w:t>prostatas</w:t>
      </w:r>
      <w:proofErr w:type="spellEnd"/>
      <w:r w:rsidRPr="007B010A">
        <w:rPr>
          <w:bCs/>
          <w:kern w:val="1"/>
          <w:lang w:eastAsia="ar-SA"/>
        </w:rPr>
        <w:t xml:space="preserve"> audzēju, pacientu </w:t>
      </w:r>
      <w:proofErr w:type="spellStart"/>
      <w:r w:rsidRPr="007B010A">
        <w:rPr>
          <w:bCs/>
          <w:kern w:val="1"/>
          <w:lang w:eastAsia="ar-SA"/>
        </w:rPr>
        <w:t>nosūta</w:t>
      </w:r>
      <w:proofErr w:type="spellEnd"/>
      <w:r w:rsidRPr="007B010A">
        <w:rPr>
          <w:bCs/>
          <w:kern w:val="1"/>
          <w:lang w:eastAsia="ar-SA"/>
        </w:rPr>
        <w:t xml:space="preserve"> tēmētai biopsijai (</w:t>
      </w:r>
      <w:proofErr w:type="spellStart"/>
      <w:r w:rsidRPr="007B010A">
        <w:rPr>
          <w:bCs/>
          <w:kern w:val="1"/>
          <w:lang w:eastAsia="ar-SA"/>
        </w:rPr>
        <w:t>transrektālai</w:t>
      </w:r>
      <w:proofErr w:type="spellEnd"/>
      <w:r w:rsidRPr="007B010A">
        <w:rPr>
          <w:bCs/>
          <w:kern w:val="1"/>
          <w:lang w:eastAsia="ar-SA"/>
        </w:rPr>
        <w:t xml:space="preserve"> vai </w:t>
      </w:r>
      <w:proofErr w:type="spellStart"/>
      <w:r w:rsidRPr="007B010A">
        <w:rPr>
          <w:bCs/>
          <w:kern w:val="1"/>
          <w:lang w:eastAsia="ar-SA"/>
        </w:rPr>
        <w:t>transperineālai</w:t>
      </w:r>
      <w:proofErr w:type="spellEnd"/>
      <w:r w:rsidRPr="007B010A">
        <w:rPr>
          <w:bCs/>
          <w:kern w:val="1"/>
          <w:lang w:eastAsia="ar-SA"/>
        </w:rPr>
        <w:t xml:space="preserve">), lai iegūtu histoloģiski apstiprinātu </w:t>
      </w:r>
      <w:proofErr w:type="spellStart"/>
      <w:r w:rsidRPr="007B010A">
        <w:rPr>
          <w:bCs/>
          <w:kern w:val="1"/>
          <w:lang w:eastAsia="ar-SA"/>
        </w:rPr>
        <w:t>prostatas</w:t>
      </w:r>
      <w:proofErr w:type="spellEnd"/>
      <w:r w:rsidRPr="007B010A">
        <w:rPr>
          <w:bCs/>
          <w:kern w:val="1"/>
          <w:lang w:eastAsia="ar-SA"/>
        </w:rPr>
        <w:t xml:space="preserve"> vēža diagnozi. Tēmētas biopsijas laikā tiek sapludināti reālā laikā izdarītas ultraskaņas izmeklēšanas attēli ar iepriekš iegūtiem magnētiskās rezonanses attēliem, tiek precīzi noteiktas biopsijas vietas un tiek veikta tēmētā biopsija;</w:t>
      </w:r>
    </w:p>
    <w:p w14:paraId="018F9609" w14:textId="48F05BDF" w:rsidR="000A4654" w:rsidRPr="007B010A" w:rsidRDefault="00D923AA" w:rsidP="000A4654">
      <w:pPr>
        <w:numPr>
          <w:ilvl w:val="0"/>
          <w:numId w:val="14"/>
        </w:numPr>
        <w:shd w:val="clear" w:color="auto" w:fill="FFFFFF"/>
        <w:ind w:left="0" w:firstLine="720"/>
        <w:jc w:val="both"/>
        <w:rPr>
          <w:bCs/>
          <w:kern w:val="1"/>
          <w:lang w:eastAsia="ar-SA"/>
        </w:rPr>
      </w:pPr>
      <w:r w:rsidRPr="007B010A">
        <w:rPr>
          <w:bCs/>
          <w:kern w:val="1"/>
          <w:lang w:eastAsia="ar-SA"/>
        </w:rPr>
        <w:t>1 022 450</w:t>
      </w:r>
      <w:r w:rsidRPr="007B010A">
        <w:rPr>
          <w:bCs/>
          <w:i/>
          <w:kern w:val="1"/>
          <w:lang w:eastAsia="ar-SA"/>
        </w:rPr>
        <w:t xml:space="preserve"> </w:t>
      </w:r>
      <w:proofErr w:type="spellStart"/>
      <w:r w:rsidRPr="007B010A">
        <w:rPr>
          <w:bCs/>
          <w:i/>
          <w:kern w:val="1"/>
          <w:lang w:eastAsia="ar-SA"/>
        </w:rPr>
        <w:t>euro</w:t>
      </w:r>
      <w:proofErr w:type="spellEnd"/>
      <w:r w:rsidRPr="007B010A">
        <w:rPr>
          <w:bCs/>
          <w:i/>
          <w:kern w:val="1"/>
          <w:lang w:eastAsia="ar-SA"/>
        </w:rPr>
        <w:t xml:space="preserve"> </w:t>
      </w:r>
      <w:r w:rsidR="00993E86" w:rsidRPr="007B010A">
        <w:rPr>
          <w:bCs/>
          <w:kern w:val="1"/>
          <w:lang w:eastAsia="ar-SA"/>
        </w:rPr>
        <w:t>(faktiski izlietoti 1</w:t>
      </w:r>
      <w:r w:rsidR="00E734C1" w:rsidRPr="007B010A">
        <w:rPr>
          <w:bCs/>
          <w:kern w:val="1"/>
          <w:lang w:eastAsia="ar-SA"/>
        </w:rPr>
        <w:t> </w:t>
      </w:r>
      <w:r w:rsidR="00993E86" w:rsidRPr="007B010A">
        <w:rPr>
          <w:bCs/>
          <w:kern w:val="1"/>
          <w:lang w:eastAsia="ar-SA"/>
        </w:rPr>
        <w:t>031</w:t>
      </w:r>
      <w:r w:rsidR="00E734C1" w:rsidRPr="007B010A">
        <w:rPr>
          <w:bCs/>
          <w:kern w:val="1"/>
          <w:lang w:eastAsia="ar-SA"/>
        </w:rPr>
        <w:t> </w:t>
      </w:r>
      <w:r w:rsidR="00993E86" w:rsidRPr="007B010A">
        <w:rPr>
          <w:bCs/>
          <w:kern w:val="1"/>
          <w:lang w:eastAsia="ar-SA"/>
        </w:rPr>
        <w:t xml:space="preserve">525 </w:t>
      </w:r>
      <w:proofErr w:type="spellStart"/>
      <w:r w:rsidR="00993E86" w:rsidRPr="007B010A">
        <w:rPr>
          <w:bCs/>
          <w:i/>
          <w:kern w:val="1"/>
          <w:lang w:eastAsia="ar-SA"/>
        </w:rPr>
        <w:t>euro</w:t>
      </w:r>
      <w:proofErr w:type="spellEnd"/>
      <w:r w:rsidR="00993E86" w:rsidRPr="007B010A">
        <w:rPr>
          <w:bCs/>
          <w:kern w:val="1"/>
          <w:lang w:eastAsia="ar-SA"/>
        </w:rPr>
        <w:t>)</w:t>
      </w:r>
      <w:r w:rsidR="00993E86" w:rsidRPr="007B010A">
        <w:rPr>
          <w:bCs/>
          <w:i/>
          <w:kern w:val="1"/>
          <w:lang w:eastAsia="ar-SA"/>
        </w:rPr>
        <w:t xml:space="preserve"> </w:t>
      </w:r>
      <w:r w:rsidRPr="007B010A">
        <w:rPr>
          <w:bCs/>
          <w:kern w:val="1"/>
          <w:lang w:eastAsia="ar-SA"/>
        </w:rPr>
        <w:t>- augstas intensitātes fokusētas ultraskaņas – AIFU (</w:t>
      </w:r>
      <w:r w:rsidRPr="007B010A">
        <w:rPr>
          <w:bCs/>
          <w:i/>
          <w:kern w:val="1"/>
          <w:lang w:eastAsia="ar-SA"/>
        </w:rPr>
        <w:t xml:space="preserve">HIFU </w:t>
      </w:r>
      <w:r w:rsidRPr="007B010A">
        <w:rPr>
          <w:bCs/>
          <w:kern w:val="1"/>
          <w:lang w:eastAsia="ar-SA"/>
        </w:rPr>
        <w:t xml:space="preserve">– angļu val.) terapijas iekārta - paredzēta </w:t>
      </w:r>
      <w:proofErr w:type="spellStart"/>
      <w:r w:rsidRPr="007B010A">
        <w:rPr>
          <w:bCs/>
          <w:kern w:val="1"/>
          <w:lang w:eastAsia="ar-SA"/>
        </w:rPr>
        <w:t>mazinvazīvai</w:t>
      </w:r>
      <w:proofErr w:type="spellEnd"/>
      <w:r w:rsidRPr="007B010A">
        <w:rPr>
          <w:bCs/>
          <w:kern w:val="1"/>
          <w:lang w:eastAsia="ar-SA"/>
        </w:rPr>
        <w:t xml:space="preserve"> </w:t>
      </w:r>
      <w:proofErr w:type="spellStart"/>
      <w:r w:rsidRPr="007B010A">
        <w:rPr>
          <w:bCs/>
          <w:kern w:val="1"/>
          <w:lang w:eastAsia="ar-SA"/>
        </w:rPr>
        <w:t>prostatas</w:t>
      </w:r>
      <w:proofErr w:type="spellEnd"/>
      <w:r w:rsidRPr="007B010A">
        <w:rPr>
          <w:bCs/>
          <w:kern w:val="1"/>
          <w:lang w:eastAsia="ar-SA"/>
        </w:rPr>
        <w:t xml:space="preserve"> vēža ārstēšanai pacientiem, kuriem ir vēža recidīvs pēc saņemtas staru terapijas. Metodes būtība – robotizēta ultraskaņas iekārta, izmantojot sapludinātos pacienta magnētiskās rezonanses un </w:t>
      </w:r>
      <w:r w:rsidRPr="007B010A">
        <w:rPr>
          <w:bCs/>
          <w:kern w:val="1"/>
          <w:lang w:eastAsia="ar-SA"/>
        </w:rPr>
        <w:lastRenderedPageBreak/>
        <w:t xml:space="preserve">ultraskaņas izmeklējumu attēlus, kuros ir marķētas vēža šūnu sakopojumu vietas, caur īpašu ultraskaņas zondi emitē </w:t>
      </w:r>
      <w:proofErr w:type="spellStart"/>
      <w:r w:rsidRPr="007B010A">
        <w:rPr>
          <w:bCs/>
          <w:kern w:val="1"/>
          <w:lang w:eastAsia="ar-SA"/>
        </w:rPr>
        <w:t>prostatā</w:t>
      </w:r>
      <w:proofErr w:type="spellEnd"/>
      <w:r w:rsidRPr="007B010A">
        <w:rPr>
          <w:bCs/>
          <w:kern w:val="1"/>
          <w:lang w:eastAsia="ar-SA"/>
        </w:rPr>
        <w:t xml:space="preserve"> fokusētu, augstas intensitātes ultraskaņu, iznīcinot vēža šūnas. Emitējamās ultraskaņas intensitāti, virzienu, ilgumu un citus parametrus nosaka iekārtas programmatūra, izmantojot informāciju no sapludinātajiem magnētiskās rezonanses un ultraskaņas izmeklējumu attēliem. Procedūra ir </w:t>
      </w:r>
      <w:proofErr w:type="spellStart"/>
      <w:r w:rsidRPr="007B010A">
        <w:rPr>
          <w:bCs/>
          <w:kern w:val="1"/>
          <w:lang w:eastAsia="ar-SA"/>
        </w:rPr>
        <w:t>vienmomenta</w:t>
      </w:r>
      <w:proofErr w:type="spellEnd"/>
      <w:r w:rsidRPr="007B010A">
        <w:rPr>
          <w:bCs/>
          <w:kern w:val="1"/>
          <w:lang w:eastAsia="ar-SA"/>
        </w:rPr>
        <w:t>, ilgst apmēram vienu stundu, izdarāma dienas stacionāra apstākļos. Vienreizējās procedūras pašizmaksa ir vismaz divas reizes zemāka par pašreizējās alternatīvas - medikamentozās kastrācijas izmaksām, kur medikamentu lietošana ilgst vidēji septiņus gadus, kurai ir daudz komplikāciju, kuru ārstēšana rada lielus papildu izdevumus;</w:t>
      </w:r>
    </w:p>
    <w:p w14:paraId="4C1E3249" w14:textId="755F6AD9" w:rsidR="00185EDB" w:rsidRPr="007B010A" w:rsidRDefault="00D923AA" w:rsidP="000A4654">
      <w:pPr>
        <w:numPr>
          <w:ilvl w:val="0"/>
          <w:numId w:val="14"/>
        </w:numPr>
        <w:shd w:val="clear" w:color="auto" w:fill="FFFFFF"/>
        <w:ind w:left="0" w:firstLine="720"/>
        <w:jc w:val="both"/>
        <w:rPr>
          <w:bCs/>
          <w:kern w:val="1"/>
          <w:lang w:eastAsia="ar-SA"/>
        </w:rPr>
      </w:pPr>
      <w:r w:rsidRPr="007B010A">
        <w:rPr>
          <w:bCs/>
          <w:kern w:val="1"/>
          <w:lang w:eastAsia="ar-SA"/>
        </w:rPr>
        <w:t>387 200</w:t>
      </w:r>
      <w:r w:rsidRPr="007B010A">
        <w:rPr>
          <w:bCs/>
          <w:i/>
          <w:kern w:val="1"/>
          <w:lang w:eastAsia="ar-SA"/>
        </w:rPr>
        <w:t xml:space="preserve"> </w:t>
      </w:r>
      <w:proofErr w:type="spellStart"/>
      <w:r w:rsidRPr="007B010A">
        <w:rPr>
          <w:bCs/>
          <w:i/>
          <w:kern w:val="1"/>
          <w:lang w:eastAsia="ar-SA"/>
        </w:rPr>
        <w:t>euro</w:t>
      </w:r>
      <w:proofErr w:type="spellEnd"/>
      <w:r w:rsidRPr="007B010A">
        <w:rPr>
          <w:bCs/>
          <w:i/>
          <w:kern w:val="1"/>
          <w:lang w:eastAsia="ar-SA"/>
        </w:rPr>
        <w:t xml:space="preserve"> </w:t>
      </w:r>
      <w:r w:rsidR="00993E86" w:rsidRPr="007B010A">
        <w:rPr>
          <w:bCs/>
          <w:kern w:val="1"/>
          <w:lang w:eastAsia="ar-SA"/>
        </w:rPr>
        <w:t>(faktiski izlietoti 423</w:t>
      </w:r>
      <w:r w:rsidR="00E734C1" w:rsidRPr="007B010A">
        <w:rPr>
          <w:bCs/>
          <w:kern w:val="1"/>
          <w:lang w:eastAsia="ar-SA"/>
        </w:rPr>
        <w:t> </w:t>
      </w:r>
      <w:r w:rsidR="00993E86" w:rsidRPr="007B010A">
        <w:rPr>
          <w:bCs/>
          <w:kern w:val="1"/>
          <w:lang w:eastAsia="ar-SA"/>
        </w:rPr>
        <w:t xml:space="preserve">500 </w:t>
      </w:r>
      <w:proofErr w:type="spellStart"/>
      <w:r w:rsidR="00993E86" w:rsidRPr="007B010A">
        <w:rPr>
          <w:bCs/>
          <w:i/>
          <w:kern w:val="1"/>
          <w:lang w:eastAsia="ar-SA"/>
        </w:rPr>
        <w:t>euro</w:t>
      </w:r>
      <w:proofErr w:type="spellEnd"/>
      <w:r w:rsidR="00993E86" w:rsidRPr="007B010A">
        <w:rPr>
          <w:bCs/>
          <w:kern w:val="1"/>
          <w:lang w:eastAsia="ar-SA"/>
        </w:rPr>
        <w:t>)</w:t>
      </w:r>
      <w:r w:rsidR="00993E86" w:rsidRPr="007B010A">
        <w:rPr>
          <w:bCs/>
          <w:i/>
          <w:kern w:val="1"/>
          <w:lang w:eastAsia="ar-SA"/>
        </w:rPr>
        <w:t xml:space="preserve"> </w:t>
      </w:r>
      <w:r w:rsidRPr="007B010A">
        <w:rPr>
          <w:bCs/>
          <w:kern w:val="1"/>
          <w:lang w:eastAsia="ar-SA"/>
        </w:rPr>
        <w:t xml:space="preserve">- distances </w:t>
      </w:r>
      <w:proofErr w:type="spellStart"/>
      <w:r w:rsidRPr="007B010A">
        <w:rPr>
          <w:bCs/>
          <w:kern w:val="1"/>
          <w:lang w:eastAsia="ar-SA"/>
        </w:rPr>
        <w:t>litotripsijas</w:t>
      </w:r>
      <w:proofErr w:type="spellEnd"/>
      <w:r w:rsidRPr="007B010A">
        <w:rPr>
          <w:bCs/>
          <w:kern w:val="1"/>
          <w:lang w:eastAsia="ar-SA"/>
        </w:rPr>
        <w:t xml:space="preserve"> iekārta </w:t>
      </w:r>
      <w:proofErr w:type="spellStart"/>
      <w:r w:rsidRPr="007B010A">
        <w:rPr>
          <w:bCs/>
          <w:kern w:val="1"/>
          <w:lang w:eastAsia="ar-SA"/>
        </w:rPr>
        <w:t>mazinvazīvu</w:t>
      </w:r>
      <w:proofErr w:type="spellEnd"/>
      <w:r w:rsidRPr="007B010A">
        <w:rPr>
          <w:bCs/>
          <w:kern w:val="1"/>
          <w:lang w:eastAsia="ar-SA"/>
        </w:rPr>
        <w:t xml:space="preserve"> ārstniecisku procedūru pacientiem ar nierakmeņu slimību veikšanai. Reāla laika rentgenstaru kontrolē speciāla ultraskaņas iekārta emitē augstas intensitātes ultraskaņas devu </w:t>
      </w:r>
      <w:proofErr w:type="spellStart"/>
      <w:r w:rsidRPr="007B010A">
        <w:rPr>
          <w:bCs/>
          <w:kern w:val="1"/>
          <w:lang w:eastAsia="ar-SA"/>
        </w:rPr>
        <w:t>nierakmeņa</w:t>
      </w:r>
      <w:proofErr w:type="spellEnd"/>
      <w:r w:rsidRPr="007B010A">
        <w:rPr>
          <w:bCs/>
          <w:kern w:val="1"/>
          <w:lang w:eastAsia="ar-SA"/>
        </w:rPr>
        <w:t xml:space="preserve"> virzienā, panākot tā sagraušanu līdz izmēriem, kuri ļauj šīm </w:t>
      </w:r>
      <w:proofErr w:type="spellStart"/>
      <w:r w:rsidRPr="007B010A">
        <w:rPr>
          <w:bCs/>
          <w:kern w:val="1"/>
          <w:lang w:eastAsia="ar-SA"/>
        </w:rPr>
        <w:t>nierakmeņa</w:t>
      </w:r>
      <w:proofErr w:type="spellEnd"/>
      <w:r w:rsidRPr="007B010A">
        <w:rPr>
          <w:bCs/>
          <w:kern w:val="1"/>
          <w:lang w:eastAsia="ar-SA"/>
        </w:rPr>
        <w:t xml:space="preserve"> šķembām evakuēties dabiskā ceļā. Distances </w:t>
      </w:r>
      <w:proofErr w:type="spellStart"/>
      <w:r w:rsidRPr="007B010A">
        <w:rPr>
          <w:bCs/>
          <w:kern w:val="1"/>
          <w:lang w:eastAsia="ar-SA"/>
        </w:rPr>
        <w:t>litotripsiju</w:t>
      </w:r>
      <w:proofErr w:type="spellEnd"/>
      <w:r w:rsidRPr="007B010A">
        <w:rPr>
          <w:bCs/>
          <w:kern w:val="1"/>
          <w:lang w:eastAsia="ar-SA"/>
        </w:rPr>
        <w:t xml:space="preserve"> – tā ir neatliekamās uroloģijas daļ</w:t>
      </w:r>
      <w:r w:rsidR="00885BE2" w:rsidRPr="007B010A">
        <w:rPr>
          <w:bCs/>
          <w:kern w:val="1"/>
          <w:lang w:eastAsia="ar-SA"/>
        </w:rPr>
        <w:t>ā</w:t>
      </w:r>
      <w:r w:rsidR="007F21D5" w:rsidRPr="007B010A">
        <w:rPr>
          <w:bCs/>
          <w:kern w:val="1"/>
          <w:lang w:eastAsia="ar-SA"/>
        </w:rPr>
        <w:t xml:space="preserve"> </w:t>
      </w:r>
      <w:r w:rsidRPr="007B010A">
        <w:rPr>
          <w:bCs/>
          <w:kern w:val="1"/>
          <w:lang w:eastAsia="ar-SA"/>
        </w:rPr>
        <w:t>veikto procedūru skaits pieaug katru gadu: 2015.gadā – 126 procedūras; 2016.gadā – 183 procedūras; 2017.gadā – 228 procedūras</w:t>
      </w:r>
      <w:r w:rsidR="00185EDB" w:rsidRPr="007B010A">
        <w:rPr>
          <w:bCs/>
          <w:kern w:val="1"/>
          <w:lang w:eastAsia="ar-SA"/>
        </w:rPr>
        <w:t xml:space="preserve">. </w:t>
      </w:r>
    </w:p>
    <w:p w14:paraId="026C9E9C" w14:textId="3BE7F13B" w:rsidR="00185EDB" w:rsidRPr="007B010A" w:rsidRDefault="00185EDB" w:rsidP="00965EB1">
      <w:pPr>
        <w:pStyle w:val="xmsonormal"/>
        <w:shd w:val="clear" w:color="auto" w:fill="FFFFFF"/>
        <w:spacing w:before="0" w:beforeAutospacing="0" w:after="0" w:afterAutospacing="0"/>
        <w:ind w:firstLine="720"/>
        <w:jc w:val="both"/>
        <w:rPr>
          <w:sz w:val="22"/>
          <w:szCs w:val="22"/>
        </w:rPr>
      </w:pPr>
      <w:r w:rsidRPr="007B010A">
        <w:t>Šodienas klīniskajā praksē iekārtas, ko izmanto pacientu ārstēšanai ir ar plašu funkcionālo pielietojumu. Turklāt arī pacientu saslimšanas gadījumi var būt  komplicēti un nereti onkoloģiskajiem pacientiem tiek identificētas arī citas slimības, kas būtiski pasliktina dzīves kvalitāti un darba spējas. Tāpēc vienlaicīgi veicot vairākas manipulācijas ir iespējams kompleksi paātrināt  pacientu atveseļošanas procesu un atgriešanos darbā.</w:t>
      </w:r>
    </w:p>
    <w:p w14:paraId="1C0D8670" w14:textId="52673890" w:rsidR="00185EDB" w:rsidRPr="007B010A" w:rsidRDefault="00185EDB" w:rsidP="00965EB1">
      <w:pPr>
        <w:shd w:val="clear" w:color="auto" w:fill="FFFFFF"/>
        <w:ind w:firstLine="720"/>
        <w:jc w:val="both"/>
        <w:rPr>
          <w:sz w:val="22"/>
          <w:szCs w:val="22"/>
        </w:rPr>
      </w:pPr>
      <w:r w:rsidRPr="007B010A">
        <w:t xml:space="preserve">Arī uroloģisko slimību </w:t>
      </w:r>
      <w:proofErr w:type="spellStart"/>
      <w:r w:rsidRPr="007B010A">
        <w:t>mazinvazīvai</w:t>
      </w:r>
      <w:proofErr w:type="spellEnd"/>
      <w:r w:rsidRPr="007B010A">
        <w:t xml:space="preserve"> ārstēšanai vairums pielietoto iekārtu un/vai tehnoloģiju ir paredzētas vienlaicīgi gan neonkoloģisko, gan onkoloģisko slimību diagnostikai vai ārstēšanai. Tādas ir vairākas iekārtas un tehnoloģijas, piemēram - </w:t>
      </w:r>
      <w:proofErr w:type="spellStart"/>
      <w:r w:rsidRPr="007B010A">
        <w:t>Transuretrālas</w:t>
      </w:r>
      <w:proofErr w:type="spellEnd"/>
      <w:r w:rsidRPr="007B010A">
        <w:t xml:space="preserve"> </w:t>
      </w:r>
      <w:proofErr w:type="spellStart"/>
      <w:r w:rsidRPr="007B010A">
        <w:t>rezekcijas</w:t>
      </w:r>
      <w:proofErr w:type="spellEnd"/>
      <w:r w:rsidR="00717660" w:rsidRPr="007B010A">
        <w:t xml:space="preserve"> </w:t>
      </w:r>
      <w:r w:rsidRPr="007B010A">
        <w:t xml:space="preserve">(TUR) iekārta un aparatūra, </w:t>
      </w:r>
      <w:proofErr w:type="spellStart"/>
      <w:r w:rsidRPr="007B010A">
        <w:t>ureteroro</w:t>
      </w:r>
      <w:r w:rsidR="00F81D51" w:rsidRPr="007B010A">
        <w:t>renoskopijas</w:t>
      </w:r>
      <w:proofErr w:type="spellEnd"/>
      <w:r w:rsidR="00F81D51" w:rsidRPr="007B010A">
        <w:t xml:space="preserve"> apa</w:t>
      </w:r>
      <w:r w:rsidRPr="007B010A">
        <w:t>ratūra (</w:t>
      </w:r>
      <w:proofErr w:type="spellStart"/>
      <w:r w:rsidRPr="007B010A">
        <w:t>semirigidie</w:t>
      </w:r>
      <w:proofErr w:type="spellEnd"/>
      <w:r w:rsidRPr="007B010A">
        <w:t xml:space="preserve"> un </w:t>
      </w:r>
      <w:proofErr w:type="spellStart"/>
      <w:r w:rsidRPr="007B010A">
        <w:t>fleksiblie</w:t>
      </w:r>
      <w:proofErr w:type="spellEnd"/>
      <w:r w:rsidRPr="007B010A">
        <w:t xml:space="preserve"> instrumenti) u.c. Tāda ir arī distances </w:t>
      </w:r>
      <w:proofErr w:type="spellStart"/>
      <w:r w:rsidRPr="007B010A">
        <w:t>litotripsijas</w:t>
      </w:r>
      <w:proofErr w:type="spellEnd"/>
      <w:r w:rsidRPr="007B010A">
        <w:t xml:space="preserve"> iekārta, kuru plānots pielietot </w:t>
      </w:r>
      <w:r w:rsidR="00D30DA9" w:rsidRPr="007B010A">
        <w:t>SIA „Rīgas Austrumu klīniskā universitātes slimnīca”</w:t>
      </w:r>
      <w:r w:rsidRPr="007B010A">
        <w:t xml:space="preserve"> Uroloģijas un onkoloģiskās uroloģijas klīnikā  pacientu kompleksai ārstēšanai, tādējādi maksimāli noslogojot minēto iekārtu un pilnībā izmantojot šīs iekārtas funkcionālās iespējas. Iegādājoties šo mūsdienīgo tehnoloģiju </w:t>
      </w:r>
      <w:r w:rsidR="00D30DA9" w:rsidRPr="007B010A">
        <w:t>SIA „Rīgas Austrumu klīniskā universitātes slimnīca”</w:t>
      </w:r>
      <w:r w:rsidRPr="007B010A">
        <w:t xml:space="preserve"> speciālisti neaprobežosies tikai ar  nierakmeņu ārstēšanu (</w:t>
      </w:r>
      <w:proofErr w:type="spellStart"/>
      <w:r w:rsidRPr="007B010A">
        <w:t>litotripsiju</w:t>
      </w:r>
      <w:proofErr w:type="spellEnd"/>
      <w:r w:rsidRPr="007B010A">
        <w:t xml:space="preserve">), bet kompleksi risinās pacienta klīnisko problēmu daudz </w:t>
      </w:r>
      <w:r w:rsidR="00976CDE" w:rsidRPr="007B010A">
        <w:t>plašāk, sadarbojoties gan urolog</w:t>
      </w:r>
      <w:r w:rsidRPr="007B010A">
        <w:t>iem, gan ginekologiem un citiem speciālistiem.</w:t>
      </w:r>
    </w:p>
    <w:p w14:paraId="4DEB4045" w14:textId="6653F54F" w:rsidR="00185EDB" w:rsidRPr="007B010A" w:rsidRDefault="00185EDB" w:rsidP="00965EB1">
      <w:pPr>
        <w:shd w:val="clear" w:color="auto" w:fill="FFFFFF"/>
        <w:ind w:firstLine="720"/>
        <w:jc w:val="both"/>
      </w:pPr>
      <w:r w:rsidRPr="007B010A">
        <w:t xml:space="preserve">Kā spilgtu piemēru var minēt onkoloģisku (ar dzemdes kakla, iegurņa audzēju) pacientu, kuram ir </w:t>
      </w:r>
      <w:proofErr w:type="spellStart"/>
      <w:r w:rsidRPr="007B010A">
        <w:t>nefrostomas</w:t>
      </w:r>
      <w:proofErr w:type="spellEnd"/>
      <w:r w:rsidRPr="007B010A">
        <w:t xml:space="preserve"> katetra sarežģījums – uz katetra izveidojies akmens (</w:t>
      </w:r>
      <w:proofErr w:type="spellStart"/>
      <w:r w:rsidRPr="007B010A">
        <w:t>kalcifikāts</w:t>
      </w:r>
      <w:proofErr w:type="spellEnd"/>
      <w:r w:rsidRPr="007B010A">
        <w:t xml:space="preserve">). Šādam pacientam, lai nomainītu </w:t>
      </w:r>
      <w:proofErr w:type="spellStart"/>
      <w:r w:rsidRPr="007B010A">
        <w:t>nefrostomas</w:t>
      </w:r>
      <w:proofErr w:type="spellEnd"/>
      <w:r w:rsidRPr="007B010A">
        <w:t xml:space="preserve"> katetru, vispirms ir nepieciešams ar distances </w:t>
      </w:r>
      <w:proofErr w:type="spellStart"/>
      <w:r w:rsidRPr="007B010A">
        <w:t>litotripisijas</w:t>
      </w:r>
      <w:proofErr w:type="spellEnd"/>
      <w:r w:rsidRPr="007B010A">
        <w:t xml:space="preserve"> metodi saskaldīt </w:t>
      </w:r>
      <w:proofErr w:type="spellStart"/>
      <w:r w:rsidRPr="007B010A">
        <w:t>kalcifikātu</w:t>
      </w:r>
      <w:proofErr w:type="spellEnd"/>
      <w:r w:rsidRPr="007B010A">
        <w:t xml:space="preserve"> uz katetra gala un tikai pēc tam ir iespējams veikt </w:t>
      </w:r>
      <w:proofErr w:type="spellStart"/>
      <w:r w:rsidRPr="007B010A">
        <w:t>nefrostomas</w:t>
      </w:r>
      <w:proofErr w:type="spellEnd"/>
      <w:r w:rsidRPr="007B010A">
        <w:t xml:space="preserve"> katetra nomaiņu.</w:t>
      </w:r>
    </w:p>
    <w:p w14:paraId="4EE8057A" w14:textId="77777777" w:rsidR="00185EDB" w:rsidRPr="007B010A" w:rsidRDefault="00185EDB" w:rsidP="007B010A">
      <w:pPr>
        <w:pStyle w:val="xmsonormal"/>
        <w:shd w:val="clear" w:color="auto" w:fill="FFFFFF"/>
        <w:spacing w:before="0" w:beforeAutospacing="0" w:after="0" w:afterAutospacing="0"/>
        <w:ind w:firstLine="709"/>
        <w:rPr>
          <w:sz w:val="22"/>
          <w:szCs w:val="22"/>
        </w:rPr>
      </w:pPr>
      <w:r w:rsidRPr="007B010A">
        <w:t xml:space="preserve">Distances </w:t>
      </w:r>
      <w:proofErr w:type="spellStart"/>
      <w:r w:rsidRPr="007B010A">
        <w:t>litotripsijas</w:t>
      </w:r>
      <w:proofErr w:type="spellEnd"/>
      <w:r w:rsidRPr="007B010A">
        <w:t xml:space="preserve"> iekārta sastāv no vairākām funkcionālām daļām:</w:t>
      </w:r>
    </w:p>
    <w:p w14:paraId="3626F0B0" w14:textId="77777777" w:rsidR="00185EDB" w:rsidRPr="007B010A" w:rsidRDefault="00185EDB" w:rsidP="00185EDB">
      <w:pPr>
        <w:numPr>
          <w:ilvl w:val="0"/>
          <w:numId w:val="22"/>
        </w:numPr>
        <w:shd w:val="clear" w:color="auto" w:fill="FFFFFF"/>
        <w:rPr>
          <w:sz w:val="22"/>
          <w:szCs w:val="22"/>
        </w:rPr>
      </w:pPr>
      <w:r w:rsidRPr="007B010A">
        <w:t>Specializēts galds, uz kura var veikt dažādas uroloģiskas operācijas un manipulācijas</w:t>
      </w:r>
    </w:p>
    <w:p w14:paraId="0EEC61D6" w14:textId="77777777" w:rsidR="00185EDB" w:rsidRPr="007B010A" w:rsidRDefault="00185EDB" w:rsidP="00185EDB">
      <w:pPr>
        <w:numPr>
          <w:ilvl w:val="0"/>
          <w:numId w:val="22"/>
        </w:numPr>
        <w:shd w:val="clear" w:color="auto" w:fill="FFFFFF"/>
        <w:rPr>
          <w:sz w:val="22"/>
          <w:szCs w:val="22"/>
        </w:rPr>
      </w:pPr>
      <w:r w:rsidRPr="007B010A">
        <w:t xml:space="preserve">Loka </w:t>
      </w:r>
      <w:proofErr w:type="spellStart"/>
      <w:r w:rsidRPr="007B010A">
        <w:t>rtg</w:t>
      </w:r>
      <w:proofErr w:type="spellEnd"/>
      <w:r w:rsidRPr="007B010A">
        <w:t xml:space="preserve"> iekārta, ar kuru veic rentgenoloģisku kontroli uroloģisko manipulāciju laikā</w:t>
      </w:r>
    </w:p>
    <w:p w14:paraId="5A470BAF" w14:textId="77777777" w:rsidR="004B5234" w:rsidRPr="007B010A" w:rsidRDefault="00185EDB" w:rsidP="00965EB1">
      <w:pPr>
        <w:numPr>
          <w:ilvl w:val="0"/>
          <w:numId w:val="22"/>
        </w:numPr>
        <w:shd w:val="clear" w:color="auto" w:fill="FFFFFF"/>
        <w:rPr>
          <w:sz w:val="22"/>
          <w:szCs w:val="22"/>
        </w:rPr>
      </w:pPr>
      <w:r w:rsidRPr="007B010A">
        <w:t>Distances triecienviļņus ģenerējoša iekārta, kura skalda nierakmeņus.</w:t>
      </w:r>
    </w:p>
    <w:p w14:paraId="46B8B429" w14:textId="77777777" w:rsidR="004B5234" w:rsidRPr="007B010A" w:rsidRDefault="00185EDB" w:rsidP="007B010A">
      <w:pPr>
        <w:shd w:val="clear" w:color="auto" w:fill="FFFFFF"/>
        <w:ind w:firstLine="709"/>
        <w:jc w:val="both"/>
      </w:pPr>
      <w:r w:rsidRPr="007B010A">
        <w:t>Katra no funkcionālajām daļām atsevišķi un kombinējot, tiek izmantota dažādu slimību diagnostikai un ārstēšanai, tajā skaitā onkoloģisku. Jāpiebilst, ka pacientam ar jebkuru onkoloģisku slimību var būt nierakmeņi un nereti onkoloģiskās slimības ir nierakmeņus veicinošs faktors.</w:t>
      </w:r>
      <w:r w:rsidR="004B5234" w:rsidRPr="007B010A">
        <w:t xml:space="preserve"> </w:t>
      </w:r>
    </w:p>
    <w:p w14:paraId="758E7057" w14:textId="5CF1DA02" w:rsidR="00D923AA" w:rsidRPr="007B010A" w:rsidRDefault="00D30DA9" w:rsidP="00E3203A">
      <w:pPr>
        <w:shd w:val="clear" w:color="auto" w:fill="FFFFFF"/>
        <w:ind w:firstLine="709"/>
        <w:jc w:val="both"/>
      </w:pPr>
      <w:r w:rsidRPr="007B010A">
        <w:t>SIA „Rīgas Austrumu klīniskā universitātes slimnīca”</w:t>
      </w:r>
      <w:r w:rsidR="00185EDB" w:rsidRPr="007B010A">
        <w:t xml:space="preserve"> Uroloģijas un onkoloģiskās uroloģijas klīnika ir lielākais uroloģisko pakalpojumu sniedzējs valstī ar lielāko onkoloģisko pacientu plūsmu un pieredzi </w:t>
      </w:r>
      <w:proofErr w:type="spellStart"/>
      <w:r w:rsidR="00185EDB" w:rsidRPr="007B010A">
        <w:t>multidisciplināras</w:t>
      </w:r>
      <w:proofErr w:type="spellEnd"/>
      <w:r w:rsidR="00185EDB" w:rsidRPr="007B010A">
        <w:t xml:space="preserve"> palīdzības nodrošināšanai šai pacientu grupai;</w:t>
      </w:r>
    </w:p>
    <w:p w14:paraId="0EB15224" w14:textId="513C092C" w:rsidR="00F1788E" w:rsidRPr="007B010A" w:rsidRDefault="00D923AA" w:rsidP="001E6C29">
      <w:pPr>
        <w:numPr>
          <w:ilvl w:val="0"/>
          <w:numId w:val="14"/>
        </w:numPr>
        <w:shd w:val="clear" w:color="auto" w:fill="FFFFFF"/>
        <w:ind w:left="0" w:firstLine="720"/>
        <w:jc w:val="both"/>
        <w:rPr>
          <w:bCs/>
          <w:kern w:val="1"/>
          <w:lang w:eastAsia="ar-SA"/>
        </w:rPr>
      </w:pPr>
      <w:r w:rsidRPr="007B010A">
        <w:rPr>
          <w:bCs/>
          <w:kern w:val="1"/>
          <w:lang w:eastAsia="ar-SA"/>
        </w:rPr>
        <w:t xml:space="preserve">1 452 000 </w:t>
      </w:r>
      <w:proofErr w:type="spellStart"/>
      <w:r w:rsidRPr="007B010A">
        <w:rPr>
          <w:bCs/>
          <w:i/>
          <w:kern w:val="1"/>
          <w:lang w:eastAsia="ar-SA"/>
        </w:rPr>
        <w:t>euro</w:t>
      </w:r>
      <w:proofErr w:type="spellEnd"/>
      <w:r w:rsidRPr="007B010A">
        <w:rPr>
          <w:bCs/>
          <w:i/>
          <w:kern w:val="1"/>
          <w:lang w:eastAsia="ar-SA"/>
        </w:rPr>
        <w:t xml:space="preserve"> </w:t>
      </w:r>
      <w:r w:rsidR="00FA7DF1" w:rsidRPr="007B010A">
        <w:rPr>
          <w:bCs/>
          <w:kern w:val="1"/>
          <w:lang w:eastAsia="ar-SA"/>
        </w:rPr>
        <w:t xml:space="preserve">(faktiski izlietoti 1 389 988 </w:t>
      </w:r>
      <w:proofErr w:type="spellStart"/>
      <w:r w:rsidR="00FA7DF1" w:rsidRPr="007B010A">
        <w:rPr>
          <w:bCs/>
          <w:i/>
          <w:kern w:val="1"/>
          <w:lang w:eastAsia="ar-SA"/>
        </w:rPr>
        <w:t>euro</w:t>
      </w:r>
      <w:proofErr w:type="spellEnd"/>
      <w:r w:rsidR="00FA7DF1" w:rsidRPr="007B010A">
        <w:rPr>
          <w:bCs/>
          <w:kern w:val="1"/>
          <w:lang w:eastAsia="ar-SA"/>
        </w:rPr>
        <w:t>)</w:t>
      </w:r>
      <w:r w:rsidR="00FA7DF1" w:rsidRPr="007B010A">
        <w:rPr>
          <w:bCs/>
          <w:i/>
          <w:kern w:val="1"/>
          <w:lang w:eastAsia="ar-SA"/>
        </w:rPr>
        <w:t xml:space="preserve"> </w:t>
      </w:r>
      <w:r w:rsidRPr="007B010A">
        <w:rPr>
          <w:bCs/>
          <w:kern w:val="1"/>
          <w:lang w:eastAsia="ar-SA"/>
        </w:rPr>
        <w:t>- 3T (</w:t>
      </w:r>
      <w:r w:rsidRPr="007B010A">
        <w:rPr>
          <w:bCs/>
          <w:i/>
          <w:kern w:val="1"/>
          <w:lang w:eastAsia="ar-SA"/>
        </w:rPr>
        <w:t>Teslu</w:t>
      </w:r>
      <w:r w:rsidRPr="007B010A">
        <w:rPr>
          <w:bCs/>
          <w:kern w:val="1"/>
          <w:lang w:eastAsia="ar-SA"/>
        </w:rPr>
        <w:t xml:space="preserve">) magnētiskās rezonanses diagnostikas iekārta - dod iespēju iegūt daudz augstākas izšķirtspējas vizuālo informāciju par dažādiem patoloģiskajiem procesiem dažādos orgānos un orgānu sistēmās, </w:t>
      </w:r>
      <w:r w:rsidRPr="007B010A">
        <w:rPr>
          <w:bCs/>
          <w:kern w:val="1"/>
          <w:lang w:eastAsia="ar-SA"/>
        </w:rPr>
        <w:lastRenderedPageBreak/>
        <w:t xml:space="preserve">neizmantojot jonizējošo starojumu. 3T magnētiskās rezonanses iekārtu paredzēts izmantot ne tikai </w:t>
      </w:r>
      <w:proofErr w:type="spellStart"/>
      <w:r w:rsidRPr="007B010A">
        <w:rPr>
          <w:bCs/>
          <w:kern w:val="1"/>
          <w:lang w:eastAsia="ar-SA"/>
        </w:rPr>
        <w:t>prostatas</w:t>
      </w:r>
      <w:proofErr w:type="spellEnd"/>
      <w:r w:rsidRPr="007B010A">
        <w:rPr>
          <w:bCs/>
          <w:kern w:val="1"/>
          <w:lang w:eastAsia="ar-SA"/>
        </w:rPr>
        <w:t xml:space="preserve"> vēža diagnostikai, bet arī daudzu citu slimību, tostarp arī citu lokalizāciju onkoloģisko slimību diagnostikā un dinamiskā novērošanā. Īpaši svarīga ir iespēja izmantot slimību dinamiskā novērošanā, iegūstot augstas izšķirtspējas attēlus, neizmantojot jonizējošo starojumu, kas nereti ierobežo dinamiskas novērošanas iespējas.</w:t>
      </w:r>
    </w:p>
    <w:p w14:paraId="660A0DC7" w14:textId="77777777" w:rsidR="00F1788E" w:rsidRPr="007B010A" w:rsidRDefault="00F1788E" w:rsidP="00F1788E">
      <w:pPr>
        <w:shd w:val="clear" w:color="auto" w:fill="FFFFFF"/>
        <w:jc w:val="both"/>
        <w:rPr>
          <w:lang w:bidi="lo-LA"/>
        </w:rPr>
      </w:pPr>
    </w:p>
    <w:p w14:paraId="4FC5687B" w14:textId="5D42C2EF" w:rsidR="00905DD0" w:rsidRPr="007B010A" w:rsidRDefault="00905DD0" w:rsidP="00F1788E">
      <w:pPr>
        <w:shd w:val="clear" w:color="auto" w:fill="FFFFFF"/>
        <w:ind w:firstLine="720"/>
        <w:jc w:val="both"/>
        <w:rPr>
          <w:lang w:bidi="lo-LA"/>
        </w:rPr>
      </w:pPr>
      <w:r w:rsidRPr="007B010A">
        <w:rPr>
          <w:lang w:bidi="lo-LA"/>
        </w:rPr>
        <w:t>Atbilstoši 2018.gada faktiskajai izpildei tika iegādātas medicīniskās iekārtas par kopējo summu 3</w:t>
      </w:r>
      <w:r w:rsidR="007B5E46">
        <w:rPr>
          <w:lang w:bidi="lo-LA"/>
        </w:rPr>
        <w:t> </w:t>
      </w:r>
      <w:r w:rsidRPr="007B010A">
        <w:rPr>
          <w:lang w:bidi="lo-LA"/>
        </w:rPr>
        <w:t>207</w:t>
      </w:r>
      <w:r w:rsidR="007B5E46">
        <w:rPr>
          <w:lang w:bidi="lo-LA"/>
        </w:rPr>
        <w:t> </w:t>
      </w:r>
      <w:r w:rsidRPr="007B010A">
        <w:rPr>
          <w:lang w:bidi="lo-LA"/>
        </w:rPr>
        <w:t xml:space="preserve">771 </w:t>
      </w:r>
      <w:proofErr w:type="spellStart"/>
      <w:r w:rsidRPr="007B010A">
        <w:rPr>
          <w:i/>
          <w:lang w:bidi="lo-LA"/>
        </w:rPr>
        <w:t>euro</w:t>
      </w:r>
      <w:proofErr w:type="spellEnd"/>
      <w:r w:rsidRPr="007B010A">
        <w:rPr>
          <w:lang w:bidi="lo-LA"/>
        </w:rPr>
        <w:t xml:space="preserve"> apmērā.</w:t>
      </w:r>
      <w:r w:rsidR="00A976F1" w:rsidRPr="007B010A">
        <w:rPr>
          <w:lang w:bidi="lo-LA"/>
        </w:rPr>
        <w:t xml:space="preserve"> </w:t>
      </w:r>
      <w:r w:rsidR="00E81E9C" w:rsidRPr="007B010A">
        <w:rPr>
          <w:lang w:bidi="lo-LA"/>
        </w:rPr>
        <w:t xml:space="preserve">Kopējā līdzekļu ekonomija 16 879 </w:t>
      </w:r>
      <w:proofErr w:type="spellStart"/>
      <w:r w:rsidR="00E81E9C" w:rsidRPr="007B010A">
        <w:rPr>
          <w:i/>
          <w:lang w:bidi="lo-LA"/>
        </w:rPr>
        <w:t>euro</w:t>
      </w:r>
      <w:proofErr w:type="spellEnd"/>
      <w:r w:rsidR="00E81E9C" w:rsidRPr="007B010A">
        <w:rPr>
          <w:i/>
          <w:lang w:bidi="lo-LA"/>
        </w:rPr>
        <w:t xml:space="preserve"> </w:t>
      </w:r>
      <w:r w:rsidR="00E81E9C" w:rsidRPr="007B010A">
        <w:rPr>
          <w:lang w:bidi="lo-LA"/>
        </w:rPr>
        <w:t>apmērā tiks novirzīta citu</w:t>
      </w:r>
      <w:r w:rsidR="008D211F" w:rsidRPr="007B010A">
        <w:rPr>
          <w:lang w:bidi="lo-LA"/>
        </w:rPr>
        <w:t xml:space="preserve"> aktuālu</w:t>
      </w:r>
      <w:r w:rsidR="00E81E9C" w:rsidRPr="007B010A">
        <w:rPr>
          <w:lang w:bidi="lo-LA"/>
        </w:rPr>
        <w:t xml:space="preserve"> medicīnas iekārtu iegādei.</w:t>
      </w:r>
    </w:p>
    <w:p w14:paraId="62EE450C" w14:textId="69DBBA31" w:rsidR="004F5453" w:rsidRPr="007B010A" w:rsidRDefault="004F5453" w:rsidP="00F1788E">
      <w:pPr>
        <w:shd w:val="clear" w:color="auto" w:fill="FFFFFF"/>
        <w:ind w:firstLine="720"/>
        <w:jc w:val="both"/>
        <w:rPr>
          <w:bCs/>
          <w:kern w:val="1"/>
          <w:lang w:eastAsia="ar-SA"/>
        </w:rPr>
      </w:pPr>
    </w:p>
    <w:p w14:paraId="2D82EC07" w14:textId="052EE2EC" w:rsidR="004F5453" w:rsidRPr="007B010A" w:rsidRDefault="004F5453" w:rsidP="005C516C">
      <w:pPr>
        <w:shd w:val="clear" w:color="auto" w:fill="FFFFFF"/>
        <w:ind w:firstLine="720"/>
        <w:jc w:val="center"/>
        <w:rPr>
          <w:bCs/>
          <w:kern w:val="1"/>
          <w:u w:val="single"/>
          <w:lang w:eastAsia="ar-SA"/>
        </w:rPr>
      </w:pPr>
      <w:r w:rsidRPr="007B010A">
        <w:rPr>
          <w:bCs/>
          <w:kern w:val="1"/>
          <w:u w:val="single"/>
          <w:lang w:eastAsia="ar-SA"/>
        </w:rPr>
        <w:t>Jaunas medicīniskās iekārtas iegādei vēža ārstēšanas un diagnostikas rezultātu izvērtēšanai un diagnostikai</w:t>
      </w:r>
    </w:p>
    <w:p w14:paraId="55AEFCB8" w14:textId="79B5A31E" w:rsidR="00E30A3D" w:rsidRPr="007B010A" w:rsidRDefault="00E30A3D" w:rsidP="00D923AA">
      <w:pPr>
        <w:shd w:val="clear" w:color="auto" w:fill="FFFFFF"/>
        <w:ind w:firstLine="720"/>
        <w:jc w:val="both"/>
        <w:rPr>
          <w:b/>
          <w:bCs/>
          <w:kern w:val="1"/>
          <w:lang w:eastAsia="ar-SA"/>
        </w:rPr>
      </w:pPr>
    </w:p>
    <w:p w14:paraId="6775A1E9" w14:textId="77777777" w:rsidR="00640BCA" w:rsidRPr="007B010A" w:rsidRDefault="00640BCA" w:rsidP="00D923AA">
      <w:pPr>
        <w:pStyle w:val="ListParagraph"/>
        <w:spacing w:after="0" w:line="240" w:lineRule="auto"/>
        <w:ind w:left="0" w:firstLine="720"/>
        <w:jc w:val="both"/>
        <w:rPr>
          <w:rFonts w:ascii="Times New Roman" w:eastAsia="Times New Roman" w:hAnsi="Times New Roman"/>
          <w:sz w:val="24"/>
          <w:szCs w:val="24"/>
          <w:lang w:val="lv-LV" w:eastAsia="lv-LV" w:bidi="lo-LA"/>
        </w:rPr>
      </w:pPr>
      <w:r w:rsidRPr="007B010A">
        <w:rPr>
          <w:rFonts w:ascii="Times New Roman" w:eastAsia="Times New Roman" w:hAnsi="Times New Roman"/>
          <w:sz w:val="24"/>
          <w:szCs w:val="24"/>
          <w:lang w:val="lv-LV" w:eastAsia="lv-LV" w:bidi="lo-LA"/>
        </w:rPr>
        <w:t xml:space="preserve">Lai varētu veikt augsti kvalificētu un precīzu vēža diagnostiku un </w:t>
      </w:r>
      <w:proofErr w:type="spellStart"/>
      <w:r w:rsidRPr="007B010A">
        <w:rPr>
          <w:rFonts w:ascii="Times New Roman" w:eastAsia="Times New Roman" w:hAnsi="Times New Roman"/>
          <w:sz w:val="24"/>
          <w:szCs w:val="24"/>
          <w:lang w:val="lv-LV" w:eastAsia="lv-LV" w:bidi="lo-LA"/>
        </w:rPr>
        <w:t>monitorēšanu</w:t>
      </w:r>
      <w:proofErr w:type="spellEnd"/>
      <w:r w:rsidRPr="007B010A">
        <w:rPr>
          <w:rFonts w:ascii="Times New Roman" w:eastAsia="Times New Roman" w:hAnsi="Times New Roman"/>
          <w:sz w:val="24"/>
          <w:szCs w:val="24"/>
          <w:lang w:val="lv-LV" w:eastAsia="lv-LV" w:bidi="lo-LA"/>
        </w:rPr>
        <w:t xml:space="preserve"> ir nepieciešamas mūsdienīgu tehnoloģiju datortomogrāfijas iekārtas un augsti kvalificēts personāls. Pašlaik Latvijā ir noteikti kompetences centri vēža primārajai un sekundārajai diagnostikai un SIA “Rīgas Austrumu klīniskā universitātes slimnīca” ir viens no tiem. Šajos centros pacientiem ne tikai tiek veikta diagnostika, bet arī tiek veikti izmeklējumi pēc kompleksās vēža ārstēšanas uzsākšanas, kas ir labas prakses piemērs visā Eiropā. Datortomogrāfija ir viena no piemērotākajām diagnostikas metodēm atsevišķu vēžu (plaušu, aizkuņģa dziedzera, olnīcu) ne tikai primārajai, bet arī kopā ar magnētisko rezonansi sekundārajai lielākās daļas vēža izplatības diagnostikai, </w:t>
      </w:r>
      <w:proofErr w:type="spellStart"/>
      <w:r w:rsidRPr="007B010A">
        <w:rPr>
          <w:rFonts w:ascii="Times New Roman" w:eastAsia="Times New Roman" w:hAnsi="Times New Roman"/>
          <w:sz w:val="24"/>
          <w:szCs w:val="24"/>
          <w:lang w:val="lv-LV" w:eastAsia="lv-LV" w:bidi="lo-LA"/>
        </w:rPr>
        <w:t>diferenciāldiagnostikai</w:t>
      </w:r>
      <w:proofErr w:type="spellEnd"/>
      <w:r w:rsidRPr="007B010A">
        <w:rPr>
          <w:rFonts w:ascii="Times New Roman" w:eastAsia="Times New Roman" w:hAnsi="Times New Roman"/>
          <w:sz w:val="24"/>
          <w:szCs w:val="24"/>
          <w:lang w:val="lv-LV" w:eastAsia="lv-LV" w:bidi="lo-LA"/>
        </w:rPr>
        <w:t xml:space="preserve"> un stadijas noteikšanai. Turklāt vēža ārstēšanas precizēšanai un slimības attīstības izvērtēšanai biežāk pielietotā metode ir datortomogrāfija.</w:t>
      </w:r>
    </w:p>
    <w:p w14:paraId="0A1893DD" w14:textId="09248A25" w:rsidR="00D923AA" w:rsidRPr="007B010A" w:rsidRDefault="008340FB" w:rsidP="00D923AA">
      <w:pPr>
        <w:pStyle w:val="ListParagraph"/>
        <w:spacing w:after="0" w:line="240" w:lineRule="auto"/>
        <w:ind w:left="0" w:firstLine="720"/>
        <w:jc w:val="both"/>
        <w:rPr>
          <w:rFonts w:ascii="Times New Roman" w:hAnsi="Times New Roman"/>
          <w:sz w:val="24"/>
          <w:szCs w:val="24"/>
          <w:lang w:val="lv-LV"/>
        </w:rPr>
      </w:pPr>
      <w:r w:rsidRPr="007B010A">
        <w:rPr>
          <w:rFonts w:ascii="Times New Roman" w:hAnsi="Times New Roman"/>
          <w:bCs/>
          <w:kern w:val="1"/>
          <w:sz w:val="24"/>
          <w:szCs w:val="24"/>
          <w:shd w:val="clear" w:color="auto" w:fill="FFFFFF" w:themeFill="background1"/>
          <w:lang w:val="lv-LV" w:eastAsia="ar-SA"/>
        </w:rPr>
        <w:t>2018.gadā papildus tika piešķirts finansējumu 2</w:t>
      </w:r>
      <w:r w:rsidR="007B5E46">
        <w:rPr>
          <w:rFonts w:ascii="Times New Roman" w:hAnsi="Times New Roman"/>
          <w:bCs/>
          <w:kern w:val="1"/>
          <w:sz w:val="24"/>
          <w:szCs w:val="24"/>
          <w:shd w:val="clear" w:color="auto" w:fill="FFFFFF" w:themeFill="background1"/>
          <w:lang w:val="lv-LV" w:eastAsia="ar-SA"/>
        </w:rPr>
        <w:t> </w:t>
      </w:r>
      <w:r w:rsidRPr="007B010A">
        <w:rPr>
          <w:rFonts w:ascii="Times New Roman" w:hAnsi="Times New Roman"/>
          <w:bCs/>
          <w:kern w:val="1"/>
          <w:sz w:val="24"/>
          <w:szCs w:val="24"/>
          <w:shd w:val="clear" w:color="auto" w:fill="FFFFFF" w:themeFill="background1"/>
          <w:lang w:val="lv-LV" w:eastAsia="ar-SA"/>
        </w:rPr>
        <w:t>541</w:t>
      </w:r>
      <w:r w:rsidR="007B5E46">
        <w:rPr>
          <w:rFonts w:ascii="Times New Roman" w:hAnsi="Times New Roman"/>
          <w:bCs/>
          <w:kern w:val="1"/>
          <w:sz w:val="24"/>
          <w:szCs w:val="24"/>
          <w:shd w:val="clear" w:color="auto" w:fill="FFFFFF" w:themeFill="background1"/>
          <w:lang w:val="lv-LV" w:eastAsia="ar-SA"/>
        </w:rPr>
        <w:t> </w:t>
      </w:r>
      <w:r w:rsidRPr="007B010A">
        <w:rPr>
          <w:rFonts w:ascii="Times New Roman" w:hAnsi="Times New Roman"/>
          <w:bCs/>
          <w:kern w:val="1"/>
          <w:sz w:val="24"/>
          <w:szCs w:val="24"/>
          <w:shd w:val="clear" w:color="auto" w:fill="FFFFFF" w:themeFill="background1"/>
          <w:lang w:val="lv-LV" w:eastAsia="ar-SA"/>
        </w:rPr>
        <w:t xml:space="preserve">000 </w:t>
      </w:r>
      <w:proofErr w:type="spellStart"/>
      <w:r w:rsidRPr="007B010A">
        <w:rPr>
          <w:rFonts w:ascii="Times New Roman" w:hAnsi="Times New Roman"/>
          <w:bCs/>
          <w:i/>
          <w:kern w:val="1"/>
          <w:sz w:val="24"/>
          <w:szCs w:val="24"/>
          <w:shd w:val="clear" w:color="auto" w:fill="FFFFFF" w:themeFill="background1"/>
          <w:lang w:val="lv-LV" w:eastAsia="ar-SA"/>
        </w:rPr>
        <w:t>euro</w:t>
      </w:r>
      <w:proofErr w:type="spellEnd"/>
      <w:r w:rsidRPr="007B010A">
        <w:rPr>
          <w:rFonts w:ascii="Times New Roman" w:hAnsi="Times New Roman"/>
          <w:bCs/>
          <w:kern w:val="1"/>
          <w:sz w:val="24"/>
          <w:szCs w:val="24"/>
          <w:shd w:val="clear" w:color="auto" w:fill="FFFFFF" w:themeFill="background1"/>
          <w:lang w:val="lv-LV" w:eastAsia="ar-SA"/>
        </w:rPr>
        <w:t xml:space="preserve"> apmērā, kas novirzīts </w:t>
      </w:r>
      <w:r w:rsidRPr="007B010A">
        <w:rPr>
          <w:rFonts w:ascii="Times New Roman" w:hAnsi="Times New Roman"/>
          <w:sz w:val="24"/>
          <w:szCs w:val="24"/>
          <w:shd w:val="clear" w:color="auto" w:fill="FFFFFF" w:themeFill="background1"/>
          <w:lang w:val="lv-LV"/>
        </w:rPr>
        <w:t>no 2018.gadā plānotās līdzekļu ekonomijas hronisko pacientu aprūpei, atbilstoši Ministru kabineta 2018.gada 28.augusta sēdes protokola Nr.40 30§ 2.2.4.</w:t>
      </w:r>
      <w:r w:rsidR="00044B3C" w:rsidRPr="007B010A">
        <w:rPr>
          <w:rFonts w:ascii="Times New Roman" w:hAnsi="Times New Roman"/>
          <w:sz w:val="24"/>
          <w:szCs w:val="24"/>
          <w:shd w:val="clear" w:color="auto" w:fill="FFFFFF" w:themeFill="background1"/>
          <w:lang w:val="lv-LV"/>
        </w:rPr>
        <w:t>5</w:t>
      </w:r>
      <w:r w:rsidRPr="007B010A">
        <w:rPr>
          <w:rFonts w:ascii="Times New Roman" w:hAnsi="Times New Roman"/>
          <w:sz w:val="24"/>
          <w:szCs w:val="24"/>
          <w:shd w:val="clear" w:color="auto" w:fill="FFFFFF" w:themeFill="background1"/>
          <w:lang w:val="lv-LV"/>
        </w:rPr>
        <w:t xml:space="preserve">. apakšpunktā noteiktajam, ka </w:t>
      </w:r>
      <w:r w:rsidRPr="007B010A">
        <w:rPr>
          <w:rFonts w:ascii="Times New Roman" w:hAnsi="Times New Roman"/>
          <w:bCs/>
          <w:kern w:val="1"/>
          <w:sz w:val="24"/>
          <w:szCs w:val="24"/>
          <w:shd w:val="clear" w:color="auto" w:fill="FFFFFF" w:themeFill="background1"/>
          <w:lang w:val="lv-LV" w:eastAsia="ar-SA"/>
        </w:rPr>
        <w:t xml:space="preserve">2 541 000 </w:t>
      </w:r>
      <w:proofErr w:type="spellStart"/>
      <w:r w:rsidRPr="007B010A">
        <w:rPr>
          <w:rFonts w:ascii="Times New Roman" w:hAnsi="Times New Roman"/>
          <w:i/>
          <w:sz w:val="24"/>
          <w:szCs w:val="24"/>
          <w:shd w:val="clear" w:color="auto" w:fill="FFFFFF" w:themeFill="background1"/>
          <w:lang w:val="lv-LV"/>
        </w:rPr>
        <w:t>euro</w:t>
      </w:r>
      <w:proofErr w:type="spellEnd"/>
      <w:r w:rsidRPr="007B010A">
        <w:rPr>
          <w:rFonts w:ascii="Times New Roman" w:hAnsi="Times New Roman"/>
          <w:sz w:val="24"/>
          <w:szCs w:val="24"/>
          <w:shd w:val="clear" w:color="auto" w:fill="FFFFFF" w:themeFill="background1"/>
          <w:lang w:val="lv-LV"/>
        </w:rPr>
        <w:t xml:space="preserve"> apmērā attiecīgi novirzāmi apakšprogrammā 33.18.00 </w:t>
      </w:r>
      <w:r w:rsidR="009F0FD7">
        <w:rPr>
          <w:rFonts w:ascii="Times New Roman" w:hAnsi="Times New Roman"/>
          <w:sz w:val="24"/>
          <w:szCs w:val="24"/>
          <w:shd w:val="clear" w:color="auto" w:fill="FFFFFF" w:themeFill="background1"/>
          <w:lang w:val="lv-LV"/>
        </w:rPr>
        <w:t>“</w:t>
      </w:r>
      <w:r w:rsidRPr="007B010A">
        <w:rPr>
          <w:rFonts w:ascii="Times New Roman" w:hAnsi="Times New Roman"/>
          <w:sz w:val="24"/>
          <w:szCs w:val="24"/>
          <w:shd w:val="clear" w:color="auto" w:fill="FFFFFF" w:themeFill="background1"/>
          <w:lang w:val="lv-LV"/>
        </w:rPr>
        <w:t>Plānveida stacionāro veselības aprūpes pakalpojumu nodrošināšana</w:t>
      </w:r>
      <w:r w:rsidR="009F0FD7">
        <w:rPr>
          <w:rFonts w:ascii="Times New Roman" w:hAnsi="Times New Roman"/>
          <w:sz w:val="24"/>
          <w:szCs w:val="24"/>
          <w:shd w:val="clear" w:color="auto" w:fill="FFFFFF" w:themeFill="background1"/>
          <w:lang w:val="lv-LV"/>
        </w:rPr>
        <w:t>”</w:t>
      </w:r>
      <w:r w:rsidRPr="007B010A">
        <w:rPr>
          <w:rFonts w:ascii="Times New Roman" w:hAnsi="Times New Roman"/>
          <w:sz w:val="24"/>
          <w:szCs w:val="24"/>
          <w:shd w:val="clear" w:color="auto" w:fill="FFFFFF" w:themeFill="background1"/>
          <w:lang w:val="lv-LV"/>
        </w:rPr>
        <w:t xml:space="preserve"> onkoloģisko saslimšanu diagnostikai un ārstēšanas pieejamības uzlabošanai, lai iegādātos </w:t>
      </w:r>
      <w:r w:rsidR="003C5D45" w:rsidRPr="007B010A">
        <w:rPr>
          <w:rFonts w:ascii="Times New Roman" w:hAnsi="Times New Roman"/>
          <w:sz w:val="24"/>
          <w:szCs w:val="24"/>
          <w:shd w:val="clear" w:color="auto" w:fill="FFFFFF" w:themeFill="background1"/>
          <w:lang w:val="lv-LV"/>
        </w:rPr>
        <w:t xml:space="preserve">vēža ārstēšanai un diagnostikas rezultātu izvērtēšanai </w:t>
      </w:r>
      <w:proofErr w:type="spellStart"/>
      <w:r w:rsidR="00BB2486" w:rsidRPr="007B010A">
        <w:rPr>
          <w:rFonts w:ascii="Times New Roman" w:hAnsi="Times New Roman"/>
          <w:sz w:val="24"/>
          <w:szCs w:val="24"/>
          <w:shd w:val="clear" w:color="auto" w:fill="FFFFFF" w:themeFill="background1"/>
          <w:lang w:val="lv-LV"/>
        </w:rPr>
        <w:t>datortomogrāfus</w:t>
      </w:r>
      <w:proofErr w:type="spellEnd"/>
      <w:r w:rsidR="00044B3C" w:rsidRPr="007B010A">
        <w:rPr>
          <w:rFonts w:ascii="Times New Roman" w:hAnsi="Times New Roman"/>
          <w:sz w:val="24"/>
          <w:szCs w:val="24"/>
          <w:shd w:val="clear" w:color="auto" w:fill="FFFFFF" w:themeFill="background1"/>
          <w:lang w:val="lv-LV"/>
        </w:rPr>
        <w:t>.</w:t>
      </w:r>
    </w:p>
    <w:p w14:paraId="6BED4499" w14:textId="27CE07DA" w:rsidR="00D923AA" w:rsidRPr="007B010A" w:rsidRDefault="007F6FDD" w:rsidP="00D923AA">
      <w:pPr>
        <w:ind w:firstLine="720"/>
        <w:jc w:val="both"/>
        <w:rPr>
          <w:lang w:bidi="lo-LA"/>
        </w:rPr>
      </w:pPr>
      <w:r w:rsidRPr="007B010A">
        <w:rPr>
          <w:lang w:bidi="lo-LA"/>
        </w:rPr>
        <w:t>SIA “</w:t>
      </w:r>
      <w:r w:rsidR="00D923AA" w:rsidRPr="007B010A">
        <w:rPr>
          <w:lang w:bidi="lo-LA"/>
        </w:rPr>
        <w:t>Rīgas Austrumu</w:t>
      </w:r>
      <w:r w:rsidRPr="007B010A">
        <w:rPr>
          <w:lang w:bidi="lo-LA"/>
        </w:rPr>
        <w:t xml:space="preserve"> klīniskā universitātes slimnīca”</w:t>
      </w:r>
      <w:r w:rsidR="00D923AA" w:rsidRPr="007B010A">
        <w:rPr>
          <w:lang w:bidi="lo-LA"/>
        </w:rPr>
        <w:t xml:space="preserve"> </w:t>
      </w:r>
      <w:r w:rsidR="00FF529B" w:rsidRPr="007B010A">
        <w:rPr>
          <w:lang w:bidi="lo-LA"/>
        </w:rPr>
        <w:t xml:space="preserve">2018.gadā </w:t>
      </w:r>
      <w:r w:rsidR="00D923AA" w:rsidRPr="007B010A">
        <w:rPr>
          <w:lang w:bidi="lo-LA"/>
        </w:rPr>
        <w:t>5</w:t>
      </w:r>
      <w:r w:rsidR="00D72539">
        <w:rPr>
          <w:lang w:bidi="lo-LA"/>
        </w:rPr>
        <w:t xml:space="preserve"> </w:t>
      </w:r>
      <w:proofErr w:type="spellStart"/>
      <w:r w:rsidR="00D923AA" w:rsidRPr="007B010A">
        <w:rPr>
          <w:lang w:bidi="lo-LA"/>
        </w:rPr>
        <w:t>datortomogrāfi</w:t>
      </w:r>
      <w:proofErr w:type="spellEnd"/>
      <w:r w:rsidR="00D923AA" w:rsidRPr="007B010A">
        <w:rPr>
          <w:lang w:bidi="lo-LA"/>
        </w:rPr>
        <w:t xml:space="preserve"> ti</w:t>
      </w:r>
      <w:r w:rsidR="0036765D" w:rsidRPr="007B010A">
        <w:rPr>
          <w:lang w:bidi="lo-LA"/>
        </w:rPr>
        <w:t>ka</w:t>
      </w:r>
      <w:r w:rsidR="00D923AA" w:rsidRPr="007B010A">
        <w:rPr>
          <w:lang w:bidi="lo-LA"/>
        </w:rPr>
        <w:t xml:space="preserve"> izmantoti stacionāra, dienas stacionāra un ambulatoro pacientu izmeklējumiem. </w:t>
      </w:r>
    </w:p>
    <w:p w14:paraId="086D8E15" w14:textId="72957678" w:rsidR="00D923AA" w:rsidRPr="007B010A" w:rsidRDefault="00D923AA" w:rsidP="00D923AA">
      <w:pPr>
        <w:ind w:firstLine="720"/>
        <w:contextualSpacing/>
        <w:jc w:val="both"/>
        <w:rPr>
          <w:lang w:bidi="lo-LA"/>
        </w:rPr>
      </w:pPr>
      <w:r w:rsidRPr="007B010A">
        <w:rPr>
          <w:lang w:bidi="lo-LA"/>
        </w:rPr>
        <w:t xml:space="preserve">Lai uzlabotu vēža pirmreizējo, sekundāro diagnostiku un vēža slimības attīstības un ārstēšanas izvērtēšanu </w:t>
      </w:r>
      <w:r w:rsidR="00255BD1" w:rsidRPr="007B010A">
        <w:rPr>
          <w:lang w:bidi="lo-LA"/>
        </w:rPr>
        <w:t>SIA “</w:t>
      </w:r>
      <w:r w:rsidRPr="007B010A">
        <w:rPr>
          <w:lang w:bidi="lo-LA"/>
        </w:rPr>
        <w:t>Rīgas Austrumu klīniskā universitātes slimnīc</w:t>
      </w:r>
      <w:r w:rsidR="00255BD1" w:rsidRPr="007B010A">
        <w:rPr>
          <w:lang w:bidi="lo-LA"/>
        </w:rPr>
        <w:t>a”</w:t>
      </w:r>
      <w:r w:rsidRPr="007B010A">
        <w:rPr>
          <w:lang w:bidi="lo-LA"/>
        </w:rPr>
        <w:t xml:space="preserve"> steidzamā kārtā</w:t>
      </w:r>
      <w:r w:rsidR="00A65817" w:rsidRPr="007B010A">
        <w:rPr>
          <w:lang w:bidi="lo-LA"/>
        </w:rPr>
        <w:t xml:space="preserve"> bija</w:t>
      </w:r>
      <w:r w:rsidRPr="007B010A">
        <w:rPr>
          <w:lang w:bidi="lo-LA"/>
        </w:rPr>
        <w:t xml:space="preserve"> nepieciešams nomainīt 3 esošās datortomogrāfijas iekārtas ar jaunām modernām iekārtām, kas nodrošinātu:</w:t>
      </w:r>
    </w:p>
    <w:p w14:paraId="6DF06FB4" w14:textId="77777777" w:rsidR="00D923AA" w:rsidRPr="007B010A" w:rsidRDefault="00D923AA" w:rsidP="00D923AA">
      <w:pPr>
        <w:pStyle w:val="ListParagraph"/>
        <w:widowControl w:val="0"/>
        <w:numPr>
          <w:ilvl w:val="0"/>
          <w:numId w:val="15"/>
        </w:numPr>
        <w:spacing w:after="0" w:line="240" w:lineRule="auto"/>
        <w:ind w:left="0" w:firstLine="720"/>
        <w:jc w:val="both"/>
        <w:rPr>
          <w:rFonts w:ascii="Times New Roman" w:eastAsia="Times New Roman" w:hAnsi="Times New Roman"/>
          <w:sz w:val="24"/>
          <w:szCs w:val="24"/>
          <w:lang w:val="lv-LV" w:eastAsia="lv-LV" w:bidi="lo-LA"/>
        </w:rPr>
      </w:pPr>
      <w:r w:rsidRPr="007B010A">
        <w:rPr>
          <w:rFonts w:ascii="Times New Roman" w:eastAsia="Times New Roman" w:hAnsi="Times New Roman"/>
          <w:sz w:val="24"/>
          <w:szCs w:val="24"/>
          <w:lang w:val="lv-LV" w:eastAsia="lv-LV" w:bidi="lo-LA"/>
        </w:rPr>
        <w:t>precīzu, mūsdienu prasībām atbilstošu, klīniskajās vadlīnijās noteiktu nepieciešamo vēža diagnostiku un ārstēšanas rezultātu vai slimības gaitas izvērtēšanu, kas uzlabotu ārstēšanas procesu un tā efektivitāti;</w:t>
      </w:r>
    </w:p>
    <w:p w14:paraId="3BFA2F72" w14:textId="77777777" w:rsidR="00D923AA" w:rsidRPr="007B010A" w:rsidRDefault="00D923AA" w:rsidP="00D923AA">
      <w:pPr>
        <w:pStyle w:val="ListParagraph"/>
        <w:widowControl w:val="0"/>
        <w:numPr>
          <w:ilvl w:val="0"/>
          <w:numId w:val="15"/>
        </w:numPr>
        <w:spacing w:after="0" w:line="240" w:lineRule="auto"/>
        <w:ind w:left="0" w:firstLine="720"/>
        <w:jc w:val="both"/>
        <w:rPr>
          <w:rFonts w:ascii="Times New Roman" w:eastAsia="Times New Roman" w:hAnsi="Times New Roman"/>
          <w:sz w:val="24"/>
          <w:szCs w:val="24"/>
          <w:lang w:val="lv-LV" w:eastAsia="lv-LV" w:bidi="lo-LA"/>
        </w:rPr>
      </w:pPr>
      <w:r w:rsidRPr="007B010A">
        <w:rPr>
          <w:rFonts w:ascii="Times New Roman" w:eastAsia="Times New Roman" w:hAnsi="Times New Roman"/>
          <w:sz w:val="24"/>
          <w:szCs w:val="24"/>
          <w:lang w:val="lv-LV" w:eastAsia="lv-LV" w:bidi="lo-LA"/>
        </w:rPr>
        <w:t xml:space="preserve">rindu samazinājumu uz izmeklējumiem par apmēram 30%, jo ar jaunākām tehnoloģijām manipulācijas var veikt īsākā termiņā; </w:t>
      </w:r>
    </w:p>
    <w:p w14:paraId="07FB075A" w14:textId="77777777" w:rsidR="00D923AA" w:rsidRPr="007B010A" w:rsidRDefault="00D923AA" w:rsidP="00D923AA">
      <w:pPr>
        <w:pStyle w:val="ListParagraph"/>
        <w:widowControl w:val="0"/>
        <w:numPr>
          <w:ilvl w:val="0"/>
          <w:numId w:val="15"/>
        </w:numPr>
        <w:spacing w:after="0" w:line="240" w:lineRule="auto"/>
        <w:ind w:left="0" w:firstLine="720"/>
        <w:jc w:val="both"/>
        <w:rPr>
          <w:rFonts w:ascii="Times New Roman" w:eastAsia="Times New Roman" w:hAnsi="Times New Roman"/>
          <w:sz w:val="24"/>
          <w:szCs w:val="24"/>
          <w:lang w:val="lv-LV" w:eastAsia="lv-LV" w:bidi="lo-LA"/>
        </w:rPr>
      </w:pPr>
      <w:r w:rsidRPr="007B010A">
        <w:rPr>
          <w:rFonts w:ascii="Times New Roman" w:eastAsia="Times New Roman" w:hAnsi="Times New Roman"/>
          <w:sz w:val="24"/>
          <w:szCs w:val="24"/>
          <w:lang w:val="lv-LV" w:eastAsia="lv-LV" w:bidi="lo-LA"/>
        </w:rPr>
        <w:t>uzlabotu pacientu plūsmu organizāciju un līdz ar to pacientu apmierinātību ar veselības aprūpi;</w:t>
      </w:r>
    </w:p>
    <w:p w14:paraId="18707D0C" w14:textId="47E3140B" w:rsidR="00A65817" w:rsidRPr="007B010A" w:rsidRDefault="00D923AA" w:rsidP="00A65817">
      <w:pPr>
        <w:pStyle w:val="ListParagraph"/>
        <w:widowControl w:val="0"/>
        <w:numPr>
          <w:ilvl w:val="0"/>
          <w:numId w:val="15"/>
        </w:numPr>
        <w:spacing w:after="0" w:line="240" w:lineRule="auto"/>
        <w:ind w:left="0" w:firstLine="720"/>
        <w:contextualSpacing w:val="0"/>
        <w:jc w:val="both"/>
        <w:rPr>
          <w:rFonts w:ascii="Times New Roman" w:eastAsia="Times New Roman" w:hAnsi="Times New Roman"/>
          <w:sz w:val="24"/>
          <w:szCs w:val="24"/>
          <w:lang w:val="lv-LV" w:eastAsia="lv-LV" w:bidi="lo-LA"/>
        </w:rPr>
      </w:pPr>
      <w:r w:rsidRPr="007B010A">
        <w:rPr>
          <w:rFonts w:ascii="Times New Roman" w:eastAsia="Times New Roman" w:hAnsi="Times New Roman"/>
          <w:sz w:val="24"/>
          <w:szCs w:val="24"/>
          <w:lang w:val="lv-LV" w:eastAsia="lv-LV" w:bidi="lo-LA"/>
        </w:rPr>
        <w:t>uzlabotu iestādes medicīnas darbinieku apmierinātību ar darbu</w:t>
      </w:r>
      <w:r w:rsidR="00A65817" w:rsidRPr="007B010A">
        <w:rPr>
          <w:rFonts w:ascii="Times New Roman" w:eastAsia="Times New Roman" w:hAnsi="Times New Roman"/>
          <w:sz w:val="24"/>
          <w:szCs w:val="24"/>
          <w:lang w:val="lv-LV" w:eastAsia="lv-LV" w:bidi="lo-LA"/>
        </w:rPr>
        <w:t>.</w:t>
      </w:r>
    </w:p>
    <w:p w14:paraId="6D84C807" w14:textId="77777777" w:rsidR="00A65817" w:rsidRPr="007B010A" w:rsidRDefault="00A65817" w:rsidP="002F6B01">
      <w:pPr>
        <w:pStyle w:val="ListParagraph"/>
        <w:widowControl w:val="0"/>
        <w:spacing w:after="0" w:line="240" w:lineRule="auto"/>
        <w:contextualSpacing w:val="0"/>
        <w:jc w:val="both"/>
        <w:rPr>
          <w:rFonts w:ascii="Times New Roman" w:eastAsia="Times New Roman" w:hAnsi="Times New Roman"/>
          <w:sz w:val="24"/>
          <w:szCs w:val="24"/>
          <w:lang w:val="lv-LV" w:eastAsia="lv-LV" w:bidi="lo-LA"/>
        </w:rPr>
      </w:pPr>
    </w:p>
    <w:p w14:paraId="1E3AA5B5" w14:textId="74CB9FEB" w:rsidR="00981905" w:rsidRPr="007B010A" w:rsidRDefault="00A65817" w:rsidP="00912B43">
      <w:pPr>
        <w:shd w:val="clear" w:color="auto" w:fill="FFFFFF"/>
        <w:ind w:firstLine="720"/>
        <w:jc w:val="both"/>
        <w:rPr>
          <w:bCs/>
          <w:kern w:val="1"/>
          <w:lang w:eastAsia="ar-SA"/>
        </w:rPr>
      </w:pPr>
      <w:r w:rsidRPr="007B010A">
        <w:rPr>
          <w:lang w:bidi="lo-LA"/>
        </w:rPr>
        <w:t xml:space="preserve">Atbilstoši 2018.gada faktiskajai izpildei tika iegādāti trīs </w:t>
      </w:r>
      <w:proofErr w:type="spellStart"/>
      <w:r w:rsidRPr="007B010A">
        <w:rPr>
          <w:lang w:bidi="lo-LA"/>
        </w:rPr>
        <w:t>datortomogrāfi</w:t>
      </w:r>
      <w:proofErr w:type="spellEnd"/>
      <w:r w:rsidRPr="007B010A">
        <w:rPr>
          <w:lang w:bidi="lo-LA"/>
        </w:rPr>
        <w:t xml:space="preserve"> par kopējo summu </w:t>
      </w:r>
      <w:r w:rsidR="00A50029" w:rsidRPr="007B010A">
        <w:rPr>
          <w:lang w:bidi="lo-LA"/>
        </w:rPr>
        <w:t>2</w:t>
      </w:r>
      <w:r w:rsidR="007B5E46">
        <w:rPr>
          <w:lang w:bidi="lo-LA"/>
        </w:rPr>
        <w:t> </w:t>
      </w:r>
      <w:r w:rsidR="00A50029" w:rsidRPr="007B010A">
        <w:rPr>
          <w:lang w:bidi="lo-LA"/>
        </w:rPr>
        <w:t>480</w:t>
      </w:r>
      <w:r w:rsidR="007B5E46">
        <w:rPr>
          <w:lang w:bidi="lo-LA"/>
        </w:rPr>
        <w:t> </w:t>
      </w:r>
      <w:r w:rsidR="00A50029" w:rsidRPr="007B010A">
        <w:rPr>
          <w:lang w:bidi="lo-LA"/>
        </w:rPr>
        <w:t>500</w:t>
      </w:r>
      <w:r w:rsidRPr="007B010A">
        <w:rPr>
          <w:lang w:bidi="lo-LA"/>
        </w:rPr>
        <w:t xml:space="preserve"> </w:t>
      </w:r>
      <w:proofErr w:type="spellStart"/>
      <w:r w:rsidRPr="007B010A">
        <w:rPr>
          <w:i/>
          <w:lang w:bidi="lo-LA"/>
        </w:rPr>
        <w:t>euro</w:t>
      </w:r>
      <w:proofErr w:type="spellEnd"/>
      <w:r w:rsidRPr="007B010A">
        <w:rPr>
          <w:lang w:bidi="lo-LA"/>
        </w:rPr>
        <w:t xml:space="preserve"> apmērā.</w:t>
      </w:r>
      <w:r w:rsidR="00981905" w:rsidRPr="007B010A">
        <w:rPr>
          <w:lang w:bidi="lo-LA"/>
        </w:rPr>
        <w:t xml:space="preserve"> Kopējā līdzekļu ekonomija 60</w:t>
      </w:r>
      <w:r w:rsidR="007B5E46">
        <w:rPr>
          <w:lang w:bidi="lo-LA"/>
        </w:rPr>
        <w:t> </w:t>
      </w:r>
      <w:r w:rsidR="00981905" w:rsidRPr="007B010A">
        <w:rPr>
          <w:lang w:bidi="lo-LA"/>
        </w:rPr>
        <w:t xml:space="preserve">500 </w:t>
      </w:r>
      <w:proofErr w:type="spellStart"/>
      <w:r w:rsidR="00981905" w:rsidRPr="007B010A">
        <w:rPr>
          <w:i/>
          <w:lang w:bidi="lo-LA"/>
        </w:rPr>
        <w:t>euro</w:t>
      </w:r>
      <w:proofErr w:type="spellEnd"/>
      <w:r w:rsidR="00981905" w:rsidRPr="007B010A">
        <w:rPr>
          <w:i/>
          <w:lang w:bidi="lo-LA"/>
        </w:rPr>
        <w:t xml:space="preserve"> </w:t>
      </w:r>
      <w:r w:rsidR="00981905" w:rsidRPr="007B010A">
        <w:rPr>
          <w:lang w:bidi="lo-LA"/>
        </w:rPr>
        <w:t>apmērā tiks novirzīta citu aktuālu medicīnas iekārtu iegādei.</w:t>
      </w:r>
    </w:p>
    <w:p w14:paraId="03BACDC5" w14:textId="6460644F" w:rsidR="00D923AA" w:rsidRPr="007B010A" w:rsidRDefault="00DC39FE" w:rsidP="00D923AA">
      <w:pPr>
        <w:pStyle w:val="ListParagraph"/>
        <w:spacing w:after="0" w:line="240" w:lineRule="auto"/>
        <w:ind w:left="0" w:firstLine="720"/>
        <w:contextualSpacing w:val="0"/>
        <w:jc w:val="both"/>
        <w:rPr>
          <w:rFonts w:ascii="Times New Roman" w:hAnsi="Times New Roman"/>
          <w:sz w:val="24"/>
          <w:szCs w:val="24"/>
          <w:lang w:val="lv-LV"/>
        </w:rPr>
      </w:pPr>
      <w:r w:rsidRPr="007B010A">
        <w:rPr>
          <w:rFonts w:ascii="Times New Roman" w:hAnsi="Times New Roman"/>
          <w:sz w:val="24"/>
          <w:szCs w:val="24"/>
          <w:lang w:val="lv-LV"/>
        </w:rPr>
        <w:t>J</w:t>
      </w:r>
      <w:r w:rsidR="00D923AA" w:rsidRPr="007B010A">
        <w:rPr>
          <w:rFonts w:ascii="Times New Roman" w:hAnsi="Times New Roman"/>
          <w:sz w:val="24"/>
          <w:szCs w:val="24"/>
          <w:lang w:val="lv-LV"/>
        </w:rPr>
        <w:t xml:space="preserve">āatzīmē, ka </w:t>
      </w:r>
      <w:r w:rsidR="007F6FDD" w:rsidRPr="007B010A">
        <w:rPr>
          <w:rFonts w:ascii="Times New Roman" w:hAnsi="Times New Roman"/>
          <w:sz w:val="24"/>
          <w:szCs w:val="24"/>
          <w:lang w:val="lv-LV"/>
        </w:rPr>
        <w:t>SIA “</w:t>
      </w:r>
      <w:r w:rsidR="00D923AA" w:rsidRPr="007B010A">
        <w:rPr>
          <w:rFonts w:ascii="Times New Roman" w:eastAsia="Times New Roman" w:hAnsi="Times New Roman"/>
          <w:sz w:val="24"/>
          <w:szCs w:val="24"/>
          <w:lang w:val="lv-LV" w:eastAsia="lv-LV" w:bidi="lo-LA"/>
        </w:rPr>
        <w:t>Rīgas Austrumu klīniskā universitātes slimnīca</w:t>
      </w:r>
      <w:r w:rsidR="007F6FDD" w:rsidRPr="007B010A">
        <w:rPr>
          <w:rFonts w:ascii="Times New Roman" w:eastAsia="Times New Roman" w:hAnsi="Times New Roman"/>
          <w:sz w:val="24"/>
          <w:szCs w:val="24"/>
          <w:lang w:val="lv-LV" w:eastAsia="lv-LV" w:bidi="lo-LA"/>
        </w:rPr>
        <w:t>”</w:t>
      </w:r>
      <w:r w:rsidR="00D923AA" w:rsidRPr="007B010A">
        <w:rPr>
          <w:rFonts w:ascii="Times New Roman" w:hAnsi="Times New Roman"/>
          <w:sz w:val="24"/>
          <w:szCs w:val="24"/>
          <w:lang w:val="lv-LV"/>
        </w:rPr>
        <w:t xml:space="preserve"> ir mācību bāze nākamajiem ārstiem un speciālistiem, medicīnas darbiniekiem, kuri pēc mācību, prakses vai </w:t>
      </w:r>
      <w:r w:rsidR="00D923AA" w:rsidRPr="007B010A">
        <w:rPr>
          <w:rFonts w:ascii="Times New Roman" w:hAnsi="Times New Roman"/>
          <w:sz w:val="24"/>
          <w:szCs w:val="24"/>
          <w:lang w:val="lv-LV"/>
        </w:rPr>
        <w:lastRenderedPageBreak/>
        <w:t xml:space="preserve">rezidentūras pabeigšanas turpinās darbu visā Latvijā. Uzlabojumi sniegtu arī neatsveramu ieguldījumu radiologu un </w:t>
      </w:r>
      <w:proofErr w:type="spellStart"/>
      <w:r w:rsidR="00D923AA" w:rsidRPr="007B010A">
        <w:rPr>
          <w:rFonts w:ascii="Times New Roman" w:hAnsi="Times New Roman"/>
          <w:sz w:val="24"/>
          <w:szCs w:val="24"/>
          <w:lang w:val="lv-LV"/>
        </w:rPr>
        <w:t>radiogrāferu</w:t>
      </w:r>
      <w:proofErr w:type="spellEnd"/>
      <w:r w:rsidR="00D923AA" w:rsidRPr="007B010A">
        <w:rPr>
          <w:rFonts w:ascii="Times New Roman" w:hAnsi="Times New Roman"/>
          <w:sz w:val="24"/>
          <w:szCs w:val="24"/>
          <w:lang w:val="lv-LV"/>
        </w:rPr>
        <w:t xml:space="preserve"> kvalifikācijas celšanā un cilvēkresursu saglabāšanā.</w:t>
      </w:r>
    </w:p>
    <w:p w14:paraId="30749E30" w14:textId="63E8F0CF" w:rsidR="00D923AA" w:rsidRPr="007B010A" w:rsidRDefault="00D923AA" w:rsidP="00D923AA">
      <w:pPr>
        <w:ind w:firstLine="720"/>
        <w:jc w:val="both"/>
        <w:rPr>
          <w:lang w:bidi="lo-LA"/>
        </w:rPr>
      </w:pPr>
      <w:r w:rsidRPr="007B010A">
        <w:rPr>
          <w:lang w:bidi="lo-LA"/>
        </w:rPr>
        <w:t xml:space="preserve">Jaunās paaudzes datortomogrāfijas iekārtas spēs nodrošināt ne tikai labu izmeklējumu attēla kvalitāti, bet arī saņemtā jonizējošā starojuma dozas samazināšanu, kas ir nozīmīgs faktors kā pacientiem, tā arī personālam. Jauno iekārtu iegāde ļaus samazināt dīkstāves laiku un pacientu gaidīšanas rindas uz izmeklējumiem, nodrošinot pacientiem daudz savlaicīgākus izmeklējumus, kas ir īpaši svarīgi onkoloģijas pacientiem. Tas arī ļaus uzlabot darbinieku apmierinātību ar darbu un efektīvāk organizēt darbu, kas uzlabos kopējo ārstniecisko procesu kvalitāti. Tas viss veicinās pacientu apmierinātību un uzticēšanos </w:t>
      </w:r>
      <w:r w:rsidR="007F6FDD" w:rsidRPr="007B010A">
        <w:rPr>
          <w:lang w:bidi="lo-LA"/>
        </w:rPr>
        <w:t>SIA “</w:t>
      </w:r>
      <w:r w:rsidRPr="007B010A">
        <w:rPr>
          <w:lang w:bidi="lo-LA"/>
        </w:rPr>
        <w:t xml:space="preserve">Rīgas Austrumu </w:t>
      </w:r>
      <w:r w:rsidR="007F6FDD" w:rsidRPr="007B010A">
        <w:rPr>
          <w:lang w:bidi="lo-LA"/>
        </w:rPr>
        <w:t>klīniskā universitātes slimnīca”</w:t>
      </w:r>
      <w:r w:rsidRPr="007B010A">
        <w:rPr>
          <w:lang w:bidi="lo-LA"/>
        </w:rPr>
        <w:t>.</w:t>
      </w:r>
    </w:p>
    <w:p w14:paraId="6F37D97B" w14:textId="77777777" w:rsidR="00D923AA" w:rsidRPr="007B010A" w:rsidRDefault="00D923AA" w:rsidP="00D923AA">
      <w:pPr>
        <w:autoSpaceDE w:val="0"/>
        <w:autoSpaceDN w:val="0"/>
        <w:adjustRightInd w:val="0"/>
        <w:spacing w:line="293" w:lineRule="atLeast"/>
        <w:rPr>
          <w:u w:val="single"/>
        </w:rPr>
      </w:pPr>
    </w:p>
    <w:p w14:paraId="4C9F4815" w14:textId="77777777" w:rsidR="00D923AA" w:rsidRPr="007B010A" w:rsidRDefault="00D923AA" w:rsidP="00D923AA">
      <w:pPr>
        <w:autoSpaceDE w:val="0"/>
        <w:autoSpaceDN w:val="0"/>
        <w:adjustRightInd w:val="0"/>
        <w:spacing w:line="293" w:lineRule="atLeast"/>
        <w:jc w:val="center"/>
        <w:rPr>
          <w:u w:val="single"/>
        </w:rPr>
      </w:pPr>
      <w:r w:rsidRPr="007B010A">
        <w:rPr>
          <w:u w:val="single"/>
        </w:rPr>
        <w:t>Valsts patoloģijas centra izveide</w:t>
      </w:r>
    </w:p>
    <w:p w14:paraId="159D25F9" w14:textId="77777777" w:rsidR="00D923AA" w:rsidRPr="007B010A" w:rsidRDefault="00D923AA" w:rsidP="00D923AA">
      <w:pPr>
        <w:autoSpaceDE w:val="0"/>
        <w:autoSpaceDN w:val="0"/>
        <w:adjustRightInd w:val="0"/>
        <w:spacing w:line="293" w:lineRule="atLeast"/>
        <w:jc w:val="both"/>
      </w:pPr>
    </w:p>
    <w:p w14:paraId="6DC349AA" w14:textId="17B9E25E" w:rsidR="00A743D7" w:rsidRPr="007B010A" w:rsidRDefault="00D923AA" w:rsidP="00D923AA">
      <w:pPr>
        <w:ind w:firstLine="720"/>
        <w:jc w:val="both"/>
      </w:pPr>
      <w:r w:rsidRPr="007B010A">
        <w:t xml:space="preserve">Veicot Valsts patoloģijas centra (turpmāk – VPC) izveidi tika paredzēts īstenot strukturālās reformas veselības aprūpē, uzlabojot slimību diagnostiku un samazinot diagnosticēšanas laiku, </w:t>
      </w:r>
      <w:r w:rsidR="00861A98">
        <w:t>un t</w:t>
      </w:r>
      <w:r w:rsidRPr="007B010A">
        <w:t xml:space="preserve">as būs pieejams visiem Latvijas iedzīvotājiem neatkarīgi no dzīves vietas, kuru rezultātā palielināsies kvalitatīvi nodzīvoto mūža gadu skaits un samazināsies potenciāli zaudēto mūža gadu skaits, ka arī ļaundabīgo audzēju skaits vēlīnajās stadijās. Turklāt, tiks attīstīti inovatīvie pakalpojumi eksportam ar augstu pievienotu vērtību. </w:t>
      </w:r>
    </w:p>
    <w:p w14:paraId="29385B5E" w14:textId="67EA8D49" w:rsidR="00A743D7" w:rsidRPr="007B010A" w:rsidRDefault="00D923AA" w:rsidP="00271C97">
      <w:pPr>
        <w:ind w:firstLine="720"/>
        <w:jc w:val="both"/>
      </w:pPr>
      <w:r w:rsidRPr="007B010A">
        <w:t>Tajā pašā laikā, tiks īstenota inovatīvā pētniecība un modernie studiju kursi augstākajā izglītībā.</w:t>
      </w:r>
      <w:r w:rsidR="00A743D7" w:rsidRPr="007B010A">
        <w:t xml:space="preserve"> Kopumā VPC plānots piesaistīt vismaz 5000 ārpakalpojumus gadā triju gadu laikā pēc modernizācijas pabeigšanas (pamatā Skandināvijas valstīs) par kopēj</w:t>
      </w:r>
      <w:r w:rsidR="009D0A6E" w:rsidRPr="007B010A">
        <w:t>o</w:t>
      </w:r>
      <w:r w:rsidR="00A743D7" w:rsidRPr="007B010A">
        <w:t xml:space="preserve"> summu vismaz 500 000 </w:t>
      </w:r>
      <w:proofErr w:type="spellStart"/>
      <w:r w:rsidR="00A743D7" w:rsidRPr="007B010A">
        <w:rPr>
          <w:i/>
        </w:rPr>
        <w:t>euro</w:t>
      </w:r>
      <w:proofErr w:type="spellEnd"/>
      <w:r w:rsidR="00A743D7" w:rsidRPr="007B010A">
        <w:t xml:space="preserve"> gadā, kas sastāda 10-15% no kopējā VPC sniegtā pakalpojuma apjoma. </w:t>
      </w:r>
    </w:p>
    <w:p w14:paraId="48C67ADA" w14:textId="2C3B2886" w:rsidR="00D923AA" w:rsidRPr="007B010A" w:rsidRDefault="00A743D7" w:rsidP="00A743D7">
      <w:pPr>
        <w:ind w:firstLine="720"/>
        <w:jc w:val="both"/>
      </w:pPr>
      <w:r w:rsidRPr="007B010A">
        <w:t>Piesaistot ārpakalpojumus un nodrošinot modern</w:t>
      </w:r>
      <w:r w:rsidR="009D0A6E" w:rsidRPr="007B010A">
        <w:t>a</w:t>
      </w:r>
      <w:r w:rsidRPr="007B010A">
        <w:t>s personalizētās medicīnas diagnostikas un pētniecības iespējas, tiks veicināta Latvijas atpazīstamība patoloģijas izmeklējumu tirgū, kas veicinās medicīnas pakalpojumu izmantošanu Latvijā pacientiem no ārzemēm (medicīnas tūrisms). Turklāt, šāda veida references patoloģijas laboratorija iekļausies starptautiskajos klīniskajos pētījumos, kas nodrošinās personalizētās ārstēšanas testēšanas iespējas un inovatīvo medikamentu nozīmēšanu Latvijas pacientiem klīnisko pētījumu ietvaros, kas būtiski ietekmēs slimības gaitu pacientiem ar onkoloģiskajām slimībām</w:t>
      </w:r>
      <w:r w:rsidR="00BC501D" w:rsidRPr="007B010A">
        <w:t>.</w:t>
      </w:r>
    </w:p>
    <w:p w14:paraId="2AB6F1D2" w14:textId="5229BE93" w:rsidR="00D70412" w:rsidRPr="007B010A" w:rsidRDefault="00D923AA" w:rsidP="00D923AA">
      <w:pPr>
        <w:ind w:firstLine="720"/>
        <w:jc w:val="both"/>
      </w:pPr>
      <w:r w:rsidRPr="007B010A">
        <w:t xml:space="preserve">VPC izveidei kopumā plānots finansējums 3 525 000 </w:t>
      </w:r>
      <w:proofErr w:type="spellStart"/>
      <w:r w:rsidRPr="007B010A">
        <w:rPr>
          <w:i/>
        </w:rPr>
        <w:t>euro</w:t>
      </w:r>
      <w:proofErr w:type="spellEnd"/>
      <w:r w:rsidRPr="007B010A">
        <w:t xml:space="preserve"> apmērā, kas paredzēts infrastruktūras atjaunošanai un jaunu tehnoloģiju ieviešanai, t.sk. 2018.gadā </w:t>
      </w:r>
      <w:r w:rsidR="00B500B6" w:rsidRPr="007B010A">
        <w:t>tika piešķirts</w:t>
      </w:r>
      <w:r w:rsidRPr="007B010A">
        <w:t xml:space="preserve"> finansējums 965</w:t>
      </w:r>
      <w:r w:rsidR="007B5E46">
        <w:t> </w:t>
      </w:r>
      <w:r w:rsidRPr="007B010A">
        <w:t xml:space="preserve">660 </w:t>
      </w:r>
      <w:proofErr w:type="spellStart"/>
      <w:r w:rsidRPr="007B010A">
        <w:rPr>
          <w:i/>
        </w:rPr>
        <w:t>euro</w:t>
      </w:r>
      <w:proofErr w:type="spellEnd"/>
      <w:r w:rsidRPr="007B010A">
        <w:t xml:space="preserve"> apmērā. </w:t>
      </w:r>
    </w:p>
    <w:p w14:paraId="67EFDAE4" w14:textId="29C8F516" w:rsidR="00F35F94" w:rsidRPr="007B010A" w:rsidRDefault="00F35F94" w:rsidP="00F35F94">
      <w:pPr>
        <w:ind w:firstLine="720"/>
        <w:jc w:val="both"/>
      </w:pPr>
      <w:r w:rsidRPr="007B010A">
        <w:rPr>
          <w:shd w:val="clear" w:color="auto" w:fill="FFFFFF"/>
        </w:rPr>
        <w:t>2018.gadā pozīcijā “Iekārtu iegāde” iepirkuma „</w:t>
      </w:r>
      <w:proofErr w:type="spellStart"/>
      <w:r w:rsidRPr="007B010A">
        <w:rPr>
          <w:shd w:val="clear" w:color="auto" w:fill="FFFFFF"/>
        </w:rPr>
        <w:t>Imūnhistoķīmisko</w:t>
      </w:r>
      <w:proofErr w:type="spellEnd"/>
      <w:r w:rsidRPr="007B010A">
        <w:rPr>
          <w:shd w:val="clear" w:color="auto" w:fill="FFFFFF"/>
        </w:rPr>
        <w:t xml:space="preserve"> antivielu, reaktīvu, materiālu un tehnoloģiju piegāde” ietvaros no plānotajiem 565</w:t>
      </w:r>
      <w:r w:rsidR="007B5E46">
        <w:rPr>
          <w:shd w:val="clear" w:color="auto" w:fill="FFFFFF"/>
        </w:rPr>
        <w:t> </w:t>
      </w:r>
      <w:r w:rsidRPr="007B010A">
        <w:rPr>
          <w:shd w:val="clear" w:color="auto" w:fill="FFFFFF"/>
        </w:rPr>
        <w:t>660</w:t>
      </w:r>
      <w:r w:rsidR="007B5E46">
        <w:rPr>
          <w:shd w:val="clear" w:color="auto" w:fill="FFFFFF"/>
        </w:rPr>
        <w:t> </w:t>
      </w:r>
      <w:proofErr w:type="spellStart"/>
      <w:r w:rsidRPr="007B010A">
        <w:rPr>
          <w:i/>
          <w:shd w:val="clear" w:color="auto" w:fill="FFFFFF"/>
        </w:rPr>
        <w:t>euro</w:t>
      </w:r>
      <w:proofErr w:type="spellEnd"/>
      <w:r w:rsidRPr="007B010A">
        <w:rPr>
          <w:shd w:val="clear" w:color="auto" w:fill="FFFFFF"/>
        </w:rPr>
        <w:t xml:space="preserve"> tika apgūti 372 763,49 </w:t>
      </w:r>
      <w:proofErr w:type="spellStart"/>
      <w:r w:rsidRPr="007B010A">
        <w:rPr>
          <w:i/>
          <w:shd w:val="clear" w:color="auto" w:fill="FFFFFF"/>
        </w:rPr>
        <w:t>euro</w:t>
      </w:r>
      <w:proofErr w:type="spellEnd"/>
      <w:r w:rsidRPr="007B010A">
        <w:rPr>
          <w:shd w:val="clear" w:color="auto" w:fill="FFFFFF"/>
        </w:rPr>
        <w:t xml:space="preserve"> un pozīcijā “Ēkas un tās infrastruktūras renovācija” šobrīd ir paveikti darbi par kopējo summu </w:t>
      </w:r>
      <w:r w:rsidRPr="007B010A" w:rsidDel="009D0A6E">
        <w:rPr>
          <w:shd w:val="clear" w:color="auto" w:fill="FFFFFF"/>
        </w:rPr>
        <w:t xml:space="preserve"> </w:t>
      </w:r>
      <w:r w:rsidRPr="007B010A">
        <w:rPr>
          <w:bCs/>
          <w:shd w:val="clear" w:color="auto" w:fill="FFFFFF"/>
        </w:rPr>
        <w:t>191</w:t>
      </w:r>
      <w:r w:rsidR="007B5E46">
        <w:rPr>
          <w:bCs/>
          <w:shd w:val="clear" w:color="auto" w:fill="FFFFFF"/>
        </w:rPr>
        <w:t> </w:t>
      </w:r>
      <w:r w:rsidRPr="007B010A">
        <w:rPr>
          <w:bCs/>
          <w:shd w:val="clear" w:color="auto" w:fill="FFFFFF"/>
        </w:rPr>
        <w:t xml:space="preserve">235,41 </w:t>
      </w:r>
      <w:proofErr w:type="spellStart"/>
      <w:r w:rsidRPr="007B010A">
        <w:rPr>
          <w:i/>
          <w:shd w:val="clear" w:color="auto" w:fill="FFFFFF"/>
        </w:rPr>
        <w:t>euro</w:t>
      </w:r>
      <w:proofErr w:type="spellEnd"/>
      <w:r w:rsidRPr="007B010A">
        <w:rPr>
          <w:bCs/>
          <w:shd w:val="clear" w:color="auto" w:fill="FFFFFF"/>
        </w:rPr>
        <w:t xml:space="preserve"> ar PVN (20.tabula).</w:t>
      </w:r>
    </w:p>
    <w:p w14:paraId="5245963B" w14:textId="5865A36E" w:rsidR="009367F3" w:rsidRPr="007B010A" w:rsidRDefault="009367F3" w:rsidP="009367F3">
      <w:pPr>
        <w:ind w:firstLine="720"/>
        <w:jc w:val="right"/>
      </w:pPr>
      <w:r w:rsidRPr="007B010A">
        <w:t>20.tabula</w:t>
      </w:r>
    </w:p>
    <w:p w14:paraId="0CF46550" w14:textId="6B7C056A" w:rsidR="009367F3" w:rsidRPr="007B010A" w:rsidRDefault="009367F3" w:rsidP="009367F3">
      <w:pPr>
        <w:ind w:firstLine="720"/>
        <w:jc w:val="center"/>
      </w:pPr>
      <w:r w:rsidRPr="007B010A">
        <w:t>Valsts pataloģijas centra izveides 2018.gada izpilde</w:t>
      </w:r>
    </w:p>
    <w:p w14:paraId="0FE8A52D" w14:textId="77777777" w:rsidR="009367F3" w:rsidRPr="007B010A" w:rsidRDefault="009367F3" w:rsidP="009367F3">
      <w:pPr>
        <w:ind w:firstLine="720"/>
        <w:jc w:val="center"/>
      </w:pPr>
    </w:p>
    <w:tbl>
      <w:tblPr>
        <w:tblStyle w:val="TableGrid"/>
        <w:tblW w:w="0" w:type="auto"/>
        <w:tblLook w:val="04A0" w:firstRow="1" w:lastRow="0" w:firstColumn="1" w:lastColumn="0" w:noHBand="0" w:noVBand="1"/>
      </w:tblPr>
      <w:tblGrid>
        <w:gridCol w:w="2405"/>
        <w:gridCol w:w="1559"/>
        <w:gridCol w:w="1488"/>
        <w:gridCol w:w="1804"/>
        <w:gridCol w:w="1805"/>
      </w:tblGrid>
      <w:tr w:rsidR="007E6069" w:rsidRPr="007B5E46" w14:paraId="7385ECC3" w14:textId="77777777" w:rsidTr="00893C7B">
        <w:tc>
          <w:tcPr>
            <w:tcW w:w="2405" w:type="dxa"/>
            <w:shd w:val="clear" w:color="auto" w:fill="FFFFFF" w:themeFill="background1"/>
            <w:vAlign w:val="center"/>
          </w:tcPr>
          <w:p w14:paraId="41033349" w14:textId="658BBDE3" w:rsidR="009367F3" w:rsidRPr="007B5E46" w:rsidRDefault="009367F3" w:rsidP="009367F3">
            <w:pPr>
              <w:jc w:val="center"/>
              <w:rPr>
                <w:sz w:val="22"/>
                <w:szCs w:val="22"/>
              </w:rPr>
            </w:pPr>
            <w:r w:rsidRPr="007B5E46">
              <w:rPr>
                <w:bCs/>
                <w:sz w:val="22"/>
                <w:szCs w:val="22"/>
                <w:shd w:val="clear" w:color="auto" w:fill="FFFFFF"/>
              </w:rPr>
              <w:t>Investīciju pozīcija</w:t>
            </w:r>
          </w:p>
        </w:tc>
        <w:tc>
          <w:tcPr>
            <w:tcW w:w="1559" w:type="dxa"/>
            <w:shd w:val="clear" w:color="auto" w:fill="FFFFFF" w:themeFill="background1"/>
            <w:vAlign w:val="center"/>
          </w:tcPr>
          <w:p w14:paraId="32D360CB" w14:textId="3D008EA6" w:rsidR="009367F3" w:rsidRPr="007B5E46" w:rsidRDefault="009367F3" w:rsidP="009367F3">
            <w:pPr>
              <w:jc w:val="center"/>
              <w:rPr>
                <w:sz w:val="22"/>
                <w:szCs w:val="22"/>
              </w:rPr>
            </w:pPr>
            <w:r w:rsidRPr="007B5E46">
              <w:rPr>
                <w:bCs/>
                <w:sz w:val="22"/>
                <w:szCs w:val="22"/>
                <w:shd w:val="clear" w:color="auto" w:fill="FFFFFF"/>
              </w:rPr>
              <w:t>Cena</w:t>
            </w:r>
          </w:p>
        </w:tc>
        <w:tc>
          <w:tcPr>
            <w:tcW w:w="1488" w:type="dxa"/>
            <w:shd w:val="clear" w:color="auto" w:fill="FFFFFF" w:themeFill="background1"/>
            <w:vAlign w:val="center"/>
          </w:tcPr>
          <w:p w14:paraId="72352D73" w14:textId="596D4055" w:rsidR="009367F3" w:rsidRPr="007B5E46" w:rsidRDefault="009367F3" w:rsidP="009367F3">
            <w:pPr>
              <w:jc w:val="center"/>
              <w:rPr>
                <w:sz w:val="22"/>
                <w:szCs w:val="22"/>
              </w:rPr>
            </w:pPr>
            <w:r w:rsidRPr="007B5E46">
              <w:rPr>
                <w:bCs/>
                <w:sz w:val="22"/>
                <w:szCs w:val="22"/>
                <w:shd w:val="clear" w:color="auto" w:fill="FFFFFF"/>
              </w:rPr>
              <w:t>Daudzums</w:t>
            </w:r>
          </w:p>
        </w:tc>
        <w:tc>
          <w:tcPr>
            <w:tcW w:w="1804" w:type="dxa"/>
            <w:shd w:val="clear" w:color="auto" w:fill="FFFFFF" w:themeFill="background1"/>
            <w:vAlign w:val="center"/>
          </w:tcPr>
          <w:p w14:paraId="7D1D8F95" w14:textId="4F49E867" w:rsidR="009367F3" w:rsidRPr="007B5E46" w:rsidRDefault="009367F3" w:rsidP="009367F3">
            <w:pPr>
              <w:jc w:val="center"/>
              <w:rPr>
                <w:sz w:val="22"/>
                <w:szCs w:val="22"/>
              </w:rPr>
            </w:pPr>
            <w:r w:rsidRPr="007B5E46">
              <w:rPr>
                <w:bCs/>
                <w:sz w:val="22"/>
                <w:szCs w:val="22"/>
                <w:shd w:val="clear" w:color="auto" w:fill="FFFFFF"/>
              </w:rPr>
              <w:t>Plānotā summa ar PVN</w:t>
            </w:r>
          </w:p>
        </w:tc>
        <w:tc>
          <w:tcPr>
            <w:tcW w:w="1805" w:type="dxa"/>
            <w:shd w:val="clear" w:color="auto" w:fill="FFFFFF" w:themeFill="background1"/>
            <w:vAlign w:val="center"/>
          </w:tcPr>
          <w:p w14:paraId="721A3C3D" w14:textId="616583FE" w:rsidR="009367F3" w:rsidRPr="007B5E46" w:rsidRDefault="009367F3" w:rsidP="009367F3">
            <w:pPr>
              <w:jc w:val="center"/>
              <w:rPr>
                <w:sz w:val="22"/>
                <w:szCs w:val="22"/>
              </w:rPr>
            </w:pPr>
            <w:r w:rsidRPr="007B5E46">
              <w:rPr>
                <w:bCs/>
                <w:sz w:val="22"/>
                <w:szCs w:val="22"/>
                <w:shd w:val="clear" w:color="auto" w:fill="FFFFFF"/>
              </w:rPr>
              <w:t>Izpildes summa ar PVN</w:t>
            </w:r>
          </w:p>
        </w:tc>
      </w:tr>
      <w:tr w:rsidR="007E6069" w:rsidRPr="007B010A" w14:paraId="01F37479" w14:textId="77777777" w:rsidTr="002F6B01">
        <w:tc>
          <w:tcPr>
            <w:tcW w:w="2405" w:type="dxa"/>
            <w:vAlign w:val="center"/>
          </w:tcPr>
          <w:p w14:paraId="73D8F7BD" w14:textId="759C6818" w:rsidR="009367F3" w:rsidRPr="007B5E46" w:rsidRDefault="009367F3" w:rsidP="009367F3">
            <w:pPr>
              <w:jc w:val="center"/>
              <w:rPr>
                <w:sz w:val="22"/>
                <w:szCs w:val="22"/>
              </w:rPr>
            </w:pPr>
            <w:r w:rsidRPr="007B5E46">
              <w:rPr>
                <w:b/>
                <w:bCs/>
                <w:sz w:val="22"/>
                <w:szCs w:val="22"/>
                <w:shd w:val="clear" w:color="auto" w:fill="FFFFFF"/>
              </w:rPr>
              <w:t>Ēkas un tās infrastruktūras renovācija, t.sk.</w:t>
            </w:r>
          </w:p>
        </w:tc>
        <w:tc>
          <w:tcPr>
            <w:tcW w:w="1559" w:type="dxa"/>
            <w:vAlign w:val="center"/>
          </w:tcPr>
          <w:p w14:paraId="65A4F416" w14:textId="0C5249D9" w:rsidR="009367F3" w:rsidRPr="007B5E46" w:rsidRDefault="009367F3" w:rsidP="009367F3">
            <w:pPr>
              <w:jc w:val="center"/>
              <w:rPr>
                <w:sz w:val="22"/>
                <w:szCs w:val="22"/>
              </w:rPr>
            </w:pPr>
            <w:r w:rsidRPr="007B5E46">
              <w:rPr>
                <w:b/>
                <w:bCs/>
                <w:sz w:val="22"/>
                <w:szCs w:val="22"/>
                <w:shd w:val="clear" w:color="auto" w:fill="FFFFFF"/>
              </w:rPr>
              <w:t> </w:t>
            </w:r>
          </w:p>
        </w:tc>
        <w:tc>
          <w:tcPr>
            <w:tcW w:w="1488" w:type="dxa"/>
            <w:vAlign w:val="center"/>
          </w:tcPr>
          <w:p w14:paraId="0434D586" w14:textId="4BE7B750" w:rsidR="009367F3" w:rsidRPr="007B5E46" w:rsidRDefault="009367F3" w:rsidP="009367F3">
            <w:pPr>
              <w:jc w:val="center"/>
              <w:rPr>
                <w:sz w:val="22"/>
                <w:szCs w:val="22"/>
              </w:rPr>
            </w:pPr>
            <w:r w:rsidRPr="007B5E46">
              <w:rPr>
                <w:b/>
                <w:bCs/>
                <w:sz w:val="22"/>
                <w:szCs w:val="22"/>
                <w:shd w:val="clear" w:color="auto" w:fill="FFFFFF"/>
              </w:rPr>
              <w:t> </w:t>
            </w:r>
          </w:p>
        </w:tc>
        <w:tc>
          <w:tcPr>
            <w:tcW w:w="1804" w:type="dxa"/>
            <w:vAlign w:val="center"/>
          </w:tcPr>
          <w:p w14:paraId="79F02DDF" w14:textId="13705BB8" w:rsidR="009367F3" w:rsidRPr="007B5E46" w:rsidRDefault="009367F3" w:rsidP="009367F3">
            <w:pPr>
              <w:jc w:val="center"/>
              <w:rPr>
                <w:sz w:val="22"/>
                <w:szCs w:val="22"/>
              </w:rPr>
            </w:pPr>
            <w:r w:rsidRPr="007B5E46">
              <w:rPr>
                <w:b/>
                <w:bCs/>
                <w:sz w:val="22"/>
                <w:szCs w:val="22"/>
                <w:shd w:val="clear" w:color="auto" w:fill="FFFFFF"/>
              </w:rPr>
              <w:t>400 000</w:t>
            </w:r>
          </w:p>
        </w:tc>
        <w:tc>
          <w:tcPr>
            <w:tcW w:w="1805" w:type="dxa"/>
            <w:vAlign w:val="center"/>
          </w:tcPr>
          <w:p w14:paraId="0E1CCD0F" w14:textId="587B6BA6" w:rsidR="009367F3" w:rsidRPr="007B5E46" w:rsidRDefault="009367F3" w:rsidP="009367F3">
            <w:pPr>
              <w:jc w:val="center"/>
              <w:rPr>
                <w:sz w:val="22"/>
                <w:szCs w:val="22"/>
              </w:rPr>
            </w:pPr>
            <w:r w:rsidRPr="007B5E46">
              <w:rPr>
                <w:b/>
                <w:bCs/>
                <w:sz w:val="22"/>
                <w:szCs w:val="22"/>
                <w:shd w:val="clear" w:color="auto" w:fill="FFFFFF"/>
              </w:rPr>
              <w:t>191 235,41</w:t>
            </w:r>
          </w:p>
        </w:tc>
      </w:tr>
      <w:tr w:rsidR="007E6069" w:rsidRPr="007B010A" w14:paraId="562BE23F" w14:textId="77777777" w:rsidTr="002F6B01">
        <w:tc>
          <w:tcPr>
            <w:tcW w:w="2405" w:type="dxa"/>
            <w:vAlign w:val="center"/>
          </w:tcPr>
          <w:p w14:paraId="73C7E606" w14:textId="11DD95ED" w:rsidR="009367F3" w:rsidRPr="007B5E46" w:rsidRDefault="009367F3" w:rsidP="009367F3">
            <w:pPr>
              <w:jc w:val="center"/>
              <w:rPr>
                <w:sz w:val="22"/>
                <w:szCs w:val="22"/>
              </w:rPr>
            </w:pPr>
            <w:r w:rsidRPr="007B5E46">
              <w:rPr>
                <w:sz w:val="22"/>
                <w:szCs w:val="22"/>
                <w:shd w:val="clear" w:color="auto" w:fill="FFFFFF"/>
              </w:rPr>
              <w:t>ēkas tehniskā apsekošana</w:t>
            </w:r>
          </w:p>
        </w:tc>
        <w:tc>
          <w:tcPr>
            <w:tcW w:w="1559" w:type="dxa"/>
            <w:vAlign w:val="center"/>
          </w:tcPr>
          <w:p w14:paraId="56D06A7E" w14:textId="7CCD57AC" w:rsidR="009367F3" w:rsidRPr="007B5E46" w:rsidRDefault="009367F3" w:rsidP="009367F3">
            <w:pPr>
              <w:jc w:val="center"/>
              <w:rPr>
                <w:sz w:val="22"/>
                <w:szCs w:val="22"/>
              </w:rPr>
            </w:pPr>
            <w:r w:rsidRPr="007B5E46">
              <w:rPr>
                <w:sz w:val="22"/>
                <w:szCs w:val="22"/>
                <w:shd w:val="clear" w:color="auto" w:fill="FFFFFF"/>
              </w:rPr>
              <w:t>25 000</w:t>
            </w:r>
          </w:p>
        </w:tc>
        <w:tc>
          <w:tcPr>
            <w:tcW w:w="1488" w:type="dxa"/>
            <w:vAlign w:val="center"/>
          </w:tcPr>
          <w:p w14:paraId="14924D5A" w14:textId="6CA952A0" w:rsidR="009367F3" w:rsidRPr="007B5E46" w:rsidRDefault="009367F3" w:rsidP="009367F3">
            <w:pPr>
              <w:jc w:val="center"/>
              <w:rPr>
                <w:sz w:val="22"/>
                <w:szCs w:val="22"/>
              </w:rPr>
            </w:pPr>
            <w:r w:rsidRPr="007B5E46">
              <w:rPr>
                <w:sz w:val="22"/>
                <w:szCs w:val="22"/>
                <w:shd w:val="clear" w:color="auto" w:fill="FFFFFF"/>
              </w:rPr>
              <w:t>1</w:t>
            </w:r>
          </w:p>
        </w:tc>
        <w:tc>
          <w:tcPr>
            <w:tcW w:w="1804" w:type="dxa"/>
            <w:vAlign w:val="center"/>
          </w:tcPr>
          <w:p w14:paraId="4BAE268C" w14:textId="36D3A8C1" w:rsidR="009367F3" w:rsidRPr="007B5E46" w:rsidRDefault="009367F3" w:rsidP="009367F3">
            <w:pPr>
              <w:jc w:val="center"/>
              <w:rPr>
                <w:sz w:val="22"/>
                <w:szCs w:val="22"/>
              </w:rPr>
            </w:pPr>
            <w:r w:rsidRPr="007B5E46">
              <w:rPr>
                <w:sz w:val="22"/>
                <w:szCs w:val="22"/>
                <w:shd w:val="clear" w:color="auto" w:fill="FFFFFF"/>
              </w:rPr>
              <w:t>25 000</w:t>
            </w:r>
          </w:p>
        </w:tc>
        <w:tc>
          <w:tcPr>
            <w:tcW w:w="1805" w:type="dxa"/>
            <w:vAlign w:val="center"/>
          </w:tcPr>
          <w:p w14:paraId="7309B32E" w14:textId="70FDCBDA" w:rsidR="009367F3" w:rsidRPr="007B5E46" w:rsidRDefault="009367F3" w:rsidP="009367F3">
            <w:pPr>
              <w:jc w:val="center"/>
              <w:rPr>
                <w:sz w:val="22"/>
                <w:szCs w:val="22"/>
              </w:rPr>
            </w:pPr>
            <w:r w:rsidRPr="007B5E46">
              <w:rPr>
                <w:sz w:val="22"/>
                <w:szCs w:val="22"/>
                <w:shd w:val="clear" w:color="auto" w:fill="FFFFFF"/>
              </w:rPr>
              <w:t>39 489,08</w:t>
            </w:r>
          </w:p>
        </w:tc>
      </w:tr>
      <w:tr w:rsidR="007E6069" w:rsidRPr="007B010A" w14:paraId="4E96CE27" w14:textId="77777777" w:rsidTr="002F6B01">
        <w:tc>
          <w:tcPr>
            <w:tcW w:w="2405" w:type="dxa"/>
            <w:vAlign w:val="center"/>
          </w:tcPr>
          <w:p w14:paraId="6C937283" w14:textId="53825EEF" w:rsidR="009367F3" w:rsidRPr="007B5E46" w:rsidRDefault="009367F3" w:rsidP="009367F3">
            <w:pPr>
              <w:jc w:val="center"/>
              <w:rPr>
                <w:sz w:val="22"/>
                <w:szCs w:val="22"/>
              </w:rPr>
            </w:pPr>
            <w:r w:rsidRPr="007B5E46">
              <w:rPr>
                <w:sz w:val="22"/>
                <w:szCs w:val="22"/>
                <w:shd w:val="clear" w:color="auto" w:fill="FFFFFF"/>
              </w:rPr>
              <w:t>projekta izstrāde</w:t>
            </w:r>
          </w:p>
        </w:tc>
        <w:tc>
          <w:tcPr>
            <w:tcW w:w="1559" w:type="dxa"/>
            <w:vAlign w:val="center"/>
          </w:tcPr>
          <w:p w14:paraId="6F9CED72" w14:textId="4B80D0AA" w:rsidR="009367F3" w:rsidRPr="007B5E46" w:rsidRDefault="009367F3" w:rsidP="009367F3">
            <w:pPr>
              <w:jc w:val="center"/>
              <w:rPr>
                <w:sz w:val="22"/>
                <w:szCs w:val="22"/>
              </w:rPr>
            </w:pPr>
            <w:r w:rsidRPr="007B5E46">
              <w:rPr>
                <w:sz w:val="22"/>
                <w:szCs w:val="22"/>
                <w:shd w:val="clear" w:color="auto" w:fill="FFFFFF"/>
              </w:rPr>
              <w:t>250 000</w:t>
            </w:r>
          </w:p>
        </w:tc>
        <w:tc>
          <w:tcPr>
            <w:tcW w:w="1488" w:type="dxa"/>
            <w:vAlign w:val="center"/>
          </w:tcPr>
          <w:p w14:paraId="724E10F1" w14:textId="27D1DB6E" w:rsidR="009367F3" w:rsidRPr="007B5E46" w:rsidRDefault="009367F3" w:rsidP="009367F3">
            <w:pPr>
              <w:jc w:val="center"/>
              <w:rPr>
                <w:sz w:val="22"/>
                <w:szCs w:val="22"/>
              </w:rPr>
            </w:pPr>
            <w:r w:rsidRPr="007B5E46">
              <w:rPr>
                <w:sz w:val="22"/>
                <w:szCs w:val="22"/>
                <w:shd w:val="clear" w:color="auto" w:fill="FFFFFF"/>
              </w:rPr>
              <w:t>1</w:t>
            </w:r>
          </w:p>
        </w:tc>
        <w:tc>
          <w:tcPr>
            <w:tcW w:w="1804" w:type="dxa"/>
            <w:vAlign w:val="center"/>
          </w:tcPr>
          <w:p w14:paraId="37ECE85C" w14:textId="38DBE45A" w:rsidR="009367F3" w:rsidRPr="007B5E46" w:rsidRDefault="009367F3" w:rsidP="009367F3">
            <w:pPr>
              <w:jc w:val="center"/>
              <w:rPr>
                <w:sz w:val="22"/>
                <w:szCs w:val="22"/>
              </w:rPr>
            </w:pPr>
            <w:r w:rsidRPr="007B5E46">
              <w:rPr>
                <w:sz w:val="22"/>
                <w:szCs w:val="22"/>
                <w:shd w:val="clear" w:color="auto" w:fill="FFFFFF"/>
              </w:rPr>
              <w:t>250 000</w:t>
            </w:r>
          </w:p>
        </w:tc>
        <w:tc>
          <w:tcPr>
            <w:tcW w:w="1805" w:type="dxa"/>
            <w:vAlign w:val="center"/>
          </w:tcPr>
          <w:p w14:paraId="169AE02D" w14:textId="66D41EEB" w:rsidR="009367F3" w:rsidRPr="007B5E46" w:rsidRDefault="009367F3" w:rsidP="009367F3">
            <w:pPr>
              <w:jc w:val="center"/>
              <w:rPr>
                <w:sz w:val="22"/>
                <w:szCs w:val="22"/>
              </w:rPr>
            </w:pPr>
            <w:r w:rsidRPr="007B5E46">
              <w:rPr>
                <w:sz w:val="22"/>
                <w:szCs w:val="22"/>
                <w:shd w:val="clear" w:color="auto" w:fill="FFFFFF"/>
              </w:rPr>
              <w:t>151 746,33</w:t>
            </w:r>
          </w:p>
        </w:tc>
      </w:tr>
      <w:tr w:rsidR="007E6069" w:rsidRPr="007B010A" w14:paraId="68F5982C" w14:textId="77777777" w:rsidTr="002F6B01">
        <w:tc>
          <w:tcPr>
            <w:tcW w:w="2405" w:type="dxa"/>
            <w:vAlign w:val="center"/>
          </w:tcPr>
          <w:p w14:paraId="0A6F83AA" w14:textId="72B30F7C" w:rsidR="009367F3" w:rsidRPr="007B5E46" w:rsidRDefault="009367F3" w:rsidP="009367F3">
            <w:pPr>
              <w:jc w:val="center"/>
              <w:rPr>
                <w:sz w:val="22"/>
                <w:szCs w:val="22"/>
              </w:rPr>
            </w:pPr>
            <w:r w:rsidRPr="007B5E46">
              <w:rPr>
                <w:sz w:val="22"/>
                <w:szCs w:val="22"/>
                <w:shd w:val="clear" w:color="auto" w:fill="FFFFFF"/>
              </w:rPr>
              <w:t>celtniecība</w:t>
            </w:r>
          </w:p>
        </w:tc>
        <w:tc>
          <w:tcPr>
            <w:tcW w:w="1559" w:type="dxa"/>
            <w:vAlign w:val="center"/>
          </w:tcPr>
          <w:p w14:paraId="731ACDE6" w14:textId="5A65FA63" w:rsidR="009367F3" w:rsidRPr="007B5E46" w:rsidRDefault="009367F3" w:rsidP="009367F3">
            <w:pPr>
              <w:jc w:val="center"/>
              <w:rPr>
                <w:sz w:val="22"/>
                <w:szCs w:val="22"/>
              </w:rPr>
            </w:pPr>
            <w:r w:rsidRPr="007B5E46">
              <w:rPr>
                <w:sz w:val="22"/>
                <w:szCs w:val="22"/>
                <w:shd w:val="clear" w:color="auto" w:fill="FFFFFF"/>
              </w:rPr>
              <w:t>125 000</w:t>
            </w:r>
          </w:p>
        </w:tc>
        <w:tc>
          <w:tcPr>
            <w:tcW w:w="1488" w:type="dxa"/>
            <w:vAlign w:val="center"/>
          </w:tcPr>
          <w:p w14:paraId="6659D2C9" w14:textId="15438900" w:rsidR="009367F3" w:rsidRPr="007B5E46" w:rsidRDefault="009367F3" w:rsidP="009367F3">
            <w:pPr>
              <w:jc w:val="center"/>
              <w:rPr>
                <w:sz w:val="22"/>
                <w:szCs w:val="22"/>
              </w:rPr>
            </w:pPr>
            <w:r w:rsidRPr="007B5E46">
              <w:rPr>
                <w:sz w:val="22"/>
                <w:szCs w:val="22"/>
                <w:shd w:val="clear" w:color="auto" w:fill="FFFFFF"/>
              </w:rPr>
              <w:t>1</w:t>
            </w:r>
          </w:p>
        </w:tc>
        <w:tc>
          <w:tcPr>
            <w:tcW w:w="1804" w:type="dxa"/>
            <w:vAlign w:val="center"/>
          </w:tcPr>
          <w:p w14:paraId="1EF847F5" w14:textId="5AEB8117" w:rsidR="009367F3" w:rsidRPr="007B5E46" w:rsidRDefault="009367F3" w:rsidP="009367F3">
            <w:pPr>
              <w:jc w:val="center"/>
              <w:rPr>
                <w:sz w:val="22"/>
                <w:szCs w:val="22"/>
              </w:rPr>
            </w:pPr>
            <w:r w:rsidRPr="007B5E46">
              <w:rPr>
                <w:sz w:val="22"/>
                <w:szCs w:val="22"/>
                <w:shd w:val="clear" w:color="auto" w:fill="FFFFFF"/>
              </w:rPr>
              <w:t>125 000</w:t>
            </w:r>
          </w:p>
        </w:tc>
        <w:tc>
          <w:tcPr>
            <w:tcW w:w="1805" w:type="dxa"/>
            <w:vAlign w:val="center"/>
          </w:tcPr>
          <w:p w14:paraId="35ED3ACD" w14:textId="17C4431F" w:rsidR="009367F3" w:rsidRPr="007B5E46" w:rsidRDefault="009367F3" w:rsidP="009367F3">
            <w:pPr>
              <w:jc w:val="center"/>
              <w:rPr>
                <w:sz w:val="22"/>
                <w:szCs w:val="22"/>
              </w:rPr>
            </w:pPr>
            <w:r w:rsidRPr="007B5E46">
              <w:rPr>
                <w:sz w:val="22"/>
                <w:szCs w:val="22"/>
                <w:shd w:val="clear" w:color="auto" w:fill="FFFFFF"/>
              </w:rPr>
              <w:t>0,00</w:t>
            </w:r>
          </w:p>
        </w:tc>
      </w:tr>
      <w:tr w:rsidR="007E6069" w:rsidRPr="007B010A" w14:paraId="184C4ED2" w14:textId="77777777" w:rsidTr="002F6B01">
        <w:tc>
          <w:tcPr>
            <w:tcW w:w="2405" w:type="dxa"/>
            <w:vAlign w:val="center"/>
          </w:tcPr>
          <w:p w14:paraId="30DBB7B0" w14:textId="5F4FC816" w:rsidR="009367F3" w:rsidRPr="007B5E46" w:rsidRDefault="009367F3" w:rsidP="009367F3">
            <w:pPr>
              <w:jc w:val="center"/>
              <w:rPr>
                <w:sz w:val="22"/>
                <w:szCs w:val="22"/>
              </w:rPr>
            </w:pPr>
            <w:r w:rsidRPr="007B5E46">
              <w:rPr>
                <w:b/>
                <w:bCs/>
                <w:sz w:val="22"/>
                <w:szCs w:val="22"/>
                <w:shd w:val="clear" w:color="auto" w:fill="FFFFFF"/>
              </w:rPr>
              <w:t>Iekārtu iegāde, t.sk.</w:t>
            </w:r>
          </w:p>
        </w:tc>
        <w:tc>
          <w:tcPr>
            <w:tcW w:w="1559" w:type="dxa"/>
            <w:vAlign w:val="center"/>
          </w:tcPr>
          <w:p w14:paraId="78229D65" w14:textId="12BBED4E" w:rsidR="009367F3" w:rsidRPr="007B5E46" w:rsidRDefault="009367F3" w:rsidP="009367F3">
            <w:pPr>
              <w:jc w:val="center"/>
              <w:rPr>
                <w:sz w:val="22"/>
                <w:szCs w:val="22"/>
              </w:rPr>
            </w:pPr>
            <w:r w:rsidRPr="007B5E46">
              <w:rPr>
                <w:b/>
                <w:bCs/>
                <w:sz w:val="22"/>
                <w:szCs w:val="22"/>
                <w:shd w:val="clear" w:color="auto" w:fill="FFFFFF"/>
              </w:rPr>
              <w:t> </w:t>
            </w:r>
          </w:p>
        </w:tc>
        <w:tc>
          <w:tcPr>
            <w:tcW w:w="1488" w:type="dxa"/>
            <w:vAlign w:val="center"/>
          </w:tcPr>
          <w:p w14:paraId="62FD3050" w14:textId="4E8B7FBC" w:rsidR="009367F3" w:rsidRPr="007B5E46" w:rsidRDefault="009367F3" w:rsidP="009367F3">
            <w:pPr>
              <w:jc w:val="center"/>
              <w:rPr>
                <w:sz w:val="22"/>
                <w:szCs w:val="22"/>
              </w:rPr>
            </w:pPr>
            <w:r w:rsidRPr="007B5E46">
              <w:rPr>
                <w:b/>
                <w:bCs/>
                <w:sz w:val="22"/>
                <w:szCs w:val="22"/>
                <w:shd w:val="clear" w:color="auto" w:fill="FFFFFF"/>
              </w:rPr>
              <w:t> </w:t>
            </w:r>
          </w:p>
        </w:tc>
        <w:tc>
          <w:tcPr>
            <w:tcW w:w="1804" w:type="dxa"/>
            <w:vAlign w:val="center"/>
          </w:tcPr>
          <w:p w14:paraId="26335A63" w14:textId="0738BEB2" w:rsidR="009367F3" w:rsidRPr="007B5E46" w:rsidRDefault="009367F3" w:rsidP="009367F3">
            <w:pPr>
              <w:jc w:val="center"/>
              <w:rPr>
                <w:sz w:val="22"/>
                <w:szCs w:val="22"/>
              </w:rPr>
            </w:pPr>
            <w:r w:rsidRPr="007B5E46">
              <w:rPr>
                <w:b/>
                <w:bCs/>
                <w:sz w:val="22"/>
                <w:szCs w:val="22"/>
                <w:shd w:val="clear" w:color="auto" w:fill="FFFFFF"/>
              </w:rPr>
              <w:t>565 660</w:t>
            </w:r>
          </w:p>
        </w:tc>
        <w:tc>
          <w:tcPr>
            <w:tcW w:w="1805" w:type="dxa"/>
            <w:vAlign w:val="center"/>
          </w:tcPr>
          <w:p w14:paraId="1B1F3BF8" w14:textId="78693DEB" w:rsidR="009367F3" w:rsidRPr="007B5E46" w:rsidRDefault="009367F3" w:rsidP="009367F3">
            <w:pPr>
              <w:jc w:val="center"/>
              <w:rPr>
                <w:sz w:val="22"/>
                <w:szCs w:val="22"/>
              </w:rPr>
            </w:pPr>
            <w:r w:rsidRPr="007B5E46">
              <w:rPr>
                <w:b/>
                <w:bCs/>
                <w:sz w:val="22"/>
                <w:szCs w:val="22"/>
                <w:shd w:val="clear" w:color="auto" w:fill="FFFFFF"/>
              </w:rPr>
              <w:t>372 763,49</w:t>
            </w:r>
          </w:p>
        </w:tc>
      </w:tr>
      <w:tr w:rsidR="007E6069" w:rsidRPr="007B010A" w14:paraId="15C5A724" w14:textId="77777777" w:rsidTr="002F6B01">
        <w:tc>
          <w:tcPr>
            <w:tcW w:w="2405" w:type="dxa"/>
            <w:vAlign w:val="center"/>
          </w:tcPr>
          <w:p w14:paraId="42788AD5" w14:textId="78796391" w:rsidR="009367F3" w:rsidRPr="007B5E46" w:rsidRDefault="009367F3" w:rsidP="009367F3">
            <w:pPr>
              <w:jc w:val="center"/>
              <w:rPr>
                <w:sz w:val="22"/>
                <w:szCs w:val="22"/>
              </w:rPr>
            </w:pPr>
            <w:r w:rsidRPr="007B5E46">
              <w:rPr>
                <w:sz w:val="22"/>
                <w:szCs w:val="22"/>
                <w:shd w:val="clear" w:color="auto" w:fill="FFFFFF"/>
              </w:rPr>
              <w:lastRenderedPageBreak/>
              <w:t xml:space="preserve">Automatizēta </w:t>
            </w:r>
            <w:proofErr w:type="spellStart"/>
            <w:r w:rsidRPr="007B5E46">
              <w:rPr>
                <w:sz w:val="22"/>
                <w:szCs w:val="22"/>
                <w:shd w:val="clear" w:color="auto" w:fill="FFFFFF"/>
              </w:rPr>
              <w:t>hematoksilīna-eozīna</w:t>
            </w:r>
            <w:proofErr w:type="spellEnd"/>
            <w:r w:rsidRPr="007B5E46">
              <w:rPr>
                <w:sz w:val="22"/>
                <w:szCs w:val="22"/>
                <w:shd w:val="clear" w:color="auto" w:fill="FFFFFF"/>
              </w:rPr>
              <w:t xml:space="preserve"> krāsošanas iekārta</w:t>
            </w:r>
          </w:p>
        </w:tc>
        <w:tc>
          <w:tcPr>
            <w:tcW w:w="1559" w:type="dxa"/>
            <w:vAlign w:val="center"/>
          </w:tcPr>
          <w:p w14:paraId="2572DE3A" w14:textId="63EDB3F9" w:rsidR="009367F3" w:rsidRPr="007B5E46" w:rsidRDefault="009367F3" w:rsidP="009367F3">
            <w:pPr>
              <w:jc w:val="center"/>
              <w:rPr>
                <w:sz w:val="22"/>
                <w:szCs w:val="22"/>
              </w:rPr>
            </w:pPr>
            <w:r w:rsidRPr="007B5E46">
              <w:rPr>
                <w:sz w:val="22"/>
                <w:szCs w:val="22"/>
                <w:shd w:val="clear" w:color="auto" w:fill="FFFFFF"/>
              </w:rPr>
              <w:t>199 635</w:t>
            </w:r>
          </w:p>
        </w:tc>
        <w:tc>
          <w:tcPr>
            <w:tcW w:w="1488" w:type="dxa"/>
            <w:vAlign w:val="center"/>
          </w:tcPr>
          <w:p w14:paraId="42C43089" w14:textId="311E52DD" w:rsidR="009367F3" w:rsidRPr="007B5E46" w:rsidRDefault="009367F3" w:rsidP="009367F3">
            <w:pPr>
              <w:jc w:val="center"/>
              <w:rPr>
                <w:sz w:val="22"/>
                <w:szCs w:val="22"/>
              </w:rPr>
            </w:pPr>
            <w:r w:rsidRPr="007B5E46">
              <w:rPr>
                <w:sz w:val="22"/>
                <w:szCs w:val="22"/>
                <w:shd w:val="clear" w:color="auto" w:fill="FFFFFF"/>
              </w:rPr>
              <w:t>1</w:t>
            </w:r>
          </w:p>
        </w:tc>
        <w:tc>
          <w:tcPr>
            <w:tcW w:w="1804" w:type="dxa"/>
            <w:vAlign w:val="center"/>
          </w:tcPr>
          <w:p w14:paraId="7B86CCF6" w14:textId="735DC857" w:rsidR="009367F3" w:rsidRPr="007B5E46" w:rsidRDefault="009367F3" w:rsidP="009367F3">
            <w:pPr>
              <w:jc w:val="center"/>
              <w:rPr>
                <w:sz w:val="22"/>
                <w:szCs w:val="22"/>
              </w:rPr>
            </w:pPr>
            <w:r w:rsidRPr="007B5E46">
              <w:rPr>
                <w:sz w:val="22"/>
                <w:szCs w:val="22"/>
                <w:shd w:val="clear" w:color="auto" w:fill="FFFFFF"/>
              </w:rPr>
              <w:t>199 635</w:t>
            </w:r>
          </w:p>
        </w:tc>
        <w:tc>
          <w:tcPr>
            <w:tcW w:w="1805" w:type="dxa"/>
            <w:vAlign w:val="center"/>
          </w:tcPr>
          <w:p w14:paraId="7D71E75C" w14:textId="6FDBAC8F" w:rsidR="009367F3" w:rsidRPr="007B5E46" w:rsidRDefault="009367F3" w:rsidP="009367F3">
            <w:pPr>
              <w:jc w:val="center"/>
              <w:rPr>
                <w:sz w:val="22"/>
                <w:szCs w:val="22"/>
              </w:rPr>
            </w:pPr>
            <w:r w:rsidRPr="007B5E46">
              <w:rPr>
                <w:sz w:val="22"/>
                <w:szCs w:val="22"/>
                <w:shd w:val="clear" w:color="auto" w:fill="FFFFFF"/>
              </w:rPr>
              <w:t>40 970,60</w:t>
            </w:r>
          </w:p>
        </w:tc>
      </w:tr>
      <w:tr w:rsidR="007E6069" w:rsidRPr="007B010A" w14:paraId="03D2D2FB" w14:textId="77777777" w:rsidTr="002F6B01">
        <w:tc>
          <w:tcPr>
            <w:tcW w:w="2405" w:type="dxa"/>
            <w:vAlign w:val="center"/>
          </w:tcPr>
          <w:p w14:paraId="5AA9C726" w14:textId="5977ECFF" w:rsidR="009367F3" w:rsidRPr="007B5E46" w:rsidRDefault="009367F3" w:rsidP="009367F3">
            <w:pPr>
              <w:jc w:val="center"/>
              <w:rPr>
                <w:sz w:val="22"/>
                <w:szCs w:val="22"/>
              </w:rPr>
            </w:pPr>
            <w:proofErr w:type="spellStart"/>
            <w:r w:rsidRPr="007B5E46">
              <w:rPr>
                <w:sz w:val="22"/>
                <w:szCs w:val="22"/>
                <w:shd w:val="clear" w:color="auto" w:fill="FFFFFF"/>
              </w:rPr>
              <w:t>Automātizēta</w:t>
            </w:r>
            <w:proofErr w:type="spellEnd"/>
            <w:r w:rsidRPr="007B5E46">
              <w:rPr>
                <w:sz w:val="22"/>
                <w:szCs w:val="22"/>
                <w:shd w:val="clear" w:color="auto" w:fill="FFFFFF"/>
              </w:rPr>
              <w:t xml:space="preserve"> </w:t>
            </w:r>
            <w:proofErr w:type="spellStart"/>
            <w:r w:rsidRPr="007B5E46">
              <w:rPr>
                <w:sz w:val="22"/>
                <w:szCs w:val="22"/>
                <w:shd w:val="clear" w:color="auto" w:fill="FFFFFF"/>
              </w:rPr>
              <w:t>imūnhistoķīmiskās</w:t>
            </w:r>
            <w:proofErr w:type="spellEnd"/>
            <w:r w:rsidRPr="007B5E46">
              <w:rPr>
                <w:sz w:val="22"/>
                <w:szCs w:val="22"/>
                <w:shd w:val="clear" w:color="auto" w:fill="FFFFFF"/>
              </w:rPr>
              <w:t xml:space="preserve"> un </w:t>
            </w:r>
            <w:proofErr w:type="spellStart"/>
            <w:r w:rsidRPr="007B5E46">
              <w:rPr>
                <w:sz w:val="22"/>
                <w:szCs w:val="22"/>
                <w:shd w:val="clear" w:color="auto" w:fill="FFFFFF"/>
              </w:rPr>
              <w:t>in</w:t>
            </w:r>
            <w:proofErr w:type="spellEnd"/>
            <w:r w:rsidRPr="007B5E46">
              <w:rPr>
                <w:sz w:val="22"/>
                <w:szCs w:val="22"/>
                <w:shd w:val="clear" w:color="auto" w:fill="FFFFFF"/>
              </w:rPr>
              <w:t xml:space="preserve"> situ hibridizācijas krāsošanas iekārta</w:t>
            </w:r>
          </w:p>
        </w:tc>
        <w:tc>
          <w:tcPr>
            <w:tcW w:w="1559" w:type="dxa"/>
            <w:vAlign w:val="center"/>
          </w:tcPr>
          <w:p w14:paraId="3E49EA0D" w14:textId="68CBE700" w:rsidR="009367F3" w:rsidRPr="007B5E46" w:rsidRDefault="009367F3" w:rsidP="009367F3">
            <w:pPr>
              <w:jc w:val="center"/>
              <w:rPr>
                <w:sz w:val="22"/>
                <w:szCs w:val="22"/>
              </w:rPr>
            </w:pPr>
            <w:r w:rsidRPr="007B5E46">
              <w:rPr>
                <w:sz w:val="22"/>
                <w:szCs w:val="22"/>
                <w:shd w:val="clear" w:color="auto" w:fill="FFFFFF"/>
              </w:rPr>
              <w:t>96 800</w:t>
            </w:r>
          </w:p>
        </w:tc>
        <w:tc>
          <w:tcPr>
            <w:tcW w:w="1488" w:type="dxa"/>
            <w:vAlign w:val="center"/>
          </w:tcPr>
          <w:p w14:paraId="34A4C81E" w14:textId="7169C835" w:rsidR="009367F3" w:rsidRPr="007B5E46" w:rsidRDefault="009367F3" w:rsidP="009367F3">
            <w:pPr>
              <w:jc w:val="center"/>
              <w:rPr>
                <w:sz w:val="22"/>
                <w:szCs w:val="22"/>
              </w:rPr>
            </w:pPr>
            <w:r w:rsidRPr="007B5E46">
              <w:rPr>
                <w:sz w:val="22"/>
                <w:szCs w:val="22"/>
                <w:shd w:val="clear" w:color="auto" w:fill="FFFFFF"/>
              </w:rPr>
              <w:t>2</w:t>
            </w:r>
          </w:p>
        </w:tc>
        <w:tc>
          <w:tcPr>
            <w:tcW w:w="1804" w:type="dxa"/>
            <w:vAlign w:val="center"/>
          </w:tcPr>
          <w:p w14:paraId="309E071C" w14:textId="023297F6" w:rsidR="009367F3" w:rsidRPr="007B5E46" w:rsidRDefault="009367F3" w:rsidP="009367F3">
            <w:pPr>
              <w:jc w:val="center"/>
              <w:rPr>
                <w:sz w:val="22"/>
                <w:szCs w:val="22"/>
              </w:rPr>
            </w:pPr>
            <w:r w:rsidRPr="007B5E46">
              <w:rPr>
                <w:sz w:val="22"/>
                <w:szCs w:val="22"/>
                <w:shd w:val="clear" w:color="auto" w:fill="FFFFFF"/>
              </w:rPr>
              <w:t>193 600</w:t>
            </w:r>
          </w:p>
        </w:tc>
        <w:tc>
          <w:tcPr>
            <w:tcW w:w="1805" w:type="dxa"/>
            <w:vAlign w:val="center"/>
          </w:tcPr>
          <w:p w14:paraId="39837957" w14:textId="69FC71D6" w:rsidR="009367F3" w:rsidRPr="007B5E46" w:rsidRDefault="009367F3" w:rsidP="009367F3">
            <w:pPr>
              <w:jc w:val="center"/>
              <w:rPr>
                <w:sz w:val="22"/>
                <w:szCs w:val="22"/>
              </w:rPr>
            </w:pPr>
            <w:r w:rsidRPr="007B5E46">
              <w:rPr>
                <w:sz w:val="22"/>
                <w:szCs w:val="22"/>
                <w:shd w:val="clear" w:color="auto" w:fill="FFFFFF"/>
              </w:rPr>
              <w:t>189 244,00</w:t>
            </w:r>
          </w:p>
        </w:tc>
      </w:tr>
      <w:tr w:rsidR="007E6069" w:rsidRPr="007B010A" w14:paraId="6BBC81F9" w14:textId="77777777" w:rsidTr="002F6B01">
        <w:tc>
          <w:tcPr>
            <w:tcW w:w="2405" w:type="dxa"/>
            <w:vAlign w:val="center"/>
          </w:tcPr>
          <w:p w14:paraId="0D9BBFD9" w14:textId="14A804CD" w:rsidR="009367F3" w:rsidRPr="007B5E46" w:rsidRDefault="009367F3" w:rsidP="009367F3">
            <w:pPr>
              <w:jc w:val="center"/>
              <w:rPr>
                <w:sz w:val="22"/>
                <w:szCs w:val="22"/>
              </w:rPr>
            </w:pPr>
            <w:proofErr w:type="spellStart"/>
            <w:r w:rsidRPr="007B5E46">
              <w:rPr>
                <w:sz w:val="22"/>
                <w:szCs w:val="22"/>
                <w:shd w:val="clear" w:color="auto" w:fill="FFFFFF"/>
              </w:rPr>
              <w:t>Mikrotoms</w:t>
            </w:r>
            <w:proofErr w:type="spellEnd"/>
            <w:r w:rsidRPr="007B5E46">
              <w:rPr>
                <w:sz w:val="22"/>
                <w:szCs w:val="22"/>
                <w:shd w:val="clear" w:color="auto" w:fill="FFFFFF"/>
              </w:rPr>
              <w:t xml:space="preserve"> </w:t>
            </w:r>
            <w:proofErr w:type="spellStart"/>
            <w:r w:rsidRPr="007B5E46">
              <w:rPr>
                <w:sz w:val="22"/>
                <w:szCs w:val="22"/>
                <w:shd w:val="clear" w:color="auto" w:fill="FFFFFF"/>
              </w:rPr>
              <w:t>imūnhistoķīmisko</w:t>
            </w:r>
            <w:proofErr w:type="spellEnd"/>
            <w:r w:rsidRPr="007B5E46">
              <w:rPr>
                <w:sz w:val="22"/>
                <w:szCs w:val="22"/>
                <w:shd w:val="clear" w:color="auto" w:fill="FFFFFF"/>
              </w:rPr>
              <w:t xml:space="preserve"> </w:t>
            </w:r>
            <w:proofErr w:type="spellStart"/>
            <w:r w:rsidRPr="007B5E46">
              <w:rPr>
                <w:sz w:val="22"/>
                <w:szCs w:val="22"/>
                <w:shd w:val="clear" w:color="auto" w:fill="FFFFFF"/>
              </w:rPr>
              <w:t>mikropreparātu</w:t>
            </w:r>
            <w:proofErr w:type="spellEnd"/>
            <w:r w:rsidRPr="007B5E46">
              <w:rPr>
                <w:sz w:val="22"/>
                <w:szCs w:val="22"/>
                <w:shd w:val="clear" w:color="auto" w:fill="FFFFFF"/>
              </w:rPr>
              <w:t xml:space="preserve"> izgatavošanai</w:t>
            </w:r>
          </w:p>
        </w:tc>
        <w:tc>
          <w:tcPr>
            <w:tcW w:w="1559" w:type="dxa"/>
            <w:vAlign w:val="center"/>
          </w:tcPr>
          <w:p w14:paraId="2B1BA127" w14:textId="0CCCDFBA" w:rsidR="009367F3" w:rsidRPr="007B5E46" w:rsidRDefault="009367F3" w:rsidP="009367F3">
            <w:pPr>
              <w:jc w:val="center"/>
              <w:rPr>
                <w:sz w:val="22"/>
                <w:szCs w:val="22"/>
              </w:rPr>
            </w:pPr>
            <w:r w:rsidRPr="007B5E46">
              <w:rPr>
                <w:sz w:val="22"/>
                <w:szCs w:val="22"/>
                <w:shd w:val="clear" w:color="auto" w:fill="FFFFFF"/>
              </w:rPr>
              <w:t>7 018</w:t>
            </w:r>
          </w:p>
        </w:tc>
        <w:tc>
          <w:tcPr>
            <w:tcW w:w="1488" w:type="dxa"/>
            <w:vAlign w:val="center"/>
          </w:tcPr>
          <w:p w14:paraId="5E022D48" w14:textId="2AAF9F57" w:rsidR="009367F3" w:rsidRPr="007B5E46" w:rsidRDefault="009367F3" w:rsidP="009367F3">
            <w:pPr>
              <w:jc w:val="center"/>
              <w:rPr>
                <w:sz w:val="22"/>
                <w:szCs w:val="22"/>
              </w:rPr>
            </w:pPr>
            <w:r w:rsidRPr="007B5E46">
              <w:rPr>
                <w:sz w:val="22"/>
                <w:szCs w:val="22"/>
                <w:shd w:val="clear" w:color="auto" w:fill="FFFFFF"/>
              </w:rPr>
              <w:t>6</w:t>
            </w:r>
          </w:p>
        </w:tc>
        <w:tc>
          <w:tcPr>
            <w:tcW w:w="1804" w:type="dxa"/>
            <w:vAlign w:val="center"/>
          </w:tcPr>
          <w:p w14:paraId="14901460" w14:textId="2E808BFF" w:rsidR="009367F3" w:rsidRPr="007B5E46" w:rsidRDefault="009367F3" w:rsidP="009367F3">
            <w:pPr>
              <w:jc w:val="center"/>
              <w:rPr>
                <w:sz w:val="22"/>
                <w:szCs w:val="22"/>
              </w:rPr>
            </w:pPr>
            <w:r w:rsidRPr="007B5E46">
              <w:rPr>
                <w:sz w:val="22"/>
                <w:szCs w:val="22"/>
                <w:shd w:val="clear" w:color="auto" w:fill="FFFFFF"/>
              </w:rPr>
              <w:t>42 108</w:t>
            </w:r>
          </w:p>
        </w:tc>
        <w:tc>
          <w:tcPr>
            <w:tcW w:w="1805" w:type="dxa"/>
            <w:vAlign w:val="center"/>
          </w:tcPr>
          <w:p w14:paraId="766A6BF5" w14:textId="148782BE" w:rsidR="009367F3" w:rsidRPr="007B5E46" w:rsidRDefault="009367F3" w:rsidP="009367F3">
            <w:pPr>
              <w:jc w:val="center"/>
              <w:rPr>
                <w:sz w:val="22"/>
                <w:szCs w:val="22"/>
              </w:rPr>
            </w:pPr>
            <w:r w:rsidRPr="007B5E46">
              <w:rPr>
                <w:sz w:val="22"/>
                <w:szCs w:val="22"/>
                <w:shd w:val="clear" w:color="auto" w:fill="FFFFFF"/>
              </w:rPr>
              <w:t>33 432,30</w:t>
            </w:r>
          </w:p>
        </w:tc>
      </w:tr>
      <w:tr w:rsidR="007E6069" w:rsidRPr="007B010A" w14:paraId="2FB909D5" w14:textId="77777777" w:rsidTr="002F6B01">
        <w:tc>
          <w:tcPr>
            <w:tcW w:w="2405" w:type="dxa"/>
            <w:vAlign w:val="center"/>
          </w:tcPr>
          <w:p w14:paraId="2FF633FF" w14:textId="2DAF62FB" w:rsidR="009367F3" w:rsidRPr="007B5E46" w:rsidRDefault="009367F3" w:rsidP="009367F3">
            <w:pPr>
              <w:jc w:val="center"/>
              <w:rPr>
                <w:sz w:val="22"/>
                <w:szCs w:val="22"/>
              </w:rPr>
            </w:pPr>
            <w:r w:rsidRPr="007B5E46">
              <w:rPr>
                <w:sz w:val="22"/>
                <w:szCs w:val="22"/>
                <w:shd w:val="clear" w:color="auto" w:fill="FFFFFF"/>
              </w:rPr>
              <w:t xml:space="preserve">Digitālais mikroskops </w:t>
            </w:r>
            <w:proofErr w:type="spellStart"/>
            <w:r w:rsidRPr="007B5E46">
              <w:rPr>
                <w:sz w:val="22"/>
                <w:szCs w:val="22"/>
                <w:shd w:val="clear" w:color="auto" w:fill="FFFFFF"/>
              </w:rPr>
              <w:t>imūnhistoķīmisko</w:t>
            </w:r>
            <w:proofErr w:type="spellEnd"/>
            <w:r w:rsidRPr="007B5E46">
              <w:rPr>
                <w:sz w:val="22"/>
                <w:szCs w:val="22"/>
                <w:shd w:val="clear" w:color="auto" w:fill="FFFFFF"/>
              </w:rPr>
              <w:t xml:space="preserve"> reakciju un FISH rezultātu izvērtēšanai</w:t>
            </w:r>
          </w:p>
        </w:tc>
        <w:tc>
          <w:tcPr>
            <w:tcW w:w="1559" w:type="dxa"/>
            <w:vAlign w:val="center"/>
          </w:tcPr>
          <w:p w14:paraId="13357C94" w14:textId="3C74F440" w:rsidR="009367F3" w:rsidRPr="007B5E46" w:rsidRDefault="009367F3" w:rsidP="009367F3">
            <w:pPr>
              <w:jc w:val="center"/>
              <w:rPr>
                <w:sz w:val="22"/>
                <w:szCs w:val="22"/>
              </w:rPr>
            </w:pPr>
            <w:r w:rsidRPr="007B5E46">
              <w:rPr>
                <w:sz w:val="22"/>
                <w:szCs w:val="22"/>
                <w:shd w:val="clear" w:color="auto" w:fill="FFFFFF"/>
              </w:rPr>
              <w:t>18 150</w:t>
            </w:r>
          </w:p>
        </w:tc>
        <w:tc>
          <w:tcPr>
            <w:tcW w:w="1488" w:type="dxa"/>
            <w:vAlign w:val="center"/>
          </w:tcPr>
          <w:p w14:paraId="05F9036D" w14:textId="6DCB1683" w:rsidR="009367F3" w:rsidRPr="007B5E46" w:rsidRDefault="009367F3" w:rsidP="009367F3">
            <w:pPr>
              <w:jc w:val="center"/>
              <w:rPr>
                <w:sz w:val="22"/>
                <w:szCs w:val="22"/>
              </w:rPr>
            </w:pPr>
            <w:r w:rsidRPr="007B5E46">
              <w:rPr>
                <w:sz w:val="22"/>
                <w:szCs w:val="22"/>
                <w:shd w:val="clear" w:color="auto" w:fill="FFFFFF"/>
              </w:rPr>
              <w:t>3</w:t>
            </w:r>
          </w:p>
        </w:tc>
        <w:tc>
          <w:tcPr>
            <w:tcW w:w="1804" w:type="dxa"/>
            <w:vAlign w:val="center"/>
          </w:tcPr>
          <w:p w14:paraId="3D050EEA" w14:textId="232B8292" w:rsidR="009367F3" w:rsidRPr="007B5E46" w:rsidRDefault="009367F3" w:rsidP="009367F3">
            <w:pPr>
              <w:jc w:val="center"/>
              <w:rPr>
                <w:sz w:val="22"/>
                <w:szCs w:val="22"/>
              </w:rPr>
            </w:pPr>
            <w:r w:rsidRPr="007B5E46">
              <w:rPr>
                <w:sz w:val="22"/>
                <w:szCs w:val="22"/>
                <w:shd w:val="clear" w:color="auto" w:fill="FFFFFF"/>
              </w:rPr>
              <w:t>54 450</w:t>
            </w:r>
          </w:p>
        </w:tc>
        <w:tc>
          <w:tcPr>
            <w:tcW w:w="1805" w:type="dxa"/>
            <w:vAlign w:val="center"/>
          </w:tcPr>
          <w:p w14:paraId="061A0832" w14:textId="573CF2EE" w:rsidR="009367F3" w:rsidRPr="007B5E46" w:rsidRDefault="009367F3" w:rsidP="009367F3">
            <w:pPr>
              <w:jc w:val="center"/>
              <w:rPr>
                <w:sz w:val="22"/>
                <w:szCs w:val="22"/>
              </w:rPr>
            </w:pPr>
            <w:r w:rsidRPr="007B5E46">
              <w:rPr>
                <w:sz w:val="22"/>
                <w:szCs w:val="22"/>
                <w:shd w:val="clear" w:color="auto" w:fill="FFFFFF"/>
              </w:rPr>
              <w:t>35 028,29</w:t>
            </w:r>
          </w:p>
        </w:tc>
      </w:tr>
      <w:tr w:rsidR="007E6069" w:rsidRPr="007B010A" w14:paraId="7A57F103" w14:textId="77777777" w:rsidTr="002F6B01">
        <w:tc>
          <w:tcPr>
            <w:tcW w:w="2405" w:type="dxa"/>
            <w:vAlign w:val="center"/>
          </w:tcPr>
          <w:p w14:paraId="49D568BF" w14:textId="584070C5" w:rsidR="009367F3" w:rsidRPr="007B5E46" w:rsidRDefault="009367F3" w:rsidP="009367F3">
            <w:pPr>
              <w:jc w:val="center"/>
              <w:rPr>
                <w:sz w:val="22"/>
                <w:szCs w:val="22"/>
              </w:rPr>
            </w:pPr>
            <w:r w:rsidRPr="007B5E46">
              <w:rPr>
                <w:sz w:val="22"/>
                <w:szCs w:val="22"/>
                <w:shd w:val="clear" w:color="auto" w:fill="FFFFFF"/>
              </w:rPr>
              <w:t xml:space="preserve">Mikroskops ārstiem patologiem </w:t>
            </w:r>
            <w:proofErr w:type="spellStart"/>
            <w:r w:rsidRPr="007B5E46">
              <w:rPr>
                <w:sz w:val="22"/>
                <w:szCs w:val="22"/>
                <w:shd w:val="clear" w:color="auto" w:fill="FFFFFF"/>
              </w:rPr>
              <w:t>hematoksilīna-eozīna</w:t>
            </w:r>
            <w:proofErr w:type="spellEnd"/>
            <w:r w:rsidRPr="007B5E46">
              <w:rPr>
                <w:sz w:val="22"/>
                <w:szCs w:val="22"/>
                <w:shd w:val="clear" w:color="auto" w:fill="FFFFFF"/>
              </w:rPr>
              <w:t xml:space="preserve"> </w:t>
            </w:r>
            <w:proofErr w:type="spellStart"/>
            <w:r w:rsidRPr="007B5E46">
              <w:rPr>
                <w:sz w:val="22"/>
                <w:szCs w:val="22"/>
                <w:shd w:val="clear" w:color="auto" w:fill="FFFFFF"/>
              </w:rPr>
              <w:t>mikropreparātu</w:t>
            </w:r>
            <w:proofErr w:type="spellEnd"/>
            <w:r w:rsidRPr="007B5E46">
              <w:rPr>
                <w:sz w:val="22"/>
                <w:szCs w:val="22"/>
                <w:shd w:val="clear" w:color="auto" w:fill="FFFFFF"/>
              </w:rPr>
              <w:t xml:space="preserve"> novērtēšanai</w:t>
            </w:r>
          </w:p>
        </w:tc>
        <w:tc>
          <w:tcPr>
            <w:tcW w:w="1559" w:type="dxa"/>
            <w:vAlign w:val="center"/>
          </w:tcPr>
          <w:p w14:paraId="1B203CF5" w14:textId="3B332D61" w:rsidR="009367F3" w:rsidRPr="007B5E46" w:rsidRDefault="009367F3" w:rsidP="009367F3">
            <w:pPr>
              <w:jc w:val="center"/>
              <w:rPr>
                <w:sz w:val="22"/>
                <w:szCs w:val="22"/>
              </w:rPr>
            </w:pPr>
            <w:r w:rsidRPr="007B5E46">
              <w:rPr>
                <w:sz w:val="22"/>
                <w:szCs w:val="22"/>
                <w:shd w:val="clear" w:color="auto" w:fill="FFFFFF"/>
              </w:rPr>
              <w:t>7 260</w:t>
            </w:r>
          </w:p>
        </w:tc>
        <w:tc>
          <w:tcPr>
            <w:tcW w:w="1488" w:type="dxa"/>
            <w:vAlign w:val="center"/>
          </w:tcPr>
          <w:p w14:paraId="3ECF471D" w14:textId="3560A6B9" w:rsidR="009367F3" w:rsidRPr="007B5E46" w:rsidRDefault="009367F3" w:rsidP="009367F3">
            <w:pPr>
              <w:jc w:val="center"/>
              <w:rPr>
                <w:sz w:val="22"/>
                <w:szCs w:val="22"/>
              </w:rPr>
            </w:pPr>
            <w:r w:rsidRPr="007B5E46">
              <w:rPr>
                <w:sz w:val="22"/>
                <w:szCs w:val="22"/>
                <w:shd w:val="clear" w:color="auto" w:fill="FFFFFF"/>
              </w:rPr>
              <w:t>7</w:t>
            </w:r>
          </w:p>
        </w:tc>
        <w:tc>
          <w:tcPr>
            <w:tcW w:w="1804" w:type="dxa"/>
            <w:vAlign w:val="center"/>
          </w:tcPr>
          <w:p w14:paraId="30E801A5" w14:textId="57E8E1CB" w:rsidR="009367F3" w:rsidRPr="007B5E46" w:rsidRDefault="009367F3" w:rsidP="009367F3">
            <w:pPr>
              <w:jc w:val="center"/>
              <w:rPr>
                <w:sz w:val="22"/>
                <w:szCs w:val="22"/>
              </w:rPr>
            </w:pPr>
            <w:r w:rsidRPr="007B5E46">
              <w:rPr>
                <w:sz w:val="22"/>
                <w:szCs w:val="22"/>
                <w:shd w:val="clear" w:color="auto" w:fill="FFFFFF"/>
              </w:rPr>
              <w:t>50 820</w:t>
            </w:r>
          </w:p>
        </w:tc>
        <w:tc>
          <w:tcPr>
            <w:tcW w:w="1805" w:type="dxa"/>
            <w:vAlign w:val="center"/>
          </w:tcPr>
          <w:p w14:paraId="4F93F62D" w14:textId="1C2B19BE" w:rsidR="009367F3" w:rsidRPr="007B5E46" w:rsidRDefault="009367F3" w:rsidP="009367F3">
            <w:pPr>
              <w:jc w:val="center"/>
              <w:rPr>
                <w:sz w:val="22"/>
                <w:szCs w:val="22"/>
              </w:rPr>
            </w:pPr>
            <w:r w:rsidRPr="007B5E46">
              <w:rPr>
                <w:sz w:val="22"/>
                <w:szCs w:val="22"/>
                <w:shd w:val="clear" w:color="auto" w:fill="FFFFFF"/>
              </w:rPr>
              <w:t>59 653,00</w:t>
            </w:r>
          </w:p>
        </w:tc>
      </w:tr>
      <w:tr w:rsidR="007E6069" w:rsidRPr="007B010A" w14:paraId="1F9799E0" w14:textId="77777777" w:rsidTr="002F6B01">
        <w:tc>
          <w:tcPr>
            <w:tcW w:w="2405" w:type="dxa"/>
            <w:vAlign w:val="center"/>
          </w:tcPr>
          <w:p w14:paraId="176A1FA6" w14:textId="3C873E34" w:rsidR="009367F3" w:rsidRPr="007B5E46" w:rsidRDefault="009367F3" w:rsidP="009367F3">
            <w:pPr>
              <w:jc w:val="center"/>
              <w:rPr>
                <w:sz w:val="22"/>
                <w:szCs w:val="22"/>
              </w:rPr>
            </w:pPr>
            <w:r w:rsidRPr="007B5E46">
              <w:rPr>
                <w:sz w:val="22"/>
                <w:szCs w:val="22"/>
                <w:shd w:val="clear" w:color="auto" w:fill="FFFFFF"/>
              </w:rPr>
              <w:t>Kaulu griešanas iekārta</w:t>
            </w:r>
          </w:p>
        </w:tc>
        <w:tc>
          <w:tcPr>
            <w:tcW w:w="1559" w:type="dxa"/>
            <w:vAlign w:val="center"/>
          </w:tcPr>
          <w:p w14:paraId="5D4CD68E" w14:textId="2B6A22DD" w:rsidR="009367F3" w:rsidRPr="007B5E46" w:rsidRDefault="009367F3" w:rsidP="009367F3">
            <w:pPr>
              <w:jc w:val="center"/>
              <w:rPr>
                <w:sz w:val="22"/>
                <w:szCs w:val="22"/>
              </w:rPr>
            </w:pPr>
            <w:r w:rsidRPr="007B5E46">
              <w:rPr>
                <w:sz w:val="22"/>
                <w:szCs w:val="22"/>
                <w:shd w:val="clear" w:color="auto" w:fill="FFFFFF"/>
              </w:rPr>
              <w:t>9 680</w:t>
            </w:r>
          </w:p>
        </w:tc>
        <w:tc>
          <w:tcPr>
            <w:tcW w:w="1488" w:type="dxa"/>
            <w:vAlign w:val="center"/>
          </w:tcPr>
          <w:p w14:paraId="67CFE8B7" w14:textId="21C84730" w:rsidR="009367F3" w:rsidRPr="007B5E46" w:rsidRDefault="009367F3" w:rsidP="009367F3">
            <w:pPr>
              <w:jc w:val="center"/>
              <w:rPr>
                <w:sz w:val="22"/>
                <w:szCs w:val="22"/>
              </w:rPr>
            </w:pPr>
            <w:r w:rsidRPr="007B5E46">
              <w:rPr>
                <w:sz w:val="22"/>
                <w:szCs w:val="22"/>
                <w:shd w:val="clear" w:color="auto" w:fill="FFFFFF"/>
              </w:rPr>
              <w:t>1</w:t>
            </w:r>
          </w:p>
        </w:tc>
        <w:tc>
          <w:tcPr>
            <w:tcW w:w="1804" w:type="dxa"/>
            <w:vAlign w:val="center"/>
          </w:tcPr>
          <w:p w14:paraId="2E1F9A3C" w14:textId="1B5FBA2E" w:rsidR="009367F3" w:rsidRPr="007B5E46" w:rsidRDefault="009367F3" w:rsidP="009367F3">
            <w:pPr>
              <w:jc w:val="center"/>
              <w:rPr>
                <w:sz w:val="22"/>
                <w:szCs w:val="22"/>
              </w:rPr>
            </w:pPr>
            <w:r w:rsidRPr="007B5E46">
              <w:rPr>
                <w:sz w:val="22"/>
                <w:szCs w:val="22"/>
                <w:shd w:val="clear" w:color="auto" w:fill="FFFFFF"/>
              </w:rPr>
              <w:t>9 680</w:t>
            </w:r>
          </w:p>
        </w:tc>
        <w:tc>
          <w:tcPr>
            <w:tcW w:w="1805" w:type="dxa"/>
            <w:vAlign w:val="center"/>
          </w:tcPr>
          <w:p w14:paraId="0D6CBCE7" w14:textId="427643F6" w:rsidR="009367F3" w:rsidRPr="007B5E46" w:rsidRDefault="009367F3" w:rsidP="009367F3">
            <w:pPr>
              <w:jc w:val="center"/>
              <w:rPr>
                <w:sz w:val="22"/>
                <w:szCs w:val="22"/>
              </w:rPr>
            </w:pPr>
            <w:r w:rsidRPr="007B5E46">
              <w:rPr>
                <w:sz w:val="22"/>
                <w:szCs w:val="22"/>
                <w:shd w:val="clear" w:color="auto" w:fill="FFFFFF"/>
              </w:rPr>
              <w:t>1 035,76</w:t>
            </w:r>
          </w:p>
        </w:tc>
      </w:tr>
      <w:tr w:rsidR="007E6069" w:rsidRPr="007B010A" w14:paraId="78C91409" w14:textId="77777777" w:rsidTr="002F6B01">
        <w:tc>
          <w:tcPr>
            <w:tcW w:w="2405" w:type="dxa"/>
            <w:vAlign w:val="center"/>
          </w:tcPr>
          <w:p w14:paraId="1A2D2FDA" w14:textId="4E1A189F" w:rsidR="009367F3" w:rsidRPr="007B5E46" w:rsidRDefault="009367F3" w:rsidP="009367F3">
            <w:pPr>
              <w:jc w:val="center"/>
              <w:rPr>
                <w:sz w:val="22"/>
                <w:szCs w:val="22"/>
              </w:rPr>
            </w:pPr>
            <w:r w:rsidRPr="007B5E46">
              <w:rPr>
                <w:sz w:val="22"/>
                <w:szCs w:val="22"/>
                <w:shd w:val="clear" w:color="auto" w:fill="FFFFFF"/>
              </w:rPr>
              <w:t xml:space="preserve">Ūdens vanniņa ar žāvējamo plati </w:t>
            </w:r>
            <w:proofErr w:type="spellStart"/>
            <w:r w:rsidRPr="007B5E46">
              <w:rPr>
                <w:sz w:val="22"/>
                <w:szCs w:val="22"/>
                <w:shd w:val="clear" w:color="auto" w:fill="FFFFFF"/>
              </w:rPr>
              <w:t>hematoksilīna-eozīna</w:t>
            </w:r>
            <w:proofErr w:type="spellEnd"/>
            <w:r w:rsidRPr="007B5E46">
              <w:rPr>
                <w:sz w:val="22"/>
                <w:szCs w:val="22"/>
                <w:shd w:val="clear" w:color="auto" w:fill="FFFFFF"/>
              </w:rPr>
              <w:t xml:space="preserve">, </w:t>
            </w:r>
            <w:proofErr w:type="spellStart"/>
            <w:r w:rsidRPr="007B5E46">
              <w:rPr>
                <w:sz w:val="22"/>
                <w:szCs w:val="22"/>
                <w:shd w:val="clear" w:color="auto" w:fill="FFFFFF"/>
              </w:rPr>
              <w:t>histoķīmisko</w:t>
            </w:r>
            <w:proofErr w:type="spellEnd"/>
            <w:r w:rsidRPr="007B5E46">
              <w:rPr>
                <w:sz w:val="22"/>
                <w:szCs w:val="22"/>
                <w:shd w:val="clear" w:color="auto" w:fill="FFFFFF"/>
              </w:rPr>
              <w:t xml:space="preserve"> un </w:t>
            </w:r>
            <w:proofErr w:type="spellStart"/>
            <w:r w:rsidRPr="007B5E46">
              <w:rPr>
                <w:sz w:val="22"/>
                <w:szCs w:val="22"/>
                <w:shd w:val="clear" w:color="auto" w:fill="FFFFFF"/>
              </w:rPr>
              <w:t>imūnhistoķīmisko</w:t>
            </w:r>
            <w:proofErr w:type="spellEnd"/>
            <w:r w:rsidRPr="007B5E46">
              <w:rPr>
                <w:sz w:val="22"/>
                <w:szCs w:val="22"/>
                <w:shd w:val="clear" w:color="auto" w:fill="FFFFFF"/>
              </w:rPr>
              <w:t xml:space="preserve"> </w:t>
            </w:r>
            <w:proofErr w:type="spellStart"/>
            <w:r w:rsidRPr="007B5E46">
              <w:rPr>
                <w:sz w:val="22"/>
                <w:szCs w:val="22"/>
                <w:shd w:val="clear" w:color="auto" w:fill="FFFFFF"/>
              </w:rPr>
              <w:t>mikropreparātu</w:t>
            </w:r>
            <w:proofErr w:type="spellEnd"/>
            <w:r w:rsidRPr="007B5E46">
              <w:rPr>
                <w:sz w:val="22"/>
                <w:szCs w:val="22"/>
                <w:shd w:val="clear" w:color="auto" w:fill="FFFFFF"/>
              </w:rPr>
              <w:t xml:space="preserve"> izgatavošanai </w:t>
            </w:r>
          </w:p>
        </w:tc>
        <w:tc>
          <w:tcPr>
            <w:tcW w:w="1559" w:type="dxa"/>
            <w:vAlign w:val="center"/>
          </w:tcPr>
          <w:p w14:paraId="5291824E" w14:textId="5A2F66F3" w:rsidR="009367F3" w:rsidRPr="007B5E46" w:rsidRDefault="009367F3" w:rsidP="009367F3">
            <w:pPr>
              <w:jc w:val="center"/>
              <w:rPr>
                <w:sz w:val="22"/>
                <w:szCs w:val="22"/>
              </w:rPr>
            </w:pPr>
            <w:r w:rsidRPr="007B5E46">
              <w:rPr>
                <w:sz w:val="22"/>
                <w:szCs w:val="22"/>
                <w:shd w:val="clear" w:color="auto" w:fill="FFFFFF"/>
              </w:rPr>
              <w:t>1 573</w:t>
            </w:r>
          </w:p>
        </w:tc>
        <w:tc>
          <w:tcPr>
            <w:tcW w:w="1488" w:type="dxa"/>
            <w:vAlign w:val="center"/>
          </w:tcPr>
          <w:p w14:paraId="3340C872" w14:textId="678D544A" w:rsidR="009367F3" w:rsidRPr="007B5E46" w:rsidRDefault="009367F3" w:rsidP="009367F3">
            <w:pPr>
              <w:jc w:val="center"/>
              <w:rPr>
                <w:sz w:val="22"/>
                <w:szCs w:val="22"/>
              </w:rPr>
            </w:pPr>
            <w:r w:rsidRPr="007B5E46">
              <w:rPr>
                <w:sz w:val="22"/>
                <w:szCs w:val="22"/>
                <w:shd w:val="clear" w:color="auto" w:fill="FFFFFF"/>
              </w:rPr>
              <w:t>7</w:t>
            </w:r>
          </w:p>
        </w:tc>
        <w:tc>
          <w:tcPr>
            <w:tcW w:w="1804" w:type="dxa"/>
            <w:vAlign w:val="center"/>
          </w:tcPr>
          <w:p w14:paraId="57569CA6" w14:textId="33E776D2" w:rsidR="009367F3" w:rsidRPr="007B5E46" w:rsidRDefault="009367F3" w:rsidP="009367F3">
            <w:pPr>
              <w:jc w:val="center"/>
              <w:rPr>
                <w:sz w:val="22"/>
                <w:szCs w:val="22"/>
              </w:rPr>
            </w:pPr>
            <w:r w:rsidRPr="007B5E46">
              <w:rPr>
                <w:sz w:val="22"/>
                <w:szCs w:val="22"/>
                <w:shd w:val="clear" w:color="auto" w:fill="FFFFFF"/>
              </w:rPr>
              <w:t>11 011</w:t>
            </w:r>
          </w:p>
        </w:tc>
        <w:tc>
          <w:tcPr>
            <w:tcW w:w="1805" w:type="dxa"/>
            <w:vAlign w:val="center"/>
          </w:tcPr>
          <w:p w14:paraId="30C460FA" w14:textId="51C62B42" w:rsidR="009367F3" w:rsidRPr="007B5E46" w:rsidRDefault="009367F3" w:rsidP="009367F3">
            <w:pPr>
              <w:jc w:val="center"/>
              <w:rPr>
                <w:sz w:val="22"/>
                <w:szCs w:val="22"/>
              </w:rPr>
            </w:pPr>
            <w:r w:rsidRPr="007B5E46">
              <w:rPr>
                <w:sz w:val="22"/>
                <w:szCs w:val="22"/>
                <w:shd w:val="clear" w:color="auto" w:fill="FFFFFF"/>
              </w:rPr>
              <w:t>6 454,14</w:t>
            </w:r>
          </w:p>
        </w:tc>
      </w:tr>
      <w:tr w:rsidR="007E6069" w:rsidRPr="007B010A" w14:paraId="6418BFBC" w14:textId="77777777" w:rsidTr="002F6B01">
        <w:tc>
          <w:tcPr>
            <w:tcW w:w="2405" w:type="dxa"/>
            <w:vAlign w:val="center"/>
          </w:tcPr>
          <w:p w14:paraId="39DB3D9E" w14:textId="3A765C11" w:rsidR="009367F3" w:rsidRPr="007B5E46" w:rsidRDefault="009367F3" w:rsidP="009367F3">
            <w:pPr>
              <w:jc w:val="center"/>
              <w:rPr>
                <w:sz w:val="22"/>
                <w:szCs w:val="22"/>
              </w:rPr>
            </w:pPr>
            <w:r w:rsidRPr="007B5E46">
              <w:rPr>
                <w:sz w:val="22"/>
                <w:szCs w:val="22"/>
                <w:shd w:val="clear" w:color="auto" w:fill="FFFFFF"/>
              </w:rPr>
              <w:t>Reaģentu uzglabāšanas ledusskapis</w:t>
            </w:r>
          </w:p>
        </w:tc>
        <w:tc>
          <w:tcPr>
            <w:tcW w:w="1559" w:type="dxa"/>
            <w:vAlign w:val="center"/>
          </w:tcPr>
          <w:p w14:paraId="2AD7B389" w14:textId="69B6D0E3" w:rsidR="009367F3" w:rsidRPr="007B5E46" w:rsidRDefault="009367F3" w:rsidP="009367F3">
            <w:pPr>
              <w:jc w:val="center"/>
              <w:rPr>
                <w:sz w:val="22"/>
                <w:szCs w:val="22"/>
              </w:rPr>
            </w:pPr>
            <w:r w:rsidRPr="007B5E46">
              <w:rPr>
                <w:sz w:val="22"/>
                <w:szCs w:val="22"/>
                <w:shd w:val="clear" w:color="auto" w:fill="FFFFFF"/>
              </w:rPr>
              <w:t>2 178</w:t>
            </w:r>
          </w:p>
        </w:tc>
        <w:tc>
          <w:tcPr>
            <w:tcW w:w="1488" w:type="dxa"/>
            <w:vAlign w:val="center"/>
          </w:tcPr>
          <w:p w14:paraId="300F6025" w14:textId="25789711" w:rsidR="009367F3" w:rsidRPr="007B5E46" w:rsidRDefault="009367F3" w:rsidP="009367F3">
            <w:pPr>
              <w:jc w:val="center"/>
              <w:rPr>
                <w:sz w:val="22"/>
                <w:szCs w:val="22"/>
              </w:rPr>
            </w:pPr>
            <w:r w:rsidRPr="007B5E46">
              <w:rPr>
                <w:sz w:val="22"/>
                <w:szCs w:val="22"/>
                <w:shd w:val="clear" w:color="auto" w:fill="FFFFFF"/>
              </w:rPr>
              <w:t>2</w:t>
            </w:r>
          </w:p>
        </w:tc>
        <w:tc>
          <w:tcPr>
            <w:tcW w:w="1804" w:type="dxa"/>
            <w:vAlign w:val="center"/>
          </w:tcPr>
          <w:p w14:paraId="58E828F5" w14:textId="1E4831A8" w:rsidR="009367F3" w:rsidRPr="007B5E46" w:rsidRDefault="009367F3" w:rsidP="009367F3">
            <w:pPr>
              <w:jc w:val="center"/>
              <w:rPr>
                <w:sz w:val="22"/>
                <w:szCs w:val="22"/>
              </w:rPr>
            </w:pPr>
            <w:r w:rsidRPr="007B5E46">
              <w:rPr>
                <w:sz w:val="22"/>
                <w:szCs w:val="22"/>
                <w:shd w:val="clear" w:color="auto" w:fill="FFFFFF"/>
              </w:rPr>
              <w:t>4 356</w:t>
            </w:r>
          </w:p>
        </w:tc>
        <w:tc>
          <w:tcPr>
            <w:tcW w:w="1805" w:type="dxa"/>
            <w:vAlign w:val="center"/>
          </w:tcPr>
          <w:p w14:paraId="5D781DB6" w14:textId="52A5C2A3" w:rsidR="009367F3" w:rsidRPr="007B5E46" w:rsidRDefault="009367F3" w:rsidP="009367F3">
            <w:pPr>
              <w:jc w:val="center"/>
              <w:rPr>
                <w:sz w:val="22"/>
                <w:szCs w:val="22"/>
              </w:rPr>
            </w:pPr>
            <w:r w:rsidRPr="007B5E46">
              <w:rPr>
                <w:sz w:val="22"/>
                <w:szCs w:val="22"/>
                <w:shd w:val="clear" w:color="auto" w:fill="FFFFFF"/>
              </w:rPr>
              <w:t>6 945,40</w:t>
            </w:r>
          </w:p>
        </w:tc>
      </w:tr>
      <w:tr w:rsidR="009367F3" w:rsidRPr="007B010A" w14:paraId="207CAE36" w14:textId="77777777" w:rsidTr="002F6B01">
        <w:tc>
          <w:tcPr>
            <w:tcW w:w="2405" w:type="dxa"/>
            <w:vAlign w:val="center"/>
          </w:tcPr>
          <w:p w14:paraId="276FC721" w14:textId="2F100FBE" w:rsidR="009367F3" w:rsidRPr="007B5E46" w:rsidRDefault="009367F3" w:rsidP="009367F3">
            <w:pPr>
              <w:jc w:val="center"/>
              <w:rPr>
                <w:sz w:val="22"/>
                <w:szCs w:val="22"/>
              </w:rPr>
            </w:pPr>
          </w:p>
        </w:tc>
        <w:tc>
          <w:tcPr>
            <w:tcW w:w="1559" w:type="dxa"/>
            <w:vAlign w:val="center"/>
          </w:tcPr>
          <w:p w14:paraId="0636FD21" w14:textId="5A4F4B7E" w:rsidR="009367F3" w:rsidRPr="007B5E46" w:rsidRDefault="009367F3" w:rsidP="009367F3">
            <w:pPr>
              <w:jc w:val="center"/>
              <w:rPr>
                <w:sz w:val="22"/>
                <w:szCs w:val="22"/>
              </w:rPr>
            </w:pPr>
          </w:p>
        </w:tc>
        <w:tc>
          <w:tcPr>
            <w:tcW w:w="1488" w:type="dxa"/>
            <w:vAlign w:val="center"/>
          </w:tcPr>
          <w:p w14:paraId="0699A10D" w14:textId="4917DB0E" w:rsidR="009367F3" w:rsidRPr="007B5E46" w:rsidRDefault="009367F3" w:rsidP="009367F3">
            <w:pPr>
              <w:jc w:val="center"/>
              <w:rPr>
                <w:sz w:val="22"/>
                <w:szCs w:val="22"/>
              </w:rPr>
            </w:pPr>
            <w:r w:rsidRPr="007B5E46">
              <w:rPr>
                <w:b/>
                <w:bCs/>
                <w:sz w:val="22"/>
                <w:szCs w:val="22"/>
                <w:shd w:val="clear" w:color="auto" w:fill="FFFFFF"/>
              </w:rPr>
              <w:t>KOPĀ</w:t>
            </w:r>
          </w:p>
        </w:tc>
        <w:tc>
          <w:tcPr>
            <w:tcW w:w="1804" w:type="dxa"/>
            <w:vAlign w:val="center"/>
          </w:tcPr>
          <w:p w14:paraId="4EC41CD4" w14:textId="65883232" w:rsidR="009367F3" w:rsidRPr="007B5E46" w:rsidRDefault="009367F3" w:rsidP="009367F3">
            <w:pPr>
              <w:jc w:val="center"/>
              <w:rPr>
                <w:sz w:val="22"/>
                <w:szCs w:val="22"/>
              </w:rPr>
            </w:pPr>
            <w:r w:rsidRPr="007B5E46">
              <w:rPr>
                <w:b/>
                <w:bCs/>
                <w:sz w:val="22"/>
                <w:szCs w:val="22"/>
                <w:shd w:val="clear" w:color="auto" w:fill="FFFFFF"/>
              </w:rPr>
              <w:t>965</w:t>
            </w:r>
            <w:r w:rsidR="00580440" w:rsidRPr="007B5E46">
              <w:rPr>
                <w:b/>
                <w:bCs/>
                <w:sz w:val="22"/>
                <w:szCs w:val="22"/>
                <w:shd w:val="clear" w:color="auto" w:fill="FFFFFF"/>
              </w:rPr>
              <w:t> </w:t>
            </w:r>
            <w:r w:rsidRPr="007B5E46">
              <w:rPr>
                <w:b/>
                <w:bCs/>
                <w:sz w:val="22"/>
                <w:szCs w:val="22"/>
                <w:shd w:val="clear" w:color="auto" w:fill="FFFFFF"/>
              </w:rPr>
              <w:t>660</w:t>
            </w:r>
          </w:p>
        </w:tc>
        <w:tc>
          <w:tcPr>
            <w:tcW w:w="1805" w:type="dxa"/>
            <w:vAlign w:val="center"/>
          </w:tcPr>
          <w:p w14:paraId="5492D831" w14:textId="0F2A794C" w:rsidR="009367F3" w:rsidRPr="007B5E46" w:rsidRDefault="009367F3" w:rsidP="009367F3">
            <w:pPr>
              <w:jc w:val="center"/>
              <w:rPr>
                <w:sz w:val="22"/>
                <w:szCs w:val="22"/>
              </w:rPr>
            </w:pPr>
            <w:r w:rsidRPr="007B5E46">
              <w:rPr>
                <w:b/>
                <w:bCs/>
                <w:sz w:val="22"/>
                <w:szCs w:val="22"/>
                <w:shd w:val="clear" w:color="auto" w:fill="FFFFFF"/>
              </w:rPr>
              <w:t>563 998.90</w:t>
            </w:r>
          </w:p>
        </w:tc>
      </w:tr>
    </w:tbl>
    <w:p w14:paraId="4C3CF21C" w14:textId="009A2005" w:rsidR="009367F3" w:rsidRPr="007B010A" w:rsidRDefault="009367F3" w:rsidP="00921CC6">
      <w:pPr>
        <w:ind w:firstLine="720"/>
        <w:jc w:val="both"/>
      </w:pPr>
    </w:p>
    <w:p w14:paraId="73E0F2DC" w14:textId="046D0CE2" w:rsidR="00610AAD" w:rsidRPr="007B010A" w:rsidRDefault="00610AAD" w:rsidP="00921CC6">
      <w:pPr>
        <w:ind w:firstLine="720"/>
        <w:jc w:val="both"/>
        <w:rPr>
          <w:shd w:val="clear" w:color="auto" w:fill="FFFFFF"/>
        </w:rPr>
      </w:pPr>
      <w:r w:rsidRPr="007B010A">
        <w:rPr>
          <w:shd w:val="clear" w:color="auto" w:fill="FFFFFF"/>
        </w:rPr>
        <w:t>Ņemot vērā to, ka specifisku celtniecības darbu uzsākšanai nepieciešams salīdzinoši ilgs laika periods līdz ar to 2018.gadā tika nodrošināta ēkas tehniskā apsekošana un projekta izstrāde, kā rezultātā celtniecības darbi tika uzsākti 2019.gada I cetu</w:t>
      </w:r>
      <w:r w:rsidR="00F80E65" w:rsidRPr="007B010A">
        <w:rPr>
          <w:shd w:val="clear" w:color="auto" w:fill="FFFFFF"/>
        </w:rPr>
        <w:t>r</w:t>
      </w:r>
      <w:r w:rsidRPr="007B010A">
        <w:rPr>
          <w:shd w:val="clear" w:color="auto" w:fill="FFFFFF"/>
        </w:rPr>
        <w:t xml:space="preserve">ksnī un tiks pabeigti II ceturksnī. </w:t>
      </w:r>
    </w:p>
    <w:p w14:paraId="33CB19F6" w14:textId="57983EAE" w:rsidR="00921CC6" w:rsidRPr="007B010A" w:rsidRDefault="009D0A6E" w:rsidP="00921CC6">
      <w:pPr>
        <w:ind w:firstLine="720"/>
        <w:jc w:val="both"/>
      </w:pPr>
      <w:r w:rsidRPr="007B010A">
        <w:rPr>
          <w:shd w:val="clear" w:color="auto" w:fill="FFFFFF"/>
        </w:rPr>
        <w:t xml:space="preserve">Lai </w:t>
      </w:r>
      <w:r w:rsidR="00921CC6" w:rsidRPr="007B010A">
        <w:rPr>
          <w:shd w:val="clear" w:color="auto" w:fill="FFFFFF"/>
        </w:rPr>
        <w:t xml:space="preserve">apgūtu piešķirto 2018.gada </w:t>
      </w:r>
      <w:r w:rsidR="009E3F6C" w:rsidRPr="007B010A">
        <w:rPr>
          <w:shd w:val="clear" w:color="auto" w:fill="FFFFFF"/>
        </w:rPr>
        <w:t>f</w:t>
      </w:r>
      <w:r w:rsidR="00921CC6" w:rsidRPr="007B010A">
        <w:rPr>
          <w:shd w:val="clear" w:color="auto" w:fill="FFFFFF"/>
        </w:rPr>
        <w:t xml:space="preserve">inansējumu slimnīca (pēc Veselības </w:t>
      </w:r>
      <w:r w:rsidR="008A0154">
        <w:rPr>
          <w:shd w:val="clear" w:color="auto" w:fill="FFFFFF"/>
        </w:rPr>
        <w:t>m</w:t>
      </w:r>
      <w:r w:rsidR="00921CC6" w:rsidRPr="007B010A">
        <w:rPr>
          <w:shd w:val="clear" w:color="auto" w:fill="FFFFFF"/>
        </w:rPr>
        <w:t xml:space="preserve">inistrijā saskaņotā medicīnisko iekārtu saraksta) papildus 2018.gada 08.novembrī izsludināja vēl trīs medicīnisko iekārtu Iepirkumu „Medicīnas iekārtu piegāde Patoloģijas centra vajadzībām” RAKUS 2018/91K ar plānoto summu 150 000,00 </w:t>
      </w:r>
      <w:proofErr w:type="spellStart"/>
      <w:r w:rsidR="00921CC6" w:rsidRPr="007B010A">
        <w:rPr>
          <w:i/>
          <w:shd w:val="clear" w:color="auto" w:fill="FFFFFF"/>
        </w:rPr>
        <w:t>euro</w:t>
      </w:r>
      <w:proofErr w:type="spellEnd"/>
      <w:r w:rsidR="00921CC6" w:rsidRPr="007B010A">
        <w:rPr>
          <w:i/>
          <w:shd w:val="clear" w:color="auto" w:fill="FFFFFF"/>
        </w:rPr>
        <w:t>.</w:t>
      </w:r>
      <w:r w:rsidR="00921CC6" w:rsidRPr="007B010A">
        <w:rPr>
          <w:shd w:val="clear" w:color="auto" w:fill="FFFFFF"/>
        </w:rPr>
        <w:t xml:space="preserve"> ar PVN,</w:t>
      </w:r>
      <w:r w:rsidR="009E3F6C" w:rsidRPr="007B010A">
        <w:rPr>
          <w:shd w:val="clear" w:color="auto" w:fill="FFFFFF"/>
        </w:rPr>
        <w:t xml:space="preserve"> kā rezultātā tika </w:t>
      </w:r>
      <w:r w:rsidR="00921CC6" w:rsidRPr="007B010A">
        <w:rPr>
          <w:shd w:val="clear" w:color="auto" w:fill="FFFFFF"/>
        </w:rPr>
        <w:t>noslē</w:t>
      </w:r>
      <w:r w:rsidR="009E3F6C" w:rsidRPr="007B010A">
        <w:rPr>
          <w:shd w:val="clear" w:color="auto" w:fill="FFFFFF"/>
        </w:rPr>
        <w:t xml:space="preserve">gts </w:t>
      </w:r>
      <w:r w:rsidR="00921CC6" w:rsidRPr="007B010A">
        <w:rPr>
          <w:shd w:val="clear" w:color="auto" w:fill="FFFFFF"/>
        </w:rPr>
        <w:t xml:space="preserve">līgumus par kopējo summu 145 927,03 </w:t>
      </w:r>
      <w:proofErr w:type="spellStart"/>
      <w:r w:rsidR="00921CC6" w:rsidRPr="007B010A">
        <w:rPr>
          <w:i/>
          <w:shd w:val="clear" w:color="auto" w:fill="FFFFFF"/>
        </w:rPr>
        <w:t>euro</w:t>
      </w:r>
      <w:proofErr w:type="spellEnd"/>
      <w:r w:rsidR="00921CC6" w:rsidRPr="007B010A">
        <w:rPr>
          <w:i/>
          <w:shd w:val="clear" w:color="auto" w:fill="FFFFFF"/>
        </w:rPr>
        <w:t>.</w:t>
      </w:r>
      <w:r w:rsidR="00921CC6" w:rsidRPr="007B010A">
        <w:rPr>
          <w:shd w:val="clear" w:color="auto" w:fill="FFFFFF"/>
        </w:rPr>
        <w:t xml:space="preserve"> Iekārtu piegāde tiek plānota </w:t>
      </w:r>
      <w:r w:rsidR="009E3F6C" w:rsidRPr="007B010A">
        <w:rPr>
          <w:shd w:val="clear" w:color="auto" w:fill="FFFFFF"/>
        </w:rPr>
        <w:t xml:space="preserve">2019.gada </w:t>
      </w:r>
      <w:r w:rsidR="00921CC6" w:rsidRPr="007B010A">
        <w:rPr>
          <w:shd w:val="clear" w:color="auto" w:fill="FFFFFF"/>
        </w:rPr>
        <w:t xml:space="preserve">aprīlī. </w:t>
      </w:r>
      <w:r w:rsidR="0027761E" w:rsidRPr="007B010A">
        <w:rPr>
          <w:shd w:val="clear" w:color="auto" w:fill="FFFFFF"/>
        </w:rPr>
        <w:t>2018.gada</w:t>
      </w:r>
      <w:r w:rsidR="00921CC6" w:rsidRPr="007B010A">
        <w:rPr>
          <w:shd w:val="clear" w:color="auto" w:fill="FFFFFF"/>
        </w:rPr>
        <w:t xml:space="preserve"> kopējā neizpilde ir 401 661,10 </w:t>
      </w:r>
      <w:proofErr w:type="spellStart"/>
      <w:r w:rsidR="00921CC6" w:rsidRPr="007B010A">
        <w:rPr>
          <w:i/>
          <w:shd w:val="clear" w:color="auto" w:fill="FFFFFF"/>
        </w:rPr>
        <w:t>euro</w:t>
      </w:r>
      <w:proofErr w:type="spellEnd"/>
      <w:r w:rsidR="00921CC6" w:rsidRPr="007B010A">
        <w:rPr>
          <w:i/>
          <w:shd w:val="clear" w:color="auto" w:fill="FFFFFF"/>
        </w:rPr>
        <w:t>.</w:t>
      </w:r>
      <w:r w:rsidR="00921CC6" w:rsidRPr="007B010A">
        <w:rPr>
          <w:shd w:val="clear" w:color="auto" w:fill="FFFFFF"/>
        </w:rPr>
        <w:t xml:space="preserve"> ar PVN, </w:t>
      </w:r>
      <w:r w:rsidRPr="007B010A">
        <w:rPr>
          <w:shd w:val="clear" w:color="auto" w:fill="FFFFFF"/>
        </w:rPr>
        <w:t>bet līdz 2019.gada 1.jūnijam plānots apgūt šos līdzekļus. 2019.gada I pusgada ziņojumā tiks iekļauta informācija par 2018.gadā plānotā finansējuma izlietojumu pilnā apmērā, ņemot vērā ilgo projekta realizācijai nepieciešamās dokumentācijas sagatavošanas procesu</w:t>
      </w:r>
      <w:r w:rsidR="009217EC" w:rsidRPr="007B010A">
        <w:rPr>
          <w:shd w:val="clear" w:color="auto" w:fill="FFFFFF"/>
        </w:rPr>
        <w:t>.</w:t>
      </w:r>
    </w:p>
    <w:p w14:paraId="0679717F" w14:textId="680CE3F4" w:rsidR="003036F5" w:rsidRPr="007B010A" w:rsidRDefault="00D70412" w:rsidP="00D923AA">
      <w:pPr>
        <w:ind w:firstLine="720"/>
        <w:jc w:val="both"/>
      </w:pPr>
      <w:r w:rsidRPr="007B010A">
        <w:t>Reformas īstenošana un VPC izveide tiek turpināta arī 2019.gadā</w:t>
      </w:r>
      <w:r w:rsidR="008200D4" w:rsidRPr="007B010A">
        <w:t>.</w:t>
      </w:r>
    </w:p>
    <w:p w14:paraId="66F1FC49" w14:textId="3B7B9B85" w:rsidR="00D923AA" w:rsidRPr="007B010A" w:rsidRDefault="00D923AA" w:rsidP="00D923AA">
      <w:pPr>
        <w:ind w:firstLine="720"/>
        <w:jc w:val="both"/>
      </w:pPr>
      <w:r w:rsidRPr="007B010A">
        <w:t xml:space="preserve">Ar labi funkcionējošu VPC palīdzību </w:t>
      </w:r>
      <w:r w:rsidR="00D32E5D" w:rsidRPr="007B010A">
        <w:t xml:space="preserve">tiks </w:t>
      </w:r>
      <w:r w:rsidRPr="007B010A">
        <w:t>īstenot</w:t>
      </w:r>
      <w:r w:rsidR="00D32E5D" w:rsidRPr="007B010A">
        <w:t>as</w:t>
      </w:r>
      <w:r w:rsidRPr="007B010A">
        <w:t xml:space="preserve"> strukturālās reformas veselības aprūpē, nodrošin</w:t>
      </w:r>
      <w:r w:rsidR="00D32E5D" w:rsidRPr="007B010A">
        <w:t>o</w:t>
      </w:r>
      <w:r w:rsidRPr="007B010A">
        <w:t>t labāku onkoloģijas “Zaļā koridora” funkcionēšanu, uzlabojot slimību diagnostiku un samazinot diagnosticēšana</w:t>
      </w:r>
      <w:r w:rsidR="00B571F9" w:rsidRPr="007B010A">
        <w:t>i nepieciešamo</w:t>
      </w:r>
      <w:r w:rsidRPr="007B010A">
        <w:t xml:space="preserve"> laiku. </w:t>
      </w:r>
    </w:p>
    <w:p w14:paraId="6C687095" w14:textId="6F938E6D" w:rsidR="00D923AA" w:rsidRPr="007B010A" w:rsidRDefault="00D923AA" w:rsidP="00D923AA">
      <w:pPr>
        <w:ind w:firstLine="720"/>
        <w:jc w:val="both"/>
      </w:pPr>
      <w:r w:rsidRPr="007B010A">
        <w:t>VPC izveide atbilst Nacionālā attīstības plāna no 2014.gada līdz 2020.gadam šādiem rīcības virzieniem – „Augstražīga un eksportspējīga ražošana un starptautiski konkurētspējīgi pakalpojumi</w:t>
      </w:r>
      <w:r w:rsidR="00090401">
        <w:t>”</w:t>
      </w:r>
      <w:r w:rsidRPr="007B010A">
        <w:t>, “Attīstīta pētniecība, inovācija un augstākā izglītība</w:t>
      </w:r>
      <w:r w:rsidR="00090401">
        <w:t>”</w:t>
      </w:r>
      <w:r w:rsidRPr="007B010A">
        <w:t xml:space="preserve"> un </w:t>
      </w:r>
      <w:r w:rsidR="00090401">
        <w:t>“</w:t>
      </w:r>
      <w:r w:rsidRPr="007B010A">
        <w:t xml:space="preserve">Vesels un darbspējīgs </w:t>
      </w:r>
      <w:r w:rsidRPr="007B010A">
        <w:lastRenderedPageBreak/>
        <w:t>cilvēks</w:t>
      </w:r>
      <w:r w:rsidR="00090401">
        <w:t>”</w:t>
      </w:r>
      <w:r w:rsidRPr="007B010A">
        <w:t>. Tāpat VPC izveide atbilst „Latvijas ilgtspējīgas attīstības stratēģijai līdz 2030. gadam</w:t>
      </w:r>
      <w:r w:rsidR="00090401">
        <w:t>”</w:t>
      </w:r>
      <w:r w:rsidRPr="007B010A">
        <w:t xml:space="preserve"> (Latvija 2030) un „Nacionālo reformu programmu stratēģija „ES2020</w:t>
      </w:r>
      <w:r w:rsidR="00090401">
        <w:t>””</w:t>
      </w:r>
      <w:r w:rsidRPr="007B010A">
        <w:t>.</w:t>
      </w:r>
    </w:p>
    <w:p w14:paraId="018F30F6" w14:textId="4819C23C" w:rsidR="006655B5" w:rsidRPr="007B010A" w:rsidRDefault="00D923AA" w:rsidP="00251F86">
      <w:pPr>
        <w:ind w:firstLine="720"/>
        <w:jc w:val="both"/>
      </w:pPr>
      <w:r w:rsidRPr="007B010A">
        <w:t>VPC darbības uzsākšana ir plānota 2019.gada 1.septembrī.</w:t>
      </w:r>
    </w:p>
    <w:p w14:paraId="18A1A22D" w14:textId="77777777" w:rsidR="006655B5" w:rsidRPr="007B010A" w:rsidRDefault="006655B5" w:rsidP="00D923AA">
      <w:pPr>
        <w:autoSpaceDE w:val="0"/>
        <w:autoSpaceDN w:val="0"/>
        <w:adjustRightInd w:val="0"/>
        <w:spacing w:line="293" w:lineRule="atLeast"/>
        <w:jc w:val="center"/>
        <w:rPr>
          <w:u w:val="single"/>
        </w:rPr>
      </w:pPr>
    </w:p>
    <w:p w14:paraId="52003B44" w14:textId="6D5608EF" w:rsidR="00D923AA" w:rsidRPr="007B010A" w:rsidRDefault="00D923AA" w:rsidP="00D923AA">
      <w:pPr>
        <w:autoSpaceDE w:val="0"/>
        <w:autoSpaceDN w:val="0"/>
        <w:adjustRightInd w:val="0"/>
        <w:spacing w:line="293" w:lineRule="atLeast"/>
        <w:jc w:val="center"/>
        <w:rPr>
          <w:u w:val="single"/>
        </w:rPr>
      </w:pPr>
      <w:r w:rsidRPr="007B010A">
        <w:rPr>
          <w:u w:val="single"/>
        </w:rPr>
        <w:t xml:space="preserve">Vēža </w:t>
      </w:r>
      <w:proofErr w:type="spellStart"/>
      <w:r w:rsidRPr="007B010A">
        <w:rPr>
          <w:u w:val="single"/>
        </w:rPr>
        <w:t>skrīninga</w:t>
      </w:r>
      <w:proofErr w:type="spellEnd"/>
      <w:r w:rsidRPr="007B010A">
        <w:rPr>
          <w:u w:val="single"/>
        </w:rPr>
        <w:t xml:space="preserve"> programmas reforma</w:t>
      </w:r>
    </w:p>
    <w:p w14:paraId="6DEE8740" w14:textId="77777777" w:rsidR="00D923AA" w:rsidRPr="007B010A" w:rsidRDefault="00D923AA" w:rsidP="00D923AA">
      <w:pPr>
        <w:autoSpaceDE w:val="0"/>
        <w:autoSpaceDN w:val="0"/>
        <w:adjustRightInd w:val="0"/>
        <w:spacing w:line="293" w:lineRule="atLeast"/>
        <w:jc w:val="both"/>
      </w:pPr>
    </w:p>
    <w:p w14:paraId="72C7A380" w14:textId="3EB493EA" w:rsidR="00D923AA" w:rsidRPr="007B010A" w:rsidRDefault="00D923AA" w:rsidP="00D923AA">
      <w:pPr>
        <w:pStyle w:val="justifyfull"/>
        <w:shd w:val="clear" w:color="auto" w:fill="FFFFFF"/>
        <w:spacing w:before="0" w:beforeAutospacing="0" w:after="0" w:afterAutospacing="0"/>
        <w:ind w:firstLine="720"/>
        <w:jc w:val="both"/>
        <w:textAlignment w:val="baseline"/>
        <w:rPr>
          <w:rStyle w:val="Heading1Char"/>
          <w:rFonts w:ascii="Times New Roman" w:hAnsi="Times New Roman" w:cs="Times New Roman"/>
          <w:color w:val="auto"/>
          <w:sz w:val="24"/>
          <w:szCs w:val="24"/>
        </w:rPr>
      </w:pPr>
      <w:r w:rsidRPr="007B010A">
        <w:rPr>
          <w:rStyle w:val="Heading1Char"/>
          <w:rFonts w:ascii="Times New Roman" w:hAnsi="Times New Roman" w:cs="Times New Roman"/>
          <w:color w:val="auto"/>
          <w:sz w:val="24"/>
          <w:szCs w:val="24"/>
        </w:rPr>
        <w:t xml:space="preserve">Lai uzlabotu iedzīvotāju atsaucību valsts organizētā vēža </w:t>
      </w:r>
      <w:proofErr w:type="spellStart"/>
      <w:r w:rsidRPr="007B010A">
        <w:rPr>
          <w:rStyle w:val="Heading1Char"/>
          <w:rFonts w:ascii="Times New Roman" w:hAnsi="Times New Roman" w:cs="Times New Roman"/>
          <w:color w:val="auto"/>
          <w:sz w:val="24"/>
          <w:szCs w:val="24"/>
        </w:rPr>
        <w:t>skrīninga</w:t>
      </w:r>
      <w:proofErr w:type="spellEnd"/>
      <w:r w:rsidRPr="007B010A">
        <w:rPr>
          <w:rStyle w:val="Heading1Char"/>
          <w:rFonts w:ascii="Times New Roman" w:hAnsi="Times New Roman" w:cs="Times New Roman"/>
          <w:color w:val="auto"/>
          <w:sz w:val="24"/>
          <w:szCs w:val="24"/>
        </w:rPr>
        <w:t xml:space="preserve"> programmā realizētajām aktivitātēm, tādējādi sekmējot vēža agrīnu diagnostiku, </w:t>
      </w:r>
      <w:r w:rsidR="00477AED" w:rsidRPr="007B010A">
        <w:rPr>
          <w:rStyle w:val="Heading1Char"/>
          <w:rFonts w:ascii="Times New Roman" w:hAnsi="Times New Roman" w:cs="Times New Roman"/>
          <w:color w:val="auto"/>
          <w:sz w:val="24"/>
          <w:szCs w:val="24"/>
        </w:rPr>
        <w:t xml:space="preserve">2018.gadā </w:t>
      </w:r>
      <w:r w:rsidRPr="007B010A">
        <w:rPr>
          <w:rStyle w:val="Heading1Char"/>
          <w:rFonts w:ascii="Times New Roman" w:hAnsi="Times New Roman" w:cs="Times New Roman"/>
          <w:color w:val="auto"/>
          <w:sz w:val="24"/>
          <w:szCs w:val="24"/>
        </w:rPr>
        <w:t xml:space="preserve">pilotprojekta ietvaros ir plānots iesaistīt ģimenes ārstus, paredzot papildus maksājumu par vēža </w:t>
      </w:r>
      <w:proofErr w:type="spellStart"/>
      <w:r w:rsidRPr="007B010A">
        <w:rPr>
          <w:rStyle w:val="Heading1Char"/>
          <w:rFonts w:ascii="Times New Roman" w:hAnsi="Times New Roman" w:cs="Times New Roman"/>
          <w:color w:val="auto"/>
          <w:sz w:val="24"/>
          <w:szCs w:val="24"/>
        </w:rPr>
        <w:t>skrīninga</w:t>
      </w:r>
      <w:proofErr w:type="spellEnd"/>
      <w:r w:rsidRPr="007B010A">
        <w:rPr>
          <w:rStyle w:val="Heading1Char"/>
          <w:rFonts w:ascii="Times New Roman" w:hAnsi="Times New Roman" w:cs="Times New Roman"/>
          <w:color w:val="auto"/>
          <w:sz w:val="24"/>
          <w:szCs w:val="24"/>
        </w:rPr>
        <w:t xml:space="preserve"> atsaucības palielināšanu pie ģimenes ārsta reģistrēto pacientu vidū. Šādā veidā ģimenes ārsts tiks ieinteresēts vairāk rūpēties par saviem pacientiem,  sekot līdz savu pacientu veselībai un izglītot tos par </w:t>
      </w:r>
      <w:proofErr w:type="spellStart"/>
      <w:r w:rsidRPr="007B010A">
        <w:rPr>
          <w:rStyle w:val="Heading1Char"/>
          <w:rFonts w:ascii="Times New Roman" w:hAnsi="Times New Roman" w:cs="Times New Roman"/>
          <w:color w:val="auto"/>
          <w:sz w:val="24"/>
          <w:szCs w:val="24"/>
        </w:rPr>
        <w:t>skrīninga</w:t>
      </w:r>
      <w:proofErr w:type="spellEnd"/>
      <w:r w:rsidRPr="007B010A">
        <w:rPr>
          <w:rStyle w:val="Heading1Char"/>
          <w:rFonts w:ascii="Times New Roman" w:hAnsi="Times New Roman" w:cs="Times New Roman"/>
          <w:color w:val="auto"/>
          <w:sz w:val="24"/>
          <w:szCs w:val="24"/>
        </w:rPr>
        <w:t xml:space="preserve"> veikšanas nepieciešamību. Pilotprojekta ietvaros paredzēts ģimenes ārsta praksei novirzīt 500 </w:t>
      </w:r>
      <w:proofErr w:type="spellStart"/>
      <w:r w:rsidRPr="007B010A">
        <w:rPr>
          <w:rStyle w:val="Heading1Char"/>
          <w:rFonts w:ascii="Times New Roman" w:hAnsi="Times New Roman" w:cs="Times New Roman"/>
          <w:i/>
          <w:color w:val="auto"/>
          <w:sz w:val="24"/>
          <w:szCs w:val="24"/>
        </w:rPr>
        <w:t>euro</w:t>
      </w:r>
      <w:proofErr w:type="spellEnd"/>
      <w:r w:rsidRPr="007B010A">
        <w:rPr>
          <w:rStyle w:val="Heading1Char"/>
          <w:rFonts w:ascii="Times New Roman" w:hAnsi="Times New Roman" w:cs="Times New Roman"/>
          <w:color w:val="auto"/>
          <w:sz w:val="24"/>
          <w:szCs w:val="24"/>
        </w:rPr>
        <w:t xml:space="preserve"> ceturksnī (250 </w:t>
      </w:r>
      <w:proofErr w:type="spellStart"/>
      <w:r w:rsidRPr="007B010A">
        <w:rPr>
          <w:rStyle w:val="Heading1Char"/>
          <w:rFonts w:ascii="Times New Roman" w:hAnsi="Times New Roman" w:cs="Times New Roman"/>
          <w:i/>
          <w:color w:val="auto"/>
          <w:sz w:val="24"/>
          <w:szCs w:val="24"/>
        </w:rPr>
        <w:t>euro</w:t>
      </w:r>
      <w:proofErr w:type="spellEnd"/>
      <w:r w:rsidRPr="007B010A">
        <w:rPr>
          <w:rStyle w:val="Heading1Char"/>
          <w:rFonts w:ascii="Times New Roman" w:hAnsi="Times New Roman" w:cs="Times New Roman"/>
          <w:color w:val="auto"/>
          <w:sz w:val="24"/>
          <w:szCs w:val="24"/>
        </w:rPr>
        <w:t xml:space="preserve"> par katru (dzemdes kakla un krūts vēža) </w:t>
      </w:r>
      <w:proofErr w:type="spellStart"/>
      <w:r w:rsidRPr="007B010A">
        <w:rPr>
          <w:rStyle w:val="Heading1Char"/>
          <w:rFonts w:ascii="Times New Roman" w:hAnsi="Times New Roman" w:cs="Times New Roman"/>
          <w:color w:val="auto"/>
          <w:sz w:val="24"/>
          <w:szCs w:val="24"/>
        </w:rPr>
        <w:t>skrīningu</w:t>
      </w:r>
      <w:proofErr w:type="spellEnd"/>
      <w:r w:rsidRPr="007B010A">
        <w:rPr>
          <w:rStyle w:val="Heading1Char"/>
          <w:rFonts w:ascii="Times New Roman" w:hAnsi="Times New Roman" w:cs="Times New Roman"/>
          <w:color w:val="auto"/>
          <w:sz w:val="24"/>
          <w:szCs w:val="24"/>
        </w:rPr>
        <w:t xml:space="preserve">), ja vēža </w:t>
      </w:r>
      <w:proofErr w:type="spellStart"/>
      <w:r w:rsidRPr="007B010A">
        <w:rPr>
          <w:rStyle w:val="Heading1Char"/>
          <w:rFonts w:ascii="Times New Roman" w:hAnsi="Times New Roman" w:cs="Times New Roman"/>
          <w:color w:val="auto"/>
          <w:sz w:val="24"/>
          <w:szCs w:val="24"/>
        </w:rPr>
        <w:t>skrīninga</w:t>
      </w:r>
      <w:proofErr w:type="spellEnd"/>
      <w:r w:rsidRPr="007B010A">
        <w:rPr>
          <w:rStyle w:val="Heading1Char"/>
          <w:rFonts w:ascii="Times New Roman" w:hAnsi="Times New Roman" w:cs="Times New Roman"/>
          <w:color w:val="auto"/>
          <w:sz w:val="24"/>
          <w:szCs w:val="24"/>
        </w:rPr>
        <w:t xml:space="preserve"> atsaucība ir sasniegusi 50% par dzemdes kakla vēža </w:t>
      </w:r>
      <w:proofErr w:type="spellStart"/>
      <w:r w:rsidRPr="007B010A">
        <w:rPr>
          <w:rStyle w:val="Heading1Char"/>
          <w:rFonts w:ascii="Times New Roman" w:hAnsi="Times New Roman" w:cs="Times New Roman"/>
          <w:color w:val="auto"/>
          <w:sz w:val="24"/>
          <w:szCs w:val="24"/>
        </w:rPr>
        <w:t>skrīningu</w:t>
      </w:r>
      <w:proofErr w:type="spellEnd"/>
      <w:r w:rsidRPr="007B010A">
        <w:rPr>
          <w:rStyle w:val="Heading1Char"/>
          <w:rFonts w:ascii="Times New Roman" w:hAnsi="Times New Roman" w:cs="Times New Roman"/>
          <w:color w:val="auto"/>
          <w:sz w:val="24"/>
          <w:szCs w:val="24"/>
        </w:rPr>
        <w:t xml:space="preserve"> un 60% - par  krūt</w:t>
      </w:r>
      <w:r w:rsidR="00477AED" w:rsidRPr="007B010A">
        <w:rPr>
          <w:rStyle w:val="Heading1Char"/>
          <w:rFonts w:ascii="Times New Roman" w:hAnsi="Times New Roman" w:cs="Times New Roman"/>
          <w:color w:val="auto"/>
          <w:sz w:val="24"/>
          <w:szCs w:val="24"/>
        </w:rPr>
        <w:t xml:space="preserve">s vēža </w:t>
      </w:r>
      <w:proofErr w:type="spellStart"/>
      <w:r w:rsidR="00477AED" w:rsidRPr="007B010A">
        <w:rPr>
          <w:rStyle w:val="Heading1Char"/>
          <w:rFonts w:ascii="Times New Roman" w:hAnsi="Times New Roman" w:cs="Times New Roman"/>
          <w:color w:val="auto"/>
          <w:sz w:val="24"/>
          <w:szCs w:val="24"/>
        </w:rPr>
        <w:t>skrīningu</w:t>
      </w:r>
      <w:proofErr w:type="spellEnd"/>
      <w:r w:rsidR="00477AED" w:rsidRPr="007B010A">
        <w:rPr>
          <w:rStyle w:val="Heading1Char"/>
          <w:rFonts w:ascii="Times New Roman" w:hAnsi="Times New Roman" w:cs="Times New Roman"/>
          <w:color w:val="auto"/>
          <w:sz w:val="24"/>
          <w:szCs w:val="24"/>
        </w:rPr>
        <w:t>. Rezultāti tiek</w:t>
      </w:r>
      <w:r w:rsidRPr="007B010A">
        <w:rPr>
          <w:rStyle w:val="Heading1Char"/>
          <w:rFonts w:ascii="Times New Roman" w:hAnsi="Times New Roman" w:cs="Times New Roman"/>
          <w:color w:val="auto"/>
          <w:sz w:val="24"/>
          <w:szCs w:val="24"/>
        </w:rPr>
        <w:t xml:space="preserve"> novērtēti katru ceturksni, izvērtējot izmeklējumu veikušo personu skaitu periodā pret izsūtīto uzaicinājuma vēstuļu skaitu periodā. Papildus maksājumu vei</w:t>
      </w:r>
      <w:r w:rsidR="00477AED" w:rsidRPr="007B010A">
        <w:rPr>
          <w:rStyle w:val="Heading1Char"/>
          <w:rFonts w:ascii="Times New Roman" w:hAnsi="Times New Roman" w:cs="Times New Roman"/>
          <w:color w:val="auto"/>
          <w:sz w:val="24"/>
          <w:szCs w:val="24"/>
        </w:rPr>
        <w:t>c</w:t>
      </w:r>
      <w:r w:rsidRPr="007B010A">
        <w:rPr>
          <w:rStyle w:val="Heading1Char"/>
          <w:rFonts w:ascii="Times New Roman" w:hAnsi="Times New Roman" w:cs="Times New Roman"/>
          <w:color w:val="auto"/>
          <w:sz w:val="24"/>
          <w:szCs w:val="24"/>
        </w:rPr>
        <w:t xml:space="preserve"> reizi ceturksnī. </w:t>
      </w:r>
      <w:r w:rsidR="00C52F4E" w:rsidRPr="007B010A">
        <w:rPr>
          <w:rStyle w:val="Heading1Char"/>
          <w:rFonts w:ascii="Times New Roman" w:hAnsi="Times New Roman" w:cs="Times New Roman"/>
          <w:color w:val="auto"/>
          <w:sz w:val="24"/>
          <w:szCs w:val="24"/>
        </w:rPr>
        <w:t>2018.gadā bija p</w:t>
      </w:r>
      <w:r w:rsidRPr="007B010A">
        <w:rPr>
          <w:rStyle w:val="Heading1Char"/>
          <w:rFonts w:ascii="Times New Roman" w:hAnsi="Times New Roman" w:cs="Times New Roman"/>
          <w:color w:val="auto"/>
          <w:sz w:val="24"/>
          <w:szCs w:val="24"/>
        </w:rPr>
        <w:t xml:space="preserve">lānots pilotprojektā iesaistīt 260 ģimenes ārstu prakses. Nepieciešamā summa 2018.gadā 500 </w:t>
      </w:r>
      <w:proofErr w:type="spellStart"/>
      <w:r w:rsidRPr="007B010A">
        <w:rPr>
          <w:rStyle w:val="Heading1Char"/>
          <w:rFonts w:ascii="Times New Roman" w:hAnsi="Times New Roman" w:cs="Times New Roman"/>
          <w:i/>
          <w:color w:val="auto"/>
          <w:sz w:val="24"/>
          <w:szCs w:val="24"/>
        </w:rPr>
        <w:t>euro</w:t>
      </w:r>
      <w:proofErr w:type="spellEnd"/>
      <w:r w:rsidRPr="007B010A">
        <w:rPr>
          <w:rStyle w:val="Heading1Char"/>
          <w:rFonts w:ascii="Times New Roman" w:hAnsi="Times New Roman" w:cs="Times New Roman"/>
          <w:color w:val="auto"/>
          <w:sz w:val="24"/>
          <w:szCs w:val="24"/>
        </w:rPr>
        <w:t xml:space="preserve"> ceturksnī * 260 prakses * 3 ceturkšņi = 390</w:t>
      </w:r>
      <w:r w:rsidR="001440FA" w:rsidRPr="007B010A">
        <w:rPr>
          <w:rStyle w:val="Heading1Char"/>
          <w:rFonts w:ascii="Times New Roman" w:hAnsi="Times New Roman" w:cs="Times New Roman"/>
          <w:color w:val="auto"/>
          <w:sz w:val="24"/>
          <w:szCs w:val="24"/>
        </w:rPr>
        <w:t> </w:t>
      </w:r>
      <w:r w:rsidRPr="007B010A">
        <w:rPr>
          <w:rStyle w:val="Heading1Char"/>
          <w:rFonts w:ascii="Times New Roman" w:hAnsi="Times New Roman" w:cs="Times New Roman"/>
          <w:color w:val="auto"/>
          <w:sz w:val="24"/>
          <w:szCs w:val="24"/>
        </w:rPr>
        <w:t>000</w:t>
      </w:r>
      <w:r w:rsidR="001440FA" w:rsidRPr="007B010A">
        <w:rPr>
          <w:rStyle w:val="Heading1Char"/>
          <w:rFonts w:ascii="Times New Roman" w:hAnsi="Times New Roman" w:cs="Times New Roman"/>
          <w:color w:val="auto"/>
          <w:sz w:val="24"/>
          <w:szCs w:val="24"/>
        </w:rPr>
        <w:t> </w:t>
      </w:r>
      <w:proofErr w:type="spellStart"/>
      <w:r w:rsidRPr="007B010A">
        <w:rPr>
          <w:rStyle w:val="Heading1Char"/>
          <w:rFonts w:ascii="Times New Roman" w:hAnsi="Times New Roman" w:cs="Times New Roman"/>
          <w:i/>
          <w:color w:val="auto"/>
          <w:sz w:val="24"/>
          <w:szCs w:val="24"/>
        </w:rPr>
        <w:t>euro</w:t>
      </w:r>
      <w:proofErr w:type="spellEnd"/>
      <w:r w:rsidRPr="007B010A">
        <w:rPr>
          <w:rStyle w:val="Heading1Char"/>
          <w:rFonts w:ascii="Times New Roman" w:hAnsi="Times New Roman" w:cs="Times New Roman"/>
          <w:color w:val="auto"/>
          <w:sz w:val="24"/>
          <w:szCs w:val="24"/>
        </w:rPr>
        <w:t>.</w:t>
      </w:r>
    </w:p>
    <w:p w14:paraId="6FD84C13" w14:textId="0ACBE79C"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 xml:space="preserve">2018.gadā pieaugusi iedzīvotāju atsaucība, veicot dzemdes kakla, krūts vēža un zarnu vēža profilaktiskās pārbaudes. </w:t>
      </w:r>
      <w:r w:rsidR="00C52F4E" w:rsidRPr="007B010A">
        <w:t xml:space="preserve">2018.gadā </w:t>
      </w:r>
      <w:r w:rsidRPr="007B010A">
        <w:t>valsts apmaksātas vēža savlaicīgas atklāšanas programmā atsaukušies par 8</w:t>
      </w:r>
      <w:r w:rsidR="00C52F4E" w:rsidRPr="007B010A">
        <w:t>,5</w:t>
      </w:r>
      <w:r w:rsidRPr="007B010A">
        <w:t>% jeb 21</w:t>
      </w:r>
      <w:r w:rsidR="00C52F4E" w:rsidRPr="007B010A">
        <w:t>9</w:t>
      </w:r>
      <w:r w:rsidRPr="007B010A">
        <w:t xml:space="preserve"> tūkstoti vairāk iedzīvotāju nekā </w:t>
      </w:r>
      <w:r w:rsidR="00C52F4E" w:rsidRPr="007B010A">
        <w:t>2017.gadā</w:t>
      </w:r>
      <w:r w:rsidRPr="007B010A">
        <w:t>. Atbilstoši 2018.gad</w:t>
      </w:r>
      <w:r w:rsidR="00C52F4E" w:rsidRPr="007B010A">
        <w:t>a</w:t>
      </w:r>
      <w:r w:rsidRPr="007B010A">
        <w:t xml:space="preserve"> vēža </w:t>
      </w:r>
      <w:proofErr w:type="spellStart"/>
      <w:r w:rsidRPr="007B010A">
        <w:t>skrīninga</w:t>
      </w:r>
      <w:proofErr w:type="spellEnd"/>
      <w:r w:rsidRPr="007B010A">
        <w:t xml:space="preserve"> programmas ietvaros ģimenes ārstu praksēm ir izmaksāti </w:t>
      </w:r>
      <w:r w:rsidR="00453B4E" w:rsidRPr="007B010A">
        <w:t>348 250</w:t>
      </w:r>
      <w:r w:rsidRPr="007B010A">
        <w:t xml:space="preserve"> </w:t>
      </w:r>
      <w:proofErr w:type="spellStart"/>
      <w:r w:rsidRPr="007B010A">
        <w:rPr>
          <w:i/>
        </w:rPr>
        <w:t>euro</w:t>
      </w:r>
      <w:proofErr w:type="spellEnd"/>
      <w:r w:rsidRPr="007B010A">
        <w:t xml:space="preserve">. </w:t>
      </w:r>
    </w:p>
    <w:p w14:paraId="57EB685E" w14:textId="0FDB4368"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 xml:space="preserve">Ģimenes ārstu prakses tika aicinātas pieteikties brīvprātīgi dalībai </w:t>
      </w:r>
      <w:proofErr w:type="spellStart"/>
      <w:r w:rsidRPr="007B010A">
        <w:t>skrīninga</w:t>
      </w:r>
      <w:proofErr w:type="spellEnd"/>
      <w:r w:rsidRPr="007B010A">
        <w:t xml:space="preserve"> pilotprojektā, </w:t>
      </w:r>
      <w:r w:rsidR="00C52F4E" w:rsidRPr="007B010A">
        <w:t xml:space="preserve">kā </w:t>
      </w:r>
      <w:r w:rsidRPr="007B010A">
        <w:t xml:space="preserve">rezultātā pieteicās 424 prakses. Tā kā aprēķini bija veikti par prakšu skaitu, kam veiks izmaksas par sasniegtiem rezultātiem, tad NVD iekļāva pilotprojektā lielāku prakšu skaitu, pieņemot, ka ne visām praksēm izdosies sasniegt gaidāmo </w:t>
      </w:r>
      <w:proofErr w:type="spellStart"/>
      <w:r w:rsidRPr="007B010A">
        <w:t>skrīninga</w:t>
      </w:r>
      <w:proofErr w:type="spellEnd"/>
      <w:r w:rsidRPr="007B010A">
        <w:t xml:space="preserve"> atsaucības radītāju rezultātus praksē reģistrētiem pacientiem.</w:t>
      </w:r>
    </w:p>
    <w:p w14:paraId="7D0FB48A" w14:textId="24BF8CD5" w:rsidR="00D923AA" w:rsidRPr="007B010A" w:rsidRDefault="00C52F4E" w:rsidP="00D923AA">
      <w:pPr>
        <w:pStyle w:val="justifyfull"/>
        <w:shd w:val="clear" w:color="auto" w:fill="FFFFFF"/>
        <w:spacing w:before="0" w:beforeAutospacing="0" w:after="0" w:afterAutospacing="0"/>
        <w:ind w:firstLine="720"/>
        <w:jc w:val="both"/>
        <w:textAlignment w:val="baseline"/>
      </w:pPr>
      <w:r w:rsidRPr="007B010A">
        <w:t xml:space="preserve">2018.gadā </w:t>
      </w:r>
      <w:r w:rsidR="00D923AA" w:rsidRPr="007B010A">
        <w:t xml:space="preserve">dzemdes kakla vēža profilaktiskās pārbaudes veikšanai, saņemot uzaicinājuma vēstuli, atsaukušās vairāk nekā </w:t>
      </w:r>
      <w:r w:rsidRPr="007B010A">
        <w:t>85</w:t>
      </w:r>
      <w:r w:rsidR="00D923AA" w:rsidRPr="007B010A">
        <w:t xml:space="preserve"> tūksto</w:t>
      </w:r>
      <w:r w:rsidRPr="007B010A">
        <w:t>ši</w:t>
      </w:r>
      <w:r w:rsidR="00D923AA" w:rsidRPr="007B010A">
        <w:t xml:space="preserve"> sieviešu, kas ir par teju </w:t>
      </w:r>
      <w:r w:rsidRPr="007B010A">
        <w:t>4,8</w:t>
      </w:r>
      <w:r w:rsidR="00D923AA" w:rsidRPr="007B010A">
        <w:t xml:space="preserve">% vairāk nekā </w:t>
      </w:r>
      <w:r w:rsidRPr="007B010A">
        <w:t>2017.gadā</w:t>
      </w:r>
      <w:r w:rsidR="00D923AA" w:rsidRPr="007B010A">
        <w:t xml:space="preserve">. Savukārt krūts vēža profilaktiskajai pārbaudei </w:t>
      </w:r>
      <w:r w:rsidRPr="007B010A">
        <w:t xml:space="preserve">2018.gadā </w:t>
      </w:r>
      <w:r w:rsidR="00D923AA" w:rsidRPr="007B010A">
        <w:t xml:space="preserve">atsaukušās jau vairāk nekā </w:t>
      </w:r>
      <w:r w:rsidRPr="007B010A">
        <w:t>59</w:t>
      </w:r>
      <w:r w:rsidR="00D923AA" w:rsidRPr="007B010A">
        <w:t xml:space="preserve"> tūkstoši sieviešu, kas ir par </w:t>
      </w:r>
      <w:r w:rsidRPr="007B010A">
        <w:t>1,9</w:t>
      </w:r>
      <w:r w:rsidR="00D923AA" w:rsidRPr="007B010A">
        <w:t xml:space="preserve">% </w:t>
      </w:r>
      <w:r w:rsidRPr="007B010A">
        <w:t xml:space="preserve">mazāk </w:t>
      </w:r>
      <w:r w:rsidR="00D923AA" w:rsidRPr="007B010A">
        <w:t xml:space="preserve">nekā </w:t>
      </w:r>
      <w:r w:rsidRPr="007B010A">
        <w:t>2017.gadā</w:t>
      </w:r>
      <w:r w:rsidR="00D923AA" w:rsidRPr="007B010A">
        <w:t xml:space="preserve">. Zarnu vēža profilaktiskā pārbaude veikta  </w:t>
      </w:r>
      <w:r w:rsidRPr="007B010A">
        <w:t>98</w:t>
      </w:r>
      <w:r w:rsidR="00D923AA" w:rsidRPr="007B010A">
        <w:t xml:space="preserve"> tūkstotim iedzīvotāju vecumā no 50 - 74 gadiem, kas ir par </w:t>
      </w:r>
      <w:r w:rsidRPr="007B010A">
        <w:t>13,4</w:t>
      </w:r>
      <w:r w:rsidR="00D923AA" w:rsidRPr="007B010A">
        <w:t xml:space="preserve"> tūkstošiem jeb </w:t>
      </w:r>
      <w:r w:rsidRPr="007B010A">
        <w:t>2,6</w:t>
      </w:r>
      <w:r w:rsidR="00D923AA" w:rsidRPr="007B010A">
        <w:t>% pacientu vairāk nekā gadu iepriekš.</w:t>
      </w:r>
    </w:p>
    <w:p w14:paraId="5E8DFC88" w14:textId="77777777"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Iedzīvotāju atsaucība profilaktisko pārbaužu veikšanai ir palielinājusies, pateicoties šogad uzsāktajam pilotprojektam, kura ietvaros ģimenes ārstu prakses aktīvāk mudina iedzīvotājus veikt profilaktiskos izmeklējumus. Dalība pilotprojektā ģimenes ārstu praksēm sniedz iespēju īstenot maksimāli efektīvu pacientu veselības profilaksi un saņemt piemaksu papildus prakses darbības nodrošināšanai paredzētajam valsts finansējumam.</w:t>
      </w:r>
    </w:p>
    <w:p w14:paraId="04753243" w14:textId="75D427DA" w:rsidR="00D54679" w:rsidRPr="007B010A" w:rsidRDefault="00D54679" w:rsidP="00D54679">
      <w:pPr>
        <w:pStyle w:val="justifyfull"/>
        <w:shd w:val="clear" w:color="auto" w:fill="FFFFFF"/>
        <w:spacing w:before="0" w:beforeAutospacing="0" w:after="0" w:afterAutospacing="0"/>
        <w:ind w:firstLine="720"/>
        <w:jc w:val="both"/>
        <w:textAlignment w:val="baseline"/>
      </w:pPr>
      <w:r w:rsidRPr="007B010A">
        <w:t xml:space="preserve">2018.gadā </w:t>
      </w:r>
      <w:r w:rsidR="00D923AA" w:rsidRPr="007B010A">
        <w:t>pilotprojektā iesaistījušās 424 ģimenes ārstu prakses</w:t>
      </w:r>
      <w:r w:rsidR="008A0154">
        <w:t xml:space="preserve">, </w:t>
      </w:r>
      <w:r w:rsidRPr="007B010A">
        <w:t>12,5%</w:t>
      </w:r>
      <w:r w:rsidR="00D72539">
        <w:t xml:space="preserve"> </w:t>
      </w:r>
      <w:r w:rsidR="00D923AA" w:rsidRPr="007B010A">
        <w:t>izpildījušas noteiktos kritērijus krūts vēža profilaktisko pārbaužu īstenošanā un 50</w:t>
      </w:r>
      <w:r w:rsidRPr="007B010A">
        <w:t>,9</w:t>
      </w:r>
      <w:r w:rsidR="00D923AA" w:rsidRPr="007B010A">
        <w:t>% - dzemdes kakla vēža pārbaužu īstenošanā.</w:t>
      </w:r>
      <w:r w:rsidRPr="007B010A">
        <w:t xml:space="preserve"> Iespējams, ka krūts vēža profilaktiskai pārbaudei atsaukušos sieviešu skaits korelē ar ģimenes ārstu prakšu skaitu, kas bija pieteikušās pilotprojektam krūts vēža profilaktisko pārbaužu īstenošanā, bet neizpildīja noteiktos kritērijus.</w:t>
      </w:r>
    </w:p>
    <w:p w14:paraId="790A1236" w14:textId="12629987"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Uzaicinājuma vēstules valsts apmaksātu krūšu un dzemdes kakla profilaktisko pārbaužu veikšanai tiek nosūtītas sievietēm noteiktos vecum</w:t>
      </w:r>
      <w:r w:rsidR="008A0154">
        <w:t>a posmos</w:t>
      </w:r>
      <w:bookmarkStart w:id="2" w:name="_GoBack"/>
      <w:bookmarkEnd w:id="2"/>
      <w:r w:rsidRPr="007B010A">
        <w:t xml:space="preserve">. Krūšu pārbaudei uzaicinājumu </w:t>
      </w:r>
      <w:proofErr w:type="spellStart"/>
      <w:r w:rsidRPr="007B010A">
        <w:t>nosūta</w:t>
      </w:r>
      <w:proofErr w:type="spellEnd"/>
      <w:r w:rsidRPr="007B010A">
        <w:t xml:space="preserve"> sievietēm vecumā no 50 līdz 68 gadiem – reizi divos gados. Savukārt uzaicinājumu veikt profilaktisko dzemdes kakla pārbaudi </w:t>
      </w:r>
      <w:proofErr w:type="spellStart"/>
      <w:r w:rsidRPr="007B010A">
        <w:t>nosūta</w:t>
      </w:r>
      <w:proofErr w:type="spellEnd"/>
      <w:r w:rsidRPr="007B010A">
        <w:t xml:space="preserve"> sievietēm vecumā no 25 līdz 67 gadiem – reizi trijos gados. Uzaicinājuma vēstules uz krūts vēža profilaktisko pārbaudi ir derīga divus gadus, bet dzemdes kakla vēža profilaktisko pārbaudi – trīs gadus.</w:t>
      </w:r>
    </w:p>
    <w:p w14:paraId="12699C47" w14:textId="77777777"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lastRenderedPageBreak/>
        <w:t>Lai uzlabotu vēža profilaktisko pārbaužu pieejamību, no šī gada krūts un dzemdes kakla vēža profilaktiskās pārbaudes ārstniecības iestādē var veikt arī gadījumā, ja līdzi nav paņemta NVD nosūtītā uzaicinājuma vēstule. Tas būtiski atvieglo pārbaudes veikšanu gadījumos, kad uzaicinājuma vēstule ir nozaudēta vai tikusi nosūtīta, bet nav saņemta (piemēram, ja sieviete nedzīvo deklarētajā dzīvesvietā). Turpmāk šāda vēstule vairs nav jāatjauno – informācija par sievietei nosūtītās uzaicinājuma vēstules numuru un nosūtīšanas datumu ārstniecības iestādēs ir pieejama elektroniski.</w:t>
      </w:r>
    </w:p>
    <w:p w14:paraId="789D109A" w14:textId="77777777"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Lai noskaidrotu, vai uzaicinājums ir ticis nosūtīts un to var izmantot, var interesēties sava ģimenes ārsta praksē vai vēršoties ārstniecības iestādē, kurā nodrošina šādu profilaktisko pārbaužu veikšanu. Līdzi jāņem personu apliecinošs dokuments.</w:t>
      </w:r>
    </w:p>
    <w:p w14:paraId="3C92E8B8" w14:textId="77777777" w:rsidR="00D923AA" w:rsidRPr="007B010A" w:rsidRDefault="00D923AA" w:rsidP="00D923AA">
      <w:pPr>
        <w:pStyle w:val="justifyfull"/>
        <w:shd w:val="clear" w:color="auto" w:fill="FFFFFF"/>
        <w:spacing w:before="0" w:beforeAutospacing="0" w:after="0" w:afterAutospacing="0"/>
        <w:ind w:firstLine="720"/>
        <w:jc w:val="both"/>
        <w:textAlignment w:val="baseline"/>
      </w:pPr>
      <w:r w:rsidRPr="007B010A">
        <w:t>Savukārt zarnu vēža profilaktiskā pārbaude reizi gadā tiek veikta sievietēm un vīriešiem vecumā no 50 līdz 74 gadiem. Lai veiktu zarnu vēža profilaktisko pārbaudi, ir jāvēršas sava ģimenes ārsta praksē, kur pacientiem pastāstīs sīkāk par pārbaudes veikšanas nosacījumiem. Šīs pārbaudes veikšanai netiek nosūtīta uzaicinājuma vēstule.</w:t>
      </w:r>
    </w:p>
    <w:p w14:paraId="14BAF80B" w14:textId="77777777" w:rsidR="00D923AA" w:rsidRPr="007B010A" w:rsidRDefault="00D923AA" w:rsidP="00D923AA"/>
    <w:p w14:paraId="1153AACC" w14:textId="77777777" w:rsidR="00D923AA" w:rsidRPr="007B010A" w:rsidRDefault="00D923AA" w:rsidP="00D923AA">
      <w:pPr>
        <w:tabs>
          <w:tab w:val="left" w:pos="1170"/>
        </w:tabs>
      </w:pPr>
      <w:r w:rsidRPr="007B010A">
        <w:tab/>
      </w:r>
    </w:p>
    <w:p w14:paraId="51CBFD05" w14:textId="77777777" w:rsidR="00D923AA" w:rsidRPr="007B010A" w:rsidRDefault="00D923AA" w:rsidP="00D923AA">
      <w:pPr>
        <w:pStyle w:val="Heading2"/>
        <w:spacing w:before="0" w:after="200"/>
        <w:ind w:left="850" w:hanging="425"/>
        <w:jc w:val="center"/>
        <w:rPr>
          <w:rFonts w:ascii="Times New Roman" w:hAnsi="Times New Roman" w:cs="Times New Roman"/>
          <w:b/>
          <w:color w:val="auto"/>
          <w:sz w:val="24"/>
          <w:szCs w:val="24"/>
          <w:lang w:bidi="lo-LA"/>
        </w:rPr>
      </w:pPr>
      <w:r w:rsidRPr="007B010A">
        <w:rPr>
          <w:rFonts w:ascii="Times New Roman" w:hAnsi="Times New Roman" w:cs="Times New Roman"/>
          <w:b/>
          <w:color w:val="auto"/>
          <w:sz w:val="24"/>
          <w:szCs w:val="24"/>
          <w:lang w:bidi="lo-LA"/>
        </w:rPr>
        <w:t>3. Infekcijas slimību izplatības mazināšana</w:t>
      </w:r>
    </w:p>
    <w:p w14:paraId="19B68967" w14:textId="77777777" w:rsidR="00D923AA" w:rsidRPr="007B010A" w:rsidRDefault="00D923AA" w:rsidP="00D923AA">
      <w:pPr>
        <w:pStyle w:val="Heading2"/>
        <w:spacing w:before="0" w:after="200"/>
        <w:ind w:left="850" w:hanging="425"/>
        <w:jc w:val="center"/>
        <w:rPr>
          <w:rFonts w:ascii="Times New Roman" w:eastAsia="Times New Roman" w:hAnsi="Times New Roman" w:cs="Times New Roman"/>
          <w:color w:val="auto"/>
          <w:sz w:val="24"/>
          <w:szCs w:val="24"/>
          <w:lang w:eastAsia="lv-LV"/>
        </w:rPr>
      </w:pPr>
      <w:r w:rsidRPr="007B010A">
        <w:rPr>
          <w:rFonts w:ascii="Times New Roman" w:hAnsi="Times New Roman" w:cs="Times New Roman"/>
          <w:b/>
          <w:color w:val="auto"/>
          <w:sz w:val="24"/>
          <w:szCs w:val="24"/>
          <w:lang w:bidi="lo-LA"/>
        </w:rPr>
        <w:t>3.1.</w:t>
      </w:r>
      <w:r w:rsidRPr="007B010A">
        <w:rPr>
          <w:rFonts w:ascii="Times New Roman" w:hAnsi="Times New Roman" w:cs="Times New Roman"/>
          <w:color w:val="auto"/>
          <w:sz w:val="24"/>
          <w:szCs w:val="24"/>
          <w:lang w:bidi="lo-LA"/>
        </w:rPr>
        <w:t xml:space="preserve"> </w:t>
      </w:r>
      <w:r w:rsidRPr="007B010A">
        <w:rPr>
          <w:rFonts w:ascii="Times New Roman" w:eastAsia="Times New Roman" w:hAnsi="Times New Roman" w:cs="Times New Roman"/>
          <w:b/>
          <w:color w:val="auto"/>
          <w:sz w:val="24"/>
          <w:szCs w:val="24"/>
          <w:lang w:eastAsia="lv-LV"/>
        </w:rPr>
        <w:t>Valsts kompensējamo medikamentu nodrošinājums VHC pacientiem F3-F4 stadijā</w:t>
      </w:r>
    </w:p>
    <w:p w14:paraId="0B2AF9FD" w14:textId="1D6F16A6" w:rsidR="00B80FCE" w:rsidRPr="007B010A" w:rsidRDefault="00B80FCE" w:rsidP="00B80FCE">
      <w:pPr>
        <w:pStyle w:val="Heading1"/>
        <w:shd w:val="clear" w:color="auto" w:fill="FFFFFF"/>
        <w:spacing w:before="0" w:line="240" w:lineRule="auto"/>
        <w:ind w:firstLine="567"/>
        <w:jc w:val="both"/>
        <w:textAlignment w:val="baseline"/>
        <w:rPr>
          <w:rFonts w:ascii="Times New Roman" w:hAnsi="Times New Roman" w:cs="Times New Roman"/>
          <w:bCs/>
          <w:color w:val="auto"/>
          <w:sz w:val="24"/>
          <w:szCs w:val="24"/>
        </w:rPr>
      </w:pPr>
      <w:r w:rsidRPr="007B010A">
        <w:rPr>
          <w:rFonts w:ascii="Times New Roman" w:hAnsi="Times New Roman" w:cs="Times New Roman"/>
          <w:color w:val="auto"/>
          <w:sz w:val="24"/>
          <w:szCs w:val="24"/>
        </w:rPr>
        <w:t xml:space="preserve">Ņemot vērā to, ka C hepatīts ir infekcijas slimība, efektīvākais līdzeklis tās izplatības ierobežošanai ir pēc iespējas agrīnāka inficēto personu atklāšana un ārstēšana. Ņemot vērā C hepatīta radītās sekas uz sabiedrības veselību – darba spēju zudums, smagi aknu bojājumi, kas izraisa invaliditāti un nāves gadījumus Pasaules Veselības organizācijas (PVO) </w:t>
      </w:r>
      <w:r w:rsidRPr="007B010A">
        <w:rPr>
          <w:rFonts w:ascii="Times New Roman" w:hAnsi="Times New Roman" w:cs="Times New Roman"/>
          <w:bCs/>
          <w:color w:val="auto"/>
          <w:sz w:val="24"/>
          <w:szCs w:val="24"/>
        </w:rPr>
        <w:t>ir izvirzījusi mērķi, lai 2030.gadam 80% C hepatīta inficēto personu tiktu izārstētas.</w:t>
      </w:r>
      <w:r w:rsidRPr="007B010A">
        <w:rPr>
          <w:rStyle w:val="FootnoteReference"/>
          <w:rFonts w:ascii="Times New Roman" w:hAnsi="Times New Roman" w:cs="Times New Roman"/>
          <w:bCs/>
          <w:color w:val="auto"/>
          <w:sz w:val="24"/>
          <w:szCs w:val="24"/>
        </w:rPr>
        <w:footnoteReference w:id="10"/>
      </w:r>
    </w:p>
    <w:p w14:paraId="0AC519E2" w14:textId="77777777" w:rsidR="00B80FCE" w:rsidRPr="007B010A" w:rsidRDefault="00B80FCE" w:rsidP="00B80FCE">
      <w:pPr>
        <w:ind w:firstLine="567"/>
        <w:jc w:val="both"/>
        <w:rPr>
          <w:lang w:eastAsia="en-US"/>
        </w:rPr>
      </w:pPr>
      <w:r w:rsidRPr="007B010A">
        <w:rPr>
          <w:lang w:eastAsia="en-US"/>
        </w:rPr>
        <w:t xml:space="preserve">Pamatojoties uz pētījumu rezultātiem par </w:t>
      </w:r>
      <w:r w:rsidRPr="007B010A">
        <w:t xml:space="preserve">ārstēšanas ietekmi uz VHC izplatību, </w:t>
      </w:r>
      <w:r w:rsidRPr="007B010A">
        <w:rPr>
          <w:bCs/>
        </w:rPr>
        <w:t xml:space="preserve">kas parāda, ka tiešās iedarbības pretvīrusu līdzekļu, kas tiek lietoti C hepatīta ārstēšanai novērš vīrusa savairošanos, pasaules mērogā ir pierādīts, ka  85% ārstēto personu ir atbrīvoti no vīrusa klātbūtnes 8-12 nedēļu laikā. PVO uzsver, ka šis ir nozīmīgs apstāklis, lai apturēto C hepatīta izplatību, tādēļ </w:t>
      </w:r>
      <w:r w:rsidRPr="007B010A">
        <w:t>PVO rekomendācijās tiešās darbības pretvīrusu medikamenti tiek noteikti kā pirmās izvēles ārstēšanas līdzekļi</w:t>
      </w:r>
      <w:r w:rsidRPr="007B010A">
        <w:rPr>
          <w:rStyle w:val="FootnoteReference"/>
        </w:rPr>
        <w:footnoteReference w:id="11"/>
      </w:r>
      <w:r w:rsidRPr="007B010A">
        <w:t xml:space="preserve">. </w:t>
      </w:r>
    </w:p>
    <w:p w14:paraId="4CB064F0" w14:textId="2A5302B1" w:rsidR="00D923AA" w:rsidRPr="007B010A" w:rsidRDefault="00B80FCE" w:rsidP="00D923AA">
      <w:pPr>
        <w:autoSpaceDE w:val="0"/>
        <w:autoSpaceDN w:val="0"/>
        <w:adjustRightInd w:val="0"/>
        <w:spacing w:line="293" w:lineRule="atLeast"/>
        <w:ind w:firstLine="425"/>
        <w:jc w:val="both"/>
      </w:pPr>
      <w:r w:rsidRPr="007B010A">
        <w:t>Ņemot vērā minēto, 2018.gadā Veselības sistēmas reformu ietvaros pateicoties</w:t>
      </w:r>
      <w:r w:rsidRPr="007B010A">
        <w:rPr>
          <w:b/>
        </w:rPr>
        <w:t xml:space="preserve"> </w:t>
      </w:r>
      <w:r w:rsidRPr="007B010A">
        <w:t xml:space="preserve"> finansējumam no Eiropas Komisijas piešķirtās budžeta deficīta atkāpes, ārstēšanu saņēma 1000 VHC pacientu, kas ir par 600 vairāk nekā tika plānots.</w:t>
      </w:r>
    </w:p>
    <w:p w14:paraId="4A724910" w14:textId="23A087E1" w:rsidR="00D923AA" w:rsidRPr="007B010A" w:rsidRDefault="00D923AA" w:rsidP="00D923AA">
      <w:pPr>
        <w:ind w:firstLine="720"/>
        <w:jc w:val="right"/>
        <w:rPr>
          <w:i/>
        </w:rPr>
      </w:pPr>
      <w:r w:rsidRPr="007B010A">
        <w:rPr>
          <w:i/>
        </w:rPr>
        <w:t>2</w:t>
      </w:r>
      <w:r w:rsidR="00EE37EF" w:rsidRPr="007B010A">
        <w:rPr>
          <w:i/>
        </w:rPr>
        <w:t>1</w:t>
      </w:r>
      <w:r w:rsidRPr="007B010A">
        <w:rPr>
          <w:i/>
        </w:rPr>
        <w:t xml:space="preserve">.tabula </w:t>
      </w:r>
    </w:p>
    <w:p w14:paraId="1D69D01E" w14:textId="386D9068" w:rsidR="00D923AA" w:rsidRPr="007B010A" w:rsidRDefault="00D923AA" w:rsidP="00D923AA">
      <w:pPr>
        <w:jc w:val="center"/>
      </w:pPr>
      <w:r w:rsidRPr="007B010A">
        <w:t>VHC pacientiem F3-F4 stadijā 2018.gada izpilde</w:t>
      </w:r>
    </w:p>
    <w:p w14:paraId="7F61D88D" w14:textId="77777777" w:rsidR="00D923AA" w:rsidRPr="007B010A" w:rsidRDefault="00D923AA" w:rsidP="00D923AA">
      <w:pPr>
        <w:autoSpaceDE w:val="0"/>
        <w:autoSpaceDN w:val="0"/>
        <w:adjustRightInd w:val="0"/>
        <w:spacing w:line="293" w:lineRule="atLeast"/>
        <w:rPr>
          <w:sz w:val="22"/>
          <w:szCs w:val="22"/>
        </w:rPr>
      </w:pPr>
    </w:p>
    <w:tbl>
      <w:tblPr>
        <w:tblW w:w="9290" w:type="dxa"/>
        <w:jc w:val="center"/>
        <w:tblLook w:val="04A0" w:firstRow="1" w:lastRow="0" w:firstColumn="1" w:lastColumn="0" w:noHBand="0" w:noVBand="1"/>
      </w:tblPr>
      <w:tblGrid>
        <w:gridCol w:w="2972"/>
        <w:gridCol w:w="2074"/>
        <w:gridCol w:w="1470"/>
        <w:gridCol w:w="1365"/>
        <w:gridCol w:w="1409"/>
      </w:tblGrid>
      <w:tr w:rsidR="00D923AA" w:rsidRPr="007B010A" w14:paraId="3FF9B402" w14:textId="77777777" w:rsidTr="00DE16DB">
        <w:trPr>
          <w:trHeight w:val="517"/>
          <w:jc w:val="center"/>
        </w:trPr>
        <w:tc>
          <w:tcPr>
            <w:tcW w:w="2972"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7BD8844" w14:textId="77777777" w:rsidR="00D923AA" w:rsidRPr="007B010A" w:rsidRDefault="00D923AA" w:rsidP="00376CF0">
            <w:pPr>
              <w:jc w:val="center"/>
              <w:rPr>
                <w:sz w:val="22"/>
                <w:szCs w:val="22"/>
              </w:rPr>
            </w:pPr>
            <w:r w:rsidRPr="007B010A">
              <w:rPr>
                <w:sz w:val="22"/>
                <w:szCs w:val="22"/>
              </w:rPr>
              <w:t xml:space="preserve">Kompensējamie medikamenti VHC ārstēšanai F3-F4 stadijā </w:t>
            </w:r>
          </w:p>
        </w:tc>
        <w:tc>
          <w:tcPr>
            <w:tcW w:w="2074"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D217A08" w14:textId="108F0029" w:rsidR="00D923AA" w:rsidRPr="007B010A" w:rsidRDefault="00D923AA" w:rsidP="00376CF0">
            <w:pPr>
              <w:jc w:val="center"/>
              <w:rPr>
                <w:sz w:val="22"/>
                <w:szCs w:val="22"/>
              </w:rPr>
            </w:pPr>
            <w:r w:rsidRPr="007B010A">
              <w:rPr>
                <w:sz w:val="22"/>
                <w:szCs w:val="22"/>
              </w:rPr>
              <w:t xml:space="preserve">Plānotais </w:t>
            </w:r>
            <w:r w:rsidR="00450E12" w:rsidRPr="007B010A">
              <w:rPr>
                <w:sz w:val="22"/>
                <w:szCs w:val="22"/>
              </w:rPr>
              <w:t xml:space="preserve">unikālo pacientu </w:t>
            </w:r>
            <w:r w:rsidRPr="007B010A">
              <w:rPr>
                <w:sz w:val="22"/>
                <w:szCs w:val="22"/>
              </w:rPr>
              <w:t xml:space="preserve">skaits </w:t>
            </w:r>
            <w:r w:rsidR="00450E12" w:rsidRPr="007B010A">
              <w:rPr>
                <w:sz w:val="22"/>
                <w:szCs w:val="22"/>
              </w:rPr>
              <w:t>2018.gadā</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3853833C" w14:textId="77777777" w:rsidR="00D923AA" w:rsidRPr="007B010A" w:rsidRDefault="00D923AA" w:rsidP="00376CF0">
            <w:pPr>
              <w:jc w:val="center"/>
              <w:rPr>
                <w:sz w:val="22"/>
                <w:szCs w:val="22"/>
              </w:rPr>
            </w:pPr>
            <w:r w:rsidRPr="007B010A">
              <w:rPr>
                <w:sz w:val="22"/>
                <w:szCs w:val="22"/>
              </w:rPr>
              <w:t xml:space="preserve">Plānotais finansējums  </w:t>
            </w:r>
            <w:proofErr w:type="spellStart"/>
            <w:r w:rsidRPr="007B010A">
              <w:rPr>
                <w:i/>
                <w:iCs/>
                <w:sz w:val="22"/>
                <w:szCs w:val="22"/>
              </w:rPr>
              <w:t>euro</w:t>
            </w:r>
            <w:proofErr w:type="spellEnd"/>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76DE7839" w14:textId="5E49ABD6" w:rsidR="00D923AA" w:rsidRPr="007B010A" w:rsidRDefault="00D923AA" w:rsidP="00376CF0">
            <w:pPr>
              <w:jc w:val="center"/>
              <w:rPr>
                <w:sz w:val="22"/>
                <w:szCs w:val="22"/>
              </w:rPr>
            </w:pPr>
            <w:r w:rsidRPr="007B010A">
              <w:rPr>
                <w:sz w:val="22"/>
                <w:szCs w:val="22"/>
              </w:rPr>
              <w:t xml:space="preserve">Faktiskais </w:t>
            </w:r>
            <w:r w:rsidR="00450E12" w:rsidRPr="007B010A">
              <w:rPr>
                <w:sz w:val="22"/>
                <w:szCs w:val="22"/>
              </w:rPr>
              <w:t xml:space="preserve">pacientu </w:t>
            </w:r>
            <w:r w:rsidRPr="007B010A">
              <w:rPr>
                <w:sz w:val="22"/>
                <w:szCs w:val="22"/>
              </w:rPr>
              <w:t>skaits</w:t>
            </w:r>
            <w:r w:rsidR="00450E12" w:rsidRPr="007B010A">
              <w:rPr>
                <w:sz w:val="22"/>
                <w:szCs w:val="22"/>
              </w:rPr>
              <w:t xml:space="preserve"> 2018.gadā</w:t>
            </w:r>
          </w:p>
        </w:tc>
        <w:tc>
          <w:tcPr>
            <w:tcW w:w="1409"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4FB72455" w14:textId="77777777" w:rsidR="00D923AA" w:rsidRPr="007B010A" w:rsidRDefault="00D923AA" w:rsidP="00376CF0">
            <w:pPr>
              <w:jc w:val="center"/>
              <w:rPr>
                <w:sz w:val="22"/>
                <w:szCs w:val="22"/>
              </w:rPr>
            </w:pPr>
            <w:r w:rsidRPr="007B010A">
              <w:rPr>
                <w:sz w:val="22"/>
                <w:szCs w:val="22"/>
              </w:rPr>
              <w:t xml:space="preserve">Finanšu izlietojums  </w:t>
            </w:r>
            <w:proofErr w:type="spellStart"/>
            <w:r w:rsidRPr="007B010A">
              <w:rPr>
                <w:i/>
                <w:iCs/>
                <w:sz w:val="22"/>
                <w:szCs w:val="22"/>
              </w:rPr>
              <w:t>euro</w:t>
            </w:r>
            <w:proofErr w:type="spellEnd"/>
          </w:p>
        </w:tc>
      </w:tr>
      <w:tr w:rsidR="00D923AA" w:rsidRPr="007B010A" w14:paraId="358F4785" w14:textId="77777777" w:rsidTr="00DE16DB">
        <w:trPr>
          <w:trHeight w:val="645"/>
          <w:jc w:val="center"/>
        </w:trPr>
        <w:tc>
          <w:tcPr>
            <w:tcW w:w="2972" w:type="dxa"/>
            <w:vMerge/>
            <w:tcBorders>
              <w:top w:val="single" w:sz="4" w:space="0" w:color="auto"/>
              <w:left w:val="single" w:sz="4" w:space="0" w:color="auto"/>
              <w:bottom w:val="single" w:sz="4" w:space="0" w:color="000000"/>
              <w:right w:val="single" w:sz="4" w:space="0" w:color="auto"/>
            </w:tcBorders>
            <w:vAlign w:val="center"/>
            <w:hideMark/>
          </w:tcPr>
          <w:p w14:paraId="697B967A" w14:textId="77777777" w:rsidR="00D923AA" w:rsidRPr="007B010A" w:rsidRDefault="00D923AA" w:rsidP="00376CF0">
            <w:pPr>
              <w:rPr>
                <w:sz w:val="22"/>
                <w:szCs w:val="22"/>
              </w:rPr>
            </w:pPr>
          </w:p>
        </w:tc>
        <w:tc>
          <w:tcPr>
            <w:tcW w:w="2074" w:type="dxa"/>
            <w:vMerge/>
            <w:tcBorders>
              <w:top w:val="single" w:sz="4" w:space="0" w:color="auto"/>
              <w:left w:val="single" w:sz="4" w:space="0" w:color="auto"/>
              <w:bottom w:val="single" w:sz="4" w:space="0" w:color="000000"/>
              <w:right w:val="single" w:sz="4" w:space="0" w:color="auto"/>
            </w:tcBorders>
            <w:vAlign w:val="center"/>
            <w:hideMark/>
          </w:tcPr>
          <w:p w14:paraId="4548B9C9" w14:textId="77777777" w:rsidR="00D923AA" w:rsidRPr="007B010A" w:rsidRDefault="00D923AA" w:rsidP="00376CF0">
            <w:pPr>
              <w:rPr>
                <w:sz w:val="22"/>
                <w:szCs w:val="22"/>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14:paraId="120C2A57" w14:textId="77777777" w:rsidR="00D923AA" w:rsidRPr="007B010A"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77C108AB" w14:textId="77777777" w:rsidR="00D923AA" w:rsidRPr="007B010A" w:rsidRDefault="00D923AA" w:rsidP="00376CF0">
            <w:pPr>
              <w:rPr>
                <w:sz w:val="22"/>
                <w:szCs w:val="22"/>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14:paraId="437689BF" w14:textId="77777777" w:rsidR="00D923AA" w:rsidRPr="007B010A" w:rsidRDefault="00D923AA" w:rsidP="00376CF0">
            <w:pPr>
              <w:rPr>
                <w:sz w:val="22"/>
                <w:szCs w:val="22"/>
              </w:rPr>
            </w:pPr>
          </w:p>
        </w:tc>
      </w:tr>
      <w:tr w:rsidR="00D923AA" w:rsidRPr="007B010A" w14:paraId="738E4F0F" w14:textId="77777777" w:rsidTr="00DE16DB">
        <w:trPr>
          <w:trHeight w:val="300"/>
          <w:jc w:val="center"/>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54B778B4" w14:textId="77777777" w:rsidR="00D923AA" w:rsidRPr="007B010A" w:rsidRDefault="00D923AA" w:rsidP="00376CF0">
            <w:pPr>
              <w:rPr>
                <w:sz w:val="22"/>
                <w:szCs w:val="22"/>
              </w:rPr>
            </w:pPr>
            <w:r w:rsidRPr="007B010A">
              <w:rPr>
                <w:sz w:val="22"/>
                <w:szCs w:val="22"/>
              </w:rPr>
              <w:t>Ārstniecības iestādes</w:t>
            </w:r>
          </w:p>
        </w:tc>
        <w:tc>
          <w:tcPr>
            <w:tcW w:w="2074" w:type="dxa"/>
            <w:tcBorders>
              <w:top w:val="nil"/>
              <w:left w:val="nil"/>
              <w:bottom w:val="single" w:sz="4" w:space="0" w:color="auto"/>
              <w:right w:val="single" w:sz="4" w:space="0" w:color="auto"/>
            </w:tcBorders>
            <w:shd w:val="clear" w:color="auto" w:fill="auto"/>
            <w:noWrap/>
            <w:vAlign w:val="bottom"/>
            <w:hideMark/>
          </w:tcPr>
          <w:p w14:paraId="1D9E84DC" w14:textId="77777777" w:rsidR="00D923AA" w:rsidRPr="007B010A" w:rsidRDefault="00D923AA" w:rsidP="00376CF0">
            <w:pPr>
              <w:jc w:val="center"/>
              <w:rPr>
                <w:sz w:val="22"/>
                <w:szCs w:val="22"/>
              </w:rPr>
            </w:pPr>
            <w:r w:rsidRPr="007B010A">
              <w:rPr>
                <w:sz w:val="22"/>
                <w:szCs w:val="22"/>
              </w:rPr>
              <w:t>407</w:t>
            </w:r>
          </w:p>
        </w:tc>
        <w:tc>
          <w:tcPr>
            <w:tcW w:w="1470" w:type="dxa"/>
            <w:tcBorders>
              <w:top w:val="nil"/>
              <w:left w:val="nil"/>
              <w:bottom w:val="single" w:sz="4" w:space="0" w:color="auto"/>
              <w:right w:val="single" w:sz="4" w:space="0" w:color="auto"/>
            </w:tcBorders>
            <w:shd w:val="clear" w:color="auto" w:fill="auto"/>
            <w:noWrap/>
            <w:vAlign w:val="bottom"/>
            <w:hideMark/>
          </w:tcPr>
          <w:p w14:paraId="655B9BE0" w14:textId="77777777" w:rsidR="00D923AA" w:rsidRPr="007B010A" w:rsidRDefault="00D923AA" w:rsidP="00376CF0">
            <w:pPr>
              <w:jc w:val="center"/>
              <w:rPr>
                <w:sz w:val="22"/>
                <w:szCs w:val="22"/>
              </w:rPr>
            </w:pPr>
            <w:r w:rsidRPr="007B010A">
              <w:rPr>
                <w:sz w:val="22"/>
                <w:szCs w:val="22"/>
              </w:rPr>
              <w:t>11 174 882</w:t>
            </w:r>
          </w:p>
        </w:tc>
        <w:tc>
          <w:tcPr>
            <w:tcW w:w="1365" w:type="dxa"/>
            <w:tcBorders>
              <w:top w:val="nil"/>
              <w:left w:val="nil"/>
              <w:bottom w:val="single" w:sz="4" w:space="0" w:color="auto"/>
              <w:right w:val="single" w:sz="4" w:space="0" w:color="auto"/>
            </w:tcBorders>
            <w:shd w:val="clear" w:color="auto" w:fill="auto"/>
            <w:noWrap/>
            <w:vAlign w:val="bottom"/>
            <w:hideMark/>
          </w:tcPr>
          <w:p w14:paraId="0677C3CF" w14:textId="3F6ECD40" w:rsidR="00D923AA" w:rsidRPr="007B010A" w:rsidRDefault="00AF0BE2" w:rsidP="00376CF0">
            <w:pPr>
              <w:jc w:val="center"/>
              <w:rPr>
                <w:sz w:val="22"/>
                <w:szCs w:val="22"/>
              </w:rPr>
            </w:pPr>
            <w:r w:rsidRPr="007B010A">
              <w:rPr>
                <w:sz w:val="22"/>
                <w:szCs w:val="22"/>
              </w:rPr>
              <w:t>1</w:t>
            </w:r>
            <w:r w:rsidR="00597EF3" w:rsidRPr="007B010A">
              <w:rPr>
                <w:sz w:val="22"/>
                <w:szCs w:val="22"/>
              </w:rPr>
              <w:t xml:space="preserve"> </w:t>
            </w:r>
            <w:r w:rsidRPr="007B010A">
              <w:rPr>
                <w:sz w:val="22"/>
                <w:szCs w:val="22"/>
              </w:rPr>
              <w:t>000</w:t>
            </w:r>
          </w:p>
        </w:tc>
        <w:tc>
          <w:tcPr>
            <w:tcW w:w="1409" w:type="dxa"/>
            <w:tcBorders>
              <w:top w:val="nil"/>
              <w:left w:val="nil"/>
              <w:bottom w:val="single" w:sz="4" w:space="0" w:color="auto"/>
              <w:right w:val="single" w:sz="4" w:space="0" w:color="auto"/>
            </w:tcBorders>
            <w:shd w:val="clear" w:color="auto" w:fill="auto"/>
            <w:noWrap/>
            <w:vAlign w:val="bottom"/>
            <w:hideMark/>
          </w:tcPr>
          <w:p w14:paraId="3B9F9119" w14:textId="2A383095" w:rsidR="00D923AA" w:rsidRPr="007B010A" w:rsidRDefault="00AF0BE2" w:rsidP="00376CF0">
            <w:pPr>
              <w:jc w:val="center"/>
              <w:rPr>
                <w:sz w:val="22"/>
                <w:szCs w:val="22"/>
              </w:rPr>
            </w:pPr>
            <w:r w:rsidRPr="007B010A">
              <w:rPr>
                <w:sz w:val="22"/>
                <w:szCs w:val="22"/>
              </w:rPr>
              <w:t>11 174 882</w:t>
            </w:r>
          </w:p>
        </w:tc>
      </w:tr>
    </w:tbl>
    <w:p w14:paraId="357BF0A1" w14:textId="77777777" w:rsidR="00D923AA" w:rsidRPr="007B010A" w:rsidRDefault="00D923AA" w:rsidP="00D923AA">
      <w:pPr>
        <w:autoSpaceDE w:val="0"/>
        <w:autoSpaceDN w:val="0"/>
        <w:adjustRightInd w:val="0"/>
        <w:spacing w:line="293" w:lineRule="atLeast"/>
        <w:rPr>
          <w:u w:val="single"/>
          <w:lang w:bidi="lo-LA"/>
        </w:rPr>
      </w:pPr>
    </w:p>
    <w:p w14:paraId="23F53746" w14:textId="5B2712AB" w:rsidR="00B80FCE" w:rsidRPr="007B010A" w:rsidRDefault="00B80FCE" w:rsidP="00B80FCE">
      <w:pPr>
        <w:autoSpaceDE w:val="0"/>
        <w:autoSpaceDN w:val="0"/>
        <w:adjustRightInd w:val="0"/>
        <w:spacing w:line="293" w:lineRule="atLeast"/>
        <w:ind w:firstLine="720"/>
        <w:jc w:val="both"/>
      </w:pPr>
      <w:r w:rsidRPr="007B010A">
        <w:t>Atbilstoši 2018.gada faktiskajai izpildei, nodrošinājums ar jaunās paaudzes medikamentiem un atbilstoša ārstēšana VHC pacientiem F2-F3-F4 stadijā īstenota 245</w:t>
      </w:r>
      <w:r w:rsidR="00934554" w:rsidRPr="007B010A">
        <w:t>,70</w:t>
      </w:r>
      <w:r w:rsidRPr="007B010A">
        <w:t xml:space="preserve">% </w:t>
      </w:r>
      <w:r w:rsidRPr="007B010A">
        <w:lastRenderedPageBreak/>
        <w:t xml:space="preserve">apmērā no gada plānotā pieejamības pieauguma apjoma. Minētais pieaugums nodrošināts no 2018.gada marta līdz decembrim. </w:t>
      </w:r>
    </w:p>
    <w:p w14:paraId="115647EF" w14:textId="77777777" w:rsidR="00B80FCE" w:rsidRPr="007B010A" w:rsidRDefault="00B80FCE" w:rsidP="00B80FCE">
      <w:pPr>
        <w:ind w:firstLine="567"/>
        <w:jc w:val="both"/>
      </w:pPr>
      <w:r w:rsidRPr="007B010A">
        <w:t>Veselības reformas pasākumu ietvarā 2018.gadā valsts zāļu kompensācijas sistēmas ietvarā ambulatorajai ārstēšanai nepieciešamās zāles saņēma par 600 VHC inficētām personām vairāk nekā 2017.gadā. Tai skaitā 2018.gadā bija iespēja uzsākt VHC ārstēšanu personām ar aknu bojājumiem F2 stadijā.</w:t>
      </w:r>
    </w:p>
    <w:p w14:paraId="36124496" w14:textId="77777777" w:rsidR="00B80FCE" w:rsidRPr="007B010A" w:rsidRDefault="00B80FCE" w:rsidP="00B80FCE">
      <w:pPr>
        <w:autoSpaceDE w:val="0"/>
        <w:autoSpaceDN w:val="0"/>
        <w:adjustRightInd w:val="0"/>
        <w:spacing w:line="293" w:lineRule="atLeast"/>
        <w:ind w:firstLine="720"/>
        <w:jc w:val="both"/>
      </w:pPr>
      <w:r w:rsidRPr="007B010A">
        <w:t xml:space="preserve">Saskaņā ar Eiropas </w:t>
      </w:r>
      <w:proofErr w:type="spellStart"/>
      <w:r w:rsidRPr="007B010A">
        <w:t>hepatologu</w:t>
      </w:r>
      <w:proofErr w:type="spellEnd"/>
      <w:r w:rsidRPr="007B010A">
        <w:t xml:space="preserve"> asociācijas vadlīnijām</w:t>
      </w:r>
      <w:r w:rsidRPr="007B010A">
        <w:rPr>
          <w:rStyle w:val="FootnoteReference"/>
        </w:rPr>
        <w:footnoteReference w:id="12"/>
      </w:r>
      <w:r w:rsidRPr="007B010A">
        <w:t xml:space="preserve"> un zāļu lietošanas instrukcijām atkarībā no zāļu shēmas dinamisko novērošanu uzsāk nekavējoties pēc ārstēšanas kursa uzsākšanas un turpina 3 mēnešus, 6 mēnešus un 12 mēnešus pēc ārstēšanas pabeigšanas.  Kā liecina dinamiskās novērošanas rezultāti, 97% ārstēto pacientu ir atbrīvoti no C hepatīta vīrusa. </w:t>
      </w:r>
    </w:p>
    <w:p w14:paraId="75DE0123" w14:textId="07ED50F6" w:rsidR="00B80FCE" w:rsidRPr="007B010A" w:rsidRDefault="00B80FCE" w:rsidP="00B80FCE">
      <w:pPr>
        <w:widowControl w:val="0"/>
        <w:ind w:firstLine="709"/>
        <w:jc w:val="both"/>
        <w:rPr>
          <w:rFonts w:eastAsia="Calibri"/>
        </w:rPr>
      </w:pPr>
      <w:r w:rsidRPr="007B010A">
        <w:rPr>
          <w:rFonts w:eastAsia="Calibri"/>
        </w:rPr>
        <w:t xml:space="preserve">Tāpat vēršam uzmanību, ka 2008. gadā veiktais </w:t>
      </w:r>
      <w:proofErr w:type="spellStart"/>
      <w:r w:rsidRPr="007B010A">
        <w:rPr>
          <w:rFonts w:eastAsia="Calibri"/>
        </w:rPr>
        <w:t>prevalences</w:t>
      </w:r>
      <w:proofErr w:type="spellEnd"/>
      <w:r w:rsidRPr="007B010A">
        <w:rPr>
          <w:rFonts w:eastAsia="Calibri"/>
        </w:rPr>
        <w:t xml:space="preserve"> pētījums par VHC izplatību Latvijā</w:t>
      </w:r>
      <w:r w:rsidRPr="007B010A">
        <w:rPr>
          <w:rStyle w:val="FootnoteReference"/>
          <w:rFonts w:eastAsia="Calibri"/>
        </w:rPr>
        <w:footnoteReference w:id="13"/>
      </w:r>
      <w:r w:rsidRPr="007B010A">
        <w:rPr>
          <w:rFonts w:eastAsia="Calibri"/>
        </w:rPr>
        <w:t xml:space="preserve"> liecina, ka 2,4% pieaugušo iedzīvotāju ir bijuši anti-VHC pozitīvi un 1,7% iedzīvotāju ir bijuši VHC-RNS pozitīvi. Attiecinot pētījuma rezultātus uz pašreizējo Latvijas populāciju, var secināt, ka vismaz 38 000 pieaugušo savā dzīvē sastapušies ar C hepatīta vīrusu, par ko liecina antivielu klātbūtne un 27 000 pieaugušajiem organismā joprojām ir bijis C hepatīta vīruss (hroniska infekcija).</w:t>
      </w:r>
      <w:r w:rsidRPr="007B010A">
        <w:t xml:space="preserve"> </w:t>
      </w:r>
      <w:r w:rsidRPr="007B010A">
        <w:rPr>
          <w:rFonts w:eastAsia="Calibri"/>
        </w:rPr>
        <w:t xml:space="preserve">Laika posmā no 2007.gada līdz šim Slimību profilakses un kontroles centra datu bāzē ir reģistrēti apmēram </w:t>
      </w:r>
      <w:r w:rsidRPr="007B010A">
        <w:rPr>
          <w:shd w:val="clear" w:color="auto" w:fill="FFFFFF"/>
        </w:rPr>
        <w:t>17 768</w:t>
      </w:r>
      <w:r w:rsidRPr="007B010A">
        <w:rPr>
          <w:rFonts w:ascii="Calibri" w:hAnsi="Calibri" w:cs="Calibri"/>
          <w:sz w:val="22"/>
          <w:szCs w:val="22"/>
          <w:shd w:val="clear" w:color="auto" w:fill="FFFFFF"/>
        </w:rPr>
        <w:t> </w:t>
      </w:r>
      <w:r w:rsidRPr="007B010A">
        <w:rPr>
          <w:rFonts w:eastAsia="Calibri"/>
        </w:rPr>
        <w:t xml:space="preserve"> VHC gadījumu, kas veido nedaudz vairāk kā pusi no iespējamā (matemātiski aprēķinātā) kopējā inficēto pacientu skaita valstī.</w:t>
      </w:r>
    </w:p>
    <w:p w14:paraId="60DE82F7" w14:textId="77777777" w:rsidR="00B80FCE" w:rsidRPr="007B010A" w:rsidRDefault="00B80FCE" w:rsidP="00B80FCE">
      <w:pPr>
        <w:autoSpaceDE w:val="0"/>
        <w:autoSpaceDN w:val="0"/>
        <w:adjustRightInd w:val="0"/>
        <w:spacing w:line="293" w:lineRule="atLeast"/>
        <w:ind w:firstLine="720"/>
        <w:jc w:val="both"/>
        <w:rPr>
          <w:rFonts w:eastAsia="Calibri"/>
        </w:rPr>
      </w:pPr>
      <w:r w:rsidRPr="007B010A">
        <w:rPr>
          <w:rFonts w:eastAsia="Calibri"/>
        </w:rPr>
        <w:t>2018.gadā jaunatklāto VHC gadījumu skaits ir zemāks, nekā tas bija 2017.gadā (1860). Pēc viena gada datiem vēl nevar spriest par slimības izplatības dinamiku, tomēr ir pamats uzskatīt, ka iepriekš veiktie pasākumi ir devuši rezultātu, VHC izplatības samazināšanai. Minētā tendence vērtējama pozitīvi, jo atbilst Ilgtspējīgas attīstības mērķim līdz 2030.gadam apkarot hepatītu. Kā liecina PVO, ja tiek nodrošināta atbilstoša hepatīta profilakse un ārstēšana, jauno hroniska C hepatīta gadījumu skaitu var samazināt par 90% un samazināt mirstību par 65%.</w:t>
      </w:r>
      <w:r w:rsidRPr="007B010A">
        <w:rPr>
          <w:rStyle w:val="FootnoteReference"/>
          <w:rFonts w:eastAsia="Calibri"/>
        </w:rPr>
        <w:footnoteReference w:id="14"/>
      </w:r>
      <w:r w:rsidRPr="007B010A">
        <w:rPr>
          <w:rFonts w:eastAsia="Calibri"/>
        </w:rPr>
        <w:t xml:space="preserve"> </w:t>
      </w:r>
    </w:p>
    <w:p w14:paraId="377C7989" w14:textId="48A2F42B" w:rsidR="00B80FCE" w:rsidRPr="007B010A" w:rsidRDefault="00B80FCE" w:rsidP="00E563F0">
      <w:pPr>
        <w:autoSpaceDE w:val="0"/>
        <w:autoSpaceDN w:val="0"/>
        <w:adjustRightInd w:val="0"/>
        <w:spacing w:line="293" w:lineRule="atLeast"/>
        <w:ind w:firstLine="720"/>
        <w:jc w:val="both"/>
        <w:rPr>
          <w:bCs/>
        </w:rPr>
      </w:pPr>
      <w:r w:rsidRPr="007B010A">
        <w:t>50% no VHC pacientiem ir F3-F4 stadijā, kas potenciāli ir darbnespējīgi iedzīvotāji. Savukārt pacientiem, kam ir VHC F2 stadijā, slimībai progresējot attīstīsies smagi aknu bojājumi, ierobežojot arī šo cilvēku darba spējas un nepieciešamības veikt aknu transplantāciju. Ārstējot VHC F1 stadijā ir iespējams panākt pilnīgu izārstēšanu, novēršot aknu bojājumu. Tādējādi, veicot ārstēšanu VHC, tiek novērsta potenciāla darba nespēja vai arī cilvēki tiek atgriezti darba tirgū, sniedzot ieguldījumu kopējā valsts tautsaimniecībā. VHC pacientu ārstēšana</w:t>
      </w:r>
      <w:r w:rsidRPr="007B010A">
        <w:rPr>
          <w:bCs/>
        </w:rPr>
        <w:t xml:space="preserve"> tiks turpināta arī 2019.gadā ar jaunākās paaudzes ārstēšanu un laboratorisko diagnostiku,  nodrošinot to papildus </w:t>
      </w:r>
      <w:r w:rsidRPr="007B010A">
        <w:t>vēl</w:t>
      </w:r>
      <w:r w:rsidRPr="007B010A">
        <w:rPr>
          <w:bCs/>
        </w:rPr>
        <w:t xml:space="preserve"> 196 VHC pacientiem, tādejādi samazinot saslimšanas radītos epidemioloģiskos draudus valstī un pakāpeniski paplašinot pacientu aptveri uzsākot ārstēšanu jau F1 aknu bojājuma stadijā, kas nodrošina pamatā darbaspējīgā vecuma cilvēku pilnīgu izveseļošanos un atgriešanos sabiedrībā un darba tirgū. Vienlaicīgi palielinot no C hepatīta vīrusa atbrīvoto cilvēku skaitu, tiek samazināti inficēšanās riski citiem sabiedrības locekļiem un ierobežota infekcijas izplatība.</w:t>
      </w:r>
    </w:p>
    <w:p w14:paraId="2E519ED8" w14:textId="7B34A49E" w:rsidR="00D923AA" w:rsidRPr="007B010A" w:rsidRDefault="00E22EDA" w:rsidP="008A27C5">
      <w:pPr>
        <w:ind w:firstLine="567"/>
        <w:jc w:val="both"/>
        <w:rPr>
          <w:bCs/>
        </w:rPr>
      </w:pPr>
      <w:r w:rsidRPr="007B010A">
        <w:t xml:space="preserve">NVD veic ekonomisko izvērtēšanu, ņemot vērā, vai zāļu izmaksas ir prognozējamas un samērojamas ar zāļu kompensācijai piešķirtajiem līdzekļiem. Ja zāļu lietošanas izmaksas ir par augstu, notiek sarunas ar zāļu ražotāju par zāļu cenas samazināšanu. Šādos gadījumos zāļu ražotājs var piedāvāt zāļu kompensācijas bāzes cenas samazināšanu  uz laiku (cena netiek publicēta) vai arī tiek panākta vienošanās par zāļu ražotāja finansiālu līdzdalību kompensējamo zāļu sarakstā iekļauto zāļu kompensācijas nodrošināšanā. Zāļu kompensācijas samazinātā bāzes cena un zāļu cena ar zāļu ražotāja finansiālu līdzdalību ir konfidenciāla informācija. Vienu reizi </w:t>
      </w:r>
      <w:r w:rsidRPr="007B010A">
        <w:lastRenderedPageBreak/>
        <w:t>ceturksnī zāļu ražotājs valsts budžeta kompensējamo zāļu apakšprogrammā veic līdzdalības maksājumu, kura apmērs ir atkarīgs no pārskata periodā aptiekās izsniegto attiecīgo zāļu apj</w:t>
      </w:r>
      <w:r w:rsidR="00153690" w:rsidRPr="007B010A">
        <w:t>oma, atlīdzinot cenas starpību</w:t>
      </w:r>
      <w:r w:rsidR="00D923AA" w:rsidRPr="007B010A">
        <w:rPr>
          <w:rFonts w:eastAsia="Calibri"/>
        </w:rPr>
        <w:t xml:space="preserve"> </w:t>
      </w:r>
    </w:p>
    <w:p w14:paraId="0C479804" w14:textId="77777777" w:rsidR="00D923AA" w:rsidRPr="007B010A" w:rsidRDefault="00D923AA" w:rsidP="00D923AA">
      <w:pPr>
        <w:autoSpaceDE w:val="0"/>
        <w:autoSpaceDN w:val="0"/>
        <w:adjustRightInd w:val="0"/>
        <w:spacing w:line="293" w:lineRule="atLeast"/>
        <w:jc w:val="both"/>
        <w:rPr>
          <w:bCs/>
        </w:rPr>
      </w:pPr>
    </w:p>
    <w:p w14:paraId="52C66D16" w14:textId="25C768CC" w:rsidR="00D923AA" w:rsidRPr="007B010A" w:rsidRDefault="00D923AA" w:rsidP="00893C7B">
      <w:pPr>
        <w:autoSpaceDE w:val="0"/>
        <w:autoSpaceDN w:val="0"/>
        <w:adjustRightInd w:val="0"/>
        <w:spacing w:line="293" w:lineRule="atLeast"/>
        <w:ind w:firstLine="720"/>
        <w:jc w:val="center"/>
        <w:rPr>
          <w:bCs/>
        </w:rPr>
      </w:pPr>
      <w:r w:rsidRPr="007B010A">
        <w:rPr>
          <w:b/>
          <w:bCs/>
        </w:rPr>
        <w:t xml:space="preserve">3.2. References laboratorijas izmeklējumi </w:t>
      </w:r>
      <w:r w:rsidR="0032227D" w:rsidRPr="007B010A">
        <w:rPr>
          <w:b/>
          <w:bCs/>
        </w:rPr>
        <w:t>VH</w:t>
      </w:r>
      <w:r w:rsidRPr="007B010A">
        <w:rPr>
          <w:b/>
          <w:bCs/>
        </w:rPr>
        <w:t>C  pacientu terapijas uzsākšanai un terapijas monitoringam saistībā ar pacientu skaita pieaugumu</w:t>
      </w:r>
    </w:p>
    <w:p w14:paraId="6396B571" w14:textId="77777777" w:rsidR="00FD7403" w:rsidRPr="007B010A" w:rsidRDefault="00FD7403" w:rsidP="00D923AA">
      <w:pPr>
        <w:autoSpaceDE w:val="0"/>
        <w:autoSpaceDN w:val="0"/>
        <w:adjustRightInd w:val="0"/>
        <w:spacing w:line="293" w:lineRule="atLeast"/>
        <w:ind w:firstLine="720"/>
        <w:jc w:val="both"/>
      </w:pPr>
    </w:p>
    <w:p w14:paraId="2153BA1D" w14:textId="74DAB9F6" w:rsidR="00D923AA" w:rsidRPr="007B010A" w:rsidRDefault="00D923AA" w:rsidP="00D923AA">
      <w:pPr>
        <w:autoSpaceDE w:val="0"/>
        <w:autoSpaceDN w:val="0"/>
        <w:adjustRightInd w:val="0"/>
        <w:spacing w:line="293" w:lineRule="atLeast"/>
        <w:ind w:firstLine="720"/>
        <w:jc w:val="both"/>
      </w:pPr>
      <w:r w:rsidRPr="007B010A">
        <w:t>Lai nodrošinātu Nacionālās references laboratorijas darbību un 6</w:t>
      </w:r>
      <w:r w:rsidR="007B5E46">
        <w:t> </w:t>
      </w:r>
      <w:r w:rsidRPr="007B010A">
        <w:t xml:space="preserve">530 VHC izmeklējumu apstiprinošo diagnostiku, </w:t>
      </w:r>
      <w:proofErr w:type="spellStart"/>
      <w:r w:rsidRPr="007B010A">
        <w:t>tipēšanu</w:t>
      </w:r>
      <w:proofErr w:type="spellEnd"/>
      <w:r w:rsidRPr="007B010A">
        <w:t xml:space="preserve"> un ārstēšanas efektivitātes monitoringu 2018.gadā ir piešķirts finansējums </w:t>
      </w:r>
      <w:r w:rsidRPr="007B010A">
        <w:rPr>
          <w:b/>
          <w:bCs/>
        </w:rPr>
        <w:t xml:space="preserve">783 203 </w:t>
      </w:r>
      <w:proofErr w:type="spellStart"/>
      <w:r w:rsidRPr="007B010A">
        <w:rPr>
          <w:b/>
          <w:bCs/>
          <w:i/>
        </w:rPr>
        <w:t>euro</w:t>
      </w:r>
      <w:proofErr w:type="spellEnd"/>
      <w:r w:rsidRPr="007B010A">
        <w:t xml:space="preserve"> apmērā</w:t>
      </w:r>
      <w:r w:rsidR="00E3523C" w:rsidRPr="007B010A">
        <w:t>, atbilstoši informatīvajam ziņojumam “</w:t>
      </w:r>
      <w:r w:rsidR="005E6A9F" w:rsidRPr="007B010A">
        <w:t xml:space="preserve">Par veselības aprūpes </w:t>
      </w:r>
      <w:r w:rsidR="00652212" w:rsidRPr="007B010A">
        <w:t xml:space="preserve">reformas </w:t>
      </w:r>
      <w:r w:rsidR="005E6A9F" w:rsidRPr="007B010A">
        <w:t>pasākumu īstenošanu 2018.gadā</w:t>
      </w:r>
      <w:r w:rsidR="00E3523C" w:rsidRPr="007B010A">
        <w:t>”</w:t>
      </w:r>
      <w:r w:rsidRPr="007B010A">
        <w:t>.</w:t>
      </w:r>
    </w:p>
    <w:p w14:paraId="52F84521" w14:textId="5289CCD1" w:rsidR="00E42AD4" w:rsidRPr="007B010A" w:rsidRDefault="00E42AD4" w:rsidP="00E42AD4">
      <w:pPr>
        <w:autoSpaceDE w:val="0"/>
        <w:autoSpaceDN w:val="0"/>
        <w:adjustRightInd w:val="0"/>
        <w:spacing w:line="293" w:lineRule="atLeast"/>
        <w:ind w:firstLine="720"/>
        <w:jc w:val="both"/>
        <w:rPr>
          <w:bCs/>
        </w:rPr>
      </w:pPr>
      <w:r w:rsidRPr="007B010A">
        <w:rPr>
          <w:bCs/>
        </w:rPr>
        <w:t xml:space="preserve">Palielinoties VHC ārstēšanas iespējām, 2018.gadā arī ir palielinājies laboratoriski veikto izmeklējumu skaits VHC diagnostikai un dinamiskajai novērošanai VHC ārstētajiem pacientiem. </w:t>
      </w:r>
      <w:r w:rsidRPr="007B010A">
        <w:t>Veselības reformas pasākumu ietvarā 2018.gada pirmajā pusgadā Nacionālā references laboratorija papildus ir veikusi 7</w:t>
      </w:r>
      <w:r w:rsidR="007B5E46">
        <w:t> </w:t>
      </w:r>
      <w:r w:rsidRPr="007B010A">
        <w:t>568 VHC laboratoriskos izmeklējumus 115,90% apmērā no gada plānotā par kopējo summu 783</w:t>
      </w:r>
      <w:r w:rsidR="00984F40">
        <w:t> </w:t>
      </w:r>
      <w:r w:rsidRPr="007B010A">
        <w:t xml:space="preserve">203 </w:t>
      </w:r>
      <w:proofErr w:type="spellStart"/>
      <w:r w:rsidRPr="007B010A">
        <w:rPr>
          <w:i/>
        </w:rPr>
        <w:t>euro</w:t>
      </w:r>
      <w:proofErr w:type="spellEnd"/>
      <w:r w:rsidRPr="007B010A">
        <w:rPr>
          <w:i/>
        </w:rPr>
        <w:t>.</w:t>
      </w:r>
    </w:p>
    <w:p w14:paraId="55CECCCF" w14:textId="77777777" w:rsidR="0034515D" w:rsidRPr="007B010A" w:rsidRDefault="0034515D" w:rsidP="002F6B01">
      <w:pPr>
        <w:autoSpaceDE w:val="0"/>
        <w:autoSpaceDN w:val="0"/>
        <w:adjustRightInd w:val="0"/>
        <w:spacing w:line="293" w:lineRule="atLeast"/>
        <w:rPr>
          <w:b/>
          <w:bCs/>
        </w:rPr>
      </w:pPr>
    </w:p>
    <w:p w14:paraId="5FADA0FC" w14:textId="595CBD16" w:rsidR="00D923AA" w:rsidRPr="007B010A" w:rsidRDefault="00D923AA" w:rsidP="00D923AA">
      <w:pPr>
        <w:autoSpaceDE w:val="0"/>
        <w:autoSpaceDN w:val="0"/>
        <w:adjustRightInd w:val="0"/>
        <w:spacing w:line="293" w:lineRule="atLeast"/>
        <w:jc w:val="center"/>
        <w:rPr>
          <w:b/>
          <w:bCs/>
        </w:rPr>
      </w:pPr>
      <w:r w:rsidRPr="007B010A">
        <w:rPr>
          <w:b/>
          <w:bCs/>
        </w:rPr>
        <w:t>3.3. Vīrusu molekulārās izmeklēšanas analītiskās jūtības rādītāju uzlabošana</w:t>
      </w:r>
    </w:p>
    <w:p w14:paraId="2305CD59" w14:textId="77777777" w:rsidR="00D923AA" w:rsidRPr="007B010A" w:rsidRDefault="00D923AA" w:rsidP="00D923AA">
      <w:pPr>
        <w:autoSpaceDE w:val="0"/>
        <w:autoSpaceDN w:val="0"/>
        <w:adjustRightInd w:val="0"/>
        <w:spacing w:line="293" w:lineRule="atLeast"/>
        <w:jc w:val="center"/>
        <w:rPr>
          <w:bCs/>
          <w:u w:val="single"/>
        </w:rPr>
      </w:pPr>
    </w:p>
    <w:p w14:paraId="30A39517" w14:textId="504377A3" w:rsidR="00D923AA" w:rsidRPr="007B010A" w:rsidRDefault="00D923AA" w:rsidP="00D923AA">
      <w:pPr>
        <w:ind w:firstLine="851"/>
        <w:jc w:val="both"/>
      </w:pPr>
      <w:r w:rsidRPr="007B010A">
        <w:t xml:space="preserve">Lai uzlabotu veselības aprūpes pakalpojumu kvalitāti un pacientu drošību asins pagatavojumu jomā, nepieciešams uzlabot vīrusu molekulārās izmeklēšanas analītiskās jūtības testus sagatavojamo asins preparātu izmeklēšanā Valsts asinsdonoru centrā (turpmāk tekstā – VADC). Šobrīd VADC vīrusu molekulārie izmeklējumi tiek veikti 24 asins paraugu kopā, kurā veidojas pārāk liels atšķaidījums, tādēļ ne vienmēr vīrusa klātbūtni iespējams pierādīt. Ņemot vērā valstī esošo nopietno epidemioloģisko situāciju  saslimstībā ar </w:t>
      </w:r>
      <w:proofErr w:type="spellStart"/>
      <w:r w:rsidRPr="007B010A">
        <w:t>vīrushepatītiem</w:t>
      </w:r>
      <w:proofErr w:type="spellEnd"/>
      <w:r w:rsidRPr="007B010A">
        <w:t xml:space="preserve"> B, C,  kā arī HIV, ir nepieciešams ieviest jaunu, speciālu testēšanas metodi samazinot  asins paraugu atšķaidījumu līdz 6 asins paraugiem kopā, kas attiecīgi potenciālā asiņu recipienta (saņēmēja) inficēšanas risku samazina par 16,7%. VADC gadā veic apmēram 55</w:t>
      </w:r>
      <w:r w:rsidR="00984F40">
        <w:t> </w:t>
      </w:r>
      <w:r w:rsidRPr="007B010A">
        <w:t>000 izmeklējumus 3 vīrusiem –hepatīts B, VHC un HIV.</w:t>
      </w:r>
    </w:p>
    <w:p w14:paraId="0E9B7152" w14:textId="14D245A6" w:rsidR="00D923AA" w:rsidRPr="007B010A" w:rsidRDefault="00D923AA" w:rsidP="00D923AA">
      <w:pPr>
        <w:ind w:firstLine="851"/>
        <w:jc w:val="both"/>
      </w:pPr>
      <w:r w:rsidRPr="007B010A">
        <w:t xml:space="preserve">Lai reformas ietvaros uzlabotu vīrusu molekulārās izmeklēšanas analītiskās jūtības rādītājus papildus 2018.gadā tika piešķirti 579 656 </w:t>
      </w:r>
      <w:proofErr w:type="spellStart"/>
      <w:r w:rsidRPr="007B010A">
        <w:rPr>
          <w:i/>
        </w:rPr>
        <w:t>euro</w:t>
      </w:r>
      <w:proofErr w:type="spellEnd"/>
      <w:r w:rsidRPr="007B010A">
        <w:t xml:space="preserve">, ņemot vērā, ka vienas </w:t>
      </w:r>
      <w:proofErr w:type="spellStart"/>
      <w:r w:rsidRPr="007B010A">
        <w:t>donācijas</w:t>
      </w:r>
      <w:proofErr w:type="spellEnd"/>
      <w:r w:rsidRPr="007B010A">
        <w:t xml:space="preserve"> testēšanas izm</w:t>
      </w:r>
      <w:r w:rsidR="007F6FDD" w:rsidRPr="007B010A">
        <w:t xml:space="preserve">aksas pieaug par 10,54 </w:t>
      </w:r>
      <w:proofErr w:type="spellStart"/>
      <w:r w:rsidR="007F6FDD" w:rsidRPr="007B010A">
        <w:rPr>
          <w:i/>
        </w:rPr>
        <w:t>euro</w:t>
      </w:r>
      <w:proofErr w:type="spellEnd"/>
      <w:r w:rsidR="007F6FDD" w:rsidRPr="007B010A">
        <w:t xml:space="preserve"> ar pievienotās vērtības nodokli (turpmāk - PVN)</w:t>
      </w:r>
      <w:r w:rsidRPr="007B010A">
        <w:t>.</w:t>
      </w:r>
    </w:p>
    <w:p w14:paraId="7C5701B8" w14:textId="48B3FD79" w:rsidR="00D923AA" w:rsidRPr="007B010A" w:rsidRDefault="00D923AA" w:rsidP="00D923AA">
      <w:pPr>
        <w:ind w:firstLine="851"/>
        <w:jc w:val="both"/>
      </w:pPr>
      <w:r w:rsidRPr="007B010A">
        <w:t xml:space="preserve">2018.gadā plānotie izdevumi ar papildus piešķirtajiem </w:t>
      </w:r>
      <w:r w:rsidRPr="007B010A">
        <w:rPr>
          <w:b/>
        </w:rPr>
        <w:t xml:space="preserve">579 656 </w:t>
      </w:r>
      <w:proofErr w:type="spellStart"/>
      <w:r w:rsidRPr="007B010A">
        <w:rPr>
          <w:b/>
          <w:i/>
        </w:rPr>
        <w:t>euro</w:t>
      </w:r>
      <w:proofErr w:type="spellEnd"/>
      <w:r w:rsidRPr="007B010A">
        <w:t xml:space="preserve"> ir 1 254</w:t>
      </w:r>
      <w:r w:rsidR="00450E12" w:rsidRPr="007B010A">
        <w:t> </w:t>
      </w:r>
      <w:r w:rsidRPr="007B010A">
        <w:t>792</w:t>
      </w:r>
      <w:r w:rsidR="00450E12" w:rsidRPr="007B010A">
        <w:t> </w:t>
      </w:r>
      <w:proofErr w:type="spellStart"/>
      <w:r w:rsidRPr="007B010A">
        <w:rPr>
          <w:i/>
        </w:rPr>
        <w:t>euro</w:t>
      </w:r>
      <w:proofErr w:type="spellEnd"/>
      <w:r w:rsidRPr="007B010A">
        <w:t xml:space="preserve"> (ar PVN). 1 izmeklējuma plānotās izmaksas </w:t>
      </w:r>
      <w:r w:rsidR="007F6FDD" w:rsidRPr="007B010A">
        <w:t>veido</w:t>
      </w:r>
      <w:r w:rsidRPr="007B010A">
        <w:t xml:space="preserve"> 22,81 </w:t>
      </w:r>
      <w:proofErr w:type="spellStart"/>
      <w:r w:rsidRPr="007B010A">
        <w:rPr>
          <w:i/>
        </w:rPr>
        <w:t>euro</w:t>
      </w:r>
      <w:proofErr w:type="spellEnd"/>
      <w:r w:rsidRPr="007B010A">
        <w:t>. 2018.gad</w:t>
      </w:r>
      <w:r w:rsidR="00ED0AE2" w:rsidRPr="007B010A">
        <w:t>ā</w:t>
      </w:r>
      <w:r w:rsidRPr="007B010A">
        <w:t xml:space="preserve"> NAT MP6 izmeklējumu veikšanai izlietoti </w:t>
      </w:r>
      <w:r w:rsidR="00ED0AE2" w:rsidRPr="007B010A">
        <w:t>1</w:t>
      </w:r>
      <w:r w:rsidR="00984F40">
        <w:t> </w:t>
      </w:r>
      <w:r w:rsidR="00ED0AE2" w:rsidRPr="007B010A">
        <w:t>377</w:t>
      </w:r>
      <w:r w:rsidR="00984F40">
        <w:t> </w:t>
      </w:r>
      <w:r w:rsidR="00ED0AE2" w:rsidRPr="007B010A">
        <w:t>436</w:t>
      </w:r>
      <w:r w:rsidRPr="007B010A">
        <w:t xml:space="preserve"> </w:t>
      </w:r>
      <w:proofErr w:type="spellStart"/>
      <w:r w:rsidRPr="007B010A">
        <w:rPr>
          <w:i/>
        </w:rPr>
        <w:t>euro</w:t>
      </w:r>
      <w:proofErr w:type="spellEnd"/>
      <w:r w:rsidRPr="007B010A">
        <w:t>, kas ir 2</w:t>
      </w:r>
      <w:r w:rsidR="00ED0AE2" w:rsidRPr="007B010A">
        <w:t>3</w:t>
      </w:r>
      <w:r w:rsidRPr="007B010A">
        <w:t>,</w:t>
      </w:r>
      <w:r w:rsidR="00ED0AE2" w:rsidRPr="007B010A">
        <w:t>99</w:t>
      </w:r>
      <w:r w:rsidRPr="007B010A">
        <w:t xml:space="preserve"> </w:t>
      </w:r>
      <w:proofErr w:type="spellStart"/>
      <w:r w:rsidRPr="007B010A">
        <w:rPr>
          <w:i/>
        </w:rPr>
        <w:t>euro</w:t>
      </w:r>
      <w:proofErr w:type="spellEnd"/>
      <w:r w:rsidRPr="007B010A">
        <w:t xml:space="preserve"> uz 1 izmeklējumu.</w:t>
      </w:r>
    </w:p>
    <w:p w14:paraId="19AA2063" w14:textId="4B80F076" w:rsidR="001A0860" w:rsidRPr="007B010A" w:rsidRDefault="00D923AA" w:rsidP="00D923AA">
      <w:pPr>
        <w:ind w:firstLine="851"/>
        <w:jc w:val="both"/>
      </w:pPr>
      <w:r w:rsidRPr="007B010A">
        <w:t>VADC laika posmā no 2018.gada 1.janvāra līdz 2018.gada 3</w:t>
      </w:r>
      <w:r w:rsidR="00B2334F" w:rsidRPr="007B010A">
        <w:t>1</w:t>
      </w:r>
      <w:r w:rsidRPr="007B010A">
        <w:t>.</w:t>
      </w:r>
      <w:r w:rsidR="00B2334F" w:rsidRPr="007B010A">
        <w:t>decembrim</w:t>
      </w:r>
      <w:r w:rsidRPr="007B010A">
        <w:t xml:space="preserve"> iegūti </w:t>
      </w:r>
      <w:r w:rsidR="00B2334F" w:rsidRPr="007B010A">
        <w:t>3</w:t>
      </w:r>
      <w:r w:rsidRPr="007B010A">
        <w:t xml:space="preserve"> NAT reaktīvi rezultāti, seroloģiski negatīviem donoriem: </w:t>
      </w:r>
      <w:r w:rsidR="00B2334F" w:rsidRPr="007B010A">
        <w:t>diviem</w:t>
      </w:r>
      <w:r w:rsidRPr="007B010A">
        <w:t xml:space="preserve"> regulār</w:t>
      </w:r>
      <w:r w:rsidR="00994EA3" w:rsidRPr="007B010A">
        <w:t>a</w:t>
      </w:r>
      <w:r w:rsidR="00B2334F" w:rsidRPr="007B010A">
        <w:t>jiem</w:t>
      </w:r>
      <w:r w:rsidRPr="007B010A">
        <w:t xml:space="preserve"> donor</w:t>
      </w:r>
      <w:r w:rsidR="00B2334F" w:rsidRPr="007B010A">
        <w:t>iem</w:t>
      </w:r>
      <w:r w:rsidRPr="007B010A">
        <w:t xml:space="preserve">  konstatēts </w:t>
      </w:r>
      <w:proofErr w:type="spellStart"/>
      <w:r w:rsidRPr="007B010A">
        <w:t>vīrushepatīta</w:t>
      </w:r>
      <w:proofErr w:type="spellEnd"/>
      <w:r w:rsidRPr="007B010A">
        <w:t xml:space="preserve"> B pozitīvs rezultāts un viens  pozitīvs HBV rezultāts, veicot retrospektīvo izmeklēšanu. </w:t>
      </w:r>
    </w:p>
    <w:p w14:paraId="2EA9325C" w14:textId="0B690F6E" w:rsidR="001A0860" w:rsidRPr="007B010A" w:rsidRDefault="001A0860" w:rsidP="001A0860">
      <w:pPr>
        <w:autoSpaceDE w:val="0"/>
        <w:autoSpaceDN w:val="0"/>
        <w:adjustRightInd w:val="0"/>
        <w:ind w:firstLine="720"/>
        <w:jc w:val="both"/>
        <w:rPr>
          <w:rFonts w:eastAsiaTheme="minorHAnsi"/>
          <w:lang w:eastAsia="en-US"/>
        </w:rPr>
      </w:pPr>
      <w:r w:rsidRPr="007B010A">
        <w:rPr>
          <w:rFonts w:eastAsiaTheme="minorHAnsi"/>
          <w:lang w:eastAsia="en-US"/>
        </w:rPr>
        <w:t xml:space="preserve"> Konstatējot </w:t>
      </w:r>
      <w:proofErr w:type="spellStart"/>
      <w:r w:rsidRPr="007B010A">
        <w:rPr>
          <w:rFonts w:eastAsiaTheme="minorHAnsi"/>
          <w:lang w:eastAsia="en-US"/>
        </w:rPr>
        <w:t>vīrushepatīta</w:t>
      </w:r>
      <w:proofErr w:type="spellEnd"/>
      <w:r w:rsidRPr="007B010A">
        <w:rPr>
          <w:rFonts w:eastAsiaTheme="minorHAnsi"/>
          <w:lang w:eastAsia="en-US"/>
        </w:rPr>
        <w:t xml:space="preserve"> pozitīvu rezultātu, tas norāda </w:t>
      </w:r>
      <w:r w:rsidRPr="007B010A">
        <w:rPr>
          <w:rFonts w:eastAsiaTheme="minorHAnsi"/>
          <w:bCs/>
          <w:lang w:eastAsia="en-US"/>
        </w:rPr>
        <w:t xml:space="preserve">uz agrīnu infekciju donoram </w:t>
      </w:r>
      <w:r w:rsidRPr="007B010A">
        <w:rPr>
          <w:rFonts w:eastAsiaTheme="minorHAnsi"/>
          <w:lang w:eastAsia="en-US"/>
        </w:rPr>
        <w:t>un tas ir būtiski pēc iespēj</w:t>
      </w:r>
      <w:r w:rsidR="00BF068C" w:rsidRPr="007B010A">
        <w:rPr>
          <w:rFonts w:eastAsiaTheme="minorHAnsi"/>
          <w:lang w:eastAsia="en-US"/>
        </w:rPr>
        <w:t>as ātrāk indivīdam konstatēt</w:t>
      </w:r>
      <w:r w:rsidRPr="007B010A">
        <w:rPr>
          <w:rFonts w:eastAsiaTheme="minorHAnsi"/>
          <w:lang w:eastAsia="en-US"/>
        </w:rPr>
        <w:t xml:space="preserve"> pozitīvu vīrusu marķieri. </w:t>
      </w:r>
    </w:p>
    <w:p w14:paraId="2BFDB656" w14:textId="300A03DC" w:rsidR="001A0860" w:rsidRPr="007B010A" w:rsidRDefault="001A0860" w:rsidP="001A0860">
      <w:pPr>
        <w:autoSpaceDE w:val="0"/>
        <w:autoSpaceDN w:val="0"/>
        <w:adjustRightInd w:val="0"/>
        <w:ind w:firstLine="720"/>
        <w:jc w:val="both"/>
        <w:rPr>
          <w:rFonts w:eastAsiaTheme="minorHAnsi"/>
          <w:lang w:eastAsia="en-US"/>
        </w:rPr>
      </w:pPr>
      <w:r w:rsidRPr="007B010A">
        <w:rPr>
          <w:rFonts w:eastAsiaTheme="minorHAnsi"/>
          <w:lang w:eastAsia="en-US"/>
        </w:rPr>
        <w:t xml:space="preserve"> Visi sagatavotie asins komponenti no donora ar </w:t>
      </w:r>
      <w:proofErr w:type="spellStart"/>
      <w:r w:rsidRPr="007B010A">
        <w:rPr>
          <w:rFonts w:eastAsiaTheme="minorHAnsi"/>
          <w:lang w:eastAsia="en-US"/>
        </w:rPr>
        <w:t>vīruspozitīvu</w:t>
      </w:r>
      <w:proofErr w:type="spellEnd"/>
      <w:r w:rsidRPr="007B010A">
        <w:rPr>
          <w:rFonts w:eastAsiaTheme="minorHAnsi"/>
          <w:lang w:eastAsia="en-US"/>
        </w:rPr>
        <w:t xml:space="preserve"> rezultātu tiek </w:t>
      </w:r>
      <w:r w:rsidRPr="007B010A">
        <w:rPr>
          <w:rFonts w:eastAsiaTheme="minorHAnsi"/>
          <w:bCs/>
          <w:lang w:eastAsia="en-US"/>
        </w:rPr>
        <w:t>aizturēti un norakstīti.</w:t>
      </w:r>
      <w:r w:rsidRPr="007B010A">
        <w:rPr>
          <w:rFonts w:eastAsiaTheme="minorHAnsi"/>
          <w:lang w:eastAsia="en-US"/>
        </w:rPr>
        <w:t xml:space="preserve"> </w:t>
      </w:r>
    </w:p>
    <w:p w14:paraId="3F48BC96" w14:textId="4DF4EBF1" w:rsidR="001A0860" w:rsidRPr="007B010A" w:rsidRDefault="001A0860" w:rsidP="001A0860">
      <w:pPr>
        <w:autoSpaceDE w:val="0"/>
        <w:autoSpaceDN w:val="0"/>
        <w:adjustRightInd w:val="0"/>
        <w:ind w:firstLine="720"/>
        <w:jc w:val="both"/>
        <w:rPr>
          <w:rFonts w:eastAsiaTheme="minorHAnsi"/>
          <w:lang w:eastAsia="en-US"/>
        </w:rPr>
      </w:pPr>
      <w:r w:rsidRPr="007B010A">
        <w:rPr>
          <w:rFonts w:eastAsiaTheme="minorHAnsi"/>
          <w:lang w:eastAsia="en-US"/>
        </w:rPr>
        <w:t>Savukārt, retrospektīvo izmeklēšanu veic regulāriem donoriem, kuru asins paraugi no i</w:t>
      </w:r>
      <w:r w:rsidR="00BF068C" w:rsidRPr="007B010A">
        <w:rPr>
          <w:rFonts w:eastAsiaTheme="minorHAnsi"/>
          <w:lang w:eastAsia="en-US"/>
        </w:rPr>
        <w:t xml:space="preserve">epriekšējām </w:t>
      </w:r>
      <w:proofErr w:type="spellStart"/>
      <w:r w:rsidR="00BF068C" w:rsidRPr="007B010A">
        <w:rPr>
          <w:rFonts w:eastAsiaTheme="minorHAnsi"/>
          <w:lang w:eastAsia="en-US"/>
        </w:rPr>
        <w:t>donācijām</w:t>
      </w:r>
      <w:proofErr w:type="spellEnd"/>
      <w:r w:rsidR="00BF068C" w:rsidRPr="007B010A">
        <w:rPr>
          <w:rFonts w:eastAsiaTheme="minorHAnsi"/>
          <w:lang w:eastAsia="en-US"/>
        </w:rPr>
        <w:t xml:space="preserve"> glabājas </w:t>
      </w:r>
      <w:r w:rsidRPr="007B010A">
        <w:rPr>
          <w:rFonts w:eastAsiaTheme="minorHAnsi"/>
          <w:lang w:eastAsia="en-US"/>
        </w:rPr>
        <w:t xml:space="preserve">arhīvā. </w:t>
      </w:r>
    </w:p>
    <w:p w14:paraId="64779AEF" w14:textId="1D61BB1F" w:rsidR="001A0860" w:rsidRPr="007B010A" w:rsidRDefault="001A0860" w:rsidP="001A0860">
      <w:pPr>
        <w:autoSpaceDE w:val="0"/>
        <w:autoSpaceDN w:val="0"/>
        <w:adjustRightInd w:val="0"/>
        <w:ind w:firstLine="720"/>
        <w:jc w:val="both"/>
        <w:rPr>
          <w:rFonts w:eastAsiaTheme="minorHAnsi"/>
          <w:lang w:eastAsia="en-US"/>
        </w:rPr>
      </w:pPr>
      <w:r w:rsidRPr="007B010A">
        <w:rPr>
          <w:rFonts w:eastAsiaTheme="minorHAnsi"/>
          <w:bCs/>
          <w:lang w:eastAsia="en-US"/>
        </w:rPr>
        <w:t>Retrospektīvo izmeklēšanu ir kā papildus drošības pasākums</w:t>
      </w:r>
      <w:r w:rsidRPr="007B010A">
        <w:rPr>
          <w:rFonts w:eastAsiaTheme="minorHAnsi"/>
          <w:lang w:eastAsia="en-US"/>
        </w:rPr>
        <w:t xml:space="preserve">, kas ļauj izvērtēt VADC pielietoto metožu efektivitāti un jūtību. </w:t>
      </w:r>
    </w:p>
    <w:p w14:paraId="1A20A8BB" w14:textId="047F11D9" w:rsidR="00D923AA" w:rsidRPr="007B010A" w:rsidRDefault="001A0860" w:rsidP="001A0860">
      <w:pPr>
        <w:ind w:firstLine="851"/>
        <w:jc w:val="both"/>
      </w:pPr>
      <w:r w:rsidRPr="007B010A">
        <w:rPr>
          <w:rFonts w:eastAsiaTheme="minorHAnsi"/>
          <w:lang w:eastAsia="en-US"/>
        </w:rPr>
        <w:t xml:space="preserve">Par visiem </w:t>
      </w:r>
      <w:proofErr w:type="spellStart"/>
      <w:r w:rsidRPr="007B010A">
        <w:rPr>
          <w:rFonts w:eastAsiaTheme="minorHAnsi"/>
          <w:lang w:eastAsia="en-US"/>
        </w:rPr>
        <w:t>vīrushepatīta</w:t>
      </w:r>
      <w:proofErr w:type="spellEnd"/>
      <w:r w:rsidRPr="007B010A">
        <w:rPr>
          <w:rFonts w:eastAsiaTheme="minorHAnsi"/>
          <w:lang w:eastAsia="en-US"/>
        </w:rPr>
        <w:t xml:space="preserve"> reaktīviem rezultātiem </w:t>
      </w:r>
      <w:r w:rsidRPr="007B010A">
        <w:rPr>
          <w:rFonts w:eastAsiaTheme="minorHAnsi"/>
          <w:bCs/>
          <w:lang w:eastAsia="en-US"/>
        </w:rPr>
        <w:t>tiek ziņots SPKC</w:t>
      </w:r>
      <w:r w:rsidRPr="007B010A">
        <w:rPr>
          <w:rFonts w:eastAsiaTheme="minorHAnsi"/>
          <w:lang w:eastAsia="en-US"/>
        </w:rPr>
        <w:t>, ar mērķi atrast recipientus, ja asins komponenti ir pārlieti.</w:t>
      </w:r>
    </w:p>
    <w:p w14:paraId="71F5D7CF" w14:textId="4572BFBD" w:rsidR="00D923AA" w:rsidRPr="007B010A" w:rsidRDefault="00D923AA" w:rsidP="00D923AA">
      <w:pPr>
        <w:ind w:firstLine="720"/>
        <w:jc w:val="both"/>
      </w:pPr>
      <w:r w:rsidRPr="007B010A">
        <w:lastRenderedPageBreak/>
        <w:t xml:space="preserve">Neveicot NAT izmeklēšanu, pastāv iespēja inficēt </w:t>
      </w:r>
      <w:r w:rsidR="009F6AA8" w:rsidRPr="007B010A">
        <w:t>9</w:t>
      </w:r>
      <w:r w:rsidRPr="007B010A">
        <w:t xml:space="preserve"> recipientus (viena asins deva pēc sagatavošanas un apstrādes var tikt izmantota 3 recipientiem). </w:t>
      </w:r>
    </w:p>
    <w:p w14:paraId="7F652425" w14:textId="77777777" w:rsidR="00D923AA" w:rsidRPr="007B010A" w:rsidRDefault="00D923AA" w:rsidP="00D923AA">
      <w:pPr>
        <w:autoSpaceDE w:val="0"/>
        <w:autoSpaceDN w:val="0"/>
        <w:adjustRightInd w:val="0"/>
        <w:spacing w:line="293" w:lineRule="atLeast"/>
        <w:jc w:val="both"/>
        <w:rPr>
          <w:bCs/>
        </w:rPr>
      </w:pPr>
    </w:p>
    <w:p w14:paraId="66289AB2" w14:textId="77777777" w:rsidR="00D923AA" w:rsidRPr="007B010A" w:rsidRDefault="00D923AA" w:rsidP="00D923AA">
      <w:pPr>
        <w:autoSpaceDE w:val="0"/>
        <w:autoSpaceDN w:val="0"/>
        <w:adjustRightInd w:val="0"/>
        <w:spacing w:line="293" w:lineRule="atLeast"/>
        <w:jc w:val="center"/>
        <w:rPr>
          <w:b/>
          <w:bCs/>
        </w:rPr>
      </w:pPr>
      <w:r w:rsidRPr="007B010A">
        <w:rPr>
          <w:b/>
          <w:bCs/>
        </w:rPr>
        <w:t>3.4. HIV/AIDS medikamentozā ārstēšana</w:t>
      </w:r>
    </w:p>
    <w:p w14:paraId="3EC39739" w14:textId="77777777" w:rsidR="00D923AA" w:rsidRPr="007B010A" w:rsidRDefault="00D923AA" w:rsidP="00D923AA">
      <w:pPr>
        <w:ind w:firstLine="567"/>
        <w:jc w:val="both"/>
      </w:pPr>
    </w:p>
    <w:p w14:paraId="708D4982" w14:textId="6A0BB66D" w:rsidR="00D923AA" w:rsidRPr="007B010A" w:rsidRDefault="00D923AA" w:rsidP="00D923AA">
      <w:pPr>
        <w:ind w:firstLine="567"/>
        <w:jc w:val="both"/>
      </w:pPr>
      <w:r w:rsidRPr="007B010A">
        <w:t>2018.gadā tika plānots ārstēt 1</w:t>
      </w:r>
      <w:r w:rsidR="00984F40">
        <w:t> </w:t>
      </w:r>
      <w:r w:rsidRPr="007B010A">
        <w:t>500 HIV pacientus, kuriem HIV/AIDS terapijas nodrošināšanai nepieciešami 4</w:t>
      </w:r>
      <w:r w:rsidR="00984F40">
        <w:t> </w:t>
      </w:r>
      <w:r w:rsidRPr="007B010A">
        <w:t>203</w:t>
      </w:r>
      <w:r w:rsidR="00984F40">
        <w:t> </w:t>
      </w:r>
      <w:r w:rsidRPr="007B010A">
        <w:t xml:space="preserve">000 </w:t>
      </w:r>
      <w:proofErr w:type="spellStart"/>
      <w:r w:rsidRPr="007B010A">
        <w:rPr>
          <w:i/>
        </w:rPr>
        <w:t>euro</w:t>
      </w:r>
      <w:proofErr w:type="spellEnd"/>
      <w:r w:rsidRPr="007B010A">
        <w:t>.</w:t>
      </w:r>
    </w:p>
    <w:p w14:paraId="7749FE54" w14:textId="49006FAB" w:rsidR="00D923AA" w:rsidRPr="007B010A" w:rsidRDefault="00D923AA" w:rsidP="00D923AA">
      <w:pPr>
        <w:ind w:firstLine="567"/>
        <w:jc w:val="right"/>
      </w:pPr>
      <w:r w:rsidRPr="007B010A">
        <w:rPr>
          <w:i/>
        </w:rPr>
        <w:t>2</w:t>
      </w:r>
      <w:r w:rsidR="00EE37EF" w:rsidRPr="007B010A">
        <w:rPr>
          <w:i/>
        </w:rPr>
        <w:t>2</w:t>
      </w:r>
      <w:r w:rsidRPr="007B010A">
        <w:rPr>
          <w:i/>
        </w:rPr>
        <w:t>.tabula</w:t>
      </w:r>
    </w:p>
    <w:p w14:paraId="6CAED154" w14:textId="4C4285B1" w:rsidR="00D923AA" w:rsidRPr="007B010A" w:rsidRDefault="00D923AA" w:rsidP="00D923AA">
      <w:pPr>
        <w:autoSpaceDE w:val="0"/>
        <w:autoSpaceDN w:val="0"/>
        <w:adjustRightInd w:val="0"/>
        <w:spacing w:line="293" w:lineRule="atLeast"/>
        <w:jc w:val="center"/>
        <w:rPr>
          <w:bCs/>
        </w:rPr>
      </w:pPr>
      <w:r w:rsidRPr="007B010A">
        <w:rPr>
          <w:bCs/>
        </w:rPr>
        <w:t>HIV/AIDS medikamentozā ārstēšana 2018.gada izpilde</w:t>
      </w:r>
    </w:p>
    <w:p w14:paraId="09A16440" w14:textId="77777777" w:rsidR="00D923AA" w:rsidRPr="007B010A" w:rsidRDefault="00D923AA" w:rsidP="00FD7403">
      <w:pPr>
        <w:rPr>
          <w:i/>
        </w:rPr>
      </w:pPr>
    </w:p>
    <w:tbl>
      <w:tblPr>
        <w:tblW w:w="9290" w:type="dxa"/>
        <w:jc w:val="center"/>
        <w:tblLook w:val="04A0" w:firstRow="1" w:lastRow="0" w:firstColumn="1" w:lastColumn="0" w:noHBand="0" w:noVBand="1"/>
      </w:tblPr>
      <w:tblGrid>
        <w:gridCol w:w="3681"/>
        <w:gridCol w:w="1365"/>
        <w:gridCol w:w="1470"/>
        <w:gridCol w:w="1365"/>
        <w:gridCol w:w="1409"/>
      </w:tblGrid>
      <w:tr w:rsidR="00D923AA" w:rsidRPr="007B010A" w14:paraId="40916740" w14:textId="77777777" w:rsidTr="00376CF0">
        <w:trPr>
          <w:trHeight w:val="517"/>
          <w:jc w:val="center"/>
        </w:trPr>
        <w:tc>
          <w:tcPr>
            <w:tcW w:w="3681"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F8FB1E9" w14:textId="77777777" w:rsidR="00D923AA" w:rsidRPr="00D72539" w:rsidRDefault="00D923AA" w:rsidP="00376CF0">
            <w:pPr>
              <w:jc w:val="center"/>
              <w:rPr>
                <w:sz w:val="22"/>
                <w:szCs w:val="22"/>
              </w:rPr>
            </w:pPr>
            <w:r w:rsidRPr="00D72539">
              <w:rPr>
                <w:sz w:val="22"/>
                <w:szCs w:val="22"/>
              </w:rPr>
              <w:t>HIV/AIDS medikamentozā ārstēšana</w:t>
            </w:r>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6A8F623" w14:textId="77777777" w:rsidR="00D923AA" w:rsidRPr="00D72539" w:rsidRDefault="00D923AA" w:rsidP="00376CF0">
            <w:pPr>
              <w:jc w:val="center"/>
              <w:rPr>
                <w:sz w:val="22"/>
                <w:szCs w:val="22"/>
              </w:rPr>
            </w:pPr>
            <w:r w:rsidRPr="00D72539">
              <w:rPr>
                <w:sz w:val="22"/>
                <w:szCs w:val="22"/>
              </w:rPr>
              <w:t xml:space="preserve">Plānotais pakalpojumu skaits </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AF762EC" w14:textId="77777777" w:rsidR="00D923AA" w:rsidRPr="00D72539" w:rsidRDefault="00D923AA" w:rsidP="00376CF0">
            <w:pPr>
              <w:jc w:val="center"/>
              <w:rPr>
                <w:sz w:val="22"/>
                <w:szCs w:val="22"/>
              </w:rPr>
            </w:pPr>
            <w:r w:rsidRPr="00D72539">
              <w:rPr>
                <w:sz w:val="22"/>
                <w:szCs w:val="22"/>
              </w:rPr>
              <w:t xml:space="preserve">Plānotais finansējums  </w:t>
            </w:r>
            <w:proofErr w:type="spellStart"/>
            <w:r w:rsidRPr="00D72539">
              <w:rPr>
                <w:i/>
                <w:iCs/>
                <w:sz w:val="22"/>
                <w:szCs w:val="22"/>
              </w:rPr>
              <w:t>euro</w:t>
            </w:r>
            <w:proofErr w:type="spellEnd"/>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F9AD924" w14:textId="77777777" w:rsidR="00D923AA" w:rsidRPr="00D72539" w:rsidRDefault="00D923AA" w:rsidP="00376CF0">
            <w:pPr>
              <w:jc w:val="center"/>
              <w:rPr>
                <w:sz w:val="22"/>
                <w:szCs w:val="22"/>
              </w:rPr>
            </w:pPr>
            <w:r w:rsidRPr="00D72539">
              <w:rPr>
                <w:sz w:val="22"/>
                <w:szCs w:val="22"/>
              </w:rPr>
              <w:t>Faktiskais pakalpojumu skaits</w:t>
            </w:r>
          </w:p>
        </w:tc>
        <w:tc>
          <w:tcPr>
            <w:tcW w:w="1409"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62891903" w14:textId="77777777" w:rsidR="00D923AA" w:rsidRPr="00D72539" w:rsidRDefault="00D923AA" w:rsidP="00376CF0">
            <w:pPr>
              <w:jc w:val="center"/>
              <w:rPr>
                <w:sz w:val="22"/>
                <w:szCs w:val="22"/>
              </w:rPr>
            </w:pPr>
            <w:r w:rsidRPr="00D72539">
              <w:rPr>
                <w:sz w:val="22"/>
                <w:szCs w:val="22"/>
              </w:rPr>
              <w:t xml:space="preserve">Finanšu izlietojums  </w:t>
            </w:r>
            <w:proofErr w:type="spellStart"/>
            <w:r w:rsidRPr="00D72539">
              <w:rPr>
                <w:i/>
                <w:iCs/>
                <w:sz w:val="22"/>
                <w:szCs w:val="22"/>
              </w:rPr>
              <w:t>euro</w:t>
            </w:r>
            <w:proofErr w:type="spellEnd"/>
          </w:p>
        </w:tc>
      </w:tr>
      <w:tr w:rsidR="00D923AA" w:rsidRPr="007B010A" w14:paraId="45040332" w14:textId="77777777" w:rsidTr="00376CF0">
        <w:trPr>
          <w:trHeight w:val="645"/>
          <w:jc w:val="center"/>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2532CFF4" w14:textId="77777777" w:rsidR="00D923AA" w:rsidRPr="00D72539"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296084FB" w14:textId="77777777" w:rsidR="00D923AA" w:rsidRPr="00D72539" w:rsidRDefault="00D923AA" w:rsidP="00376CF0">
            <w:pPr>
              <w:rPr>
                <w:sz w:val="22"/>
                <w:szCs w:val="22"/>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14:paraId="76DA53A4" w14:textId="77777777" w:rsidR="00D923AA" w:rsidRPr="00D72539"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30C7BF34" w14:textId="77777777" w:rsidR="00D923AA" w:rsidRPr="00D72539" w:rsidRDefault="00D923AA" w:rsidP="00376CF0">
            <w:pPr>
              <w:rPr>
                <w:sz w:val="22"/>
                <w:szCs w:val="22"/>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14:paraId="79FEF4D8" w14:textId="77777777" w:rsidR="00D923AA" w:rsidRPr="00D72539" w:rsidRDefault="00D923AA" w:rsidP="00376CF0">
            <w:pPr>
              <w:rPr>
                <w:sz w:val="22"/>
                <w:szCs w:val="22"/>
              </w:rPr>
            </w:pPr>
          </w:p>
        </w:tc>
      </w:tr>
      <w:tr w:rsidR="00D923AA" w:rsidRPr="007B010A" w14:paraId="0D1CD1F1" w14:textId="77777777" w:rsidTr="00376CF0">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45FB7167" w14:textId="77777777" w:rsidR="00D923AA" w:rsidRPr="00D72539" w:rsidRDefault="00D923AA" w:rsidP="00376CF0">
            <w:pPr>
              <w:rPr>
                <w:sz w:val="22"/>
                <w:szCs w:val="22"/>
              </w:rPr>
            </w:pPr>
            <w:r w:rsidRPr="00D72539">
              <w:rPr>
                <w:sz w:val="22"/>
                <w:szCs w:val="22"/>
              </w:rPr>
              <w:t>Ārstniecības iestādes</w:t>
            </w:r>
          </w:p>
        </w:tc>
        <w:tc>
          <w:tcPr>
            <w:tcW w:w="1365" w:type="dxa"/>
            <w:tcBorders>
              <w:top w:val="nil"/>
              <w:left w:val="nil"/>
              <w:bottom w:val="single" w:sz="4" w:space="0" w:color="auto"/>
              <w:right w:val="single" w:sz="4" w:space="0" w:color="auto"/>
            </w:tcBorders>
            <w:shd w:val="clear" w:color="auto" w:fill="auto"/>
            <w:noWrap/>
            <w:vAlign w:val="bottom"/>
            <w:hideMark/>
          </w:tcPr>
          <w:p w14:paraId="5A3A46E5" w14:textId="77777777" w:rsidR="00D923AA" w:rsidRPr="00D72539" w:rsidRDefault="00D923AA" w:rsidP="00376CF0">
            <w:pPr>
              <w:jc w:val="center"/>
              <w:rPr>
                <w:sz w:val="22"/>
                <w:szCs w:val="22"/>
              </w:rPr>
            </w:pPr>
            <w:r w:rsidRPr="00D72539">
              <w:rPr>
                <w:sz w:val="22"/>
                <w:szCs w:val="22"/>
              </w:rPr>
              <w:t>1 500</w:t>
            </w:r>
          </w:p>
        </w:tc>
        <w:tc>
          <w:tcPr>
            <w:tcW w:w="1470" w:type="dxa"/>
            <w:tcBorders>
              <w:top w:val="nil"/>
              <w:left w:val="nil"/>
              <w:bottom w:val="single" w:sz="4" w:space="0" w:color="auto"/>
              <w:right w:val="single" w:sz="4" w:space="0" w:color="auto"/>
            </w:tcBorders>
            <w:shd w:val="clear" w:color="auto" w:fill="auto"/>
            <w:noWrap/>
            <w:vAlign w:val="bottom"/>
            <w:hideMark/>
          </w:tcPr>
          <w:p w14:paraId="08BEAE2A" w14:textId="77777777" w:rsidR="00D923AA" w:rsidRPr="00D72539" w:rsidRDefault="00D923AA" w:rsidP="00376CF0">
            <w:pPr>
              <w:jc w:val="center"/>
              <w:rPr>
                <w:sz w:val="22"/>
                <w:szCs w:val="22"/>
              </w:rPr>
            </w:pPr>
            <w:r w:rsidRPr="00D72539">
              <w:rPr>
                <w:sz w:val="22"/>
                <w:szCs w:val="22"/>
              </w:rPr>
              <w:t>4 203 000</w:t>
            </w:r>
          </w:p>
        </w:tc>
        <w:tc>
          <w:tcPr>
            <w:tcW w:w="1365" w:type="dxa"/>
            <w:tcBorders>
              <w:top w:val="nil"/>
              <w:left w:val="nil"/>
              <w:bottom w:val="single" w:sz="4" w:space="0" w:color="auto"/>
              <w:right w:val="single" w:sz="4" w:space="0" w:color="auto"/>
            </w:tcBorders>
            <w:shd w:val="clear" w:color="auto" w:fill="auto"/>
            <w:noWrap/>
            <w:vAlign w:val="bottom"/>
            <w:hideMark/>
          </w:tcPr>
          <w:p w14:paraId="162C351C" w14:textId="2F0FABE6" w:rsidR="00D923AA" w:rsidRPr="00D72539" w:rsidRDefault="007A1755" w:rsidP="00376CF0">
            <w:pPr>
              <w:jc w:val="center"/>
              <w:rPr>
                <w:sz w:val="22"/>
                <w:szCs w:val="22"/>
              </w:rPr>
            </w:pPr>
            <w:r w:rsidRPr="00D72539">
              <w:rPr>
                <w:sz w:val="22"/>
                <w:szCs w:val="22"/>
              </w:rPr>
              <w:t>1 212</w:t>
            </w:r>
          </w:p>
        </w:tc>
        <w:tc>
          <w:tcPr>
            <w:tcW w:w="1409" w:type="dxa"/>
            <w:tcBorders>
              <w:top w:val="nil"/>
              <w:left w:val="nil"/>
              <w:bottom w:val="single" w:sz="4" w:space="0" w:color="auto"/>
              <w:right w:val="single" w:sz="4" w:space="0" w:color="auto"/>
            </w:tcBorders>
            <w:shd w:val="clear" w:color="auto" w:fill="auto"/>
            <w:noWrap/>
            <w:vAlign w:val="bottom"/>
            <w:hideMark/>
          </w:tcPr>
          <w:p w14:paraId="38FE4153" w14:textId="074263CF" w:rsidR="00D923AA" w:rsidRPr="00D72539" w:rsidRDefault="007A1755" w:rsidP="00376CF0">
            <w:pPr>
              <w:jc w:val="center"/>
              <w:rPr>
                <w:sz w:val="22"/>
                <w:szCs w:val="22"/>
              </w:rPr>
            </w:pPr>
            <w:r w:rsidRPr="00D72539">
              <w:rPr>
                <w:sz w:val="22"/>
                <w:szCs w:val="22"/>
              </w:rPr>
              <w:t>4 203 000</w:t>
            </w:r>
          </w:p>
        </w:tc>
      </w:tr>
    </w:tbl>
    <w:p w14:paraId="25AEB44A" w14:textId="77777777" w:rsidR="00D923AA" w:rsidRPr="007B010A" w:rsidRDefault="00D923AA" w:rsidP="00D923AA">
      <w:pPr>
        <w:ind w:firstLine="567"/>
        <w:jc w:val="both"/>
      </w:pPr>
    </w:p>
    <w:p w14:paraId="3A473507" w14:textId="5E62638A" w:rsidR="00D923AA" w:rsidRPr="007B010A" w:rsidRDefault="00D923AA" w:rsidP="00D923AA">
      <w:pPr>
        <w:ind w:firstLine="567"/>
        <w:jc w:val="both"/>
      </w:pPr>
      <w:r w:rsidRPr="007B010A">
        <w:t xml:space="preserve">Atbilstoši 2018.gada faktiskajai izpildei </w:t>
      </w:r>
      <w:r w:rsidRPr="007B010A">
        <w:rPr>
          <w:bCs/>
        </w:rPr>
        <w:t xml:space="preserve">HIV/AIDS medikamentozā ārstēšana </w:t>
      </w:r>
      <w:r w:rsidRPr="007B010A">
        <w:t xml:space="preserve">īstenota </w:t>
      </w:r>
      <w:r w:rsidR="007A1755" w:rsidRPr="007B010A">
        <w:t>80</w:t>
      </w:r>
      <w:r w:rsidRPr="007B010A">
        <w:t>,</w:t>
      </w:r>
      <w:r w:rsidR="007A1755" w:rsidRPr="007B010A">
        <w:t>13</w:t>
      </w:r>
      <w:r w:rsidRPr="007B010A">
        <w:t>% apmērā no gada plānotā pieejamības pieauguma apjoma</w:t>
      </w:r>
      <w:r w:rsidR="00554A4D" w:rsidRPr="007B010A">
        <w:t>, kas ir saistīts ar to, ka ir palielinājušās vienam pacienta ārstēšanai paredzēto zāļu izmaksas.</w:t>
      </w:r>
    </w:p>
    <w:p w14:paraId="601E12D8" w14:textId="77777777" w:rsidR="00927164" w:rsidRPr="007B010A" w:rsidRDefault="00927164" w:rsidP="00927164">
      <w:pPr>
        <w:shd w:val="clear" w:color="auto" w:fill="FFFFFF" w:themeFill="background1"/>
        <w:ind w:firstLine="720"/>
        <w:jc w:val="both"/>
      </w:pPr>
      <w:r w:rsidRPr="007B010A">
        <w:t>Pētījumos</w:t>
      </w:r>
      <w:r w:rsidRPr="007B010A">
        <w:rPr>
          <w:rStyle w:val="FootnoteReference"/>
        </w:rPr>
        <w:footnoteReference w:id="15"/>
      </w:r>
      <w:r w:rsidRPr="007B010A">
        <w:t xml:space="preserve"> ir pierādīts, ka, uzsākot agrīnu HIV ārstēšanu un samazinot vīrusa šūnu skaitu cilvēka organismā līdz minimumam, HIV inficētais vairs nevar inficēt partneri, tādējādi samazinot infekcijas izplatības risku par 20%. Pētījumi</w:t>
      </w:r>
      <w:r w:rsidRPr="007B010A">
        <w:rPr>
          <w:rStyle w:val="FootnoteReference"/>
        </w:rPr>
        <w:footnoteReference w:id="16"/>
      </w:r>
      <w:r w:rsidRPr="007B010A">
        <w:t xml:space="preserve"> arī pierāda, ka bez </w:t>
      </w:r>
      <w:proofErr w:type="spellStart"/>
      <w:r w:rsidRPr="007B010A">
        <w:t>antiretrovirālās</w:t>
      </w:r>
      <w:proofErr w:type="spellEnd"/>
      <w:r w:rsidRPr="007B010A">
        <w:t xml:space="preserve"> (ARV) terapijas 100 inficēti cilvēki gada laikā inficē vēl 12 cilvēkus. Ņemot vērā minēto, veselības nozarē ir veikta virkne reformu, lai uzlabotu zāļu pieejamību HIV inficētām personām.</w:t>
      </w:r>
    </w:p>
    <w:p w14:paraId="4124E572" w14:textId="3647B334" w:rsidR="00D923AA" w:rsidRPr="007B010A" w:rsidRDefault="00927164" w:rsidP="002F6B01">
      <w:pPr>
        <w:autoSpaceDE w:val="0"/>
        <w:autoSpaceDN w:val="0"/>
        <w:adjustRightInd w:val="0"/>
        <w:ind w:firstLine="720"/>
        <w:jc w:val="both"/>
      </w:pPr>
      <w:r w:rsidRPr="007B010A">
        <w:t xml:space="preserve">Pateicoties veselības reformas pasākumiem, lai uzlabotu HIV ambulatorai ārstēšanai nepieciešamo zāļu pieejamību, no 2018.gada 1.janvāra HIV ārstēšana tiek uzsākta agrāk (no 500 CD4 šūnām ml), bet no 2018.gada 1.oktobra ārstēšanu saņem ikviens HIV inficētais bez ierobežojumiem. Tas nozīmē, ka ārstēšana tiem uzsākta tiklīdz infekcija ir atklāta. Līdz ar to tiek panākts tas, ka pēc iespējas agrīnākā HIV infekcijas stadijā tiek novērsts infekcijas tālāk izplatīšanas risks. Tādējādi 2018.gadā </w:t>
      </w:r>
      <w:proofErr w:type="spellStart"/>
      <w:r w:rsidRPr="007B010A">
        <w:t>antiretrovirālo</w:t>
      </w:r>
      <w:proofErr w:type="spellEnd"/>
      <w:r w:rsidRPr="007B010A">
        <w:t xml:space="preserve"> (ART) terapiju saņēma 2759 HIV inficētās personas, kas ir par 82% vairāk nekā 2017.gadā kopumā (2271 HIV inficētais). Atbilstoši i</w:t>
      </w:r>
      <w:r w:rsidRPr="007B010A">
        <w:rPr>
          <w:rFonts w:eastAsia="Calibri"/>
        </w:rPr>
        <w:t xml:space="preserve">lgtspējīgas attīstības mērķim, līdz 2030.gadam izskaust AIDS, PVO nosaka mērķi HIV inficēto personu veselības aprūpes nodrošināšanai (panākt, ka 90% HIV inficēto zina savu statusu, 90% no viņiem tiek ārstēti un 90% no ārstētajiem tiek sasniegta nenosakāma vīrusu slodze). </w:t>
      </w:r>
      <w:r w:rsidRPr="007B010A">
        <w:t>2017.gadā apmēram 38% Latvijā reģistrēto HIV inficēto personu saņēma ART terapiju, savukārt 2018.gada beigās šis rādītājs bija 48%. Ņemot vērā minēto, veselības reformas ietvarā veiktie pasākumi ļāvuši pietuvoties PVO noteiktajam mērķim, nodrošināt to, ka 90% HIV inficēto saņem ārstēšanu.</w:t>
      </w:r>
    </w:p>
    <w:p w14:paraId="3FE922E6" w14:textId="77777777" w:rsidR="006B216E" w:rsidRPr="007B010A" w:rsidRDefault="006B216E" w:rsidP="00D923AA">
      <w:pPr>
        <w:autoSpaceDE w:val="0"/>
        <w:autoSpaceDN w:val="0"/>
        <w:adjustRightInd w:val="0"/>
        <w:spacing w:line="293" w:lineRule="atLeast"/>
        <w:jc w:val="both"/>
        <w:rPr>
          <w:bCs/>
        </w:rPr>
      </w:pPr>
    </w:p>
    <w:p w14:paraId="3F830BA6" w14:textId="77777777" w:rsidR="00D923AA" w:rsidRPr="007B010A" w:rsidRDefault="00D923AA" w:rsidP="00D923AA">
      <w:pPr>
        <w:pStyle w:val="ListParagraph"/>
        <w:numPr>
          <w:ilvl w:val="0"/>
          <w:numId w:val="13"/>
        </w:numPr>
        <w:autoSpaceDE w:val="0"/>
        <w:autoSpaceDN w:val="0"/>
        <w:adjustRightInd w:val="0"/>
        <w:spacing w:line="293" w:lineRule="atLeast"/>
        <w:jc w:val="center"/>
        <w:rPr>
          <w:rFonts w:ascii="Times New Roman" w:hAnsi="Times New Roman"/>
          <w:b/>
          <w:sz w:val="28"/>
          <w:szCs w:val="28"/>
          <w:lang w:val="lv-LV"/>
        </w:rPr>
      </w:pPr>
      <w:r w:rsidRPr="007B010A">
        <w:rPr>
          <w:rFonts w:ascii="Times New Roman" w:hAnsi="Times New Roman"/>
          <w:b/>
          <w:bCs/>
          <w:sz w:val="28"/>
          <w:szCs w:val="28"/>
          <w:lang w:val="lv-LV"/>
        </w:rPr>
        <w:t>Primārā veselības aprūpe</w:t>
      </w:r>
    </w:p>
    <w:p w14:paraId="2162B2DA" w14:textId="21644EEE" w:rsidR="00D923AA" w:rsidRDefault="00D923AA" w:rsidP="00D923AA">
      <w:pPr>
        <w:autoSpaceDE w:val="0"/>
        <w:autoSpaceDN w:val="0"/>
        <w:adjustRightInd w:val="0"/>
        <w:spacing w:line="293" w:lineRule="atLeast"/>
        <w:jc w:val="center"/>
        <w:rPr>
          <w:b/>
          <w:bCs/>
        </w:rPr>
      </w:pPr>
      <w:r w:rsidRPr="007B010A">
        <w:rPr>
          <w:b/>
          <w:bCs/>
        </w:rPr>
        <w:t xml:space="preserve">4.1. Mērķa kritēriju izpildes iekļaušana </w:t>
      </w:r>
      <w:proofErr w:type="spellStart"/>
      <w:r w:rsidRPr="007B010A">
        <w:rPr>
          <w:b/>
          <w:bCs/>
        </w:rPr>
        <w:t>kapitācijas</w:t>
      </w:r>
      <w:proofErr w:type="spellEnd"/>
      <w:r w:rsidRPr="007B010A">
        <w:rPr>
          <w:b/>
          <w:bCs/>
        </w:rPr>
        <w:t xml:space="preserve"> naudā</w:t>
      </w:r>
    </w:p>
    <w:p w14:paraId="2034D3DC" w14:textId="77777777" w:rsidR="00D72539" w:rsidRPr="007B010A" w:rsidRDefault="00D72539" w:rsidP="00D923AA">
      <w:pPr>
        <w:autoSpaceDE w:val="0"/>
        <w:autoSpaceDN w:val="0"/>
        <w:adjustRightInd w:val="0"/>
        <w:spacing w:line="293" w:lineRule="atLeast"/>
        <w:jc w:val="center"/>
        <w:rPr>
          <w:b/>
          <w:bCs/>
        </w:rPr>
      </w:pPr>
    </w:p>
    <w:p w14:paraId="1C186FF8" w14:textId="6A9BC9BA" w:rsidR="009A7C3C" w:rsidRPr="007B010A" w:rsidRDefault="009A7C3C" w:rsidP="009A7C3C">
      <w:pPr>
        <w:spacing w:after="120"/>
        <w:ind w:firstLine="720"/>
        <w:jc w:val="both"/>
      </w:pPr>
      <w:r w:rsidRPr="007B010A">
        <w:lastRenderedPageBreak/>
        <w:t xml:space="preserve">Lai uzlabotu ģimenes ārstu kapacitāti un nodrošinātu pacientu pieejamību primārai veselības aprūpei, 2018.gadā tika palielināta </w:t>
      </w:r>
      <w:proofErr w:type="spellStart"/>
      <w:r w:rsidRPr="007B010A">
        <w:t>kapitācijas</w:t>
      </w:r>
      <w:proofErr w:type="spellEnd"/>
      <w:r w:rsidRPr="007B010A">
        <w:t xml:space="preserve"> nauda par 205,10 </w:t>
      </w:r>
      <w:proofErr w:type="spellStart"/>
      <w:r w:rsidR="00D07E2B" w:rsidRPr="007B010A">
        <w:rPr>
          <w:i/>
        </w:rPr>
        <w:t>euro</w:t>
      </w:r>
      <w:proofErr w:type="spellEnd"/>
      <w:r w:rsidRPr="007B010A">
        <w:t xml:space="preserve"> mēnesī uz praksi, nosakot 3 rezultatīvos rādītājus:</w:t>
      </w:r>
    </w:p>
    <w:p w14:paraId="708C3B35" w14:textId="77777777" w:rsidR="009A7C3C" w:rsidRPr="00984F40" w:rsidRDefault="009A7C3C" w:rsidP="00D72539">
      <w:pPr>
        <w:pStyle w:val="ListParagraph"/>
        <w:numPr>
          <w:ilvl w:val="0"/>
          <w:numId w:val="26"/>
        </w:numPr>
        <w:spacing w:line="240" w:lineRule="auto"/>
        <w:ind w:left="714" w:hanging="357"/>
        <w:jc w:val="both"/>
        <w:rPr>
          <w:rFonts w:ascii="Times New Roman" w:hAnsi="Times New Roman"/>
          <w:sz w:val="24"/>
          <w:szCs w:val="24"/>
          <w:lang w:val="lv-LV"/>
        </w:rPr>
      </w:pPr>
      <w:r w:rsidRPr="00984F40">
        <w:rPr>
          <w:rFonts w:ascii="Times New Roman" w:hAnsi="Times New Roman"/>
          <w:sz w:val="24"/>
          <w:szCs w:val="24"/>
          <w:lang w:val="lv-LV"/>
        </w:rPr>
        <w:t>ģimenes ārsts veic regulāru savā pacientu sarakstā reģistrēto personu veselības stāvokļa novērtēšanu, nodrošinot, ka gadā veikta novērtēšana ne mazāk kā pusei no visiem ģimenes ārsta pacientu sarakstā reģistrētiem pacientiem;</w:t>
      </w:r>
    </w:p>
    <w:p w14:paraId="0192ABE8" w14:textId="77777777" w:rsidR="009A7C3C" w:rsidRPr="00984F40" w:rsidRDefault="009A7C3C" w:rsidP="00D72539">
      <w:pPr>
        <w:pStyle w:val="ListParagraph"/>
        <w:numPr>
          <w:ilvl w:val="0"/>
          <w:numId w:val="26"/>
        </w:numPr>
        <w:spacing w:line="240" w:lineRule="auto"/>
        <w:ind w:left="714" w:hanging="357"/>
        <w:jc w:val="both"/>
        <w:rPr>
          <w:rFonts w:ascii="Times New Roman" w:hAnsi="Times New Roman"/>
          <w:sz w:val="24"/>
          <w:szCs w:val="24"/>
          <w:lang w:val="lv-LV"/>
        </w:rPr>
      </w:pPr>
      <w:r w:rsidRPr="00984F40">
        <w:rPr>
          <w:rFonts w:ascii="Times New Roman" w:hAnsi="Times New Roman"/>
          <w:sz w:val="24"/>
          <w:szCs w:val="24"/>
          <w:lang w:val="lv-LV"/>
        </w:rPr>
        <w:t>nodrošināt ģimenes ārsta konsultāciju pieejamību piecu dienu laikā;</w:t>
      </w:r>
    </w:p>
    <w:p w14:paraId="62741CFA" w14:textId="72D98359" w:rsidR="00D923AA" w:rsidRPr="00984F40" w:rsidRDefault="009A7C3C" w:rsidP="00D72539">
      <w:pPr>
        <w:pStyle w:val="ListParagraph"/>
        <w:numPr>
          <w:ilvl w:val="0"/>
          <w:numId w:val="26"/>
        </w:numPr>
        <w:spacing w:line="240" w:lineRule="auto"/>
        <w:ind w:left="714" w:hanging="357"/>
        <w:jc w:val="both"/>
        <w:rPr>
          <w:sz w:val="24"/>
          <w:szCs w:val="24"/>
        </w:rPr>
      </w:pPr>
      <w:r w:rsidRPr="00984F40">
        <w:rPr>
          <w:rFonts w:ascii="Times New Roman" w:hAnsi="Times New Roman"/>
          <w:sz w:val="24"/>
          <w:szCs w:val="24"/>
          <w:lang w:val="lv-LV"/>
        </w:rPr>
        <w:t>nodrošināt ģimenes ārsta prakses darbību</w:t>
      </w:r>
      <w:r w:rsidRPr="00984F40">
        <w:rPr>
          <w:rFonts w:ascii="Times New Roman" w:hAnsi="Times New Roman"/>
          <w:sz w:val="24"/>
          <w:szCs w:val="24"/>
        </w:rPr>
        <w:t xml:space="preserve"> gan rīta, gan vakara stundās, nosakot, ka vienu reizi nedēļā pacientu pieņemšanas laiks ir no plkst. 8.00 un vienu reizi nedēļā pacientu pieņemšanas laiks ir līdz plkst. 19.00.</w:t>
      </w:r>
    </w:p>
    <w:p w14:paraId="1B887D1D" w14:textId="322B9025" w:rsidR="00D923AA" w:rsidRPr="007B010A" w:rsidRDefault="00D923AA" w:rsidP="00D923AA">
      <w:pPr>
        <w:autoSpaceDE w:val="0"/>
        <w:autoSpaceDN w:val="0"/>
        <w:adjustRightInd w:val="0"/>
        <w:ind w:firstLine="720"/>
        <w:jc w:val="both"/>
        <w:rPr>
          <w:bCs/>
          <w:lang w:bidi="gu-IN"/>
        </w:rPr>
      </w:pPr>
      <w:r w:rsidRPr="007B010A">
        <w:t xml:space="preserve">Mērķa kritēriju iestrādei ģimenes ārstu </w:t>
      </w:r>
      <w:proofErr w:type="spellStart"/>
      <w:r w:rsidRPr="007B010A">
        <w:t>kapitācijas</w:t>
      </w:r>
      <w:proofErr w:type="spellEnd"/>
      <w:r w:rsidRPr="007B010A">
        <w:t xml:space="preserve"> naudas maksājumā 2018.gadā papildus nepieciešams finansējums 3 131 715 </w:t>
      </w:r>
      <w:proofErr w:type="spellStart"/>
      <w:r w:rsidRPr="007B010A">
        <w:rPr>
          <w:i/>
        </w:rPr>
        <w:t>euro</w:t>
      </w:r>
      <w:proofErr w:type="spellEnd"/>
      <w:r w:rsidRPr="007B010A">
        <w:t xml:space="preserve"> apmērā. Mēneša </w:t>
      </w:r>
      <w:proofErr w:type="spellStart"/>
      <w:r w:rsidRPr="007B010A">
        <w:t>kapitācijas</w:t>
      </w:r>
      <w:proofErr w:type="spellEnd"/>
      <w:r w:rsidR="002C697A" w:rsidRPr="007B010A">
        <w:t xml:space="preserve"> nauda tika palielināta par 205,</w:t>
      </w:r>
      <w:r w:rsidRPr="007B010A">
        <w:t xml:space="preserve">10 </w:t>
      </w:r>
      <w:proofErr w:type="spellStart"/>
      <w:r w:rsidRPr="007B010A">
        <w:rPr>
          <w:i/>
        </w:rPr>
        <w:t>euro</w:t>
      </w:r>
      <w:proofErr w:type="spellEnd"/>
      <w:r w:rsidRPr="007B010A">
        <w:t xml:space="preserve">, tādējādi </w:t>
      </w:r>
      <w:r w:rsidRPr="007B010A">
        <w:rPr>
          <w:noProof/>
          <w:lang w:bidi="gu-IN"/>
        </w:rPr>
        <w:t>nodrošinot kapitācijas n</w:t>
      </w:r>
      <w:r w:rsidR="002C697A" w:rsidRPr="007B010A">
        <w:rPr>
          <w:noProof/>
          <w:lang w:bidi="gu-IN"/>
        </w:rPr>
        <w:t>audas pieaugumu par 0,129892 (1,601602 – 1,</w:t>
      </w:r>
      <w:r w:rsidRPr="007B010A">
        <w:rPr>
          <w:noProof/>
          <w:lang w:bidi="gu-IN"/>
        </w:rPr>
        <w:t xml:space="preserve">47171) </w:t>
      </w:r>
      <w:r w:rsidRPr="007B010A">
        <w:rPr>
          <w:i/>
          <w:noProof/>
          <w:lang w:bidi="gu-IN"/>
        </w:rPr>
        <w:t>euro</w:t>
      </w:r>
      <w:r w:rsidRPr="007B010A">
        <w:rPr>
          <w:noProof/>
          <w:lang w:bidi="gu-IN"/>
        </w:rPr>
        <w:t xml:space="preserve"> mēnesī</w:t>
      </w:r>
      <w:r w:rsidRPr="007B010A">
        <w:rPr>
          <w:rStyle w:val="FootnoteReference"/>
          <w:noProof/>
          <w:lang w:bidi="gu-IN"/>
        </w:rPr>
        <w:footnoteReference w:id="17"/>
      </w:r>
      <w:r w:rsidRPr="007B010A">
        <w:rPr>
          <w:noProof/>
          <w:lang w:bidi="gu-IN"/>
        </w:rPr>
        <w:t xml:space="preserve">. Atbilstoši kapitācijas pieaugumam aprēķināta kapitācijas naudas palielinājuma ietekme uz valsts budžetu ņemot par pamatu kopējo reģistrēto pacientu skaitu uz </w:t>
      </w:r>
      <w:r w:rsidR="00450E12" w:rsidRPr="007B010A">
        <w:rPr>
          <w:noProof/>
          <w:lang w:bidi="gu-IN"/>
        </w:rPr>
        <w:t>2017.gada 20.augustu</w:t>
      </w:r>
      <w:r w:rsidRPr="007B010A">
        <w:rPr>
          <w:noProof/>
          <w:lang w:bidi="gu-IN"/>
        </w:rPr>
        <w:t xml:space="preserve"> – 2 009 179 pacienti. Attiecīgi kapitācijas pieaugums mēnesī uz 1 pacientu 0,129892 x kopējais reģistrēto pacientu skaitu 2 009 179 x 12 mēnešiem =  </w:t>
      </w:r>
      <w:r w:rsidRPr="007B010A">
        <w:rPr>
          <w:bCs/>
          <w:lang w:bidi="gu-IN"/>
        </w:rPr>
        <w:t>3 131</w:t>
      </w:r>
      <w:r w:rsidR="00450E12" w:rsidRPr="007B010A">
        <w:rPr>
          <w:bCs/>
          <w:lang w:bidi="gu-IN"/>
        </w:rPr>
        <w:t> </w:t>
      </w:r>
      <w:r w:rsidRPr="007B010A">
        <w:rPr>
          <w:bCs/>
          <w:lang w:bidi="gu-IN"/>
        </w:rPr>
        <w:t>715</w:t>
      </w:r>
      <w:r w:rsidR="00450E12" w:rsidRPr="007B010A">
        <w:rPr>
          <w:bCs/>
          <w:lang w:bidi="gu-IN"/>
        </w:rPr>
        <w:t> </w:t>
      </w:r>
      <w:proofErr w:type="spellStart"/>
      <w:r w:rsidRPr="007B010A">
        <w:rPr>
          <w:bCs/>
          <w:i/>
          <w:lang w:bidi="gu-IN"/>
        </w:rPr>
        <w:t>euro</w:t>
      </w:r>
      <w:proofErr w:type="spellEnd"/>
      <w:r w:rsidRPr="007B010A">
        <w:rPr>
          <w:bCs/>
          <w:lang w:bidi="gu-IN"/>
        </w:rPr>
        <w:t>.</w:t>
      </w:r>
    </w:p>
    <w:p w14:paraId="2BA7808B" w14:textId="2C91480F" w:rsidR="002D2275" w:rsidRPr="007B010A" w:rsidRDefault="002D2275" w:rsidP="00FD0D56">
      <w:pPr>
        <w:autoSpaceDE w:val="0"/>
        <w:autoSpaceDN w:val="0"/>
        <w:adjustRightInd w:val="0"/>
        <w:ind w:firstLine="720"/>
        <w:jc w:val="both"/>
        <w:rPr>
          <w:shd w:val="clear" w:color="auto" w:fill="FFFFFF"/>
        </w:rPr>
      </w:pPr>
      <w:r w:rsidRPr="007B010A">
        <w:rPr>
          <w:shd w:val="clear" w:color="auto" w:fill="FFFFFF"/>
        </w:rPr>
        <w:t xml:space="preserve">Atbilstoši </w:t>
      </w:r>
      <w:r w:rsidR="00793BA0" w:rsidRPr="007B010A">
        <w:rPr>
          <w:shd w:val="clear" w:color="auto" w:fill="FFFFFF"/>
        </w:rPr>
        <w:t>N</w:t>
      </w:r>
      <w:r w:rsidRPr="007B010A">
        <w:rPr>
          <w:shd w:val="clear" w:color="auto" w:fill="FFFFFF"/>
        </w:rPr>
        <w:t>eatliekamās medicīniskās palīdzības dienesta statistikas datiem</w:t>
      </w:r>
      <w:r w:rsidR="00EB3434" w:rsidRPr="007B010A">
        <w:rPr>
          <w:shd w:val="clear" w:color="auto" w:fill="FFFFFF"/>
        </w:rPr>
        <w:t xml:space="preserve"> kopējais</w:t>
      </w:r>
      <w:r w:rsidR="00793BA0" w:rsidRPr="007B010A">
        <w:rPr>
          <w:shd w:val="clear" w:color="auto" w:fill="FFFFFF"/>
        </w:rPr>
        <w:t xml:space="preserve"> izpi</w:t>
      </w:r>
      <w:r w:rsidRPr="007B010A">
        <w:rPr>
          <w:shd w:val="clear" w:color="auto" w:fill="FFFFFF"/>
        </w:rPr>
        <w:t xml:space="preserve">ldīto </w:t>
      </w:r>
      <w:r w:rsidR="00A77AD1" w:rsidRPr="007B010A">
        <w:rPr>
          <w:shd w:val="clear" w:color="auto" w:fill="FFFFFF"/>
        </w:rPr>
        <w:t>izsaukumu skaits</w:t>
      </w:r>
      <w:r w:rsidRPr="007B010A">
        <w:rPr>
          <w:shd w:val="clear" w:color="auto" w:fill="FFFFFF"/>
        </w:rPr>
        <w:t xml:space="preserve"> 2018.</w:t>
      </w:r>
      <w:r w:rsidR="00793BA0" w:rsidRPr="007B010A">
        <w:rPr>
          <w:shd w:val="clear" w:color="auto" w:fill="FFFFFF"/>
        </w:rPr>
        <w:t>gadā</w:t>
      </w:r>
      <w:r w:rsidR="008A5A85" w:rsidRPr="007B010A">
        <w:rPr>
          <w:shd w:val="clear" w:color="auto" w:fill="FFFFFF"/>
        </w:rPr>
        <w:t xml:space="preserve"> ir sasniedzis </w:t>
      </w:r>
      <w:r w:rsidR="00EB4F7F" w:rsidRPr="007B010A">
        <w:rPr>
          <w:shd w:val="clear" w:color="auto" w:fill="FFFFFF"/>
        </w:rPr>
        <w:t>403 911</w:t>
      </w:r>
      <w:r w:rsidR="008A5A85" w:rsidRPr="007B010A">
        <w:rPr>
          <w:shd w:val="clear" w:color="auto" w:fill="FFFFFF"/>
        </w:rPr>
        <w:t xml:space="preserve">, kas ir par </w:t>
      </w:r>
      <w:r w:rsidR="001A155C" w:rsidRPr="007B010A">
        <w:rPr>
          <w:shd w:val="clear" w:color="auto" w:fill="FFFFFF"/>
        </w:rPr>
        <w:t>8</w:t>
      </w:r>
      <w:r w:rsidR="008A5A85" w:rsidRPr="007B010A">
        <w:rPr>
          <w:shd w:val="clear" w:color="auto" w:fill="FFFFFF"/>
        </w:rPr>
        <w:t>,</w:t>
      </w:r>
      <w:r w:rsidR="001A155C" w:rsidRPr="007B010A">
        <w:rPr>
          <w:shd w:val="clear" w:color="auto" w:fill="FFFFFF"/>
        </w:rPr>
        <w:t>3</w:t>
      </w:r>
      <w:r w:rsidR="008A5A85" w:rsidRPr="007B010A">
        <w:rPr>
          <w:shd w:val="clear" w:color="auto" w:fill="FFFFFF"/>
        </w:rPr>
        <w:t>% mazāk nekā</w:t>
      </w:r>
      <w:r w:rsidRPr="007B010A">
        <w:rPr>
          <w:shd w:val="clear" w:color="auto" w:fill="FFFFFF"/>
        </w:rPr>
        <w:t xml:space="preserve"> salīdzinot ar </w:t>
      </w:r>
      <w:r w:rsidR="001A155C" w:rsidRPr="007B010A">
        <w:rPr>
          <w:shd w:val="clear" w:color="auto" w:fill="FFFFFF"/>
        </w:rPr>
        <w:t>440 501</w:t>
      </w:r>
      <w:r w:rsidRPr="007B010A">
        <w:rPr>
          <w:shd w:val="clear" w:color="auto" w:fill="FFFFFF"/>
        </w:rPr>
        <w:t xml:space="preserve"> izsaukumiem</w:t>
      </w:r>
      <w:r w:rsidRPr="007B010A">
        <w:rPr>
          <w:rFonts w:ascii="Calibri" w:hAnsi="Calibri" w:cs="Calibri"/>
          <w:sz w:val="22"/>
          <w:szCs w:val="22"/>
          <w:shd w:val="clear" w:color="auto" w:fill="FFFFFF"/>
        </w:rPr>
        <w:t xml:space="preserve"> </w:t>
      </w:r>
      <w:r w:rsidRPr="007B010A">
        <w:rPr>
          <w:shd w:val="clear" w:color="auto" w:fill="FFFFFF"/>
        </w:rPr>
        <w:t>2017.gadā</w:t>
      </w:r>
      <w:r w:rsidR="008073AC" w:rsidRPr="007B010A">
        <w:rPr>
          <w:shd w:val="clear" w:color="auto" w:fill="FFFFFF"/>
        </w:rPr>
        <w:t xml:space="preserve">, no tiem Neatliekamās medicīniskās palīdzības izpildīto izsaukumu skaits darba dienās no plkst.8.00-19.00 2018.gadā ir samazinājies līdz </w:t>
      </w:r>
      <w:r w:rsidR="001A155C" w:rsidRPr="007B010A">
        <w:rPr>
          <w:shd w:val="clear" w:color="auto" w:fill="FFFFFF"/>
        </w:rPr>
        <w:t>165</w:t>
      </w:r>
      <w:r w:rsidR="00597EF3" w:rsidRPr="007B010A">
        <w:rPr>
          <w:shd w:val="clear" w:color="auto" w:fill="FFFFFF"/>
        </w:rPr>
        <w:t> </w:t>
      </w:r>
      <w:r w:rsidR="001A155C" w:rsidRPr="007B010A">
        <w:rPr>
          <w:shd w:val="clear" w:color="auto" w:fill="FFFFFF"/>
        </w:rPr>
        <w:t>143</w:t>
      </w:r>
      <w:r w:rsidR="008073AC" w:rsidRPr="007B010A">
        <w:rPr>
          <w:shd w:val="clear" w:color="auto" w:fill="FFFFFF"/>
        </w:rPr>
        <w:t xml:space="preserve"> izsaukumiem, atbilstoši 2017.gadā </w:t>
      </w:r>
      <w:r w:rsidR="001A155C" w:rsidRPr="007B010A">
        <w:rPr>
          <w:shd w:val="clear" w:color="auto" w:fill="FFFFFF"/>
        </w:rPr>
        <w:t>179 481</w:t>
      </w:r>
      <w:r w:rsidR="008073AC" w:rsidRPr="007B010A">
        <w:rPr>
          <w:shd w:val="clear" w:color="auto" w:fill="FFFFFF"/>
        </w:rPr>
        <w:t xml:space="preserve"> izsaukumiem.</w:t>
      </w:r>
      <w:r w:rsidR="008811F2" w:rsidRPr="007B010A">
        <w:rPr>
          <w:shd w:val="clear" w:color="auto" w:fill="FFFFFF"/>
        </w:rPr>
        <w:t xml:space="preserve"> </w:t>
      </w:r>
      <w:r w:rsidR="00A47918" w:rsidRPr="007B010A">
        <w:rPr>
          <w:shd w:val="clear" w:color="auto" w:fill="FFFFFF"/>
        </w:rPr>
        <w:t xml:space="preserve">Savukārt zvanu skaits uz Ģimenes ārsta konsultatīvo telefonu </w:t>
      </w:r>
      <w:r w:rsidR="00A450BD" w:rsidRPr="007B010A">
        <w:rPr>
          <w:shd w:val="clear" w:color="auto" w:fill="FFFFFF"/>
        </w:rPr>
        <w:t>2018.gad</w:t>
      </w:r>
      <w:r w:rsidR="008811F2" w:rsidRPr="007B010A">
        <w:rPr>
          <w:shd w:val="clear" w:color="auto" w:fill="FFFFFF"/>
        </w:rPr>
        <w:t xml:space="preserve">ā ir </w:t>
      </w:r>
      <w:r w:rsidR="00EC7798" w:rsidRPr="007B010A">
        <w:rPr>
          <w:shd w:val="clear" w:color="auto" w:fill="FFFFFF"/>
        </w:rPr>
        <w:t>palielinājies</w:t>
      </w:r>
      <w:r w:rsidR="008811F2" w:rsidRPr="007B010A">
        <w:rPr>
          <w:shd w:val="clear" w:color="auto" w:fill="FFFFFF"/>
        </w:rPr>
        <w:t xml:space="preserve"> </w:t>
      </w:r>
      <w:r w:rsidR="00A47918" w:rsidRPr="007B010A">
        <w:rPr>
          <w:shd w:val="clear" w:color="auto" w:fill="FFFFFF"/>
        </w:rPr>
        <w:t xml:space="preserve">līdz </w:t>
      </w:r>
      <w:r w:rsidR="001A155C" w:rsidRPr="007B010A">
        <w:rPr>
          <w:shd w:val="clear" w:color="auto" w:fill="FFFFFF"/>
        </w:rPr>
        <w:t>102 528</w:t>
      </w:r>
      <w:r w:rsidR="00A47918" w:rsidRPr="007B010A">
        <w:rPr>
          <w:shd w:val="clear" w:color="auto" w:fill="FFFFFF"/>
        </w:rPr>
        <w:t xml:space="preserve"> zvaniem, sa</w:t>
      </w:r>
      <w:r w:rsidR="00FD0D56" w:rsidRPr="007B010A">
        <w:rPr>
          <w:shd w:val="clear" w:color="auto" w:fill="FFFFFF"/>
        </w:rPr>
        <w:t>līdzinot ar</w:t>
      </w:r>
      <w:r w:rsidR="00A47918" w:rsidRPr="007B010A">
        <w:rPr>
          <w:shd w:val="clear" w:color="auto" w:fill="FFFFFF"/>
        </w:rPr>
        <w:t xml:space="preserve"> 2017.ga</w:t>
      </w:r>
      <w:r w:rsidR="00A450BD" w:rsidRPr="007B010A">
        <w:rPr>
          <w:shd w:val="clear" w:color="auto" w:fill="FFFFFF"/>
        </w:rPr>
        <w:t>d</w:t>
      </w:r>
      <w:r w:rsidR="00FD0D56" w:rsidRPr="007B010A">
        <w:rPr>
          <w:shd w:val="clear" w:color="auto" w:fill="FFFFFF"/>
        </w:rPr>
        <w:t>u, kurā</w:t>
      </w:r>
      <w:r w:rsidR="00A450BD" w:rsidRPr="007B010A">
        <w:rPr>
          <w:shd w:val="clear" w:color="auto" w:fill="FFFFFF"/>
        </w:rPr>
        <w:t xml:space="preserve"> tika veikti </w:t>
      </w:r>
      <w:r w:rsidR="00EC7798" w:rsidRPr="007B010A">
        <w:rPr>
          <w:shd w:val="clear" w:color="auto" w:fill="FFFFFF"/>
        </w:rPr>
        <w:t>94 313</w:t>
      </w:r>
      <w:r w:rsidR="00A450BD" w:rsidRPr="007B010A">
        <w:rPr>
          <w:shd w:val="clear" w:color="auto" w:fill="FFFFFF"/>
        </w:rPr>
        <w:t> </w:t>
      </w:r>
      <w:r w:rsidR="00A47918" w:rsidRPr="007B010A">
        <w:rPr>
          <w:shd w:val="clear" w:color="auto" w:fill="FFFFFF"/>
        </w:rPr>
        <w:t>zvani.</w:t>
      </w:r>
      <w:r w:rsidR="00C94C2C" w:rsidRPr="007B010A">
        <w:rPr>
          <w:shd w:val="clear" w:color="auto" w:fill="FFFFFF"/>
        </w:rPr>
        <w:t xml:space="preserve"> </w:t>
      </w:r>
      <w:r w:rsidR="004806C3" w:rsidRPr="007B010A">
        <w:rPr>
          <w:shd w:val="clear" w:color="auto" w:fill="FFFFFF"/>
        </w:rPr>
        <w:t xml:space="preserve">Līdz ar to </w:t>
      </w:r>
      <w:r w:rsidR="00B12DA2" w:rsidRPr="007B010A">
        <w:rPr>
          <w:shd w:val="clear" w:color="auto" w:fill="FFFFFF"/>
        </w:rPr>
        <w:t xml:space="preserve">NMPD </w:t>
      </w:r>
      <w:r w:rsidR="004806C3" w:rsidRPr="007B010A">
        <w:rPr>
          <w:shd w:val="clear" w:color="auto" w:fill="FFFFFF"/>
        </w:rPr>
        <w:t>i</w:t>
      </w:r>
      <w:r w:rsidRPr="007B010A">
        <w:rPr>
          <w:shd w:val="clear" w:color="auto" w:fill="FFFFFF"/>
        </w:rPr>
        <w:t>zsaukumu</w:t>
      </w:r>
      <w:r w:rsidR="00C94C2C" w:rsidRPr="007B010A">
        <w:rPr>
          <w:shd w:val="clear" w:color="auto" w:fill="FFFFFF"/>
        </w:rPr>
        <w:t xml:space="preserve"> skaita</w:t>
      </w:r>
      <w:r w:rsidRPr="007B010A">
        <w:rPr>
          <w:shd w:val="clear" w:color="auto" w:fill="FFFFFF"/>
        </w:rPr>
        <w:t xml:space="preserve"> samazinājum</w:t>
      </w:r>
      <w:r w:rsidR="00C94C2C" w:rsidRPr="007B010A">
        <w:rPr>
          <w:shd w:val="clear" w:color="auto" w:fill="FFFFFF"/>
        </w:rPr>
        <w:t>u ietekmē vairāki faktori, tai skaitā</w:t>
      </w:r>
      <w:r w:rsidRPr="007B010A">
        <w:rPr>
          <w:shd w:val="clear" w:color="auto" w:fill="FFFFFF"/>
        </w:rPr>
        <w:t xml:space="preserve"> </w:t>
      </w:r>
      <w:r w:rsidR="0006577A" w:rsidRPr="007B010A">
        <w:rPr>
          <w:shd w:val="clear" w:color="auto" w:fill="FFFFFF"/>
        </w:rPr>
        <w:t xml:space="preserve">būtiski </w:t>
      </w:r>
      <w:r w:rsidRPr="007B010A">
        <w:rPr>
          <w:shd w:val="clear" w:color="auto" w:fill="FFFFFF"/>
        </w:rPr>
        <w:t>ģimen</w:t>
      </w:r>
      <w:r w:rsidR="00C94C2C" w:rsidRPr="007B010A">
        <w:rPr>
          <w:shd w:val="clear" w:color="auto" w:fill="FFFFFF"/>
        </w:rPr>
        <w:t>es ārsta pieejamības uzlabošanās</w:t>
      </w:r>
      <w:r w:rsidR="00FD0D56" w:rsidRPr="007B010A">
        <w:rPr>
          <w:shd w:val="clear" w:color="auto" w:fill="FFFFFF"/>
        </w:rPr>
        <w:t xml:space="preserve"> un ģimenes ārstu konsultatīvā tālruņa popularizēšana iedzīvotāju vidū</w:t>
      </w:r>
      <w:r w:rsidR="0006577A" w:rsidRPr="007B010A">
        <w:rPr>
          <w:shd w:val="clear" w:color="auto" w:fill="FFFFFF"/>
        </w:rPr>
        <w:t>.</w:t>
      </w:r>
      <w:r w:rsidR="00C94C2C" w:rsidRPr="007B010A">
        <w:rPr>
          <w:shd w:val="clear" w:color="auto" w:fill="FFFFFF"/>
        </w:rPr>
        <w:t xml:space="preserve"> </w:t>
      </w:r>
    </w:p>
    <w:p w14:paraId="5E34704A" w14:textId="501054BB" w:rsidR="00D923AA" w:rsidRPr="007B010A" w:rsidRDefault="00D923AA" w:rsidP="00D923AA">
      <w:pPr>
        <w:autoSpaceDE w:val="0"/>
        <w:autoSpaceDN w:val="0"/>
        <w:adjustRightInd w:val="0"/>
        <w:ind w:firstLine="720"/>
        <w:jc w:val="both"/>
        <w:rPr>
          <w:bCs/>
          <w:lang w:bidi="gu-IN"/>
        </w:rPr>
      </w:pPr>
      <w:r w:rsidRPr="007B010A">
        <w:rPr>
          <w:bCs/>
          <w:lang w:bidi="gu-IN"/>
        </w:rPr>
        <w:t>Atbilstoši 2018.gada faktiskajai izpildei 1 </w:t>
      </w:r>
      <w:r w:rsidR="009D16FB" w:rsidRPr="007B010A">
        <w:rPr>
          <w:bCs/>
          <w:lang w:bidi="gu-IN"/>
        </w:rPr>
        <w:t>269</w:t>
      </w:r>
      <w:r w:rsidRPr="007B010A">
        <w:rPr>
          <w:bCs/>
          <w:lang w:bidi="gu-IN"/>
        </w:rPr>
        <w:t xml:space="preserve"> ģimenes ārstu prakses saņēma papildus </w:t>
      </w:r>
      <w:proofErr w:type="spellStart"/>
      <w:r w:rsidRPr="007B010A">
        <w:rPr>
          <w:bCs/>
          <w:lang w:bidi="gu-IN"/>
        </w:rPr>
        <w:t>kapitācijas</w:t>
      </w:r>
      <w:proofErr w:type="spellEnd"/>
      <w:r w:rsidRPr="007B010A">
        <w:rPr>
          <w:bCs/>
          <w:lang w:bidi="gu-IN"/>
        </w:rPr>
        <w:t xml:space="preserve"> naudu </w:t>
      </w:r>
      <w:r w:rsidR="009D16FB" w:rsidRPr="007B010A">
        <w:rPr>
          <w:bCs/>
          <w:lang w:bidi="gu-IN"/>
        </w:rPr>
        <w:t>3</w:t>
      </w:r>
      <w:r w:rsidR="00870A0D">
        <w:rPr>
          <w:bCs/>
          <w:lang w:bidi="gu-IN"/>
        </w:rPr>
        <w:t> </w:t>
      </w:r>
      <w:r w:rsidR="0072149D" w:rsidRPr="007B010A">
        <w:rPr>
          <w:bCs/>
          <w:lang w:bidi="gu-IN"/>
        </w:rPr>
        <w:t>123</w:t>
      </w:r>
      <w:r w:rsidR="00870A0D">
        <w:rPr>
          <w:bCs/>
          <w:lang w:bidi="gu-IN"/>
        </w:rPr>
        <w:t> </w:t>
      </w:r>
      <w:r w:rsidR="0072149D" w:rsidRPr="007B010A">
        <w:rPr>
          <w:bCs/>
          <w:lang w:bidi="gu-IN"/>
        </w:rPr>
        <w:t>263</w:t>
      </w:r>
      <w:r w:rsidRPr="007B010A">
        <w:rPr>
          <w:bCs/>
          <w:lang w:bidi="gu-IN"/>
        </w:rPr>
        <w:t xml:space="preserve"> </w:t>
      </w:r>
      <w:proofErr w:type="spellStart"/>
      <w:r w:rsidRPr="007B010A">
        <w:rPr>
          <w:bCs/>
          <w:i/>
          <w:lang w:bidi="gu-IN"/>
        </w:rPr>
        <w:t>euro</w:t>
      </w:r>
      <w:proofErr w:type="spellEnd"/>
      <w:r w:rsidRPr="007B010A">
        <w:rPr>
          <w:bCs/>
          <w:lang w:bidi="gu-IN"/>
        </w:rPr>
        <w:t xml:space="preserve"> apmērā</w:t>
      </w:r>
      <w:r w:rsidR="007732A2" w:rsidRPr="007B010A">
        <w:rPr>
          <w:bCs/>
          <w:lang w:bidi="gu-IN"/>
        </w:rPr>
        <w:t xml:space="preserve">, līdz ar to ir izveidojusies pasākuma programmas finansējuma </w:t>
      </w:r>
      <w:r w:rsidR="0072149D" w:rsidRPr="007B010A">
        <w:rPr>
          <w:bCs/>
          <w:lang w:bidi="gu-IN"/>
        </w:rPr>
        <w:t>neiz</w:t>
      </w:r>
      <w:r w:rsidR="007732A2" w:rsidRPr="007B010A">
        <w:rPr>
          <w:bCs/>
          <w:lang w:bidi="gu-IN"/>
        </w:rPr>
        <w:t xml:space="preserve">pilde </w:t>
      </w:r>
      <w:r w:rsidR="0072149D" w:rsidRPr="007B010A">
        <w:rPr>
          <w:bCs/>
          <w:lang w:bidi="gu-IN"/>
        </w:rPr>
        <w:t>8</w:t>
      </w:r>
      <w:r w:rsidR="00870A0D">
        <w:rPr>
          <w:bCs/>
          <w:lang w:bidi="gu-IN"/>
        </w:rPr>
        <w:t> </w:t>
      </w:r>
      <w:r w:rsidR="0072149D" w:rsidRPr="007B010A">
        <w:rPr>
          <w:bCs/>
          <w:lang w:bidi="gu-IN"/>
        </w:rPr>
        <w:t>452</w:t>
      </w:r>
      <w:r w:rsidR="007732A2" w:rsidRPr="007B010A">
        <w:rPr>
          <w:bCs/>
          <w:lang w:bidi="gu-IN"/>
        </w:rPr>
        <w:t xml:space="preserve"> </w:t>
      </w:r>
      <w:proofErr w:type="spellStart"/>
      <w:r w:rsidR="007732A2" w:rsidRPr="007B010A">
        <w:rPr>
          <w:bCs/>
          <w:i/>
          <w:lang w:bidi="gu-IN"/>
        </w:rPr>
        <w:t>euro</w:t>
      </w:r>
      <w:proofErr w:type="spellEnd"/>
      <w:r w:rsidR="007732A2" w:rsidRPr="007B010A">
        <w:rPr>
          <w:bCs/>
          <w:lang w:bidi="gu-IN"/>
        </w:rPr>
        <w:t xml:space="preserve"> apmērā</w:t>
      </w:r>
      <w:r w:rsidRPr="007B010A">
        <w:rPr>
          <w:bCs/>
          <w:lang w:bidi="gu-IN"/>
        </w:rPr>
        <w:t>.</w:t>
      </w:r>
    </w:p>
    <w:p w14:paraId="6B55559A" w14:textId="2C95BFD3" w:rsidR="00730F51" w:rsidRPr="007B010A" w:rsidRDefault="0006577A" w:rsidP="00D923AA">
      <w:pPr>
        <w:autoSpaceDE w:val="0"/>
        <w:autoSpaceDN w:val="0"/>
        <w:adjustRightInd w:val="0"/>
        <w:ind w:firstLine="720"/>
        <w:jc w:val="both"/>
        <w:rPr>
          <w:bCs/>
          <w:lang w:bidi="gu-IN"/>
        </w:rPr>
      </w:pPr>
      <w:r w:rsidRPr="007B010A">
        <w:t>Iekļaujot mērķa kritēriju izpildi</w:t>
      </w:r>
      <w:r w:rsidR="004D484D" w:rsidRPr="007B010A">
        <w:t xml:space="preserve"> </w:t>
      </w:r>
      <w:proofErr w:type="spellStart"/>
      <w:r w:rsidRPr="007B010A">
        <w:t>kapitācijas</w:t>
      </w:r>
      <w:proofErr w:type="spellEnd"/>
      <w:r w:rsidRPr="007B010A">
        <w:t xml:space="preserve"> naudā</w:t>
      </w:r>
      <w:r w:rsidR="004D484D" w:rsidRPr="007B010A">
        <w:t xml:space="preserve"> </w:t>
      </w:r>
      <w:r w:rsidR="00730F51" w:rsidRPr="007B010A">
        <w:t>ir nodrošināta ģimenes ārstu pieejamība iedzīvotājiem rīta un vakara stundās, 2018.gada</w:t>
      </w:r>
      <w:r w:rsidR="00D124CF" w:rsidRPr="007B010A">
        <w:t xml:space="preserve"> </w:t>
      </w:r>
      <w:r w:rsidR="00822C14" w:rsidRPr="007B010A">
        <w:t>1</w:t>
      </w:r>
      <w:r w:rsidR="00870A0D">
        <w:t> </w:t>
      </w:r>
      <w:r w:rsidR="00822C14" w:rsidRPr="007B010A">
        <w:t>194</w:t>
      </w:r>
      <w:r w:rsidRPr="007B010A">
        <w:t xml:space="preserve"> ģimenes ārsti </w:t>
      </w:r>
      <w:r w:rsidR="00730F51" w:rsidRPr="007B010A">
        <w:t>ir novērtējuši veselības stāvokli</w:t>
      </w:r>
      <w:r w:rsidRPr="007B010A">
        <w:t xml:space="preserve"> 50% pacientu</w:t>
      </w:r>
      <w:r w:rsidR="00730F51" w:rsidRPr="007B010A">
        <w:t xml:space="preserve">. 2018.gadā tika veikta no jauna reģistrēta pacienta veselības stāvokļa izvērtēšana </w:t>
      </w:r>
      <w:r w:rsidR="0026628F" w:rsidRPr="007B010A">
        <w:t>77</w:t>
      </w:r>
      <w:r w:rsidR="00870A0D">
        <w:t> </w:t>
      </w:r>
      <w:r w:rsidR="0026628F" w:rsidRPr="007B010A">
        <w:t>894</w:t>
      </w:r>
      <w:r w:rsidR="00730F51" w:rsidRPr="007B010A">
        <w:t xml:space="preserve"> pacientiem, slēpto asiņu izmeklējums ir veikts </w:t>
      </w:r>
      <w:r w:rsidR="0026628F" w:rsidRPr="007B010A">
        <w:t>90</w:t>
      </w:r>
      <w:r w:rsidR="00870A0D">
        <w:t> </w:t>
      </w:r>
      <w:r w:rsidR="0026628F" w:rsidRPr="007B010A">
        <w:t>522</w:t>
      </w:r>
      <w:r w:rsidR="00730F51" w:rsidRPr="007B010A">
        <w:t xml:space="preserve"> pacientam</w:t>
      </w:r>
      <w:r w:rsidR="00D124CF" w:rsidRPr="007B010A">
        <w:t>, hroniski noritoši slimību uzraudzība ir veikta 213 382 pacientiem</w:t>
      </w:r>
      <w:r w:rsidR="001E560F" w:rsidRPr="007B010A">
        <w:t>.</w:t>
      </w:r>
    </w:p>
    <w:p w14:paraId="1CC4ADE9" w14:textId="77777777" w:rsidR="00D923AA" w:rsidRPr="007B010A" w:rsidRDefault="00D923AA" w:rsidP="00D923AA">
      <w:pPr>
        <w:autoSpaceDE w:val="0"/>
        <w:autoSpaceDN w:val="0"/>
        <w:adjustRightInd w:val="0"/>
        <w:spacing w:line="293" w:lineRule="atLeast"/>
        <w:jc w:val="both"/>
      </w:pPr>
    </w:p>
    <w:p w14:paraId="06184612" w14:textId="77777777" w:rsidR="00086342" w:rsidRDefault="00086342" w:rsidP="00D923AA">
      <w:pPr>
        <w:autoSpaceDE w:val="0"/>
        <w:autoSpaceDN w:val="0"/>
        <w:adjustRightInd w:val="0"/>
        <w:spacing w:line="293" w:lineRule="atLeast"/>
        <w:jc w:val="center"/>
        <w:rPr>
          <w:b/>
          <w:bCs/>
        </w:rPr>
      </w:pPr>
    </w:p>
    <w:p w14:paraId="280D890C" w14:textId="77777777" w:rsidR="00086342" w:rsidRDefault="00086342" w:rsidP="00D923AA">
      <w:pPr>
        <w:autoSpaceDE w:val="0"/>
        <w:autoSpaceDN w:val="0"/>
        <w:adjustRightInd w:val="0"/>
        <w:spacing w:line="293" w:lineRule="atLeast"/>
        <w:jc w:val="center"/>
        <w:rPr>
          <w:b/>
          <w:bCs/>
        </w:rPr>
      </w:pPr>
    </w:p>
    <w:p w14:paraId="437A1914" w14:textId="77777777" w:rsidR="00086342" w:rsidRDefault="00086342" w:rsidP="00D923AA">
      <w:pPr>
        <w:autoSpaceDE w:val="0"/>
        <w:autoSpaceDN w:val="0"/>
        <w:adjustRightInd w:val="0"/>
        <w:spacing w:line="293" w:lineRule="atLeast"/>
        <w:jc w:val="center"/>
        <w:rPr>
          <w:b/>
          <w:bCs/>
        </w:rPr>
      </w:pPr>
    </w:p>
    <w:p w14:paraId="4050941E" w14:textId="2A4F68F4" w:rsidR="00D923AA" w:rsidRPr="007B010A" w:rsidRDefault="00D923AA" w:rsidP="00D923AA">
      <w:pPr>
        <w:autoSpaceDE w:val="0"/>
        <w:autoSpaceDN w:val="0"/>
        <w:adjustRightInd w:val="0"/>
        <w:spacing w:line="293" w:lineRule="atLeast"/>
        <w:jc w:val="center"/>
        <w:rPr>
          <w:b/>
          <w:bCs/>
        </w:rPr>
      </w:pPr>
      <w:r w:rsidRPr="007B010A">
        <w:rPr>
          <w:b/>
          <w:bCs/>
        </w:rPr>
        <w:t>4.2.Ģimenes ārstu kvalitātes maksājumu sistēmas reforma</w:t>
      </w:r>
    </w:p>
    <w:p w14:paraId="406585A5" w14:textId="77777777" w:rsidR="009A7C3C" w:rsidRPr="007B010A" w:rsidRDefault="009A7C3C" w:rsidP="009A7C3C">
      <w:pPr>
        <w:ind w:firstLine="720"/>
        <w:jc w:val="both"/>
      </w:pPr>
    </w:p>
    <w:p w14:paraId="39E5C076" w14:textId="10CF446D" w:rsidR="009A7C3C" w:rsidRPr="007B010A" w:rsidRDefault="009A7C3C" w:rsidP="009A7C3C">
      <w:pPr>
        <w:ind w:firstLine="720"/>
        <w:jc w:val="both"/>
      </w:pPr>
      <w:r w:rsidRPr="007B010A">
        <w:t xml:space="preserve">Papildus mērķa kritēriju iekļaušanai </w:t>
      </w:r>
      <w:proofErr w:type="spellStart"/>
      <w:r w:rsidRPr="007B010A">
        <w:t>kapitācijas</w:t>
      </w:r>
      <w:proofErr w:type="spellEnd"/>
      <w:r w:rsidRPr="007B010A">
        <w:t xml:space="preserve"> naudā un </w:t>
      </w:r>
      <w:proofErr w:type="spellStart"/>
      <w:r w:rsidRPr="007B010A">
        <w:t>kapitācijas</w:t>
      </w:r>
      <w:proofErr w:type="spellEnd"/>
      <w:r w:rsidRPr="007B010A">
        <w:t xml:space="preserve"> naudas palielinājumam, 2018.gadā tika pārskatīt</w:t>
      </w:r>
      <w:r w:rsidR="000A68B7" w:rsidRPr="007B010A">
        <w:t>a</w:t>
      </w:r>
      <w:r w:rsidRPr="007B010A">
        <w:t xml:space="preserve"> ģimenes ārstu kvalitātes sistēm</w:t>
      </w:r>
      <w:r w:rsidR="000A68B7" w:rsidRPr="007B010A">
        <w:t>a</w:t>
      </w:r>
      <w:r w:rsidRPr="007B010A">
        <w:t>.</w:t>
      </w:r>
    </w:p>
    <w:p w14:paraId="3E153B4B" w14:textId="77777777" w:rsidR="009A7C3C" w:rsidRPr="007B010A" w:rsidRDefault="009A7C3C" w:rsidP="009A7C3C">
      <w:pPr>
        <w:ind w:firstLine="720"/>
        <w:jc w:val="both"/>
      </w:pPr>
      <w:r w:rsidRPr="007B010A">
        <w:t xml:space="preserve">Lai motivētu ģimenes ārsta iesaisti kvalitātes kritēriju izpildē un līdz ar to nodrošinot pie ģimenes ārsta reģistrēto pacientu savlaicīgu diagnostiku, ārstēšanu un hronisko pacientu uzraudzību, tiks uzlabota uzskaites un novērtēšanas metodoloģiju, tādējādi paaugstinot </w:t>
      </w:r>
      <w:r w:rsidRPr="007B010A">
        <w:lastRenderedPageBreak/>
        <w:t>pakalpojuma sniegšanas kvalitāti, kas balstīta uz sekojošu uzlaboto kvalitātes kritēriju kopuma attiecībā uz gada darbības rādītājiem šādās jomās:</w:t>
      </w:r>
    </w:p>
    <w:p w14:paraId="4F909093" w14:textId="77777777" w:rsidR="009A7C3C" w:rsidRPr="00870A0D" w:rsidRDefault="009A7C3C" w:rsidP="009A7C3C">
      <w:pPr>
        <w:ind w:firstLine="720"/>
        <w:jc w:val="both"/>
      </w:pPr>
      <w:r w:rsidRPr="00870A0D">
        <w:t>1. Veselības pārbaudes un profilakse:</w:t>
      </w:r>
    </w:p>
    <w:p w14:paraId="7807398E" w14:textId="77777777" w:rsidR="009A7C3C" w:rsidRPr="00870A0D" w:rsidRDefault="009A7C3C" w:rsidP="00D72539">
      <w:pPr>
        <w:pStyle w:val="ListParagraph"/>
        <w:numPr>
          <w:ilvl w:val="1"/>
          <w:numId w:val="27"/>
        </w:numPr>
        <w:spacing w:line="240" w:lineRule="auto"/>
        <w:ind w:left="1134" w:hanging="357"/>
        <w:jc w:val="both"/>
        <w:rPr>
          <w:rFonts w:ascii="Times New Roman" w:hAnsi="Times New Roman"/>
          <w:sz w:val="24"/>
          <w:szCs w:val="24"/>
          <w:lang w:val="lv-LV" w:eastAsia="lv-LV"/>
        </w:rPr>
      </w:pPr>
      <w:r w:rsidRPr="00870A0D">
        <w:rPr>
          <w:rFonts w:ascii="Times New Roman" w:hAnsi="Times New Roman"/>
          <w:sz w:val="24"/>
          <w:szCs w:val="24"/>
          <w:lang w:val="lv-LV" w:eastAsia="lv-LV"/>
        </w:rPr>
        <w:t>no jauna reģistrēta pacienta veselības stāvokļa novērtēšana;</w:t>
      </w:r>
    </w:p>
    <w:p w14:paraId="4837FAD7" w14:textId="77777777" w:rsidR="009A7C3C" w:rsidRPr="00870A0D" w:rsidRDefault="009A7C3C" w:rsidP="00D72539">
      <w:pPr>
        <w:pStyle w:val="ListParagraph"/>
        <w:numPr>
          <w:ilvl w:val="1"/>
          <w:numId w:val="27"/>
        </w:numPr>
        <w:spacing w:line="240" w:lineRule="auto"/>
        <w:ind w:left="1134" w:hanging="357"/>
        <w:jc w:val="both"/>
        <w:rPr>
          <w:rFonts w:ascii="Times New Roman" w:hAnsi="Times New Roman"/>
          <w:sz w:val="24"/>
          <w:szCs w:val="24"/>
          <w:lang w:val="lv-LV" w:eastAsia="lv-LV"/>
        </w:rPr>
      </w:pPr>
      <w:r w:rsidRPr="00870A0D">
        <w:rPr>
          <w:rFonts w:ascii="Times New Roman" w:hAnsi="Times New Roman"/>
          <w:sz w:val="24"/>
          <w:szCs w:val="24"/>
          <w:lang w:val="lv-LV" w:eastAsia="lv-LV"/>
        </w:rPr>
        <w:t>bērnu vakcinācijas aptvere;</w:t>
      </w:r>
    </w:p>
    <w:p w14:paraId="269EE67E" w14:textId="77777777" w:rsidR="009A7C3C" w:rsidRPr="00870A0D" w:rsidRDefault="009A7C3C" w:rsidP="00D72539">
      <w:pPr>
        <w:pStyle w:val="ListParagraph"/>
        <w:numPr>
          <w:ilvl w:val="1"/>
          <w:numId w:val="27"/>
        </w:numPr>
        <w:spacing w:line="240" w:lineRule="auto"/>
        <w:ind w:left="1134" w:hanging="357"/>
        <w:jc w:val="both"/>
        <w:rPr>
          <w:rFonts w:ascii="Times New Roman" w:hAnsi="Times New Roman"/>
          <w:sz w:val="24"/>
          <w:szCs w:val="24"/>
          <w:lang w:val="lv-LV" w:eastAsia="lv-LV"/>
        </w:rPr>
      </w:pPr>
      <w:r w:rsidRPr="00870A0D">
        <w:rPr>
          <w:rFonts w:ascii="Times New Roman" w:hAnsi="Times New Roman"/>
          <w:sz w:val="24"/>
          <w:szCs w:val="24"/>
          <w:lang w:val="lv-LV" w:eastAsia="lv-LV"/>
        </w:rPr>
        <w:t>veikto slēpto asiņu testu aptvere pie ģimenes ārsta reģistrētajiem pacientiem;</w:t>
      </w:r>
    </w:p>
    <w:p w14:paraId="38FD4831" w14:textId="77777777" w:rsidR="009A7C3C" w:rsidRPr="00870A0D" w:rsidRDefault="009A7C3C" w:rsidP="009A7C3C">
      <w:pPr>
        <w:ind w:firstLine="720"/>
        <w:jc w:val="both"/>
      </w:pPr>
      <w:r w:rsidRPr="00870A0D">
        <w:t>2. Pacientu ar hroniskām saslimšanām aprūpe:</w:t>
      </w:r>
    </w:p>
    <w:p w14:paraId="67C74029" w14:textId="77777777" w:rsidR="009A7C3C" w:rsidRPr="00870A0D" w:rsidRDefault="009A7C3C" w:rsidP="00D72539">
      <w:pPr>
        <w:pStyle w:val="ListParagraph"/>
        <w:numPr>
          <w:ilvl w:val="1"/>
          <w:numId w:val="28"/>
        </w:numPr>
        <w:spacing w:line="240" w:lineRule="auto"/>
        <w:ind w:left="1134" w:hanging="357"/>
        <w:jc w:val="both"/>
        <w:rPr>
          <w:rFonts w:ascii="Times New Roman" w:hAnsi="Times New Roman"/>
          <w:sz w:val="24"/>
          <w:szCs w:val="24"/>
          <w:lang w:val="lv-LV" w:eastAsia="lv-LV"/>
        </w:rPr>
      </w:pPr>
      <w:r w:rsidRPr="00870A0D">
        <w:rPr>
          <w:rFonts w:ascii="Times New Roman" w:hAnsi="Times New Roman"/>
          <w:sz w:val="24"/>
          <w:szCs w:val="24"/>
          <w:lang w:val="lv-LV" w:eastAsia="lv-LV"/>
        </w:rPr>
        <w:t>cukura diabēta pacientu aprūpe:</w:t>
      </w:r>
    </w:p>
    <w:p w14:paraId="61F56638" w14:textId="77777777" w:rsidR="009A7C3C" w:rsidRPr="00870A0D" w:rsidRDefault="009A7C3C" w:rsidP="00D72539">
      <w:pPr>
        <w:pStyle w:val="ListParagraph"/>
        <w:numPr>
          <w:ilvl w:val="1"/>
          <w:numId w:val="28"/>
        </w:numPr>
        <w:spacing w:line="240" w:lineRule="auto"/>
        <w:ind w:left="1134" w:hanging="357"/>
        <w:jc w:val="both"/>
        <w:rPr>
          <w:rFonts w:ascii="Times New Roman" w:hAnsi="Times New Roman"/>
          <w:sz w:val="24"/>
          <w:szCs w:val="24"/>
          <w:lang w:val="lv-LV" w:eastAsia="lv-LV"/>
        </w:rPr>
      </w:pPr>
      <w:proofErr w:type="spellStart"/>
      <w:r w:rsidRPr="00870A0D">
        <w:rPr>
          <w:rFonts w:ascii="Times New Roman" w:hAnsi="Times New Roman"/>
          <w:sz w:val="24"/>
          <w:szCs w:val="24"/>
          <w:lang w:val="lv-LV" w:eastAsia="lv-LV"/>
        </w:rPr>
        <w:t>glikohemoglobīna</w:t>
      </w:r>
      <w:proofErr w:type="spellEnd"/>
      <w:r w:rsidRPr="00870A0D">
        <w:rPr>
          <w:rFonts w:ascii="Times New Roman" w:hAnsi="Times New Roman"/>
          <w:sz w:val="24"/>
          <w:szCs w:val="24"/>
          <w:lang w:val="lv-LV" w:eastAsia="lv-LV"/>
        </w:rPr>
        <w:t xml:space="preserve"> mērījumi 2.tipa cukura diabēta pacientiem;</w:t>
      </w:r>
    </w:p>
    <w:p w14:paraId="3E961C45" w14:textId="77777777" w:rsidR="009A7C3C" w:rsidRPr="00870A0D" w:rsidRDefault="009A7C3C" w:rsidP="00D72539">
      <w:pPr>
        <w:pStyle w:val="ListParagraph"/>
        <w:numPr>
          <w:ilvl w:val="1"/>
          <w:numId w:val="28"/>
        </w:numPr>
        <w:spacing w:line="240" w:lineRule="auto"/>
        <w:ind w:left="1134" w:hanging="357"/>
        <w:jc w:val="both"/>
        <w:rPr>
          <w:rFonts w:ascii="Times New Roman" w:hAnsi="Times New Roman"/>
          <w:sz w:val="24"/>
          <w:szCs w:val="24"/>
          <w:lang w:val="lv-LV" w:eastAsia="lv-LV"/>
        </w:rPr>
      </w:pPr>
      <w:proofErr w:type="spellStart"/>
      <w:r w:rsidRPr="00870A0D">
        <w:rPr>
          <w:rFonts w:ascii="Times New Roman" w:hAnsi="Times New Roman"/>
          <w:sz w:val="24"/>
          <w:szCs w:val="24"/>
          <w:lang w:val="lv-LV" w:eastAsia="lv-LV"/>
        </w:rPr>
        <w:t>mikroalbuminūrijas</w:t>
      </w:r>
      <w:proofErr w:type="spellEnd"/>
      <w:r w:rsidRPr="00870A0D">
        <w:rPr>
          <w:rFonts w:ascii="Times New Roman" w:hAnsi="Times New Roman"/>
          <w:sz w:val="24"/>
          <w:szCs w:val="24"/>
          <w:lang w:val="lv-LV" w:eastAsia="lv-LV"/>
        </w:rPr>
        <w:t xml:space="preserve"> noteikšana kvantitatīvi 2.tipa cukura diabēta pacientiem;</w:t>
      </w:r>
    </w:p>
    <w:p w14:paraId="6E4F1FE2" w14:textId="0176C25E" w:rsidR="00D923AA" w:rsidRPr="00870A0D" w:rsidRDefault="009A7C3C" w:rsidP="00D72539">
      <w:pPr>
        <w:pStyle w:val="ListParagraph"/>
        <w:numPr>
          <w:ilvl w:val="1"/>
          <w:numId w:val="28"/>
        </w:numPr>
        <w:spacing w:line="240" w:lineRule="auto"/>
        <w:ind w:left="1134" w:hanging="357"/>
        <w:jc w:val="both"/>
        <w:rPr>
          <w:rFonts w:ascii="Times New Roman" w:hAnsi="Times New Roman"/>
          <w:sz w:val="24"/>
          <w:szCs w:val="24"/>
          <w:lang w:val="lv-LV" w:eastAsia="lv-LV"/>
        </w:rPr>
      </w:pPr>
      <w:proofErr w:type="spellStart"/>
      <w:r w:rsidRPr="00870A0D">
        <w:rPr>
          <w:rFonts w:ascii="Times New Roman" w:hAnsi="Times New Roman"/>
          <w:sz w:val="24"/>
          <w:szCs w:val="24"/>
        </w:rPr>
        <w:t>pacientu</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ar</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arteriālo</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hipertensiju</w:t>
      </w:r>
      <w:proofErr w:type="spellEnd"/>
      <w:r w:rsidRPr="00870A0D">
        <w:rPr>
          <w:rFonts w:ascii="Times New Roman" w:hAnsi="Times New Roman"/>
          <w:sz w:val="24"/>
          <w:szCs w:val="24"/>
        </w:rPr>
        <w:t xml:space="preserve"> un </w:t>
      </w:r>
      <w:proofErr w:type="spellStart"/>
      <w:r w:rsidRPr="00870A0D">
        <w:rPr>
          <w:rFonts w:ascii="Times New Roman" w:hAnsi="Times New Roman"/>
          <w:sz w:val="24"/>
          <w:szCs w:val="24"/>
        </w:rPr>
        <w:t>pacientu</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ar</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koronāro</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sirds</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slimību</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aprūpe</w:t>
      </w:r>
      <w:proofErr w:type="spellEnd"/>
      <w:r w:rsidRPr="00870A0D">
        <w:rPr>
          <w:rFonts w:ascii="Times New Roman" w:hAnsi="Times New Roman"/>
          <w:sz w:val="24"/>
          <w:szCs w:val="24"/>
        </w:rPr>
        <w:t xml:space="preserve"> – ZBL </w:t>
      </w:r>
      <w:proofErr w:type="spellStart"/>
      <w:r w:rsidRPr="00870A0D">
        <w:rPr>
          <w:rFonts w:ascii="Times New Roman" w:hAnsi="Times New Roman"/>
          <w:sz w:val="24"/>
          <w:szCs w:val="24"/>
        </w:rPr>
        <w:t>holesterīna</w:t>
      </w:r>
      <w:proofErr w:type="spellEnd"/>
      <w:r w:rsidRPr="00870A0D">
        <w:rPr>
          <w:rFonts w:ascii="Times New Roman" w:hAnsi="Times New Roman"/>
          <w:sz w:val="24"/>
          <w:szCs w:val="24"/>
        </w:rPr>
        <w:t xml:space="preserve"> </w:t>
      </w:r>
      <w:proofErr w:type="spellStart"/>
      <w:r w:rsidRPr="00870A0D">
        <w:rPr>
          <w:rFonts w:ascii="Times New Roman" w:hAnsi="Times New Roman"/>
          <w:sz w:val="24"/>
          <w:szCs w:val="24"/>
        </w:rPr>
        <w:t>noteikšana</w:t>
      </w:r>
      <w:proofErr w:type="spellEnd"/>
      <w:r w:rsidRPr="00870A0D">
        <w:rPr>
          <w:rFonts w:ascii="Times New Roman" w:hAnsi="Times New Roman"/>
          <w:sz w:val="24"/>
          <w:szCs w:val="24"/>
        </w:rPr>
        <w:t>;</w:t>
      </w:r>
    </w:p>
    <w:p w14:paraId="440B3217" w14:textId="6D1ACBCA" w:rsidR="009A7C3C" w:rsidRPr="00870A0D" w:rsidRDefault="009A7C3C" w:rsidP="00D72539">
      <w:pPr>
        <w:pStyle w:val="ListParagraph"/>
        <w:numPr>
          <w:ilvl w:val="1"/>
          <w:numId w:val="28"/>
        </w:numPr>
        <w:spacing w:line="240" w:lineRule="auto"/>
        <w:ind w:left="1134" w:hanging="357"/>
        <w:jc w:val="both"/>
        <w:rPr>
          <w:rFonts w:ascii="Times New Roman" w:hAnsi="Times New Roman"/>
          <w:sz w:val="24"/>
          <w:szCs w:val="24"/>
          <w:lang w:val="lv-LV" w:eastAsia="lv-LV"/>
        </w:rPr>
      </w:pPr>
      <w:r w:rsidRPr="00870A0D">
        <w:rPr>
          <w:rFonts w:ascii="Times New Roman" w:hAnsi="Times New Roman"/>
          <w:sz w:val="24"/>
          <w:szCs w:val="24"/>
          <w:lang w:val="lv-LV" w:eastAsia="lv-LV"/>
        </w:rPr>
        <w:t>pacientu ar bronhiālo astmu aprūpe – izelpas maksimuma plūsmas mērīšana bronhiālās astmas pacientiem;</w:t>
      </w:r>
    </w:p>
    <w:p w14:paraId="50F3B021" w14:textId="77777777" w:rsidR="009A7C3C" w:rsidRPr="007B010A" w:rsidRDefault="009A7C3C" w:rsidP="00DE16DB">
      <w:pPr>
        <w:ind w:left="720"/>
        <w:jc w:val="both"/>
      </w:pPr>
      <w:r w:rsidRPr="007B010A">
        <w:t>3. Ģimenes ārstu veikto manipulāciju un papildu pakalpojumu daudzveidība.</w:t>
      </w:r>
    </w:p>
    <w:p w14:paraId="5BBCD5FA" w14:textId="77777777" w:rsidR="00584AEB" w:rsidRDefault="00584AEB" w:rsidP="00D923AA">
      <w:pPr>
        <w:ind w:firstLine="720"/>
        <w:jc w:val="both"/>
        <w:rPr>
          <w:shd w:val="clear" w:color="auto" w:fill="FFFFFF"/>
        </w:rPr>
      </w:pPr>
    </w:p>
    <w:p w14:paraId="6C870AE6" w14:textId="431019DC" w:rsidR="00D923AA" w:rsidRPr="007B010A" w:rsidRDefault="00D923AA" w:rsidP="00D923AA">
      <w:pPr>
        <w:ind w:firstLine="720"/>
        <w:jc w:val="both"/>
      </w:pPr>
      <w:r w:rsidRPr="007B010A">
        <w:rPr>
          <w:shd w:val="clear" w:color="auto" w:fill="FFFFFF"/>
        </w:rPr>
        <w:t> </w:t>
      </w:r>
      <w:r w:rsidRPr="007B010A">
        <w:t>Kvalitātes sistēmas ieviešanai plānotais finansējums ir 3</w:t>
      </w:r>
      <w:r w:rsidR="00870A0D">
        <w:t> </w:t>
      </w:r>
      <w:r w:rsidRPr="007B010A">
        <w:t>729</w:t>
      </w:r>
      <w:r w:rsidR="00870A0D">
        <w:t> </w:t>
      </w:r>
      <w:r w:rsidRPr="007B010A">
        <w:t xml:space="preserve">362 </w:t>
      </w:r>
      <w:proofErr w:type="spellStart"/>
      <w:r w:rsidRPr="007B010A">
        <w:rPr>
          <w:i/>
        </w:rPr>
        <w:t>euro</w:t>
      </w:r>
      <w:proofErr w:type="spellEnd"/>
      <w:r w:rsidRPr="007B010A">
        <w:t xml:space="preserve"> gadā, 1 322 ģimenes ārsta praksēm, vidēji uz vienu ģimenes ārsta praksi 2  821 </w:t>
      </w:r>
      <w:proofErr w:type="spellStart"/>
      <w:r w:rsidRPr="007B010A">
        <w:rPr>
          <w:i/>
        </w:rPr>
        <w:t>euro</w:t>
      </w:r>
      <w:proofErr w:type="spellEnd"/>
      <w:r w:rsidRPr="007B010A">
        <w:t xml:space="preserve"> gadā, kas tiek novirzīts sākot ar 2018.gadu, vērtējot rādītāju izpildi 1 reizi ceturksnī. Līdz ar to 2018.gadam nepieciešams finansējums </w:t>
      </w:r>
      <w:r w:rsidRPr="007B010A">
        <w:rPr>
          <w:bCs/>
        </w:rPr>
        <w:t>2 797 </w:t>
      </w:r>
      <w:r w:rsidRPr="007B010A">
        <w:t>022</w:t>
      </w:r>
      <w:r w:rsidRPr="007B010A">
        <w:rPr>
          <w:bCs/>
        </w:rPr>
        <w:t xml:space="preserve"> </w:t>
      </w:r>
      <w:proofErr w:type="spellStart"/>
      <w:r w:rsidRPr="007B010A">
        <w:rPr>
          <w:bCs/>
          <w:i/>
        </w:rPr>
        <w:t>euro</w:t>
      </w:r>
      <w:proofErr w:type="spellEnd"/>
      <w:r w:rsidRPr="007B010A">
        <w:t xml:space="preserve"> apmērā 3 ceturkšņu kvalitātes kritēriju izpildei. </w:t>
      </w:r>
    </w:p>
    <w:p w14:paraId="4801055E" w14:textId="07ECDD25" w:rsidR="00D923AA" w:rsidRPr="007B010A" w:rsidRDefault="00A45CBF" w:rsidP="007F15C2">
      <w:pPr>
        <w:autoSpaceDE w:val="0"/>
        <w:autoSpaceDN w:val="0"/>
        <w:adjustRightInd w:val="0"/>
        <w:ind w:firstLine="720"/>
        <w:jc w:val="both"/>
        <w:rPr>
          <w:shd w:val="clear" w:color="auto" w:fill="FFFFFF"/>
        </w:rPr>
      </w:pPr>
      <w:r w:rsidRPr="007B010A">
        <w:rPr>
          <w:shd w:val="clear" w:color="auto" w:fill="FFFFFF"/>
        </w:rPr>
        <w:t>Atbilstoši 2018.gadafaktiskajiem rezultātiem 1284 ģimenes ārsti saņēma gada darbības maksājumu 1</w:t>
      </w:r>
      <w:r w:rsidR="00870A0D">
        <w:rPr>
          <w:shd w:val="clear" w:color="auto" w:fill="FFFFFF"/>
        </w:rPr>
        <w:t> </w:t>
      </w:r>
      <w:r w:rsidRPr="007B010A">
        <w:rPr>
          <w:shd w:val="clear" w:color="auto" w:fill="FFFFFF"/>
        </w:rPr>
        <w:t>851</w:t>
      </w:r>
      <w:r w:rsidR="00870A0D">
        <w:rPr>
          <w:shd w:val="clear" w:color="auto" w:fill="FFFFFF"/>
        </w:rPr>
        <w:t> </w:t>
      </w:r>
      <w:r w:rsidRPr="007B010A">
        <w:rPr>
          <w:shd w:val="clear" w:color="auto" w:fill="FFFFFF"/>
        </w:rPr>
        <w:t xml:space="preserve">835 </w:t>
      </w:r>
      <w:proofErr w:type="spellStart"/>
      <w:r w:rsidRPr="007B010A">
        <w:rPr>
          <w:i/>
          <w:shd w:val="clear" w:color="auto" w:fill="FFFFFF"/>
        </w:rPr>
        <w:t>euro</w:t>
      </w:r>
      <w:proofErr w:type="spellEnd"/>
      <w:r w:rsidRPr="007B010A">
        <w:rPr>
          <w:shd w:val="clear" w:color="auto" w:fill="FFFFFF"/>
        </w:rPr>
        <w:t xml:space="preserve"> apmērā. Pie ģimenes ārsta no jauna reģistrēto pacientu skaits, kuriem izvērtēts veselības stāvoklis ieviešot ģimenes ārstu kvalitātes maksājumu sistēmas reformu ar katru gadu pieaug</w:t>
      </w:r>
      <w:r w:rsidR="00BE0D6E" w:rsidRPr="007B010A">
        <w:rPr>
          <w:shd w:val="clear" w:color="auto" w:fill="FFFFFF"/>
        </w:rPr>
        <w:t>.</w:t>
      </w:r>
      <w:r w:rsidRPr="007B010A">
        <w:rPr>
          <w:shd w:val="clear" w:color="auto" w:fill="FFFFFF"/>
        </w:rPr>
        <w:t xml:space="preserve"> 2018.gadā ģimenes ārsts izvērtēja veselības stāvokli  77</w:t>
      </w:r>
      <w:r w:rsidR="00BE0D6E" w:rsidRPr="007B010A">
        <w:rPr>
          <w:shd w:val="clear" w:color="auto" w:fill="FFFFFF"/>
        </w:rPr>
        <w:t> </w:t>
      </w:r>
      <w:r w:rsidRPr="007B010A">
        <w:rPr>
          <w:shd w:val="clear" w:color="auto" w:fill="FFFFFF"/>
        </w:rPr>
        <w:t>894</w:t>
      </w:r>
      <w:r w:rsidR="00BE0D6E" w:rsidRPr="007B010A">
        <w:rPr>
          <w:shd w:val="clear" w:color="auto" w:fill="FFFFFF"/>
        </w:rPr>
        <w:t xml:space="preserve"> </w:t>
      </w:r>
      <w:r w:rsidRPr="007B010A">
        <w:rPr>
          <w:shd w:val="clear" w:color="auto" w:fill="FFFFFF"/>
        </w:rPr>
        <w:t>no jauna reģistrētajiem pacientiem, savukārt 2017.gadā šis skaits ir bijis lielāks sasniedzot 80 591 no jauna reģistrētos pacientus, kas ir par 3,5% vairāk nekā šogad. Salīdzinot pacientu skait</w:t>
      </w:r>
      <w:r w:rsidR="00BE0D6E" w:rsidRPr="007B010A">
        <w:rPr>
          <w:shd w:val="clear" w:color="auto" w:fill="FFFFFF"/>
        </w:rPr>
        <w:t>u</w:t>
      </w:r>
      <w:r w:rsidRPr="007B010A">
        <w:rPr>
          <w:shd w:val="clear" w:color="auto" w:fill="FFFFFF"/>
        </w:rPr>
        <w:t xml:space="preserve">, kuriem veikts slēpto asiņu tests vēža </w:t>
      </w:r>
      <w:proofErr w:type="spellStart"/>
      <w:r w:rsidRPr="007B010A">
        <w:rPr>
          <w:shd w:val="clear" w:color="auto" w:fill="FFFFFF"/>
        </w:rPr>
        <w:t>skrīninga</w:t>
      </w:r>
      <w:proofErr w:type="spellEnd"/>
      <w:r w:rsidRPr="007B010A">
        <w:rPr>
          <w:shd w:val="clear" w:color="auto" w:fill="FFFFFF"/>
        </w:rPr>
        <w:t xml:space="preserve"> ietvaros</w:t>
      </w:r>
      <w:r w:rsidR="00BE0D6E" w:rsidRPr="007B010A">
        <w:rPr>
          <w:shd w:val="clear" w:color="auto" w:fill="FFFFFF"/>
        </w:rPr>
        <w:t>,</w:t>
      </w:r>
      <w:r w:rsidRPr="007B010A">
        <w:rPr>
          <w:shd w:val="clear" w:color="auto" w:fill="FFFFFF"/>
        </w:rPr>
        <w:t xml:space="preserve"> attiecīgi 2017.gadā tika veikts </w:t>
      </w:r>
      <w:proofErr w:type="spellStart"/>
      <w:r w:rsidRPr="007B010A">
        <w:rPr>
          <w:shd w:val="clear" w:color="auto" w:fill="FFFFFF"/>
        </w:rPr>
        <w:t>skrīninga</w:t>
      </w:r>
      <w:proofErr w:type="spellEnd"/>
      <w:r w:rsidRPr="007B010A">
        <w:rPr>
          <w:shd w:val="clear" w:color="auto" w:fill="FFFFFF"/>
        </w:rPr>
        <w:t xml:space="preserve"> tests 79</w:t>
      </w:r>
      <w:r w:rsidR="00870A0D">
        <w:rPr>
          <w:shd w:val="clear" w:color="auto" w:fill="FFFFFF"/>
        </w:rPr>
        <w:t> </w:t>
      </w:r>
      <w:r w:rsidRPr="007B010A">
        <w:rPr>
          <w:shd w:val="clear" w:color="auto" w:fill="FFFFFF"/>
        </w:rPr>
        <w:t>944 pacientiem, savukārt 2018.gadā tie jau bija 90 522 pacienti, kas veido 13% pieaugumu</w:t>
      </w:r>
      <w:r w:rsidR="00BE0D6E" w:rsidRPr="007B010A">
        <w:rPr>
          <w:shd w:val="clear" w:color="auto" w:fill="FFFFFF"/>
        </w:rPr>
        <w:t>.</w:t>
      </w:r>
      <w:r w:rsidRPr="007B010A">
        <w:rPr>
          <w:shd w:val="clear" w:color="auto" w:fill="FFFFFF"/>
        </w:rPr>
        <w:t xml:space="preserve"> </w:t>
      </w:r>
      <w:r w:rsidR="00D923AA" w:rsidRPr="007B010A">
        <w:rPr>
          <w:shd w:val="clear" w:color="auto" w:fill="FFFFFF"/>
        </w:rPr>
        <w:t xml:space="preserve"> līdz ar to ir uzteicama ģimenes ārstu iesaiste savlaicīgas profilakses nodrošināšana iedzīvotāju veselības saglabāšanā un uzlabošanā. </w:t>
      </w:r>
      <w:r w:rsidR="00503262" w:rsidRPr="007B010A">
        <w:rPr>
          <w:shd w:val="clear" w:color="auto" w:fill="FFFFFF"/>
        </w:rPr>
        <w:t>Tāpat ir novērots arī 7% kāpums ar hroniskām saslimšanās slimojošu pacientu aprūpē, jo 2017.gadā hroniski noritošu slimību uzraudzība ir veikta 199 253 pacientiem, savukārt 2018.gadā – 213 382 pacientiem. Arī bērnu vakcinācijas aptverē ir novērots neliels kāpums 2018.gadā ģimenes ārsta praksē vakcinēti 17 886 bērni, bet 2017.gadā – 17 805, kas ir par 81 jeb 0,5% bērnu mazāk nekā 2018.gadā.</w:t>
      </w:r>
    </w:p>
    <w:p w14:paraId="0BE0B040" w14:textId="45D64F08" w:rsidR="00EE37EF" w:rsidRPr="007B010A" w:rsidRDefault="00EE37EF" w:rsidP="001F7285">
      <w:pPr>
        <w:autoSpaceDE w:val="0"/>
        <w:autoSpaceDN w:val="0"/>
        <w:adjustRightInd w:val="0"/>
        <w:jc w:val="both"/>
        <w:rPr>
          <w:shd w:val="clear" w:color="auto" w:fill="FFFFFF"/>
        </w:rPr>
      </w:pPr>
    </w:p>
    <w:p w14:paraId="49A2C032" w14:textId="77777777" w:rsidR="00EE37EF" w:rsidRPr="007B010A" w:rsidRDefault="00EE37EF" w:rsidP="007F15C2">
      <w:pPr>
        <w:autoSpaceDE w:val="0"/>
        <w:autoSpaceDN w:val="0"/>
        <w:adjustRightInd w:val="0"/>
        <w:ind w:firstLine="720"/>
        <w:jc w:val="both"/>
        <w:rPr>
          <w:shd w:val="clear" w:color="auto" w:fill="FFFFFF"/>
        </w:rPr>
      </w:pPr>
    </w:p>
    <w:p w14:paraId="6A37BFF0" w14:textId="77777777" w:rsidR="00D923AA" w:rsidRPr="007B010A" w:rsidRDefault="00D923AA" w:rsidP="00D923AA">
      <w:pPr>
        <w:autoSpaceDE w:val="0"/>
        <w:autoSpaceDN w:val="0"/>
        <w:adjustRightInd w:val="0"/>
        <w:spacing w:line="293" w:lineRule="atLeast"/>
        <w:jc w:val="center"/>
        <w:rPr>
          <w:b/>
          <w:bCs/>
        </w:rPr>
      </w:pPr>
      <w:r w:rsidRPr="007B010A">
        <w:rPr>
          <w:b/>
          <w:bCs/>
        </w:rPr>
        <w:t>4.3.Bērnu zobārstniecības tarifu pārskatīšana</w:t>
      </w:r>
    </w:p>
    <w:p w14:paraId="7F87E237" w14:textId="77777777" w:rsidR="009A0E6E" w:rsidRPr="007B010A" w:rsidRDefault="009A0E6E" w:rsidP="00791CFB">
      <w:pPr>
        <w:ind w:firstLine="720"/>
        <w:jc w:val="both"/>
      </w:pPr>
    </w:p>
    <w:p w14:paraId="0B122792" w14:textId="52220E35" w:rsidR="00791CFB" w:rsidRPr="007B010A" w:rsidRDefault="00791CFB" w:rsidP="00DE16DB">
      <w:pPr>
        <w:ind w:firstLine="720"/>
        <w:jc w:val="both"/>
      </w:pPr>
      <w:r w:rsidRPr="007B010A">
        <w:t>Mutes veselībai ir tieša ietekme uz dzīves kvalitāti gan bērna vecumā, gan pieaugušiem un veciem cilvēkiem. Mutes veselības problēmas ir viens no biežākajiem pieaugušo darba nespējas cēloņiem.</w:t>
      </w:r>
    </w:p>
    <w:p w14:paraId="77CB3D64" w14:textId="5284C030" w:rsidR="00D923AA" w:rsidRPr="007B010A" w:rsidRDefault="00791CFB" w:rsidP="00DE16DB">
      <w:pPr>
        <w:pStyle w:val="ListParagraph"/>
        <w:shd w:val="clear" w:color="auto" w:fill="FFFFFF"/>
        <w:spacing w:after="0" w:line="240" w:lineRule="auto"/>
        <w:ind w:left="0" w:firstLine="720"/>
        <w:jc w:val="both"/>
        <w:rPr>
          <w:rFonts w:ascii="Times New Roman" w:eastAsia="Times New Roman" w:hAnsi="Times New Roman"/>
          <w:sz w:val="24"/>
          <w:szCs w:val="24"/>
          <w:lang w:val="lv-LV" w:eastAsia="lv-LV"/>
        </w:rPr>
      </w:pPr>
      <w:r w:rsidRPr="007B010A">
        <w:rPr>
          <w:rFonts w:ascii="Times New Roman" w:eastAsia="Times New Roman" w:hAnsi="Times New Roman"/>
          <w:sz w:val="24"/>
          <w:szCs w:val="24"/>
          <w:lang w:val="lv-LV" w:eastAsia="lv-LV"/>
        </w:rPr>
        <w:t xml:space="preserve">Atbilstoši Latvijā veiktajiem pētījumiem, kariess skar gandrīz visus Latvijas bērnus, 12 gadu vecumā vidēji bojāti vairāk kā 9 zobi, sasniedzot izplatību emaljas kariesa līmenī – 98,5%, kariesa ar </w:t>
      </w:r>
      <w:proofErr w:type="spellStart"/>
      <w:r w:rsidRPr="007B010A">
        <w:rPr>
          <w:rFonts w:ascii="Times New Roman" w:eastAsia="Times New Roman" w:hAnsi="Times New Roman"/>
          <w:sz w:val="24"/>
          <w:szCs w:val="24"/>
          <w:lang w:val="lv-LV" w:eastAsia="lv-LV"/>
        </w:rPr>
        <w:t>kavitāti</w:t>
      </w:r>
      <w:proofErr w:type="spellEnd"/>
      <w:r w:rsidRPr="007B010A">
        <w:rPr>
          <w:rFonts w:ascii="Times New Roman" w:eastAsia="Times New Roman" w:hAnsi="Times New Roman"/>
          <w:sz w:val="24"/>
          <w:szCs w:val="24"/>
          <w:lang w:val="lv-LV" w:eastAsia="lv-LV"/>
        </w:rPr>
        <w:t xml:space="preserve"> līmenī – 79,8%, bet izteiktas dentīna </w:t>
      </w:r>
      <w:proofErr w:type="spellStart"/>
      <w:r w:rsidRPr="007B010A">
        <w:rPr>
          <w:rFonts w:ascii="Times New Roman" w:eastAsia="Times New Roman" w:hAnsi="Times New Roman"/>
          <w:sz w:val="24"/>
          <w:szCs w:val="24"/>
          <w:lang w:val="lv-LV" w:eastAsia="lv-LV"/>
        </w:rPr>
        <w:t>kavitātes</w:t>
      </w:r>
      <w:proofErr w:type="spellEnd"/>
      <w:r w:rsidRPr="007B010A">
        <w:rPr>
          <w:rFonts w:ascii="Times New Roman" w:eastAsia="Times New Roman" w:hAnsi="Times New Roman"/>
          <w:sz w:val="24"/>
          <w:szCs w:val="24"/>
          <w:lang w:val="lv-LV" w:eastAsia="lv-LV"/>
        </w:rPr>
        <w:t xml:space="preserve"> līmenī – 71,9%. Kariesa izplatība ir augsta jau 2-3 gadus veco bērnu populācijā – 31%.</w:t>
      </w:r>
    </w:p>
    <w:p w14:paraId="4AFF120C" w14:textId="68C02193" w:rsidR="00D923AA" w:rsidRPr="007B010A" w:rsidRDefault="009A0E6E" w:rsidP="00D923AA">
      <w:pPr>
        <w:ind w:firstLine="720"/>
        <w:jc w:val="both"/>
        <w:rPr>
          <w:noProof/>
          <w:lang w:bidi="gu-IN"/>
        </w:rPr>
      </w:pPr>
      <w:r w:rsidRPr="007B010A">
        <w:t>Līdz ar to, l</w:t>
      </w:r>
      <w:r w:rsidR="00D923AA" w:rsidRPr="007B010A">
        <w:t>ai uzlabotu zobārstniecības pakalpojumu pieejamību</w:t>
      </w:r>
      <w:r w:rsidR="00F742C2" w:rsidRPr="007B010A">
        <w:t xml:space="preserve"> bērniem</w:t>
      </w:r>
      <w:r w:rsidR="00D923AA" w:rsidRPr="007B010A">
        <w:t xml:space="preserve">, kā arī nodrošinātu plašāku zobārstniecības materiālu izvēli, kas kļūtu atbilstoša spēkā esošajām zobārstniecības tehnoloģijām 2018.gadā papildus </w:t>
      </w:r>
      <w:r w:rsidR="00D62FCC" w:rsidRPr="007B010A">
        <w:t>piešķīra</w:t>
      </w:r>
      <w:r w:rsidR="00D923AA" w:rsidRPr="007B010A">
        <w:t xml:space="preserve"> finansējum</w:t>
      </w:r>
      <w:r w:rsidR="00D62FCC" w:rsidRPr="007B010A">
        <w:t>u</w:t>
      </w:r>
      <w:r w:rsidR="00D923AA" w:rsidRPr="007B010A">
        <w:t xml:space="preserve"> tarifu pārskatīšanai zobārstniecībā – 2</w:t>
      </w:r>
      <w:r w:rsidR="00870A0D">
        <w:t> </w:t>
      </w:r>
      <w:r w:rsidR="00D923AA" w:rsidRPr="007B010A">
        <w:t>968</w:t>
      </w:r>
      <w:r w:rsidR="00870A0D">
        <w:t> </w:t>
      </w:r>
      <w:r w:rsidR="00D923AA" w:rsidRPr="007B010A">
        <w:t xml:space="preserve">525 </w:t>
      </w:r>
      <w:proofErr w:type="spellStart"/>
      <w:r w:rsidR="00D923AA" w:rsidRPr="007B010A">
        <w:rPr>
          <w:i/>
        </w:rPr>
        <w:t>euro</w:t>
      </w:r>
      <w:proofErr w:type="spellEnd"/>
      <w:r w:rsidR="00D923AA" w:rsidRPr="007B010A">
        <w:t xml:space="preserve">. Finansējums tika </w:t>
      </w:r>
      <w:r w:rsidR="005936DB" w:rsidRPr="007B010A">
        <w:t>piešķirts</w:t>
      </w:r>
      <w:r w:rsidR="00D923AA" w:rsidRPr="007B010A">
        <w:t xml:space="preserve"> </w:t>
      </w:r>
      <w:r w:rsidR="00D923AA" w:rsidRPr="007B010A">
        <w:rPr>
          <w:noProof/>
          <w:lang w:bidi="gu-IN"/>
        </w:rPr>
        <w:t xml:space="preserve">tarifu pieaugumam, izņemot darba samaksas elementu, kas finansēts no papildus finansējuma piešķīruma nozarei saistībā ar 1% </w:t>
      </w:r>
      <w:r w:rsidR="00D923AA" w:rsidRPr="007B010A">
        <w:rPr>
          <w:noProof/>
          <w:lang w:bidi="gu-IN"/>
        </w:rPr>
        <w:lastRenderedPageBreak/>
        <w:t xml:space="preserve">palielinājumu </w:t>
      </w:r>
      <w:r w:rsidR="002C697A" w:rsidRPr="007B010A">
        <w:rPr>
          <w:noProof/>
          <w:lang w:bidi="gu-IN"/>
        </w:rPr>
        <w:t>no valsts sociālās apdrošināšanas obligātajām</w:t>
      </w:r>
      <w:r w:rsidR="00D923AA" w:rsidRPr="007B010A">
        <w:rPr>
          <w:noProof/>
          <w:lang w:bidi="gu-IN"/>
        </w:rPr>
        <w:t xml:space="preserve"> iemaksām. Tarifa pieaugums īstenots ar manipulāciiju kodu no 70001- </w:t>
      </w:r>
      <w:r w:rsidR="00DF5C1E" w:rsidRPr="007B010A">
        <w:rPr>
          <w:noProof/>
          <w:lang w:bidi="gu-IN"/>
        </w:rPr>
        <w:t>77330</w:t>
      </w:r>
      <w:r w:rsidR="00D923AA" w:rsidRPr="007B010A">
        <w:rPr>
          <w:noProof/>
          <w:lang w:bidi="gu-IN"/>
        </w:rPr>
        <w:t>.</w:t>
      </w:r>
    </w:p>
    <w:p w14:paraId="366445C7" w14:textId="6026746D" w:rsidR="00D923AA" w:rsidRPr="007B010A" w:rsidRDefault="00D923AA" w:rsidP="00D923AA">
      <w:pPr>
        <w:ind w:firstLine="720"/>
        <w:jc w:val="both"/>
        <w:rPr>
          <w:i/>
        </w:rPr>
      </w:pPr>
      <w:r w:rsidRPr="007B010A">
        <w:t>Ņemot vērā to, ka 2017.gada 17.maijā stājās spēkā Eiropas Parlamenta un Padomes Regula (ES) 2017/852 par dzīvsudrabu un ar ko atceļ Regulu (EK) Nr.1102/2008 (turpmāk - Regula), kuras 10.panta 1.punkts nosaka</w:t>
      </w:r>
      <w:r w:rsidR="002C697A" w:rsidRPr="007B010A">
        <w:t>, ka</w:t>
      </w:r>
      <w:r w:rsidRPr="007B010A">
        <w:t xml:space="preserve"> no 2019.gada 1.janvāra zobārstniecībā var izmantot tikai iepriekš sagatavotās devās kap</w:t>
      </w:r>
      <w:r w:rsidR="002C697A" w:rsidRPr="007B010A">
        <w:t>sulētu zobārstniecības amalgamu,</w:t>
      </w:r>
      <w:r w:rsidRPr="007B010A">
        <w:t xml:space="preserve"> </w:t>
      </w:r>
      <w:r w:rsidR="002C697A" w:rsidRPr="007B010A">
        <w:t>z</w:t>
      </w:r>
      <w:r w:rsidRPr="007B010A">
        <w:t>obārstiem ir aizliegts izmantot dzīvsudrabu brīvā veidā. Savukārt no 2018.gada 1.jūlija zobārstniecības amalgamu nedrīkst izmantot piena zobu ārstēšanai bērniem vecumā līdz 15 gadiem un grūtniecēm vai sievietēm, kuras baro bērnu ar krūti. Tas nozīmē</w:t>
      </w:r>
      <w:r w:rsidR="002C697A" w:rsidRPr="007B010A">
        <w:t>, ka</w:t>
      </w:r>
      <w:r w:rsidRPr="007B010A">
        <w:t xml:space="preserve"> valsts zobārstniecības pakalpojumu nodrošināšanā jāievieš kompozīta materiāla </w:t>
      </w:r>
      <w:proofErr w:type="spellStart"/>
      <w:r w:rsidRPr="007B010A">
        <w:t>plombes</w:t>
      </w:r>
      <w:proofErr w:type="spellEnd"/>
      <w:r w:rsidRPr="007B010A">
        <w:t xml:space="preserve"> zobu ārstēšanai bērniem vecumā līdz 15 gadiem, kam arī </w:t>
      </w:r>
      <w:r w:rsidR="005936DB" w:rsidRPr="007B010A">
        <w:t xml:space="preserve">tika novirzīti </w:t>
      </w:r>
      <w:r w:rsidRPr="007B010A">
        <w:t xml:space="preserve">papildus finanšu līdzekļi no veselības aprūpes budžeta. </w:t>
      </w:r>
      <w:r w:rsidR="005936DB" w:rsidRPr="007B010A">
        <w:t>L</w:t>
      </w:r>
      <w:r w:rsidRPr="007B010A">
        <w:t xml:space="preserve">ai izmantotu kompozīta materiāla </w:t>
      </w:r>
      <w:proofErr w:type="spellStart"/>
      <w:r w:rsidRPr="007B010A">
        <w:t>plombes</w:t>
      </w:r>
      <w:proofErr w:type="spellEnd"/>
      <w:r w:rsidRPr="007B010A">
        <w:t xml:space="preserve"> zobu ārstēšanai bērniem līdz 15 gadiem </w:t>
      </w:r>
      <w:r w:rsidR="005936DB" w:rsidRPr="007B010A">
        <w:t>tika piešķirti</w:t>
      </w:r>
      <w:r w:rsidRPr="007B010A">
        <w:t xml:space="preserve"> 766 774 </w:t>
      </w:r>
      <w:proofErr w:type="spellStart"/>
      <w:r w:rsidRPr="007B010A">
        <w:rPr>
          <w:i/>
        </w:rPr>
        <w:t>euro</w:t>
      </w:r>
      <w:proofErr w:type="spellEnd"/>
      <w:r w:rsidRPr="007B010A">
        <w:t>.</w:t>
      </w:r>
    </w:p>
    <w:p w14:paraId="3FD5C0F4" w14:textId="1A4B6BD9" w:rsidR="00D923AA" w:rsidRPr="007B010A" w:rsidRDefault="00D923AA" w:rsidP="00D923AA">
      <w:pPr>
        <w:pStyle w:val="ListParagraph"/>
        <w:shd w:val="clear" w:color="auto" w:fill="FFFFFF"/>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 xml:space="preserve">Atbilstoši 2018.gada faktiskajai izpildei tika veiktas </w:t>
      </w:r>
      <w:r w:rsidR="00C91D35" w:rsidRPr="007B010A">
        <w:rPr>
          <w:rFonts w:ascii="Times New Roman" w:hAnsi="Times New Roman"/>
          <w:sz w:val="24"/>
          <w:szCs w:val="24"/>
          <w:lang w:val="lv-LV"/>
        </w:rPr>
        <w:t>2</w:t>
      </w:r>
      <w:r w:rsidR="00870A0D">
        <w:rPr>
          <w:rFonts w:ascii="Times New Roman" w:hAnsi="Times New Roman"/>
          <w:sz w:val="24"/>
          <w:szCs w:val="24"/>
          <w:lang w:val="lv-LV"/>
        </w:rPr>
        <w:t> </w:t>
      </w:r>
      <w:r w:rsidR="00C91D35" w:rsidRPr="007B010A">
        <w:rPr>
          <w:rFonts w:ascii="Times New Roman" w:hAnsi="Times New Roman"/>
          <w:sz w:val="24"/>
          <w:szCs w:val="24"/>
          <w:lang w:val="lv-LV"/>
        </w:rPr>
        <w:t>142</w:t>
      </w:r>
      <w:r w:rsidR="00870A0D">
        <w:rPr>
          <w:rFonts w:ascii="Times New Roman" w:hAnsi="Times New Roman"/>
          <w:sz w:val="24"/>
          <w:szCs w:val="24"/>
          <w:lang w:val="lv-LV"/>
        </w:rPr>
        <w:t> </w:t>
      </w:r>
      <w:r w:rsidR="00C91D35" w:rsidRPr="007B010A">
        <w:rPr>
          <w:rFonts w:ascii="Times New Roman" w:hAnsi="Times New Roman"/>
          <w:sz w:val="24"/>
          <w:szCs w:val="24"/>
          <w:lang w:val="lv-LV"/>
        </w:rPr>
        <w:t>881</w:t>
      </w:r>
      <w:r w:rsidRPr="007B010A">
        <w:rPr>
          <w:rFonts w:ascii="Times New Roman" w:hAnsi="Times New Roman"/>
          <w:sz w:val="24"/>
          <w:szCs w:val="24"/>
          <w:lang w:val="lv-LV"/>
        </w:rPr>
        <w:t xml:space="preserve"> manipulācijas ar palielināto zobārstniecības tarifu par kopējo summu </w:t>
      </w:r>
      <w:r w:rsidR="00502565" w:rsidRPr="007B010A">
        <w:rPr>
          <w:rFonts w:ascii="Times New Roman" w:hAnsi="Times New Roman"/>
          <w:sz w:val="24"/>
          <w:szCs w:val="24"/>
          <w:lang w:val="lv-LV"/>
        </w:rPr>
        <w:t>2</w:t>
      </w:r>
      <w:r w:rsidR="00870A0D">
        <w:rPr>
          <w:rFonts w:ascii="Times New Roman" w:hAnsi="Times New Roman"/>
          <w:sz w:val="24"/>
          <w:szCs w:val="24"/>
          <w:lang w:val="lv-LV"/>
        </w:rPr>
        <w:t> </w:t>
      </w:r>
      <w:r w:rsidR="00502565" w:rsidRPr="007B010A">
        <w:rPr>
          <w:rFonts w:ascii="Times New Roman" w:hAnsi="Times New Roman"/>
          <w:sz w:val="24"/>
          <w:szCs w:val="24"/>
          <w:lang w:val="lv-LV"/>
        </w:rPr>
        <w:t>764</w:t>
      </w:r>
      <w:r w:rsidR="00870A0D">
        <w:rPr>
          <w:rFonts w:ascii="Times New Roman" w:hAnsi="Times New Roman"/>
          <w:sz w:val="24"/>
          <w:szCs w:val="24"/>
          <w:lang w:val="lv-LV"/>
        </w:rPr>
        <w:t> </w:t>
      </w:r>
      <w:r w:rsidR="00502565" w:rsidRPr="007B010A">
        <w:rPr>
          <w:rFonts w:ascii="Times New Roman" w:hAnsi="Times New Roman"/>
          <w:sz w:val="24"/>
          <w:szCs w:val="24"/>
          <w:lang w:val="lv-LV"/>
        </w:rPr>
        <w:t>316</w:t>
      </w:r>
      <w:r w:rsidRPr="007B010A">
        <w:rPr>
          <w:rFonts w:ascii="Times New Roman" w:hAnsi="Times New Roman"/>
          <w:sz w:val="24"/>
          <w:szCs w:val="24"/>
          <w:lang w:val="lv-LV"/>
        </w:rPr>
        <w:t xml:space="preserve">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kā arī </w:t>
      </w:r>
      <w:r w:rsidR="00502565" w:rsidRPr="007B010A">
        <w:rPr>
          <w:rFonts w:ascii="Times New Roman" w:hAnsi="Times New Roman"/>
          <w:sz w:val="24"/>
          <w:szCs w:val="24"/>
          <w:lang w:val="lv-LV"/>
        </w:rPr>
        <w:t>114</w:t>
      </w:r>
      <w:r w:rsidR="00870A0D">
        <w:rPr>
          <w:rFonts w:ascii="Times New Roman" w:hAnsi="Times New Roman"/>
          <w:sz w:val="24"/>
          <w:szCs w:val="24"/>
          <w:lang w:val="lv-LV"/>
        </w:rPr>
        <w:t> </w:t>
      </w:r>
      <w:r w:rsidR="00502565" w:rsidRPr="007B010A">
        <w:rPr>
          <w:rFonts w:ascii="Times New Roman" w:hAnsi="Times New Roman"/>
          <w:sz w:val="24"/>
          <w:szCs w:val="24"/>
          <w:lang w:val="lv-LV"/>
        </w:rPr>
        <w:t>577</w:t>
      </w:r>
      <w:r w:rsidRPr="007B010A">
        <w:rPr>
          <w:rFonts w:ascii="Times New Roman" w:hAnsi="Times New Roman"/>
          <w:sz w:val="24"/>
          <w:szCs w:val="24"/>
          <w:lang w:val="lv-LV"/>
        </w:rPr>
        <w:t xml:space="preserve"> manipulācijas, kurās tika pielietots kompozīts par kopējo summu </w:t>
      </w:r>
      <w:r w:rsidR="00502565" w:rsidRPr="007B010A">
        <w:rPr>
          <w:rFonts w:ascii="Times New Roman" w:hAnsi="Times New Roman"/>
          <w:sz w:val="24"/>
          <w:szCs w:val="24"/>
          <w:lang w:val="lv-LV"/>
        </w:rPr>
        <w:t>2</w:t>
      </w:r>
      <w:r w:rsidR="00870A0D">
        <w:rPr>
          <w:rFonts w:ascii="Times New Roman" w:hAnsi="Times New Roman"/>
          <w:sz w:val="24"/>
          <w:szCs w:val="24"/>
          <w:lang w:val="lv-LV"/>
        </w:rPr>
        <w:t> </w:t>
      </w:r>
      <w:r w:rsidR="00502565" w:rsidRPr="007B010A">
        <w:rPr>
          <w:rFonts w:ascii="Times New Roman" w:hAnsi="Times New Roman"/>
          <w:sz w:val="24"/>
          <w:szCs w:val="24"/>
          <w:lang w:val="lv-LV"/>
        </w:rPr>
        <w:t>319</w:t>
      </w:r>
      <w:r w:rsidR="00870A0D">
        <w:rPr>
          <w:rFonts w:ascii="Times New Roman" w:hAnsi="Times New Roman"/>
          <w:sz w:val="24"/>
          <w:szCs w:val="24"/>
          <w:lang w:val="lv-LV"/>
        </w:rPr>
        <w:t> </w:t>
      </w:r>
      <w:r w:rsidR="00502565" w:rsidRPr="007B010A">
        <w:rPr>
          <w:rFonts w:ascii="Times New Roman" w:hAnsi="Times New Roman"/>
          <w:sz w:val="24"/>
          <w:szCs w:val="24"/>
          <w:lang w:val="lv-LV"/>
        </w:rPr>
        <w:t>439</w:t>
      </w:r>
      <w:r w:rsidRPr="007B010A">
        <w:rPr>
          <w:rFonts w:ascii="Times New Roman" w:hAnsi="Times New Roman"/>
          <w:sz w:val="24"/>
          <w:szCs w:val="24"/>
          <w:lang w:val="lv-LV"/>
        </w:rPr>
        <w:t xml:space="preserve">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w:t>
      </w:r>
    </w:p>
    <w:p w14:paraId="3865666B" w14:textId="6B5AC2A1" w:rsidR="00DF5C1E" w:rsidRPr="007B010A" w:rsidRDefault="00DF5C1E" w:rsidP="00DF5C1E">
      <w:pPr>
        <w:pStyle w:val="ListParagraph"/>
        <w:shd w:val="clear" w:color="auto" w:fill="FFFFFF"/>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2017.gada laikā veiktā nepieciešamā  finansējuma līdzekļu aprēķinā zobārstniecības pakalpojumu tarifu palielinājumam bija iekļautas zobu ārstēšanas manipulācijas ar amalgamu (“dzīvsudraba” plombas) ar manipulācijas kodu 70222–70230. Kopējais zobārstniecības manipulāciju skaits zobu labošanā 2018.gada 1.pusgadā, pielietojot kompozīta materiālus plombās ir audzis par 72</w:t>
      </w:r>
      <w:r w:rsidR="00870A0D">
        <w:rPr>
          <w:rFonts w:ascii="Times New Roman" w:hAnsi="Times New Roman"/>
          <w:sz w:val="24"/>
          <w:szCs w:val="24"/>
          <w:lang w:val="lv-LV"/>
        </w:rPr>
        <w:t> </w:t>
      </w:r>
      <w:r w:rsidRPr="007B010A">
        <w:rPr>
          <w:rFonts w:ascii="Times New Roman" w:hAnsi="Times New Roman"/>
          <w:sz w:val="24"/>
          <w:szCs w:val="24"/>
          <w:lang w:val="lv-LV"/>
        </w:rPr>
        <w:t>544 (2017.gadā – 83</w:t>
      </w:r>
      <w:r w:rsidR="00870A0D">
        <w:rPr>
          <w:rFonts w:ascii="Times New Roman" w:hAnsi="Times New Roman"/>
          <w:sz w:val="24"/>
          <w:szCs w:val="24"/>
          <w:lang w:val="lv-LV"/>
        </w:rPr>
        <w:t xml:space="preserve"> </w:t>
      </w:r>
      <w:r w:rsidRPr="007B010A">
        <w:rPr>
          <w:rFonts w:ascii="Times New Roman" w:hAnsi="Times New Roman"/>
          <w:sz w:val="24"/>
          <w:szCs w:val="24"/>
          <w:lang w:val="lv-LV"/>
        </w:rPr>
        <w:t>161, 2018.gada 1.pusgadā – 155</w:t>
      </w:r>
      <w:r w:rsidR="00870A0D">
        <w:rPr>
          <w:rFonts w:ascii="Times New Roman" w:hAnsi="Times New Roman"/>
          <w:sz w:val="24"/>
          <w:szCs w:val="24"/>
          <w:lang w:val="lv-LV"/>
        </w:rPr>
        <w:t> </w:t>
      </w:r>
      <w:r w:rsidRPr="007B010A">
        <w:rPr>
          <w:rFonts w:ascii="Times New Roman" w:hAnsi="Times New Roman"/>
          <w:sz w:val="24"/>
          <w:szCs w:val="24"/>
          <w:lang w:val="lv-LV"/>
        </w:rPr>
        <w:t>705 (t.sk. 114 577 jaunas kompozīta materiāla plombu manipulācijas).</w:t>
      </w:r>
    </w:p>
    <w:p w14:paraId="3456779B" w14:textId="13E9850A" w:rsidR="00D923AA" w:rsidRPr="007B010A" w:rsidRDefault="00DF5C1E" w:rsidP="00897850">
      <w:pPr>
        <w:pStyle w:val="ListParagraph"/>
        <w:shd w:val="clear" w:color="auto" w:fill="FFFFFF"/>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2018.gada ietvaros pārskatītie zobārstniecības tarifi atļāva saglabāt esošo zobārstniecības iestāžu skaitu, kas nodrošina pakalpojumus bērniem. Tika apturēta tendence, ka zobārstniecības pakalpojumu sniedzēji zemo tarifu dēļ pārtrauc līguma attiecības. Uz 2018.gada 10.decembri bija noslēgti 250 līgumi par zobārstniecības pakalpojumu sniegšanu, kur 2018.gadā tika nodrošināti 477</w:t>
      </w:r>
      <w:r w:rsidR="00870A0D">
        <w:rPr>
          <w:rFonts w:ascii="Times New Roman" w:hAnsi="Times New Roman"/>
          <w:sz w:val="24"/>
          <w:szCs w:val="24"/>
          <w:lang w:val="lv-LV"/>
        </w:rPr>
        <w:t> </w:t>
      </w:r>
      <w:r w:rsidRPr="007B010A">
        <w:rPr>
          <w:rFonts w:ascii="Times New Roman" w:hAnsi="Times New Roman"/>
          <w:sz w:val="24"/>
          <w:szCs w:val="24"/>
          <w:lang w:val="lv-LV"/>
        </w:rPr>
        <w:t>791 apmeklējumi, savukārt uz 2017.gada 31.decembri bija noslēgti 251 līgumi un tika nodrošināti 483</w:t>
      </w:r>
      <w:r w:rsidR="00870A0D">
        <w:rPr>
          <w:rFonts w:ascii="Times New Roman" w:hAnsi="Times New Roman"/>
          <w:sz w:val="24"/>
          <w:szCs w:val="24"/>
          <w:lang w:val="lv-LV"/>
        </w:rPr>
        <w:t> </w:t>
      </w:r>
      <w:r w:rsidRPr="007B010A">
        <w:rPr>
          <w:rFonts w:ascii="Times New Roman" w:hAnsi="Times New Roman"/>
          <w:sz w:val="24"/>
          <w:szCs w:val="24"/>
          <w:lang w:val="lv-LV"/>
        </w:rPr>
        <w:t>974 apmeklējumi 2017.gadā. 2019.gadā tika noslēgti 251 līgumi par valsts apmaksātu zobārstniecības pakalpojumu sniegšanu. Tādējādi ir izpildītas noteiktās ES saistības pa kompozīta materiāla plombu lietošanu zobārstniecībā no 2018.gada un apstādināta līgumpartneru samazinājuma tendence</w:t>
      </w:r>
      <w:r w:rsidR="000F7E05" w:rsidRPr="007B010A">
        <w:rPr>
          <w:rFonts w:ascii="Times New Roman" w:hAnsi="Times New Roman"/>
          <w:sz w:val="24"/>
          <w:szCs w:val="24"/>
          <w:lang w:val="lv-LV"/>
        </w:rPr>
        <w:t>.</w:t>
      </w:r>
      <w:r w:rsidR="00502565" w:rsidRPr="007B010A">
        <w:rPr>
          <w:rFonts w:ascii="Times New Roman" w:hAnsi="Times New Roman"/>
          <w:sz w:val="24"/>
          <w:szCs w:val="24"/>
          <w:lang w:val="lv-LV"/>
        </w:rPr>
        <w:t>2019.gadā</w:t>
      </w:r>
      <w:r w:rsidR="00D923AA" w:rsidRPr="007B010A">
        <w:rPr>
          <w:rFonts w:ascii="Times New Roman" w:hAnsi="Times New Roman"/>
          <w:sz w:val="24"/>
          <w:szCs w:val="24"/>
          <w:lang w:val="lv-LV"/>
        </w:rPr>
        <w:t xml:space="preserve"> tiks turpinātas iesāktās intervences, lai uzlabotu zobārstniecības pieejamību bērniem.</w:t>
      </w:r>
    </w:p>
    <w:p w14:paraId="2F839D1C" w14:textId="672F129C" w:rsidR="00E563F0" w:rsidRPr="007B010A" w:rsidRDefault="00E563F0" w:rsidP="00897850">
      <w:pPr>
        <w:pStyle w:val="ListParagraph"/>
        <w:shd w:val="clear" w:color="auto" w:fill="FFFFFF"/>
        <w:spacing w:after="0" w:line="240" w:lineRule="auto"/>
        <w:ind w:left="0" w:firstLine="720"/>
        <w:jc w:val="both"/>
        <w:rPr>
          <w:rFonts w:ascii="Times New Roman" w:hAnsi="Times New Roman"/>
          <w:sz w:val="24"/>
          <w:szCs w:val="24"/>
          <w:lang w:val="lv-LV"/>
        </w:rPr>
      </w:pPr>
    </w:p>
    <w:p w14:paraId="13E9E9E7" w14:textId="77777777" w:rsidR="00E563F0" w:rsidRPr="007B010A" w:rsidRDefault="00E563F0" w:rsidP="00897850">
      <w:pPr>
        <w:pStyle w:val="ListParagraph"/>
        <w:shd w:val="clear" w:color="auto" w:fill="FFFFFF"/>
        <w:spacing w:after="0" w:line="240" w:lineRule="auto"/>
        <w:ind w:left="0" w:firstLine="720"/>
        <w:jc w:val="both"/>
        <w:rPr>
          <w:rFonts w:ascii="Times New Roman" w:hAnsi="Times New Roman"/>
          <w:sz w:val="24"/>
          <w:szCs w:val="24"/>
          <w:lang w:val="lv-LV"/>
        </w:rPr>
      </w:pPr>
    </w:p>
    <w:p w14:paraId="74374D59" w14:textId="77777777" w:rsidR="00D923AA" w:rsidRPr="007B010A" w:rsidRDefault="00D923AA" w:rsidP="00D923AA">
      <w:pPr>
        <w:pStyle w:val="ListParagraph"/>
        <w:numPr>
          <w:ilvl w:val="0"/>
          <w:numId w:val="13"/>
        </w:numPr>
        <w:autoSpaceDE w:val="0"/>
        <w:autoSpaceDN w:val="0"/>
        <w:adjustRightInd w:val="0"/>
        <w:spacing w:line="293" w:lineRule="atLeast"/>
        <w:jc w:val="center"/>
        <w:rPr>
          <w:rFonts w:ascii="Times New Roman" w:hAnsi="Times New Roman"/>
          <w:b/>
          <w:sz w:val="28"/>
          <w:szCs w:val="28"/>
          <w:lang w:val="lv-LV"/>
        </w:rPr>
      </w:pPr>
      <w:r w:rsidRPr="007B010A">
        <w:rPr>
          <w:rFonts w:ascii="Times New Roman" w:hAnsi="Times New Roman"/>
          <w:b/>
          <w:sz w:val="28"/>
          <w:szCs w:val="28"/>
          <w:lang w:val="lv-LV"/>
        </w:rPr>
        <w:t>Sirds un asinsvadu programma</w:t>
      </w:r>
    </w:p>
    <w:p w14:paraId="5F70D27B" w14:textId="77777777" w:rsidR="00D923AA" w:rsidRPr="007B010A" w:rsidRDefault="00D923AA" w:rsidP="00D923AA">
      <w:pPr>
        <w:pStyle w:val="ListParagraph"/>
        <w:autoSpaceDE w:val="0"/>
        <w:autoSpaceDN w:val="0"/>
        <w:adjustRightInd w:val="0"/>
        <w:spacing w:line="293" w:lineRule="atLeast"/>
        <w:ind w:left="1440"/>
        <w:jc w:val="both"/>
        <w:rPr>
          <w:rFonts w:ascii="Times New Roman" w:hAnsi="Times New Roman"/>
          <w:b/>
          <w:sz w:val="24"/>
          <w:szCs w:val="24"/>
          <w:lang w:val="lv-LV"/>
        </w:rPr>
      </w:pPr>
      <w:r w:rsidRPr="007B010A">
        <w:rPr>
          <w:rFonts w:ascii="Times New Roman" w:hAnsi="Times New Roman"/>
          <w:b/>
          <w:sz w:val="24"/>
          <w:szCs w:val="24"/>
          <w:lang w:val="lv-LV"/>
        </w:rPr>
        <w:t>5.1.Kardiovaskulārā riska izvērtēšana un algoritmu ieviešana</w:t>
      </w:r>
    </w:p>
    <w:p w14:paraId="2016EFED" w14:textId="77777777" w:rsidR="00F742C2" w:rsidRPr="007B010A" w:rsidRDefault="00F742C2" w:rsidP="00F742C2">
      <w:pPr>
        <w:ind w:firstLine="720"/>
        <w:jc w:val="both"/>
      </w:pPr>
      <w:r w:rsidRPr="007B010A">
        <w:t>Sirds un asinsvadu slimības ir nozīmīga sabiedrības veselības problēma gan Latvijā, gan ES. To apliecina augstie mirstības, saslimstības un hospitalizācijas rādītāji. Sirds un asinsvadu slimības (turpmāk - SAS) ir visizplatītākais nāves cēlonis Latvijā.</w:t>
      </w:r>
    </w:p>
    <w:p w14:paraId="5CA42471" w14:textId="2AFF07A7" w:rsidR="00F742C2" w:rsidRPr="007B010A" w:rsidRDefault="00F742C2" w:rsidP="00F742C2">
      <w:pPr>
        <w:ind w:firstLine="720"/>
        <w:jc w:val="both"/>
      </w:pPr>
      <w:r w:rsidRPr="007B010A">
        <w:rPr>
          <w:bCs/>
          <w:kern w:val="1"/>
          <w:lang w:eastAsia="ar-SA"/>
        </w:rPr>
        <w:t>Vienlaikus primārā veselības aprūpe ir nozīmīga veselības aprūpes sistēmas sastāvdaļa. Pilnveidojot pamata līmeni veselības aprūpes sistēmā, nepieciešams uzlabot SAS profilaksi un agrīnu diagnostiku primārā veselības aprūpes līmenī, tādējādi iespējami mazinot SAS radītās sekas.</w:t>
      </w:r>
    </w:p>
    <w:p w14:paraId="0647B239" w14:textId="1D0E9951" w:rsidR="00D923AA" w:rsidRPr="007B010A" w:rsidRDefault="00D923AA" w:rsidP="00D923AA">
      <w:pPr>
        <w:ind w:firstLine="720"/>
        <w:jc w:val="both"/>
      </w:pPr>
      <w:r w:rsidRPr="007B010A">
        <w:t>SAS profilakses uzsākšanai 2018.gadā nepieciešams finansējums 1</w:t>
      </w:r>
      <w:r w:rsidR="00870A0D">
        <w:t> </w:t>
      </w:r>
      <w:r w:rsidRPr="007B010A">
        <w:t>599</w:t>
      </w:r>
      <w:r w:rsidR="00870A0D">
        <w:t> </w:t>
      </w:r>
      <w:r w:rsidRPr="007B010A">
        <w:t xml:space="preserve">926 </w:t>
      </w:r>
      <w:proofErr w:type="spellStart"/>
      <w:r w:rsidRPr="007B010A">
        <w:rPr>
          <w:i/>
        </w:rPr>
        <w:t>euro</w:t>
      </w:r>
      <w:proofErr w:type="spellEnd"/>
      <w:r w:rsidRPr="007B010A">
        <w:t>, tai skaitā kardiologu sniegto veselības aprūpes pakalpojumu nodrošināšanai un papildus izmeklējumie</w:t>
      </w:r>
      <w:r w:rsidR="00477AED" w:rsidRPr="007B010A">
        <w:t>m tika plānots novirzīt 887 175 </w:t>
      </w:r>
      <w:proofErr w:type="spellStart"/>
      <w:r w:rsidRPr="007B010A">
        <w:rPr>
          <w:i/>
        </w:rPr>
        <w:t>euro</w:t>
      </w:r>
      <w:proofErr w:type="spellEnd"/>
      <w:r w:rsidRPr="007B010A">
        <w:t>.</w:t>
      </w:r>
    </w:p>
    <w:p w14:paraId="055A8F19" w14:textId="47BA326A" w:rsidR="00155550" w:rsidRPr="007B010A" w:rsidRDefault="00155550" w:rsidP="00D923AA">
      <w:pPr>
        <w:ind w:firstLine="720"/>
        <w:jc w:val="both"/>
      </w:pPr>
      <w:r w:rsidRPr="007B010A">
        <w:t xml:space="preserve">Gada </w:t>
      </w:r>
      <w:r w:rsidR="00353E2A" w:rsidRPr="007B010A">
        <w:t>vidū</w:t>
      </w:r>
      <w:r w:rsidRPr="007B010A">
        <w:t xml:space="preserve"> tika izstrādāt</w:t>
      </w:r>
      <w:r w:rsidR="007A293F" w:rsidRPr="007B010A">
        <w:t>i</w:t>
      </w:r>
      <w:r w:rsidRPr="007B010A">
        <w:t xml:space="preserve"> </w:t>
      </w:r>
      <w:r w:rsidR="007A293F" w:rsidRPr="007B010A">
        <w:rPr>
          <w:bCs/>
          <w:kern w:val="1"/>
          <w:lang w:eastAsia="ar-SA"/>
        </w:rPr>
        <w:t>Ministru kabineta 2018.gada 24.jūlija noteikumi Nr.452 “Kārtība, kādā sniedzami veselības aprūpes pakalpojumi sirds un asinsvadu profilaksei” (turpmāk – Noteikumi Nr.452)</w:t>
      </w:r>
      <w:r w:rsidRPr="007B010A">
        <w:t>, kas stājās spēkā no 2018.gada 1.</w:t>
      </w:r>
      <w:r w:rsidR="00E45DFF" w:rsidRPr="007B010A">
        <w:t>augusta</w:t>
      </w:r>
      <w:r w:rsidR="00F11CEE" w:rsidRPr="007B010A">
        <w:t xml:space="preserve">, </w:t>
      </w:r>
      <w:r w:rsidR="00353E2A" w:rsidRPr="007B010A">
        <w:t>no kā arī</w:t>
      </w:r>
      <w:r w:rsidRPr="007B010A">
        <w:t xml:space="preserve"> </w:t>
      </w:r>
      <w:r w:rsidR="00F11CEE" w:rsidRPr="007B010A">
        <w:t>tika</w:t>
      </w:r>
      <w:r w:rsidRPr="007B010A">
        <w:t xml:space="preserve"> uzsāk</w:t>
      </w:r>
      <w:r w:rsidR="00F11CEE" w:rsidRPr="007B010A">
        <w:t>ta</w:t>
      </w:r>
      <w:r w:rsidRPr="007B010A">
        <w:t xml:space="preserve"> līdzek</w:t>
      </w:r>
      <w:r w:rsidR="00D96E5C" w:rsidRPr="007B010A">
        <w:t xml:space="preserve">ļu apguve. </w:t>
      </w:r>
      <w:r w:rsidR="00F11CEE" w:rsidRPr="007B010A">
        <w:t>Noteikumu Nr.452</w:t>
      </w:r>
      <w:r w:rsidR="00572BC7" w:rsidRPr="007B010A">
        <w:t xml:space="preserve"> izstrādāšanā</w:t>
      </w:r>
      <w:r w:rsidRPr="007B010A">
        <w:t xml:space="preserve"> bija ies</w:t>
      </w:r>
      <w:r w:rsidR="006F651A" w:rsidRPr="007B010A">
        <w:t>aistīti gan</w:t>
      </w:r>
      <w:r w:rsidR="00353E2A" w:rsidRPr="007B010A">
        <w:t xml:space="preserve"> Latvijas</w:t>
      </w:r>
      <w:r w:rsidR="006F651A" w:rsidRPr="007B010A">
        <w:t xml:space="preserve"> kardiologu biedrība</w:t>
      </w:r>
      <w:r w:rsidRPr="007B010A">
        <w:t xml:space="preserve">, </w:t>
      </w:r>
      <w:r w:rsidRPr="007B010A">
        <w:lastRenderedPageBreak/>
        <w:t xml:space="preserve">gan </w:t>
      </w:r>
      <w:r w:rsidR="00353E2A" w:rsidRPr="007B010A">
        <w:t xml:space="preserve">Latvijas lauku </w:t>
      </w:r>
      <w:r w:rsidRPr="007B010A">
        <w:t>ģimenes ārstu asociācija. Rezultātā ir izveidota sirds un asinsvadu</w:t>
      </w:r>
      <w:r w:rsidR="006F651A" w:rsidRPr="007B010A">
        <w:t xml:space="preserve"> slimības profilakses programma</w:t>
      </w:r>
      <w:r w:rsidRPr="007B010A">
        <w:t>, kas orientēta uz konkrētu medicīnisko mērķu sasniegšanu, lai pagarinātu iedzīvotāju dzīvildzi.</w:t>
      </w:r>
    </w:p>
    <w:p w14:paraId="078CD9A7" w14:textId="5C338325" w:rsidR="00D923AA" w:rsidRPr="007B010A" w:rsidRDefault="00D923AA" w:rsidP="00D923AA">
      <w:pPr>
        <w:ind w:firstLine="720"/>
        <w:jc w:val="both"/>
        <w:rPr>
          <w:bCs/>
          <w:kern w:val="1"/>
          <w:lang w:eastAsia="ar-SA"/>
        </w:rPr>
      </w:pPr>
      <w:r w:rsidRPr="007B010A">
        <w:rPr>
          <w:bCs/>
          <w:kern w:val="1"/>
          <w:lang w:eastAsia="ar-SA"/>
        </w:rPr>
        <w:t xml:space="preserve">Atbilstoši informatīvajam ziņojumam par pārdali, kurā ņemot vērā hronisko pacientu aprūpes reformai paredzēto līdzekļu ekonomiju papildus līdzekļi tiktu novirzīti </w:t>
      </w:r>
      <w:r w:rsidR="00477AED" w:rsidRPr="007B010A">
        <w:rPr>
          <w:bCs/>
          <w:kern w:val="1"/>
          <w:lang w:eastAsia="ar-SA"/>
        </w:rPr>
        <w:t xml:space="preserve">SAS </w:t>
      </w:r>
      <w:r w:rsidRPr="007B010A">
        <w:rPr>
          <w:bCs/>
          <w:kern w:val="1"/>
          <w:lang w:eastAsia="ar-SA"/>
        </w:rPr>
        <w:t>programmai.</w:t>
      </w:r>
    </w:p>
    <w:p w14:paraId="5F964DFC" w14:textId="4E65577B" w:rsidR="00D923AA" w:rsidRPr="007B010A" w:rsidRDefault="00477AED" w:rsidP="00D923AA">
      <w:pPr>
        <w:ind w:firstLine="720"/>
        <w:jc w:val="both"/>
        <w:rPr>
          <w:bCs/>
          <w:kern w:val="1"/>
          <w:lang w:eastAsia="ar-SA"/>
        </w:rPr>
      </w:pPr>
      <w:r w:rsidRPr="007B010A">
        <w:rPr>
          <w:bCs/>
          <w:kern w:val="1"/>
          <w:lang w:eastAsia="ar-SA"/>
        </w:rPr>
        <w:t>Līdz 2018.gada 1</w:t>
      </w:r>
      <w:r w:rsidR="00D923AA" w:rsidRPr="007B010A">
        <w:rPr>
          <w:bCs/>
          <w:kern w:val="1"/>
          <w:lang w:eastAsia="ar-SA"/>
        </w:rPr>
        <w:t xml:space="preserve">.septembrim </w:t>
      </w:r>
      <w:r w:rsidR="002C697A" w:rsidRPr="007B010A">
        <w:rPr>
          <w:bCs/>
          <w:kern w:val="1"/>
          <w:lang w:eastAsia="ar-SA"/>
        </w:rPr>
        <w:t>Noteikumi Nr.452</w:t>
      </w:r>
      <w:r w:rsidR="00D923AA" w:rsidRPr="007B010A">
        <w:rPr>
          <w:bCs/>
          <w:kern w:val="1"/>
          <w:lang w:eastAsia="ar-SA"/>
        </w:rPr>
        <w:t xml:space="preserve"> paredzēja ieviest un attīstīt </w:t>
      </w:r>
      <w:r w:rsidR="0091099E" w:rsidRPr="007B010A">
        <w:rPr>
          <w:bCs/>
          <w:kern w:val="1"/>
          <w:lang w:eastAsia="ar-SA"/>
        </w:rPr>
        <w:t>SAS</w:t>
      </w:r>
      <w:r w:rsidR="00D923AA" w:rsidRPr="007B010A">
        <w:rPr>
          <w:bCs/>
          <w:kern w:val="1"/>
          <w:lang w:eastAsia="ar-SA"/>
        </w:rPr>
        <w:t xml:space="preserve"> profilaksi iedzīvotājiem 40, 45, 50, 55, 60 un 65 gadu vecumā atbilstoši starptautiski atzītai SCORE metodei jeb sistemātiskā koronārā riska izvērtēšanai (</w:t>
      </w:r>
      <w:proofErr w:type="spellStart"/>
      <w:r w:rsidR="00D923AA" w:rsidRPr="007B010A">
        <w:rPr>
          <w:bCs/>
          <w:i/>
          <w:kern w:val="1"/>
          <w:lang w:eastAsia="ar-SA"/>
        </w:rPr>
        <w:t>Systematic</w:t>
      </w:r>
      <w:proofErr w:type="spellEnd"/>
      <w:r w:rsidR="00D923AA" w:rsidRPr="007B010A">
        <w:rPr>
          <w:bCs/>
          <w:i/>
          <w:kern w:val="1"/>
          <w:lang w:eastAsia="ar-SA"/>
        </w:rPr>
        <w:t xml:space="preserve"> </w:t>
      </w:r>
      <w:proofErr w:type="spellStart"/>
      <w:r w:rsidR="00D923AA" w:rsidRPr="007B010A">
        <w:rPr>
          <w:bCs/>
          <w:i/>
          <w:kern w:val="1"/>
          <w:lang w:eastAsia="ar-SA"/>
        </w:rPr>
        <w:t>Coronary</w:t>
      </w:r>
      <w:proofErr w:type="spellEnd"/>
      <w:r w:rsidR="00D923AA" w:rsidRPr="007B010A">
        <w:rPr>
          <w:bCs/>
          <w:i/>
          <w:kern w:val="1"/>
          <w:lang w:eastAsia="ar-SA"/>
        </w:rPr>
        <w:t xml:space="preserve"> Risk </w:t>
      </w:r>
      <w:proofErr w:type="spellStart"/>
      <w:r w:rsidR="00D923AA" w:rsidRPr="007B010A">
        <w:rPr>
          <w:bCs/>
          <w:i/>
          <w:kern w:val="1"/>
          <w:lang w:eastAsia="ar-SA"/>
        </w:rPr>
        <w:t>Evaluation</w:t>
      </w:r>
      <w:proofErr w:type="spellEnd"/>
      <w:r w:rsidR="00D923AA" w:rsidRPr="007B010A">
        <w:rPr>
          <w:bCs/>
          <w:i/>
          <w:kern w:val="1"/>
          <w:lang w:eastAsia="ar-SA"/>
        </w:rPr>
        <w:t xml:space="preserve"> – </w:t>
      </w:r>
      <w:r w:rsidR="00D923AA" w:rsidRPr="007B010A">
        <w:rPr>
          <w:bCs/>
          <w:kern w:val="1"/>
          <w:lang w:eastAsia="ar-SA"/>
        </w:rPr>
        <w:t>angļu val</w:t>
      </w:r>
      <w:r w:rsidR="00D923AA" w:rsidRPr="007B010A">
        <w:rPr>
          <w:bCs/>
          <w:i/>
          <w:kern w:val="1"/>
          <w:lang w:eastAsia="ar-SA"/>
        </w:rPr>
        <w:t>.</w:t>
      </w:r>
      <w:r w:rsidR="00D923AA" w:rsidRPr="007B010A">
        <w:rPr>
          <w:bCs/>
          <w:kern w:val="1"/>
          <w:lang w:eastAsia="ar-SA"/>
        </w:rPr>
        <w:t>), tādējādi uzlabojot SAS profilaksi un agrīnu diagnostiku primārās veselības aprūpes līmenī</w:t>
      </w:r>
      <w:r w:rsidR="00793BFC" w:rsidRPr="007B010A">
        <w:rPr>
          <w:bCs/>
          <w:kern w:val="1"/>
          <w:lang w:eastAsia="ar-SA"/>
        </w:rPr>
        <w:t>,</w:t>
      </w:r>
      <w:r w:rsidR="00D923AA" w:rsidRPr="007B010A">
        <w:rPr>
          <w:bCs/>
          <w:kern w:val="1"/>
          <w:lang w:eastAsia="ar-SA"/>
        </w:rPr>
        <w:t xml:space="preserve"> </w:t>
      </w:r>
      <w:r w:rsidR="00793BFC" w:rsidRPr="007B010A">
        <w:rPr>
          <w:bCs/>
          <w:kern w:val="1"/>
          <w:lang w:eastAsia="ar-SA"/>
        </w:rPr>
        <w:t>l</w:t>
      </w:r>
      <w:r w:rsidR="00D923AA" w:rsidRPr="007B010A">
        <w:rPr>
          <w:bCs/>
          <w:kern w:val="1"/>
          <w:lang w:eastAsia="ar-SA"/>
        </w:rPr>
        <w:t xml:space="preserve">ai nodrošinātu savlaicīgu augsta SAS riska pacientu identificēšanu un </w:t>
      </w:r>
      <w:r w:rsidR="00793BFC" w:rsidRPr="007B010A">
        <w:rPr>
          <w:bCs/>
          <w:kern w:val="1"/>
          <w:lang w:eastAsia="ar-SA"/>
        </w:rPr>
        <w:t xml:space="preserve">nodrošinātu nepieciešamo izmeklējumu apjomu un uzsāktu savlaicīgu ārstēšanu </w:t>
      </w:r>
      <w:r w:rsidR="00D923AA" w:rsidRPr="007B010A">
        <w:rPr>
          <w:bCs/>
          <w:kern w:val="1"/>
          <w:lang w:eastAsia="ar-SA"/>
        </w:rPr>
        <w:t>nepieciešamo profilaktisko pasākumu apjomu</w:t>
      </w:r>
      <w:r w:rsidR="0091099E" w:rsidRPr="007B010A">
        <w:rPr>
          <w:bCs/>
          <w:kern w:val="1"/>
          <w:lang w:eastAsia="ar-SA"/>
        </w:rPr>
        <w:t>.</w:t>
      </w:r>
      <w:r w:rsidR="00D923AA" w:rsidRPr="007B010A">
        <w:rPr>
          <w:bCs/>
          <w:kern w:val="1"/>
          <w:lang w:eastAsia="ar-SA"/>
        </w:rPr>
        <w:t xml:space="preserve"> </w:t>
      </w:r>
      <w:r w:rsidR="002C697A" w:rsidRPr="007B010A">
        <w:rPr>
          <w:bCs/>
          <w:kern w:val="1"/>
          <w:lang w:eastAsia="ar-SA"/>
        </w:rPr>
        <w:t>N</w:t>
      </w:r>
      <w:r w:rsidR="00D923AA" w:rsidRPr="007B010A">
        <w:rPr>
          <w:bCs/>
          <w:kern w:val="1"/>
          <w:lang w:eastAsia="ar-SA"/>
        </w:rPr>
        <w:t xml:space="preserve">oteikumi Nr.452 </w:t>
      </w:r>
      <w:r w:rsidR="00D923AA" w:rsidRPr="007B010A">
        <w:t xml:space="preserve">salīdzinājumā ar </w:t>
      </w:r>
      <w:r w:rsidR="00EC2129" w:rsidRPr="007B010A">
        <w:t>Reformu</w:t>
      </w:r>
      <w:r w:rsidR="00D923AA" w:rsidRPr="007B010A">
        <w:t xml:space="preserve"> ziņojumā paredzēto ir papildināti ar SAS profilaksi iedzīvotājiem 45 gadu vecumā </w:t>
      </w:r>
      <w:r w:rsidR="00D923AA" w:rsidRPr="007B010A">
        <w:rPr>
          <w:bCs/>
          <w:kern w:val="1"/>
          <w:lang w:eastAsia="ar-SA"/>
        </w:rPr>
        <w:t xml:space="preserve">(šobrīd spēkā </w:t>
      </w:r>
      <w:r w:rsidR="00093715" w:rsidRPr="007B010A">
        <w:rPr>
          <w:bCs/>
          <w:kern w:val="1"/>
          <w:lang w:eastAsia="ar-SA"/>
        </w:rPr>
        <w:t>N</w:t>
      </w:r>
      <w:r w:rsidR="00D923AA" w:rsidRPr="007B010A">
        <w:rPr>
          <w:bCs/>
          <w:kern w:val="1"/>
          <w:lang w:eastAsia="ar-SA"/>
        </w:rPr>
        <w:t>oteikumi Nr.</w:t>
      </w:r>
      <w:r w:rsidR="00793BFC" w:rsidRPr="007B010A">
        <w:rPr>
          <w:bCs/>
          <w:kern w:val="1"/>
          <w:lang w:eastAsia="ar-SA"/>
        </w:rPr>
        <w:t>555</w:t>
      </w:r>
      <w:r w:rsidR="00D923AA" w:rsidRPr="007B010A">
        <w:rPr>
          <w:bCs/>
          <w:kern w:val="1"/>
          <w:lang w:eastAsia="ar-SA"/>
        </w:rPr>
        <w:t>, kuri ietver aprakstīto normu regulējumu).</w:t>
      </w:r>
      <w:r w:rsidR="00D923AA" w:rsidRPr="007B010A">
        <w:t xml:space="preserve"> </w:t>
      </w:r>
    </w:p>
    <w:p w14:paraId="243AB52F" w14:textId="20D9E94B" w:rsidR="00D923AA" w:rsidRPr="007B010A" w:rsidRDefault="00793BFC" w:rsidP="00D923AA">
      <w:pPr>
        <w:ind w:firstLine="720"/>
        <w:jc w:val="both"/>
        <w:rPr>
          <w:bCs/>
          <w:kern w:val="1"/>
          <w:lang w:eastAsia="ar-SA"/>
        </w:rPr>
      </w:pPr>
      <w:r w:rsidRPr="007B010A">
        <w:rPr>
          <w:bCs/>
          <w:kern w:val="1"/>
          <w:lang w:eastAsia="ar-SA"/>
        </w:rPr>
        <w:t>SAS</w:t>
      </w:r>
      <w:r w:rsidR="00D923AA" w:rsidRPr="007B010A">
        <w:rPr>
          <w:bCs/>
          <w:kern w:val="1"/>
          <w:lang w:eastAsia="ar-SA"/>
        </w:rPr>
        <w:t xml:space="preserve"> profilakses ietvaros paredzēts, ka ģimenes ārsta praksē pacientam tiks noteikts SAS jeb </w:t>
      </w:r>
      <w:proofErr w:type="spellStart"/>
      <w:r w:rsidR="00D923AA" w:rsidRPr="007B010A">
        <w:rPr>
          <w:bCs/>
          <w:kern w:val="1"/>
          <w:lang w:eastAsia="ar-SA"/>
        </w:rPr>
        <w:t>kardiovaskulāro</w:t>
      </w:r>
      <w:proofErr w:type="spellEnd"/>
      <w:r w:rsidR="00D923AA" w:rsidRPr="007B010A">
        <w:rPr>
          <w:bCs/>
          <w:kern w:val="1"/>
          <w:lang w:eastAsia="ar-SA"/>
        </w:rPr>
        <w:t xml:space="preserve"> saslimšanu risks, pielietojot metodi fatālu </w:t>
      </w:r>
      <w:proofErr w:type="spellStart"/>
      <w:r w:rsidR="00D923AA" w:rsidRPr="007B010A">
        <w:rPr>
          <w:bCs/>
          <w:kern w:val="1"/>
          <w:lang w:eastAsia="ar-SA"/>
        </w:rPr>
        <w:t>kardiovaskulāru</w:t>
      </w:r>
      <w:proofErr w:type="spellEnd"/>
      <w:r w:rsidR="00D923AA" w:rsidRPr="007B010A">
        <w:rPr>
          <w:bCs/>
          <w:kern w:val="1"/>
          <w:lang w:eastAsia="ar-SA"/>
        </w:rPr>
        <w:t xml:space="preserve"> notikumu riska noteikšanai tuvāko 10 gadu laikā jeb SCORE metodi</w:t>
      </w:r>
      <w:r w:rsidR="00D923AA" w:rsidRPr="007B010A">
        <w:rPr>
          <w:rStyle w:val="FootnoteReference"/>
          <w:iCs/>
        </w:rPr>
        <w:footnoteReference w:id="18"/>
      </w:r>
      <w:r w:rsidR="00D923AA" w:rsidRPr="007B010A">
        <w:rPr>
          <w:iCs/>
        </w:rPr>
        <w:t>.</w:t>
      </w:r>
      <w:r w:rsidR="00D923AA" w:rsidRPr="007B010A">
        <w:rPr>
          <w:bCs/>
          <w:kern w:val="1"/>
          <w:lang w:eastAsia="ar-SA"/>
        </w:rPr>
        <w:t xml:space="preserve"> Pirms SAS riska noteikšanas pacientam ti</w:t>
      </w:r>
      <w:r w:rsidR="00586130" w:rsidRPr="007B010A">
        <w:rPr>
          <w:bCs/>
          <w:kern w:val="1"/>
          <w:lang w:eastAsia="ar-SA"/>
        </w:rPr>
        <w:t>ek</w:t>
      </w:r>
      <w:r w:rsidR="00D923AA" w:rsidRPr="007B010A">
        <w:rPr>
          <w:bCs/>
          <w:kern w:val="1"/>
          <w:lang w:eastAsia="ar-SA"/>
        </w:rPr>
        <w:t xml:space="preserve"> veikta SAS un smēķēšanas anamnēzes izvērtēšana, </w:t>
      </w:r>
      <w:proofErr w:type="spellStart"/>
      <w:r w:rsidR="00D923AA" w:rsidRPr="007B010A">
        <w:rPr>
          <w:bCs/>
          <w:kern w:val="1"/>
          <w:lang w:eastAsia="ar-SA"/>
        </w:rPr>
        <w:t>sistoliskā</w:t>
      </w:r>
      <w:proofErr w:type="spellEnd"/>
      <w:r w:rsidR="00D923AA" w:rsidRPr="007B010A">
        <w:rPr>
          <w:bCs/>
          <w:kern w:val="1"/>
          <w:lang w:eastAsia="ar-SA"/>
        </w:rPr>
        <w:t xml:space="preserve"> un </w:t>
      </w:r>
      <w:proofErr w:type="spellStart"/>
      <w:r w:rsidR="00D923AA" w:rsidRPr="007B010A">
        <w:rPr>
          <w:bCs/>
          <w:kern w:val="1"/>
          <w:lang w:eastAsia="ar-SA"/>
        </w:rPr>
        <w:t>diastoliskā</w:t>
      </w:r>
      <w:proofErr w:type="spellEnd"/>
      <w:r w:rsidR="00D923AA" w:rsidRPr="007B010A">
        <w:rPr>
          <w:bCs/>
          <w:kern w:val="1"/>
          <w:lang w:eastAsia="ar-SA"/>
        </w:rPr>
        <w:t xml:space="preserve"> asinsspiediena noteikšana, vidukļa apkārtmēra un ķermeņa masas indeksa, kopējā holesterīna un glikozes līmeņa asinīs noteikšana, kā arī sirds un miega artēriju auskultācija.</w:t>
      </w:r>
    </w:p>
    <w:p w14:paraId="7B45907B" w14:textId="3C001FDB" w:rsidR="00D923AA" w:rsidRPr="007B010A" w:rsidRDefault="00D923AA" w:rsidP="00D923AA">
      <w:pPr>
        <w:ind w:firstLine="720"/>
        <w:jc w:val="both"/>
        <w:rPr>
          <w:bCs/>
          <w:kern w:val="1"/>
          <w:lang w:eastAsia="ar-SA"/>
        </w:rPr>
      </w:pPr>
      <w:r w:rsidRPr="007B010A">
        <w:rPr>
          <w:bCs/>
          <w:kern w:val="1"/>
          <w:lang w:eastAsia="ar-SA"/>
        </w:rPr>
        <w:t xml:space="preserve">SAS riska novērtēšana ir nepieciešama, lai novērtētu nepieciešamo </w:t>
      </w:r>
      <w:proofErr w:type="spellStart"/>
      <w:r w:rsidRPr="007B010A">
        <w:rPr>
          <w:bCs/>
          <w:kern w:val="1"/>
          <w:lang w:eastAsia="ar-SA"/>
        </w:rPr>
        <w:t>papildizmeklējumu</w:t>
      </w:r>
      <w:proofErr w:type="spellEnd"/>
      <w:r w:rsidRPr="007B010A">
        <w:rPr>
          <w:bCs/>
          <w:kern w:val="1"/>
          <w:lang w:eastAsia="ar-SA"/>
        </w:rPr>
        <w:t xml:space="preserve"> lietderību un apjomu, atkarībā no riska noteiktu nepieciešamo </w:t>
      </w:r>
      <w:r w:rsidR="00793BFC" w:rsidRPr="007B010A">
        <w:rPr>
          <w:bCs/>
          <w:kern w:val="1"/>
          <w:lang w:eastAsia="ar-SA"/>
        </w:rPr>
        <w:t>izmeklējumu</w:t>
      </w:r>
      <w:r w:rsidRPr="007B010A">
        <w:rPr>
          <w:bCs/>
          <w:kern w:val="1"/>
          <w:lang w:eastAsia="ar-SA"/>
        </w:rPr>
        <w:t xml:space="preserve"> apjomu un izdalītu augsta SAS riska pacientus. </w:t>
      </w:r>
      <w:r w:rsidR="00793BFC" w:rsidRPr="007B010A">
        <w:rPr>
          <w:bCs/>
          <w:kern w:val="1"/>
          <w:lang w:eastAsia="ar-SA"/>
        </w:rPr>
        <w:t>Pacientiem ar augstāku SAS risku, nepieciešami intensīvāki veselības aprūpes pakalpojumi.</w:t>
      </w:r>
    </w:p>
    <w:p w14:paraId="36C4B8AB" w14:textId="116FCF49" w:rsidR="00D923AA" w:rsidRPr="007B010A" w:rsidRDefault="00EC2129" w:rsidP="00D923AA">
      <w:pPr>
        <w:ind w:firstLine="720"/>
        <w:jc w:val="both"/>
      </w:pPr>
      <w:r w:rsidRPr="007B010A">
        <w:rPr>
          <w:shd w:val="clear" w:color="auto" w:fill="FFFFFF"/>
          <w:lang w:bidi="lv-LV"/>
        </w:rPr>
        <w:t>Reformu</w:t>
      </w:r>
      <w:r w:rsidR="00D923AA" w:rsidRPr="007B010A">
        <w:rPr>
          <w:shd w:val="clear" w:color="auto" w:fill="FFFFFF"/>
          <w:lang w:bidi="lv-LV"/>
        </w:rPr>
        <w:t xml:space="preserve"> ziņojumā </w:t>
      </w:r>
      <w:r w:rsidR="00D923AA" w:rsidRPr="007B010A">
        <w:t>no veselības aprūpes finansēšanai budžeta resora “74. Gadskārtējā valsts budžeta izpildes procesā pārdalāmais finansējums” 08.00.00 programmā “Veselības aprūpes sistēmas reformas ieviešanas finansējums” rezervētā finansējuma, līdzekļus 1 599</w:t>
      </w:r>
      <w:r w:rsidR="00997227" w:rsidRPr="007B010A">
        <w:t> </w:t>
      </w:r>
      <w:r w:rsidR="00D923AA" w:rsidRPr="007B010A">
        <w:t>926</w:t>
      </w:r>
      <w:r w:rsidR="00997227" w:rsidRPr="007B010A">
        <w:t> </w:t>
      </w:r>
      <w:proofErr w:type="spellStart"/>
      <w:r w:rsidR="00D923AA" w:rsidRPr="007B010A">
        <w:rPr>
          <w:i/>
        </w:rPr>
        <w:t>euro</w:t>
      </w:r>
      <w:proofErr w:type="spellEnd"/>
      <w:r w:rsidR="00D923AA" w:rsidRPr="007B010A">
        <w:t xml:space="preserve"> apmērā tika atļauts izmantot </w:t>
      </w:r>
      <w:proofErr w:type="spellStart"/>
      <w:r w:rsidR="00D923AA" w:rsidRPr="007B010A">
        <w:t>kardiovaskulārā</w:t>
      </w:r>
      <w:proofErr w:type="spellEnd"/>
      <w:r w:rsidR="00D923AA" w:rsidRPr="007B010A">
        <w:t xml:space="preserve"> riska izvērtēšanai un algoritmu ieviešanai, t.sk., primārās profilakses algoritmu ieviešanai 712 751 </w:t>
      </w:r>
      <w:proofErr w:type="spellStart"/>
      <w:r w:rsidR="00D923AA" w:rsidRPr="007B010A">
        <w:rPr>
          <w:i/>
        </w:rPr>
        <w:t>euro</w:t>
      </w:r>
      <w:proofErr w:type="spellEnd"/>
      <w:r w:rsidR="00D923AA" w:rsidRPr="007B010A">
        <w:t xml:space="preserve"> apmērā un sekundārās diagnostikas un izmeklēšanas algoritmu ieviešanai 887 175 </w:t>
      </w:r>
      <w:proofErr w:type="spellStart"/>
      <w:r w:rsidR="00D923AA" w:rsidRPr="007B010A">
        <w:rPr>
          <w:i/>
        </w:rPr>
        <w:t>euro</w:t>
      </w:r>
      <w:proofErr w:type="spellEnd"/>
      <w:r w:rsidR="00D923AA" w:rsidRPr="007B010A">
        <w:t xml:space="preserve"> apmērā.</w:t>
      </w:r>
    </w:p>
    <w:p w14:paraId="33ED46DF" w14:textId="7EA8538C" w:rsidR="00D923AA" w:rsidRPr="007B010A" w:rsidRDefault="00D923AA" w:rsidP="00D923AA">
      <w:pPr>
        <w:ind w:firstLine="720"/>
        <w:jc w:val="both"/>
      </w:pPr>
      <w:r w:rsidRPr="007B010A">
        <w:t xml:space="preserve">MK noteikumi Nr.452 paredz, ka sirds un asinsvadu profilakses ietvaros ģimenes ārsta praksē pacientam tiks noteikta </w:t>
      </w:r>
      <w:r w:rsidR="00904B83" w:rsidRPr="007B010A">
        <w:t>SAS</w:t>
      </w:r>
      <w:r w:rsidRPr="007B010A">
        <w:t xml:space="preserve"> jeb </w:t>
      </w:r>
      <w:proofErr w:type="spellStart"/>
      <w:r w:rsidRPr="007B010A">
        <w:t>kardiovaskulāro</w:t>
      </w:r>
      <w:proofErr w:type="spellEnd"/>
      <w:r w:rsidRPr="007B010A">
        <w:t xml:space="preserve"> saslimšanu risks, pielietojot SCORE metodi (1.posms primārās veselības aprūpes (turpmāk – PVA) praksē), radot ietekmi 452 620 </w:t>
      </w:r>
      <w:proofErr w:type="spellStart"/>
      <w:r w:rsidRPr="007B010A">
        <w:rPr>
          <w:i/>
        </w:rPr>
        <w:t>euro</w:t>
      </w:r>
      <w:proofErr w:type="spellEnd"/>
      <w:r w:rsidRPr="007B010A">
        <w:t xml:space="preserve"> apmērā. Iepriekšminēto pasākumu plānots īstenot apakšprogrammas 33.14.00 “Primārās ambulatorās veselības aprūpes nodrošināšana” ietvaros. 1.posma PVA praksē tiek ietvert</w:t>
      </w:r>
      <w:r w:rsidR="000A2E64" w:rsidRPr="007B010A">
        <w:t>i</w:t>
      </w:r>
      <w:r w:rsidRPr="007B010A">
        <w:t xml:space="preserve"> arī laboratori</w:t>
      </w:r>
      <w:r w:rsidR="000A2E64" w:rsidRPr="007B010A">
        <w:t>skie izmeklējumi</w:t>
      </w:r>
      <w:r w:rsidRPr="007B010A">
        <w:t xml:space="preserve">, radot ietekmi 71 391 </w:t>
      </w:r>
      <w:proofErr w:type="spellStart"/>
      <w:r w:rsidRPr="007B010A">
        <w:rPr>
          <w:i/>
        </w:rPr>
        <w:t>euro</w:t>
      </w:r>
      <w:proofErr w:type="spellEnd"/>
      <w:r w:rsidRPr="007B010A">
        <w:t xml:space="preserve"> apmērā – apakšprogrammā 33.15.00 “Laboratorisko izmeklējumu nodrošināšana ambulatorajā aprūpē” finansējums tiks pārdalīts no apakšprogrammas 33.18.00 “Plānveida stacionāro veselības aprūpes pakalpojumu nodrošināšana”.</w:t>
      </w:r>
    </w:p>
    <w:p w14:paraId="30C4AF2E" w14:textId="77777777" w:rsidR="00D923AA" w:rsidRPr="007B010A" w:rsidRDefault="00D923AA" w:rsidP="00D923AA">
      <w:pPr>
        <w:ind w:firstLine="720"/>
        <w:jc w:val="both"/>
      </w:pPr>
      <w:r w:rsidRPr="007B010A">
        <w:t>Tāpat MK noteikumi Nr.452 paredz rīcību pēc sirds un asinsvadu slimības riska vērtējuma noteikšanas (2.posms – tālākie izmeklējumi), radot ietekmi:</w:t>
      </w:r>
    </w:p>
    <w:p w14:paraId="04814D35" w14:textId="77777777" w:rsidR="00D923AA" w:rsidRPr="007B010A" w:rsidRDefault="00D923AA" w:rsidP="00D923AA">
      <w:pPr>
        <w:pStyle w:val="ListParagraph"/>
        <w:numPr>
          <w:ilvl w:val="0"/>
          <w:numId w:val="16"/>
        </w:numPr>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 xml:space="preserve">PVA praksē 78 880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apmērā – pasākums tiks īstenots apakšprogrammas 33.14.00 “Primārās ambulatorās veselības aprūpes nodrošināšana” ietvaros;</w:t>
      </w:r>
    </w:p>
    <w:p w14:paraId="6F7BA765" w14:textId="13F7D711" w:rsidR="00D923AA" w:rsidRPr="007B010A" w:rsidRDefault="00D923AA" w:rsidP="00D923AA">
      <w:pPr>
        <w:pStyle w:val="ListParagraph"/>
        <w:numPr>
          <w:ilvl w:val="0"/>
          <w:numId w:val="16"/>
        </w:numPr>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Sekundārā ambulatorā veselības aprūpes praksē 799</w:t>
      </w:r>
      <w:r w:rsidR="00450E12" w:rsidRPr="007B010A">
        <w:rPr>
          <w:rFonts w:ascii="Times New Roman" w:hAnsi="Times New Roman"/>
          <w:sz w:val="24"/>
          <w:szCs w:val="24"/>
          <w:lang w:val="lv-LV"/>
        </w:rPr>
        <w:t> </w:t>
      </w:r>
      <w:r w:rsidRPr="007B010A">
        <w:rPr>
          <w:rFonts w:ascii="Times New Roman" w:hAnsi="Times New Roman"/>
          <w:sz w:val="24"/>
          <w:szCs w:val="24"/>
          <w:lang w:val="lv-LV"/>
        </w:rPr>
        <w:t>095</w:t>
      </w:r>
      <w:r w:rsidR="00450E12" w:rsidRPr="007B010A">
        <w:rPr>
          <w:rFonts w:ascii="Times New Roman" w:hAnsi="Times New Roman"/>
          <w:sz w:val="24"/>
          <w:szCs w:val="24"/>
          <w:lang w:val="lv-LV"/>
        </w:rPr>
        <w:t>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apmērā – pasākums tiks īstenots apakšprogrammas 33.16.00 “Pārējo ambulatoro veselības aprūpes pakalpojumu nodrošināšana” ietvaros;</w:t>
      </w:r>
    </w:p>
    <w:p w14:paraId="75D1AFEB" w14:textId="77777777" w:rsidR="00D923AA" w:rsidRPr="007B010A" w:rsidRDefault="00D923AA" w:rsidP="00D923AA">
      <w:pPr>
        <w:pStyle w:val="ListParagraph"/>
        <w:numPr>
          <w:ilvl w:val="0"/>
          <w:numId w:val="16"/>
        </w:numPr>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lastRenderedPageBreak/>
        <w:t xml:space="preserve">laboratorijai 304 271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apmērā - pasākums tiks īstenots pārdalot finansējumu uz apakšprogrammu 33.15.00 “Laboratorisko izmeklējumu nodrošināšana ambulatorajā aprūpē” no šādiem avotiem:</w:t>
      </w:r>
    </w:p>
    <w:p w14:paraId="0856CFAC" w14:textId="77777777" w:rsidR="00D923AA" w:rsidRPr="007B010A" w:rsidRDefault="00D923AA" w:rsidP="00D923AA">
      <w:pPr>
        <w:pStyle w:val="ListParagraph"/>
        <w:numPr>
          <w:ilvl w:val="0"/>
          <w:numId w:val="17"/>
        </w:numPr>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 xml:space="preserve">181 251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no apakšprogrammas 33.14.00 “Primārās ambulatorās veselības aprūpes nodrošināšana”;</w:t>
      </w:r>
    </w:p>
    <w:p w14:paraId="0569B25C" w14:textId="77777777" w:rsidR="00D923AA" w:rsidRPr="007B010A" w:rsidRDefault="00D923AA" w:rsidP="00D923AA">
      <w:pPr>
        <w:pStyle w:val="ListParagraph"/>
        <w:numPr>
          <w:ilvl w:val="0"/>
          <w:numId w:val="17"/>
        </w:numPr>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 xml:space="preserve">88 080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no apakšprogrammas 33.16.00 “Pārējo ambulatoro veselības aprūpes pakalpojumu nodrošināšana”;</w:t>
      </w:r>
    </w:p>
    <w:p w14:paraId="42EC21BA" w14:textId="77777777" w:rsidR="00D923AA" w:rsidRPr="007B010A" w:rsidRDefault="00D923AA" w:rsidP="00D923AA">
      <w:pPr>
        <w:pStyle w:val="ListParagraph"/>
        <w:numPr>
          <w:ilvl w:val="0"/>
          <w:numId w:val="17"/>
        </w:numPr>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 xml:space="preserve">34 940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no apakšprogrammas 33.18.00 “Plānveida stacionāro veselības aprūpes pakalpojumu nodrošināšana”</w:t>
      </w:r>
    </w:p>
    <w:p w14:paraId="4B148B4F" w14:textId="77777777" w:rsidR="00CE7006" w:rsidRPr="007B010A" w:rsidRDefault="00D923AA" w:rsidP="00CE7006">
      <w:pPr>
        <w:pStyle w:val="ListParagraph"/>
        <w:numPr>
          <w:ilvl w:val="0"/>
          <w:numId w:val="16"/>
        </w:numPr>
        <w:spacing w:after="0" w:line="240" w:lineRule="auto"/>
        <w:ind w:left="0" w:firstLine="720"/>
        <w:jc w:val="both"/>
        <w:rPr>
          <w:rFonts w:ascii="Times New Roman" w:hAnsi="Times New Roman"/>
          <w:sz w:val="24"/>
          <w:szCs w:val="24"/>
          <w:lang w:val="lv-LV"/>
        </w:rPr>
      </w:pPr>
      <w:r w:rsidRPr="007B010A">
        <w:rPr>
          <w:rFonts w:ascii="Times New Roman" w:hAnsi="Times New Roman"/>
          <w:sz w:val="24"/>
          <w:szCs w:val="24"/>
          <w:lang w:val="lv-LV"/>
        </w:rPr>
        <w:t xml:space="preserve">medikamentiem 326 379 </w:t>
      </w:r>
      <w:proofErr w:type="spellStart"/>
      <w:r w:rsidRPr="007B010A">
        <w:rPr>
          <w:rFonts w:ascii="Times New Roman" w:hAnsi="Times New Roman"/>
          <w:i/>
          <w:sz w:val="24"/>
          <w:szCs w:val="24"/>
          <w:lang w:val="lv-LV"/>
        </w:rPr>
        <w:t>euro</w:t>
      </w:r>
      <w:proofErr w:type="spellEnd"/>
      <w:r w:rsidRPr="007B010A">
        <w:rPr>
          <w:rFonts w:ascii="Times New Roman" w:hAnsi="Times New Roman"/>
          <w:sz w:val="24"/>
          <w:szCs w:val="24"/>
          <w:lang w:val="lv-LV"/>
        </w:rPr>
        <w:t xml:space="preserve"> apmērā – pasākums tiks īstenots pārdalot finansējumu no  apakšprogrammas 33.18.00 “Plānveida stacionāro veselības aprūpes pakalpojumu nodrošināšana” uz apakšprogrammu 33.03.00 “Kompensējamo medikamentu un materiālu apmaksāšana”.</w:t>
      </w:r>
    </w:p>
    <w:p w14:paraId="5DC546A0" w14:textId="768FC320" w:rsidR="00F35F94" w:rsidRPr="007B010A" w:rsidRDefault="00F35F94" w:rsidP="00353E2A">
      <w:pPr>
        <w:ind w:firstLine="720"/>
        <w:jc w:val="both"/>
      </w:pPr>
      <w:r w:rsidRPr="007B010A">
        <w:t xml:space="preserve">Vienlaicīgi, lai nodrošinātu 2018.gadam nepieciešamo finansējumu tika veikti grozījumi Ministru kabineta 2018.gada 28.augusta sēdes protokola Nr.40 30.paragrafā, paredzot, ka finansējums 33.14.00 apakšprogrammā “Primārās ambulatorās veselības aprūpes nodrošināšana”, lai nodrošinātu SAS ģimenes ārstu veikto primāro profilaksi, tiek plānots 531 500 </w:t>
      </w:r>
      <w:proofErr w:type="spellStart"/>
      <w:r w:rsidRPr="007B010A">
        <w:rPr>
          <w:i/>
        </w:rPr>
        <w:t>euro</w:t>
      </w:r>
      <w:proofErr w:type="spellEnd"/>
      <w:r w:rsidRPr="007B010A">
        <w:t xml:space="preserve"> apmērā, jeb par 181 251 </w:t>
      </w:r>
      <w:proofErr w:type="spellStart"/>
      <w:r w:rsidRPr="007B010A">
        <w:rPr>
          <w:i/>
        </w:rPr>
        <w:t>euro</w:t>
      </w:r>
      <w:proofErr w:type="spellEnd"/>
      <w:r w:rsidRPr="007B010A">
        <w:t xml:space="preserve"> mazāk nekā sākotnēji plānots, un finansējums 33.16.00 apakšprogrammā </w:t>
      </w:r>
      <w:r w:rsidR="009F0FD7">
        <w:t xml:space="preserve"> “</w:t>
      </w:r>
      <w:r w:rsidRPr="007B010A">
        <w:t>Pārējo ambulatoro veselības aprūpes pakalpojumu nodrošināšana</w:t>
      </w:r>
      <w:r w:rsidR="009F0FD7">
        <w:t>”</w:t>
      </w:r>
      <w:r w:rsidRPr="007B010A">
        <w:t>, lai nodrošinātu SAS sekundārās diagnostikas un izmeklēšanas algoritmu uzlabošanu, tika plānots 799</w:t>
      </w:r>
      <w:r w:rsidR="00870A0D">
        <w:t> </w:t>
      </w:r>
      <w:r w:rsidRPr="007B010A">
        <w:t xml:space="preserve">095 </w:t>
      </w:r>
      <w:proofErr w:type="spellStart"/>
      <w:r w:rsidRPr="007B010A">
        <w:rPr>
          <w:i/>
        </w:rPr>
        <w:t>euro</w:t>
      </w:r>
      <w:proofErr w:type="spellEnd"/>
      <w:r w:rsidRPr="007B010A">
        <w:t xml:space="preserve"> apmērā, jeb par 88 080 </w:t>
      </w:r>
      <w:proofErr w:type="spellStart"/>
      <w:r w:rsidRPr="007B010A">
        <w:rPr>
          <w:i/>
        </w:rPr>
        <w:t>euro</w:t>
      </w:r>
      <w:proofErr w:type="spellEnd"/>
      <w:r w:rsidRPr="007B010A">
        <w:t xml:space="preserve"> mazāk nekā sākotnēji plānots.</w:t>
      </w:r>
    </w:p>
    <w:p w14:paraId="046D3A38" w14:textId="3DBE6B98" w:rsidR="00353E2A" w:rsidRPr="007B010A" w:rsidRDefault="00AA3EF7" w:rsidP="00353E2A">
      <w:pPr>
        <w:ind w:firstLine="720"/>
        <w:jc w:val="both"/>
      </w:pPr>
      <w:r w:rsidRPr="007B010A">
        <w:t>Atbilstoši 2018.gada faktiskajai izpildei tika veikt</w:t>
      </w:r>
      <w:r w:rsidR="00F92727" w:rsidRPr="007B010A">
        <w:t>i primārās profilakses algoritmu ieviešanas pasākumi 1</w:t>
      </w:r>
      <w:r w:rsidR="00043077" w:rsidRPr="007B010A">
        <w:t>7</w:t>
      </w:r>
      <w:r w:rsidR="00870A0D">
        <w:t> </w:t>
      </w:r>
      <w:r w:rsidR="00043077" w:rsidRPr="007B010A">
        <w:t>360</w:t>
      </w:r>
      <w:r w:rsidR="00F92727" w:rsidRPr="007B010A">
        <w:t xml:space="preserve"> pacientiem, sekundārās diagnostikas un izmeklēšanas pakalpojumi tika sniegti 507 pacientiem, kā arī laboratori</w:t>
      </w:r>
      <w:r w:rsidR="00043077" w:rsidRPr="007B010A">
        <w:t>skie</w:t>
      </w:r>
      <w:r w:rsidR="00F92727" w:rsidRPr="007B010A">
        <w:t xml:space="preserve"> izmeklējumi tika veikti </w:t>
      </w:r>
      <w:r w:rsidR="00043077" w:rsidRPr="007B010A">
        <w:t>46</w:t>
      </w:r>
      <w:r w:rsidR="00870A0D">
        <w:t> </w:t>
      </w:r>
      <w:r w:rsidR="00043077" w:rsidRPr="007B010A">
        <w:t>554</w:t>
      </w:r>
      <w:r w:rsidR="00F92727" w:rsidRPr="007B010A">
        <w:t xml:space="preserve"> pacientiem par kopējo summu </w:t>
      </w:r>
      <w:r w:rsidR="00043077" w:rsidRPr="007B010A">
        <w:t>254</w:t>
      </w:r>
      <w:r w:rsidR="00870A0D">
        <w:t> </w:t>
      </w:r>
      <w:r w:rsidR="00043077" w:rsidRPr="007B010A">
        <w:t>253</w:t>
      </w:r>
      <w:r w:rsidR="00F92727" w:rsidRPr="007B010A">
        <w:t xml:space="preserve"> </w:t>
      </w:r>
      <w:proofErr w:type="spellStart"/>
      <w:r w:rsidR="00F92727" w:rsidRPr="007B010A">
        <w:rPr>
          <w:i/>
        </w:rPr>
        <w:t>euro</w:t>
      </w:r>
      <w:proofErr w:type="spellEnd"/>
      <w:r w:rsidR="00F92727" w:rsidRPr="007B010A">
        <w:t>.</w:t>
      </w:r>
      <w:r w:rsidRPr="007B010A">
        <w:t xml:space="preserve"> </w:t>
      </w:r>
      <w:proofErr w:type="spellStart"/>
      <w:r w:rsidR="00353E2A" w:rsidRPr="007B010A">
        <w:t>Kardiovaskulārā</w:t>
      </w:r>
      <w:proofErr w:type="spellEnd"/>
      <w:r w:rsidR="00353E2A" w:rsidRPr="007B010A">
        <w:t xml:space="preserve"> riska izvērtēšana un algoritmu ieviešana ir uzsākta no 2018.gada 1.augusta, kas ir salīdzinoši jauns pakalpojumu veids. Ņemot vērā, ka jaunu veselības aprūpes algoritmu ieviešana nesniedz vēlamo efektu īstermiņā</w:t>
      </w:r>
      <w:r w:rsidR="00E511E1" w:rsidRPr="007B010A">
        <w:t xml:space="preserve"> -</w:t>
      </w:r>
      <w:r w:rsidR="00353E2A" w:rsidRPr="007B010A">
        <w:t xml:space="preserve"> </w:t>
      </w:r>
      <w:r w:rsidR="00E511E1" w:rsidRPr="007B010A">
        <w:t>š</w:t>
      </w:r>
      <w:r w:rsidR="00353E2A" w:rsidRPr="007B010A">
        <w:t>ī algoritma ieviešana, līdzīgi kā onkoloģijas algoritmu ieviešana</w:t>
      </w:r>
      <w:r w:rsidR="00E511E1" w:rsidRPr="007B010A">
        <w:t>,</w:t>
      </w:r>
      <w:r w:rsidR="00353E2A" w:rsidRPr="007B010A">
        <w:t xml:space="preserve"> skatāma ilgtermiņā, līdz ar to piecu mēnešu periods nav pietiekams</w:t>
      </w:r>
      <w:r w:rsidR="00522F49">
        <w:t xml:space="preserve"> </w:t>
      </w:r>
      <w:r w:rsidR="00E511E1" w:rsidRPr="007B010A">
        <w:t>2018.gadam piešķirtā finansējuma realizēšanai</w:t>
      </w:r>
      <w:r w:rsidR="00353E2A" w:rsidRPr="007B010A">
        <w:t xml:space="preserve">. </w:t>
      </w:r>
    </w:p>
    <w:p w14:paraId="18AE728C" w14:textId="77777777" w:rsidR="00A84F01" w:rsidRPr="007B010A" w:rsidRDefault="00A84F01" w:rsidP="00DE16DB">
      <w:pPr>
        <w:pStyle w:val="CommentText"/>
        <w:spacing w:after="0"/>
        <w:ind w:firstLine="720"/>
        <w:jc w:val="both"/>
        <w:rPr>
          <w:rFonts w:ascii="Times New Roman" w:hAnsi="Times New Roman" w:cs="Times New Roman"/>
          <w:sz w:val="24"/>
          <w:szCs w:val="24"/>
        </w:rPr>
      </w:pPr>
      <w:r w:rsidRPr="007B010A">
        <w:rPr>
          <w:rFonts w:ascii="Times New Roman" w:hAnsi="Times New Roman" w:cs="Times New Roman"/>
          <w:sz w:val="24"/>
          <w:szCs w:val="24"/>
        </w:rPr>
        <w:t>Primārā profilaksē ģimenes ārsts nosaka SCORE risku pacientam, izmantojot parametru kopējais holesterīns un glikoze asinīs. Šos parametrus viņš var veikt savā praksē vai arī nosūtīt pacientu šo parametru veikšanai uz laboratoriju.</w:t>
      </w:r>
    </w:p>
    <w:p w14:paraId="776D2FDC" w14:textId="3D0D408E" w:rsidR="00A84F01" w:rsidRPr="007B010A" w:rsidRDefault="00A84F01" w:rsidP="00DE16DB">
      <w:pPr>
        <w:pStyle w:val="CommentText"/>
        <w:spacing w:after="0"/>
        <w:ind w:firstLine="720"/>
        <w:jc w:val="both"/>
        <w:rPr>
          <w:rFonts w:ascii="Times New Roman" w:hAnsi="Times New Roman" w:cs="Times New Roman"/>
          <w:sz w:val="24"/>
          <w:szCs w:val="24"/>
        </w:rPr>
      </w:pPr>
      <w:r w:rsidRPr="007B010A">
        <w:rPr>
          <w:rFonts w:ascii="Times New Roman" w:hAnsi="Times New Roman" w:cs="Times New Roman"/>
          <w:sz w:val="24"/>
          <w:szCs w:val="24"/>
        </w:rPr>
        <w:t>Ņemot vērā, ka arī šis pakalpojums ir 2018.gada jaunievedums, arī šeit ieviešanas sākumā bija nosūtījuma aizpildīšanas problēmas, kas, iespējams, varēja rezultēties ar to, ka pacientiem ir veikts SCORE risks vairāk, nekā ģimenes ārsts ir ievadījis manipulāciju par SCORE riska noteikšanu. Jo laboratorijas pakalpojumus saņēmušos skaits ir lielāks par SCORE riska noteikšanu skaitu.</w:t>
      </w:r>
    </w:p>
    <w:p w14:paraId="6D5F1669" w14:textId="4E496034" w:rsidR="00353E2A" w:rsidRPr="007B010A" w:rsidRDefault="00353E2A" w:rsidP="00353E2A">
      <w:pPr>
        <w:ind w:firstLine="720"/>
        <w:jc w:val="both"/>
      </w:pPr>
      <w:r w:rsidRPr="007B010A">
        <w:t xml:space="preserve">Analizējot </w:t>
      </w:r>
      <w:proofErr w:type="spellStart"/>
      <w:r w:rsidRPr="007B010A">
        <w:t>kardiovaskulārā</w:t>
      </w:r>
      <w:proofErr w:type="spellEnd"/>
      <w:r w:rsidRPr="007B010A">
        <w:t xml:space="preserve"> riska izvērtēšanu algoritmu ieviešanu</w:t>
      </w:r>
      <w:r w:rsidR="00E511E1" w:rsidRPr="007B010A">
        <w:t xml:space="preserve"> primārās veselības aprūpes līmenī</w:t>
      </w:r>
      <w:r w:rsidRPr="007B010A">
        <w:t xml:space="preserve"> var secināt, ka iesaistīto ģimenes ārstu skaits, kā arī pacientu skaits, kam veikta sirds un asinsvadu slimību izvērtēšana 2018.gadā ar katru mēnesi pieaug. Augustā iesaistīto ģimenes ārstu skaits sastādīja 132, septembrī – 259, oktobrī – 521, novembrī – 551 un decembrī par 24 ģimenes ārstiem mazāk, garo decembra brīvdienu dēļ. Kopumā no 1</w:t>
      </w:r>
      <w:r w:rsidR="00E511E1" w:rsidRPr="007B010A">
        <w:t> </w:t>
      </w:r>
      <w:r w:rsidRPr="007B010A">
        <w:t xml:space="preserve">284 ģimenes ārstiem 760 jeb 59,2% ir iesaistījušies </w:t>
      </w:r>
      <w:proofErr w:type="spellStart"/>
      <w:r w:rsidRPr="007B010A">
        <w:t>kardiovaskulārā</w:t>
      </w:r>
      <w:proofErr w:type="spellEnd"/>
      <w:r w:rsidRPr="007B010A">
        <w:t xml:space="preserve"> riska primārās profilakses algoritma ieviešanā. </w:t>
      </w:r>
    </w:p>
    <w:p w14:paraId="463BEFD9" w14:textId="24EC7F9A" w:rsidR="00353E2A" w:rsidRPr="007B010A" w:rsidRDefault="00353E2A" w:rsidP="00353E2A">
      <w:pPr>
        <w:ind w:firstLine="720"/>
        <w:jc w:val="both"/>
      </w:pPr>
      <w:r w:rsidRPr="007B010A">
        <w:t xml:space="preserve">Līdzīga tendence ir novērojama arī </w:t>
      </w:r>
      <w:proofErr w:type="spellStart"/>
      <w:r w:rsidRPr="007B010A">
        <w:t>kardiovaskulārā</w:t>
      </w:r>
      <w:proofErr w:type="spellEnd"/>
      <w:r w:rsidRPr="007B010A">
        <w:t xml:space="preserve"> riska sekundārās diagnostikas un izmeklēšanas algoritma ieviešanā. 2018.gadā 507 pacienti ir saņēmuši tālāko izmeklējumu pēc </w:t>
      </w:r>
      <w:proofErr w:type="spellStart"/>
      <w:r w:rsidRPr="007B010A">
        <w:t>kardiovaskulāra</w:t>
      </w:r>
      <w:proofErr w:type="spellEnd"/>
      <w:r w:rsidRPr="007B010A">
        <w:t xml:space="preserve"> riska noteikšanas, to starp augustā – 8, septembrī – 23, oktobrī – 102, novembrī – 191 un decembrī – 213. Jāņem vērā, ka atbilstoši noteiktajam </w:t>
      </w:r>
      <w:proofErr w:type="spellStart"/>
      <w:r w:rsidRPr="007B010A">
        <w:t>kardiovaskulārajam</w:t>
      </w:r>
      <w:proofErr w:type="spellEnd"/>
      <w:r w:rsidRPr="007B010A">
        <w:t xml:space="preserve"> riskam tālākie izmeklējumi jāveic viena līdz sešu mēnešu laikā, tāpēc 2018.gadā ir tādi pacienti, kam izmeklējumi ir nozīmēti, bet viņi tos vēl nav veikuši. 2018.gada decembra sākumā, pamatojoties uz Latvijas Radiologu asociācijas iesūtīto viedokli, ir mainīti izmeklējuma (ultrasonogrāfija </w:t>
      </w:r>
      <w:r w:rsidRPr="007B010A">
        <w:lastRenderedPageBreak/>
        <w:t xml:space="preserve">kakla asinsvadiem) apmaksas nosacījumi. Kakla asinsvadu </w:t>
      </w:r>
      <w:proofErr w:type="spellStart"/>
      <w:r w:rsidRPr="007B010A">
        <w:t>ultrasonogrāfiskā</w:t>
      </w:r>
      <w:proofErr w:type="spellEnd"/>
      <w:r w:rsidRPr="007B010A">
        <w:t xml:space="preserve"> izmeklēšanā var pielietot tikai manipulāciju </w:t>
      </w:r>
      <w:r w:rsidRPr="007B010A">
        <w:rPr>
          <w:b/>
        </w:rPr>
        <w:t>06102</w:t>
      </w:r>
      <w:r w:rsidRPr="007B010A">
        <w:t xml:space="preserve"> – </w:t>
      </w:r>
      <w:proofErr w:type="spellStart"/>
      <w:r w:rsidRPr="007B010A">
        <w:t>brahiocefālo</w:t>
      </w:r>
      <w:proofErr w:type="spellEnd"/>
      <w:r w:rsidRPr="007B010A">
        <w:t xml:space="preserve"> asinsvadu </w:t>
      </w:r>
      <w:proofErr w:type="spellStart"/>
      <w:r w:rsidRPr="007B010A">
        <w:t>dupleksskenēšana</w:t>
      </w:r>
      <w:proofErr w:type="spellEnd"/>
      <w:r w:rsidRPr="007B010A">
        <w:t xml:space="preserve"> ar krāsas </w:t>
      </w:r>
      <w:proofErr w:type="spellStart"/>
      <w:r w:rsidRPr="007B010A">
        <w:t>doplerogrāfiju</w:t>
      </w:r>
      <w:proofErr w:type="spellEnd"/>
      <w:r w:rsidRPr="007B010A">
        <w:t xml:space="preserve"> un spektra analīzi, kas ir standarta </w:t>
      </w:r>
      <w:proofErr w:type="spellStart"/>
      <w:r w:rsidRPr="007B010A">
        <w:t>dupleks</w:t>
      </w:r>
      <w:proofErr w:type="spellEnd"/>
      <w:r w:rsidRPr="007B010A">
        <w:t xml:space="preserve"> </w:t>
      </w:r>
      <w:proofErr w:type="spellStart"/>
      <w:r w:rsidRPr="007B010A">
        <w:t>ultrasonogrāfiska</w:t>
      </w:r>
      <w:proofErr w:type="spellEnd"/>
      <w:r w:rsidRPr="007B010A">
        <w:t xml:space="preserve"> izmeklēšana. Manipulācija </w:t>
      </w:r>
      <w:r w:rsidRPr="007B010A">
        <w:rPr>
          <w:b/>
        </w:rPr>
        <w:t>06100</w:t>
      </w:r>
      <w:r w:rsidRPr="007B010A">
        <w:t xml:space="preserve"> – </w:t>
      </w:r>
      <w:proofErr w:type="spellStart"/>
      <w:r w:rsidRPr="007B010A">
        <w:t>brahiocefālo</w:t>
      </w:r>
      <w:proofErr w:type="spellEnd"/>
      <w:r w:rsidRPr="007B010A">
        <w:t xml:space="preserve"> asinsvadu </w:t>
      </w:r>
      <w:proofErr w:type="spellStart"/>
      <w:r w:rsidRPr="007B010A">
        <w:t>doplerogrāfija</w:t>
      </w:r>
      <w:proofErr w:type="spellEnd"/>
      <w:r w:rsidRPr="007B010A">
        <w:t xml:space="preserve"> ar spektra analīzi un funkcionālām provēm nav pielietojama kakla asinsvadu izvērtēšanā, lai novērtētu aterosklerozes izmaiņas (arī </w:t>
      </w:r>
      <w:proofErr w:type="spellStart"/>
      <w:r w:rsidRPr="007B010A">
        <w:t>pangu</w:t>
      </w:r>
      <w:proofErr w:type="spellEnd"/>
      <w:r w:rsidRPr="007B010A">
        <w:t xml:space="preserve">, stenožu diagnostikā), jo asinsvads nav vizualizējams (nav </w:t>
      </w:r>
      <w:proofErr w:type="spellStart"/>
      <w:r w:rsidRPr="007B010A">
        <w:t>ultrasonogrāfiskā</w:t>
      </w:r>
      <w:proofErr w:type="spellEnd"/>
      <w:r w:rsidRPr="007B010A">
        <w:t xml:space="preserve"> attēla – </w:t>
      </w:r>
      <w:r w:rsidRPr="007B010A">
        <w:rPr>
          <w:i/>
        </w:rPr>
        <w:t>B-Mode</w:t>
      </w:r>
      <w:r w:rsidRPr="007B010A">
        <w:t xml:space="preserve">) un netiek vizualizēti asins plūsmas parametri (nav krāsu </w:t>
      </w:r>
      <w:proofErr w:type="spellStart"/>
      <w:r w:rsidRPr="007B010A">
        <w:t>doplera</w:t>
      </w:r>
      <w:proofErr w:type="spellEnd"/>
      <w:r w:rsidRPr="007B010A">
        <w:t xml:space="preserve">), var veikt tikai plūsmas ātruma vērtējumu, kas ir nepietiekami </w:t>
      </w:r>
      <w:proofErr w:type="spellStart"/>
      <w:r w:rsidRPr="007B010A">
        <w:t>skrīninga</w:t>
      </w:r>
      <w:proofErr w:type="spellEnd"/>
      <w:r w:rsidRPr="007B010A">
        <w:t xml:space="preserve"> mērķa sasniegšanai. Ņemot vērā, ka algoritma ieviešana pirmo četru mēnešu laikā manipulācija 06102 netika apmaksāta algoritma ietvaros, tas var būt viens no iemesliem </w:t>
      </w:r>
      <w:proofErr w:type="spellStart"/>
      <w:r w:rsidRPr="007B010A">
        <w:t>kardiovaskulārā</w:t>
      </w:r>
      <w:proofErr w:type="spellEnd"/>
      <w:r w:rsidRPr="007B010A">
        <w:t xml:space="preserve"> riska sekundārās diagnostikas un izmeklēšanas algoritma ieviešanas neizpildē.</w:t>
      </w:r>
    </w:p>
    <w:p w14:paraId="5D2C8E02" w14:textId="77777777" w:rsidR="00D923AA" w:rsidRPr="007B010A" w:rsidRDefault="00D923AA" w:rsidP="00D923AA">
      <w:pPr>
        <w:autoSpaceDE w:val="0"/>
        <w:autoSpaceDN w:val="0"/>
        <w:adjustRightInd w:val="0"/>
        <w:spacing w:line="293" w:lineRule="atLeast"/>
        <w:jc w:val="center"/>
        <w:rPr>
          <w:b/>
        </w:rPr>
      </w:pPr>
    </w:p>
    <w:p w14:paraId="1150D765" w14:textId="77777777" w:rsidR="00D923AA" w:rsidRPr="007B010A" w:rsidRDefault="00D923AA" w:rsidP="00D923AA">
      <w:pPr>
        <w:autoSpaceDE w:val="0"/>
        <w:autoSpaceDN w:val="0"/>
        <w:adjustRightInd w:val="0"/>
        <w:spacing w:line="293" w:lineRule="atLeast"/>
        <w:jc w:val="center"/>
        <w:rPr>
          <w:b/>
        </w:rPr>
      </w:pPr>
      <w:r w:rsidRPr="007B010A">
        <w:rPr>
          <w:b/>
        </w:rPr>
        <w:t xml:space="preserve">5.2.Aortālā vārstuļa </w:t>
      </w:r>
      <w:proofErr w:type="spellStart"/>
      <w:r w:rsidRPr="007B010A">
        <w:rPr>
          <w:b/>
        </w:rPr>
        <w:t>transkatetrāla</w:t>
      </w:r>
      <w:proofErr w:type="spellEnd"/>
      <w:r w:rsidRPr="007B010A">
        <w:rPr>
          <w:b/>
        </w:rPr>
        <w:t xml:space="preserve"> implantācija (TAVI) pakalpojuma ieviešana</w:t>
      </w:r>
    </w:p>
    <w:p w14:paraId="6563EA0C" w14:textId="77777777" w:rsidR="00D923AA" w:rsidRPr="007B010A" w:rsidRDefault="00D923AA" w:rsidP="00D923AA">
      <w:pPr>
        <w:autoSpaceDE w:val="0"/>
        <w:autoSpaceDN w:val="0"/>
        <w:adjustRightInd w:val="0"/>
        <w:spacing w:line="293" w:lineRule="atLeast"/>
        <w:jc w:val="center"/>
        <w:rPr>
          <w:u w:val="single"/>
        </w:rPr>
      </w:pPr>
    </w:p>
    <w:p w14:paraId="4516BC94" w14:textId="73521C28" w:rsidR="00D923AA" w:rsidRPr="007B010A" w:rsidRDefault="00D923AA" w:rsidP="00D923AA">
      <w:pPr>
        <w:autoSpaceDE w:val="0"/>
        <w:autoSpaceDN w:val="0"/>
        <w:adjustRightInd w:val="0"/>
        <w:ind w:firstLine="720"/>
        <w:jc w:val="both"/>
      </w:pPr>
      <w:r w:rsidRPr="007B010A">
        <w:t xml:space="preserve">Aortas vārstuļa stenoze ir visizplatītākā sirds vārstuļu saslimšana rietumu pasaulē un viens no biežākajiem </w:t>
      </w:r>
      <w:proofErr w:type="spellStart"/>
      <w:r w:rsidRPr="007B010A">
        <w:t>kardiovaskulāro</w:t>
      </w:r>
      <w:proofErr w:type="spellEnd"/>
      <w:r w:rsidRPr="007B010A">
        <w:t xml:space="preserve"> slimību izraisītas nāves cēloņiem aiz koronārās sirds slimības, sirds mazspējas un hipertensijas. </w:t>
      </w:r>
      <w:proofErr w:type="spellStart"/>
      <w:r w:rsidRPr="007B010A">
        <w:t>Transkatetrāla</w:t>
      </w:r>
      <w:proofErr w:type="spellEnd"/>
      <w:r w:rsidRPr="007B010A">
        <w:t xml:space="preserve"> aortas vārstuļa implantācija (turpmāk – TAVI) sevi ir apstiprinājusi kā dzīvotspējīgu stratēģiju pacientiem ar smagu, simptomātisku aortas vārstuļa stenozi, ja vispārējais stāvoklis nepieļauj ķirurģiska vārstuļa protezēšanu un ir ļoti augsts ķirurģiskās terapijas risks piemēram, vecāka gadagājuma pacientiem (virs 80</w:t>
      </w:r>
      <w:r w:rsidR="001C2F25" w:rsidRPr="007B010A">
        <w:t> </w:t>
      </w:r>
      <w:r w:rsidRPr="007B010A">
        <w:t xml:space="preserve">gadiem), pacientiem pēc jau iepriekš veiktas sirds operācijas, kā arī pacientiem ar smagām hroniskām </w:t>
      </w:r>
      <w:proofErr w:type="spellStart"/>
      <w:r w:rsidRPr="007B010A">
        <w:t>blakusslimībām</w:t>
      </w:r>
      <w:proofErr w:type="spellEnd"/>
      <w:r w:rsidRPr="007B010A">
        <w:t xml:space="preserve"> (onkoloģija, smagas plaušu slimības, izteikta sirds mazspēja ar samazinātu </w:t>
      </w:r>
      <w:proofErr w:type="spellStart"/>
      <w:r w:rsidRPr="007B010A">
        <w:t>izsviedes</w:t>
      </w:r>
      <w:proofErr w:type="spellEnd"/>
      <w:r w:rsidRPr="007B010A">
        <w:t xml:space="preserve"> frakciju u.c.). TAVI ir </w:t>
      </w:r>
      <w:proofErr w:type="spellStart"/>
      <w:r w:rsidRPr="007B010A">
        <w:t>mazinvazīva</w:t>
      </w:r>
      <w:proofErr w:type="spellEnd"/>
      <w:r w:rsidRPr="007B010A">
        <w:t>, saudzējoša metode salīdzinājumā ar klasisko ķirurģisko metodi.</w:t>
      </w:r>
    </w:p>
    <w:p w14:paraId="144D5B07" w14:textId="7EC9F398" w:rsidR="00D923AA" w:rsidRPr="007B010A" w:rsidRDefault="00D923AA" w:rsidP="00D923AA">
      <w:pPr>
        <w:autoSpaceDE w:val="0"/>
        <w:autoSpaceDN w:val="0"/>
        <w:adjustRightInd w:val="0"/>
        <w:ind w:firstLine="720"/>
        <w:jc w:val="both"/>
      </w:pPr>
      <w:r w:rsidRPr="007B010A">
        <w:t xml:space="preserve">Lai palielinātu pacientu pieejamību valsts apmaksāto </w:t>
      </w:r>
      <w:proofErr w:type="spellStart"/>
      <w:r w:rsidRPr="007B010A">
        <w:t>Aortālā</w:t>
      </w:r>
      <w:proofErr w:type="spellEnd"/>
      <w:r w:rsidRPr="007B010A">
        <w:t xml:space="preserve"> vārstuļa </w:t>
      </w:r>
      <w:proofErr w:type="spellStart"/>
      <w:r w:rsidRPr="007B010A">
        <w:t>transkatetrāla</w:t>
      </w:r>
      <w:proofErr w:type="spellEnd"/>
      <w:r w:rsidRPr="007B010A">
        <w:t xml:space="preserve"> implantācija (TAVI) pakalpojuma saņemšanā, 2018.gadā </w:t>
      </w:r>
      <w:r w:rsidR="006C0DF8" w:rsidRPr="007B010A">
        <w:t>tika ie</w:t>
      </w:r>
      <w:r w:rsidRPr="007B010A">
        <w:t xml:space="preserve">plānots pakalpojuma apjoma pieaugums par 75 pakalpojumu par kopējo summu 1 875 000 </w:t>
      </w:r>
      <w:proofErr w:type="spellStart"/>
      <w:r w:rsidRPr="007B010A">
        <w:rPr>
          <w:i/>
        </w:rPr>
        <w:t>euro</w:t>
      </w:r>
      <w:proofErr w:type="spellEnd"/>
      <w:r w:rsidRPr="007B010A">
        <w:t>.</w:t>
      </w:r>
    </w:p>
    <w:p w14:paraId="76A9C62D" w14:textId="06709DCC" w:rsidR="00D923AA" w:rsidRPr="007B010A" w:rsidRDefault="00D923AA" w:rsidP="00D923AA">
      <w:pPr>
        <w:autoSpaceDE w:val="0"/>
        <w:autoSpaceDN w:val="0"/>
        <w:adjustRightInd w:val="0"/>
        <w:ind w:firstLine="720"/>
        <w:jc w:val="both"/>
      </w:pPr>
      <w:r w:rsidRPr="007B010A">
        <w:t xml:space="preserve">Atbilstoši 2018.gada faktiskajai izpildei valsts sniegto pakalpojumu apjoms </w:t>
      </w:r>
      <w:proofErr w:type="spellStart"/>
      <w:r w:rsidRPr="007B010A">
        <w:t>Aortālā</w:t>
      </w:r>
      <w:proofErr w:type="spellEnd"/>
      <w:r w:rsidRPr="007B010A">
        <w:t xml:space="preserve"> vārstuļa </w:t>
      </w:r>
      <w:proofErr w:type="spellStart"/>
      <w:r w:rsidRPr="007B010A">
        <w:t>transkatetrāla</w:t>
      </w:r>
      <w:proofErr w:type="spellEnd"/>
      <w:r w:rsidRPr="007B010A">
        <w:t xml:space="preserve"> implantācija (TAVI) īstenoti </w:t>
      </w:r>
      <w:r w:rsidR="00B015F3" w:rsidRPr="007B010A">
        <w:t>75</w:t>
      </w:r>
      <w:r w:rsidRPr="007B010A">
        <w:t xml:space="preserve"> pakalpojumi, kas kopā sastāda </w:t>
      </w:r>
      <w:r w:rsidR="00B015F3" w:rsidRPr="007B010A">
        <w:t>100</w:t>
      </w:r>
      <w:r w:rsidRPr="007B010A">
        <w:t xml:space="preserve">,00% no gada plānotā pieauguma apjoma par kopējo summu </w:t>
      </w:r>
      <w:r w:rsidR="00B015F3" w:rsidRPr="007B010A">
        <w:t>1</w:t>
      </w:r>
      <w:r w:rsidR="00870A0D">
        <w:t> </w:t>
      </w:r>
      <w:r w:rsidR="00B015F3" w:rsidRPr="007B010A">
        <w:t>875</w:t>
      </w:r>
      <w:r w:rsidR="00870A0D">
        <w:t> </w:t>
      </w:r>
      <w:r w:rsidR="00B015F3" w:rsidRPr="007B010A">
        <w:t>0</w:t>
      </w:r>
      <w:r w:rsidRPr="007B010A">
        <w:t xml:space="preserve">00 </w:t>
      </w:r>
      <w:proofErr w:type="spellStart"/>
      <w:r w:rsidRPr="007B010A">
        <w:rPr>
          <w:i/>
        </w:rPr>
        <w:t>euro</w:t>
      </w:r>
      <w:proofErr w:type="spellEnd"/>
      <w:r w:rsidRPr="007B010A">
        <w:t>.</w:t>
      </w:r>
    </w:p>
    <w:p w14:paraId="4D3D52B2" w14:textId="77777777" w:rsidR="00EE37EF" w:rsidRPr="007B010A" w:rsidRDefault="00EE37EF" w:rsidP="005B1093">
      <w:pPr>
        <w:autoSpaceDE w:val="0"/>
        <w:autoSpaceDN w:val="0"/>
        <w:adjustRightInd w:val="0"/>
        <w:spacing w:line="293" w:lineRule="atLeast"/>
        <w:rPr>
          <w:b/>
        </w:rPr>
      </w:pPr>
    </w:p>
    <w:p w14:paraId="292C36C6" w14:textId="79DD9E69" w:rsidR="00D923AA" w:rsidRPr="007B010A" w:rsidRDefault="00D923AA" w:rsidP="00D923AA">
      <w:pPr>
        <w:autoSpaceDE w:val="0"/>
        <w:autoSpaceDN w:val="0"/>
        <w:adjustRightInd w:val="0"/>
        <w:spacing w:line="293" w:lineRule="atLeast"/>
        <w:jc w:val="center"/>
        <w:rPr>
          <w:b/>
        </w:rPr>
      </w:pPr>
      <w:r w:rsidRPr="007B010A">
        <w:rPr>
          <w:b/>
        </w:rPr>
        <w:t>5.3.Angiogrāfu iegāde</w:t>
      </w:r>
    </w:p>
    <w:p w14:paraId="203E0F3E" w14:textId="77777777" w:rsidR="00D923AA" w:rsidRPr="007B010A" w:rsidRDefault="00D923AA" w:rsidP="00D923AA">
      <w:pPr>
        <w:autoSpaceDE w:val="0"/>
        <w:autoSpaceDN w:val="0"/>
        <w:adjustRightInd w:val="0"/>
        <w:spacing w:line="293" w:lineRule="atLeast"/>
        <w:jc w:val="center"/>
        <w:rPr>
          <w:u w:val="single"/>
        </w:rPr>
      </w:pPr>
    </w:p>
    <w:p w14:paraId="07DB71AD" w14:textId="29623D81" w:rsidR="00D923AA" w:rsidRPr="007B010A" w:rsidRDefault="00D923AA" w:rsidP="00D923AA">
      <w:pPr>
        <w:pStyle w:val="NoSpacing"/>
        <w:ind w:firstLine="720"/>
        <w:jc w:val="both"/>
        <w:rPr>
          <w:rFonts w:ascii="Times New Roman" w:hAnsi="Times New Roman" w:cs="Times New Roman"/>
          <w:sz w:val="24"/>
          <w:szCs w:val="24"/>
        </w:rPr>
      </w:pPr>
      <w:r w:rsidRPr="007B010A">
        <w:rPr>
          <w:rFonts w:ascii="Times New Roman" w:hAnsi="Times New Roman" w:cs="Times New Roman"/>
          <w:sz w:val="24"/>
          <w:szCs w:val="24"/>
        </w:rPr>
        <w:t xml:space="preserve">Lai nodrošinātu neatliekamās medicīniskās palīdzību 24/7 režīmā </w:t>
      </w:r>
      <w:proofErr w:type="spellStart"/>
      <w:r w:rsidRPr="007B010A">
        <w:rPr>
          <w:rFonts w:ascii="Times New Roman" w:hAnsi="Times New Roman" w:cs="Times New Roman"/>
          <w:sz w:val="24"/>
          <w:szCs w:val="24"/>
        </w:rPr>
        <w:t>invazīvajā</w:t>
      </w:r>
      <w:proofErr w:type="spellEnd"/>
      <w:r w:rsidRPr="007B010A">
        <w:rPr>
          <w:rFonts w:ascii="Times New Roman" w:hAnsi="Times New Roman" w:cs="Times New Roman"/>
          <w:sz w:val="24"/>
          <w:szCs w:val="24"/>
        </w:rPr>
        <w:t xml:space="preserve"> kardioloģijā akūta miokarda infarkta ārstēšanā, kā arī ļautu attīstīt neatliekamu </w:t>
      </w:r>
      <w:proofErr w:type="spellStart"/>
      <w:r w:rsidRPr="007B010A">
        <w:rPr>
          <w:rFonts w:ascii="Times New Roman" w:hAnsi="Times New Roman" w:cs="Times New Roman"/>
          <w:sz w:val="24"/>
          <w:szCs w:val="24"/>
        </w:rPr>
        <w:t>endovaskulāru</w:t>
      </w:r>
      <w:proofErr w:type="spellEnd"/>
      <w:r w:rsidRPr="007B010A">
        <w:rPr>
          <w:rFonts w:ascii="Times New Roman" w:hAnsi="Times New Roman" w:cs="Times New Roman"/>
          <w:sz w:val="24"/>
          <w:szCs w:val="24"/>
        </w:rPr>
        <w:t xml:space="preserve"> ārstēšanu pacientiem ar akūtu insultu, palielinātu diagnostisko un ārstniecisko izmeklējumu skaitu, paaugstinātu veikto operāciju drošumu (gadījumā, ja pēkšņi nedarbojas viens </w:t>
      </w:r>
      <w:proofErr w:type="spellStart"/>
      <w:r w:rsidRPr="007B010A">
        <w:rPr>
          <w:rFonts w:ascii="Times New Roman" w:hAnsi="Times New Roman" w:cs="Times New Roman"/>
          <w:sz w:val="24"/>
          <w:szCs w:val="24"/>
        </w:rPr>
        <w:t>angiogrāfs</w:t>
      </w:r>
      <w:proofErr w:type="spellEnd"/>
      <w:r w:rsidRPr="007B010A">
        <w:rPr>
          <w:rFonts w:ascii="Times New Roman" w:hAnsi="Times New Roman" w:cs="Times New Roman"/>
          <w:sz w:val="24"/>
          <w:szCs w:val="24"/>
        </w:rPr>
        <w:t xml:space="preserve">, ir iespēja turpināt operāciju ar otru), paplašinātu sniegto medicīnisko pakalpojumu klāstu, t.i. palielināt </w:t>
      </w:r>
      <w:proofErr w:type="spellStart"/>
      <w:r w:rsidRPr="007B010A">
        <w:rPr>
          <w:rFonts w:ascii="Times New Roman" w:hAnsi="Times New Roman" w:cs="Times New Roman"/>
          <w:sz w:val="24"/>
          <w:szCs w:val="24"/>
        </w:rPr>
        <w:t>perifēro</w:t>
      </w:r>
      <w:proofErr w:type="spellEnd"/>
      <w:r w:rsidRPr="007B010A">
        <w:rPr>
          <w:rFonts w:ascii="Times New Roman" w:hAnsi="Times New Roman" w:cs="Times New Roman"/>
          <w:sz w:val="24"/>
          <w:szCs w:val="24"/>
        </w:rPr>
        <w:t xml:space="preserve"> asinsvadu </w:t>
      </w:r>
      <w:proofErr w:type="spellStart"/>
      <w:r w:rsidRPr="007B010A">
        <w:rPr>
          <w:rFonts w:ascii="Times New Roman" w:hAnsi="Times New Roman" w:cs="Times New Roman"/>
          <w:sz w:val="24"/>
          <w:szCs w:val="24"/>
        </w:rPr>
        <w:t>angiogrāfijas</w:t>
      </w:r>
      <w:proofErr w:type="spellEnd"/>
      <w:r w:rsidRPr="007B010A">
        <w:rPr>
          <w:rFonts w:ascii="Times New Roman" w:hAnsi="Times New Roman" w:cs="Times New Roman"/>
          <w:sz w:val="24"/>
          <w:szCs w:val="24"/>
        </w:rPr>
        <w:t xml:space="preserve"> un angioplastijas ir nepieciešams ieviest jaunas tehnoloģijas SAS slimību modernā un uz rezultātu vērstā diagnostikā </w:t>
      </w:r>
    </w:p>
    <w:p w14:paraId="08A4BD83" w14:textId="3335143A" w:rsidR="00D923AA" w:rsidRPr="007B010A" w:rsidRDefault="00D923AA" w:rsidP="00D923AA">
      <w:pPr>
        <w:pStyle w:val="NoSpacing"/>
        <w:ind w:firstLine="720"/>
        <w:jc w:val="both"/>
        <w:rPr>
          <w:rFonts w:ascii="Times New Roman" w:hAnsi="Times New Roman" w:cs="Times New Roman"/>
          <w:sz w:val="24"/>
          <w:szCs w:val="24"/>
        </w:rPr>
      </w:pPr>
      <w:r w:rsidRPr="007B010A">
        <w:rPr>
          <w:rFonts w:ascii="Times New Roman" w:hAnsi="Times New Roman" w:cs="Times New Roman"/>
          <w:sz w:val="24"/>
          <w:szCs w:val="24"/>
        </w:rPr>
        <w:t xml:space="preserve">Kopumā </w:t>
      </w:r>
      <w:proofErr w:type="spellStart"/>
      <w:r w:rsidRPr="007B010A">
        <w:rPr>
          <w:rFonts w:ascii="Times New Roman" w:hAnsi="Times New Roman" w:cs="Times New Roman"/>
          <w:sz w:val="24"/>
          <w:szCs w:val="24"/>
        </w:rPr>
        <w:t>angiogrāfu</w:t>
      </w:r>
      <w:proofErr w:type="spellEnd"/>
      <w:r w:rsidRPr="007B010A">
        <w:rPr>
          <w:rFonts w:ascii="Times New Roman" w:hAnsi="Times New Roman" w:cs="Times New Roman"/>
          <w:sz w:val="24"/>
          <w:szCs w:val="24"/>
        </w:rPr>
        <w:t xml:space="preserve"> iegādei 2018.gadā tika piešķirts finansējums 4 500 000 </w:t>
      </w:r>
      <w:proofErr w:type="spellStart"/>
      <w:r w:rsidRPr="007B010A">
        <w:rPr>
          <w:rFonts w:ascii="Times New Roman" w:hAnsi="Times New Roman" w:cs="Times New Roman"/>
          <w:i/>
          <w:sz w:val="24"/>
          <w:szCs w:val="24"/>
        </w:rPr>
        <w:t>euro</w:t>
      </w:r>
      <w:proofErr w:type="spellEnd"/>
      <w:r w:rsidRPr="007B010A">
        <w:rPr>
          <w:rFonts w:ascii="Times New Roman" w:hAnsi="Times New Roman" w:cs="Times New Roman"/>
          <w:sz w:val="24"/>
          <w:szCs w:val="24"/>
        </w:rPr>
        <w:t xml:space="preserve"> apmērā, kas nodrošinās 4 </w:t>
      </w:r>
      <w:proofErr w:type="spellStart"/>
      <w:r w:rsidRPr="007B010A">
        <w:rPr>
          <w:rFonts w:ascii="Times New Roman" w:hAnsi="Times New Roman" w:cs="Times New Roman"/>
          <w:sz w:val="24"/>
          <w:szCs w:val="24"/>
        </w:rPr>
        <w:t>angiogrāfu</w:t>
      </w:r>
      <w:proofErr w:type="spellEnd"/>
      <w:r w:rsidRPr="007B010A">
        <w:rPr>
          <w:rFonts w:ascii="Times New Roman" w:hAnsi="Times New Roman" w:cs="Times New Roman"/>
          <w:sz w:val="24"/>
          <w:szCs w:val="24"/>
        </w:rPr>
        <w:t xml:space="preserve"> iegādi (viena </w:t>
      </w:r>
      <w:proofErr w:type="spellStart"/>
      <w:r w:rsidRPr="007B010A">
        <w:rPr>
          <w:rFonts w:ascii="Times New Roman" w:hAnsi="Times New Roman" w:cs="Times New Roman"/>
          <w:sz w:val="24"/>
          <w:szCs w:val="24"/>
        </w:rPr>
        <w:t>angiogrāfa</w:t>
      </w:r>
      <w:proofErr w:type="spellEnd"/>
      <w:r w:rsidRPr="007B010A">
        <w:rPr>
          <w:rFonts w:ascii="Times New Roman" w:hAnsi="Times New Roman" w:cs="Times New Roman"/>
          <w:sz w:val="24"/>
          <w:szCs w:val="24"/>
        </w:rPr>
        <w:t xml:space="preserve"> vidējās izmaksas 1 125</w:t>
      </w:r>
      <w:r w:rsidR="001C2F25" w:rsidRPr="007B010A">
        <w:rPr>
          <w:rFonts w:ascii="Times New Roman" w:hAnsi="Times New Roman" w:cs="Times New Roman"/>
          <w:sz w:val="24"/>
          <w:szCs w:val="24"/>
        </w:rPr>
        <w:t> </w:t>
      </w:r>
      <w:r w:rsidRPr="007B010A">
        <w:rPr>
          <w:rFonts w:ascii="Times New Roman" w:hAnsi="Times New Roman" w:cs="Times New Roman"/>
          <w:sz w:val="24"/>
          <w:szCs w:val="24"/>
        </w:rPr>
        <w:t>000</w:t>
      </w:r>
      <w:r w:rsidR="001C2F25" w:rsidRPr="007B010A">
        <w:rPr>
          <w:rFonts w:ascii="Times New Roman" w:hAnsi="Times New Roman" w:cs="Times New Roman"/>
          <w:sz w:val="24"/>
          <w:szCs w:val="24"/>
        </w:rPr>
        <w:t> </w:t>
      </w:r>
      <w:proofErr w:type="spellStart"/>
      <w:r w:rsidRPr="007B010A">
        <w:rPr>
          <w:rFonts w:ascii="Times New Roman" w:hAnsi="Times New Roman" w:cs="Times New Roman"/>
          <w:i/>
          <w:sz w:val="24"/>
          <w:szCs w:val="24"/>
        </w:rPr>
        <w:t>euro</w:t>
      </w:r>
      <w:proofErr w:type="spellEnd"/>
      <w:r w:rsidRPr="007B010A">
        <w:rPr>
          <w:rFonts w:ascii="Times New Roman" w:hAnsi="Times New Roman" w:cs="Times New Roman"/>
          <w:sz w:val="24"/>
          <w:szCs w:val="24"/>
        </w:rPr>
        <w:t>).</w:t>
      </w:r>
    </w:p>
    <w:p w14:paraId="3306FEE4" w14:textId="2949F6F5" w:rsidR="00D923AA" w:rsidRPr="007B010A" w:rsidRDefault="007F7264" w:rsidP="00D923AA">
      <w:pPr>
        <w:pStyle w:val="NoSpacing"/>
        <w:ind w:firstLine="720"/>
        <w:jc w:val="both"/>
        <w:rPr>
          <w:rFonts w:ascii="Times New Roman" w:hAnsi="Times New Roman" w:cs="Times New Roman"/>
          <w:sz w:val="24"/>
          <w:szCs w:val="24"/>
        </w:rPr>
      </w:pPr>
      <w:r w:rsidRPr="007B010A">
        <w:rPr>
          <w:rFonts w:ascii="Times New Roman" w:hAnsi="Times New Roman" w:cs="Times New Roman"/>
          <w:sz w:val="24"/>
          <w:szCs w:val="24"/>
        </w:rPr>
        <w:t xml:space="preserve">Līdz 2018.gada 31.decembrim ir veikta 4 </w:t>
      </w:r>
      <w:proofErr w:type="spellStart"/>
      <w:r w:rsidRPr="007B010A">
        <w:rPr>
          <w:rFonts w:ascii="Times New Roman" w:hAnsi="Times New Roman" w:cs="Times New Roman"/>
          <w:sz w:val="24"/>
          <w:szCs w:val="24"/>
        </w:rPr>
        <w:t>angiogrāfu</w:t>
      </w:r>
      <w:proofErr w:type="spellEnd"/>
      <w:r w:rsidRPr="007B010A">
        <w:rPr>
          <w:rFonts w:ascii="Times New Roman" w:hAnsi="Times New Roman" w:cs="Times New Roman"/>
          <w:sz w:val="24"/>
          <w:szCs w:val="24"/>
        </w:rPr>
        <w:t xml:space="preserve"> iegāde par kopējo summu </w:t>
      </w:r>
      <w:r w:rsidR="00E13AE9" w:rsidRPr="007B010A">
        <w:rPr>
          <w:rFonts w:ascii="Times New Roman" w:hAnsi="Times New Roman" w:cs="Times New Roman"/>
          <w:sz w:val="24"/>
          <w:szCs w:val="24"/>
        </w:rPr>
        <w:t>4</w:t>
      </w:r>
      <w:r w:rsidR="00EE111A" w:rsidRPr="007B010A">
        <w:rPr>
          <w:rFonts w:ascii="Times New Roman" w:hAnsi="Times New Roman" w:cs="Times New Roman"/>
          <w:sz w:val="24"/>
          <w:szCs w:val="24"/>
        </w:rPr>
        <w:t> </w:t>
      </w:r>
      <w:r w:rsidR="00E13AE9" w:rsidRPr="007B010A">
        <w:rPr>
          <w:rFonts w:ascii="Times New Roman" w:hAnsi="Times New Roman" w:cs="Times New Roman"/>
          <w:sz w:val="24"/>
          <w:szCs w:val="24"/>
        </w:rPr>
        <w:t>498</w:t>
      </w:r>
      <w:r w:rsidR="00EE111A" w:rsidRPr="007B010A">
        <w:rPr>
          <w:rFonts w:ascii="Times New Roman" w:hAnsi="Times New Roman" w:cs="Times New Roman"/>
          <w:sz w:val="24"/>
          <w:szCs w:val="24"/>
        </w:rPr>
        <w:t> </w:t>
      </w:r>
      <w:r w:rsidR="00E13AE9" w:rsidRPr="007B010A">
        <w:rPr>
          <w:rFonts w:ascii="Times New Roman" w:hAnsi="Times New Roman" w:cs="Times New Roman"/>
          <w:sz w:val="24"/>
          <w:szCs w:val="24"/>
        </w:rPr>
        <w:t xml:space="preserve">881 </w:t>
      </w:r>
      <w:proofErr w:type="spellStart"/>
      <w:r w:rsidR="00E13AE9" w:rsidRPr="007B010A">
        <w:rPr>
          <w:rFonts w:ascii="Times New Roman" w:hAnsi="Times New Roman" w:cs="Times New Roman"/>
          <w:i/>
          <w:sz w:val="24"/>
          <w:szCs w:val="24"/>
        </w:rPr>
        <w:t>euro</w:t>
      </w:r>
      <w:proofErr w:type="spellEnd"/>
      <w:r w:rsidR="00E13AE9" w:rsidRPr="007B010A">
        <w:rPr>
          <w:rFonts w:ascii="Times New Roman" w:hAnsi="Times New Roman" w:cs="Times New Roman"/>
          <w:sz w:val="24"/>
          <w:szCs w:val="24"/>
        </w:rPr>
        <w:t xml:space="preserve"> apmērā</w:t>
      </w:r>
      <w:r w:rsidR="001014A6" w:rsidRPr="007B010A">
        <w:rPr>
          <w:rFonts w:ascii="Times New Roman" w:hAnsi="Times New Roman" w:cs="Times New Roman"/>
          <w:sz w:val="24"/>
          <w:szCs w:val="24"/>
        </w:rPr>
        <w:t xml:space="preserve">, kas </w:t>
      </w:r>
      <w:r w:rsidR="00E417E0" w:rsidRPr="007B010A">
        <w:rPr>
          <w:rFonts w:ascii="Times New Roman" w:hAnsi="Times New Roman" w:cs="Times New Roman"/>
          <w:sz w:val="24"/>
          <w:szCs w:val="24"/>
        </w:rPr>
        <w:t xml:space="preserve">2019.gadā un turpmāk nodrošinās neatliekamās medicīniskās palīdzību 24/7 režīmā </w:t>
      </w:r>
      <w:proofErr w:type="spellStart"/>
      <w:r w:rsidR="00E417E0" w:rsidRPr="007B010A">
        <w:rPr>
          <w:rFonts w:ascii="Times New Roman" w:hAnsi="Times New Roman" w:cs="Times New Roman"/>
          <w:sz w:val="24"/>
          <w:szCs w:val="24"/>
        </w:rPr>
        <w:t>invazīvajā</w:t>
      </w:r>
      <w:proofErr w:type="spellEnd"/>
      <w:r w:rsidR="00E417E0" w:rsidRPr="007B010A">
        <w:rPr>
          <w:rFonts w:ascii="Times New Roman" w:hAnsi="Times New Roman" w:cs="Times New Roman"/>
          <w:sz w:val="24"/>
          <w:szCs w:val="24"/>
        </w:rPr>
        <w:t xml:space="preserve"> kardioloģijā akūta miokarda infarkta ārstēšanā, kā arī ļaus attīstīt neatliekamu </w:t>
      </w:r>
      <w:proofErr w:type="spellStart"/>
      <w:r w:rsidR="00E417E0" w:rsidRPr="007B010A">
        <w:rPr>
          <w:rFonts w:ascii="Times New Roman" w:hAnsi="Times New Roman" w:cs="Times New Roman"/>
          <w:sz w:val="24"/>
          <w:szCs w:val="24"/>
        </w:rPr>
        <w:t>endovaskulāru</w:t>
      </w:r>
      <w:proofErr w:type="spellEnd"/>
      <w:r w:rsidR="00E417E0" w:rsidRPr="007B010A">
        <w:rPr>
          <w:rFonts w:ascii="Times New Roman" w:hAnsi="Times New Roman" w:cs="Times New Roman"/>
          <w:sz w:val="24"/>
          <w:szCs w:val="24"/>
        </w:rPr>
        <w:t xml:space="preserve"> ārstēšanu pacientiem ar akūtu insultu, palielinās diagnostisko un ārstniecisko izmeklējumu skaitu,  paaugstinās veikto operāciju drošumu (gadījumā, ja pēkšņi nedarbojas viens </w:t>
      </w:r>
      <w:proofErr w:type="spellStart"/>
      <w:r w:rsidR="00E417E0" w:rsidRPr="007B010A">
        <w:rPr>
          <w:rFonts w:ascii="Times New Roman" w:hAnsi="Times New Roman" w:cs="Times New Roman"/>
          <w:sz w:val="24"/>
          <w:szCs w:val="24"/>
        </w:rPr>
        <w:t>angiogrāfs</w:t>
      </w:r>
      <w:proofErr w:type="spellEnd"/>
      <w:r w:rsidR="00E417E0" w:rsidRPr="007B010A">
        <w:rPr>
          <w:rFonts w:ascii="Times New Roman" w:hAnsi="Times New Roman" w:cs="Times New Roman"/>
          <w:sz w:val="24"/>
          <w:szCs w:val="24"/>
        </w:rPr>
        <w:t>, ir iespēja turpināt operāciju ar otru), paplašinās sniegto medicīnisko pakalpojumu klāstu.</w:t>
      </w:r>
    </w:p>
    <w:p w14:paraId="2E6D426D" w14:textId="77777777" w:rsidR="00D923AA" w:rsidRPr="007B010A" w:rsidRDefault="00D923AA" w:rsidP="00D923AA">
      <w:pPr>
        <w:autoSpaceDE w:val="0"/>
        <w:autoSpaceDN w:val="0"/>
        <w:adjustRightInd w:val="0"/>
        <w:spacing w:line="293" w:lineRule="atLeast"/>
        <w:jc w:val="both"/>
      </w:pPr>
    </w:p>
    <w:p w14:paraId="309A2205" w14:textId="77777777" w:rsidR="00D923AA" w:rsidRPr="007B010A" w:rsidRDefault="00D923AA" w:rsidP="00D923AA">
      <w:pPr>
        <w:autoSpaceDE w:val="0"/>
        <w:autoSpaceDN w:val="0"/>
        <w:adjustRightInd w:val="0"/>
        <w:spacing w:line="293" w:lineRule="atLeast"/>
        <w:jc w:val="center"/>
        <w:rPr>
          <w:b/>
        </w:rPr>
      </w:pPr>
      <w:r w:rsidRPr="007B010A">
        <w:rPr>
          <w:b/>
        </w:rPr>
        <w:lastRenderedPageBreak/>
        <w:t>5.4.SAS medikamenti</w:t>
      </w:r>
    </w:p>
    <w:p w14:paraId="2417EC2A" w14:textId="77777777" w:rsidR="00D923AA" w:rsidRPr="007B010A" w:rsidRDefault="00D923AA" w:rsidP="00D923AA">
      <w:pPr>
        <w:autoSpaceDE w:val="0"/>
        <w:autoSpaceDN w:val="0"/>
        <w:adjustRightInd w:val="0"/>
        <w:spacing w:line="293" w:lineRule="atLeast"/>
        <w:jc w:val="center"/>
        <w:rPr>
          <w:u w:val="single"/>
        </w:rPr>
      </w:pPr>
    </w:p>
    <w:p w14:paraId="44CBD2A3" w14:textId="77777777" w:rsidR="00D923AA" w:rsidRPr="007B010A" w:rsidRDefault="00D923AA" w:rsidP="00D923AA">
      <w:pPr>
        <w:ind w:firstLine="720"/>
        <w:jc w:val="both"/>
      </w:pPr>
      <w:r w:rsidRPr="007B010A">
        <w:t xml:space="preserve">Lai gan zāļu kompensācijas sistēma piedāvā plašas izvēles iespējas asinsrites sistēmas slimību ārstēšanā, hroniska finansējuma trūkuma dēļ Latvijā šobrīd netiek izmantotas visas iespējas, kas spētu paildzināt pacientu mūžu, novēršot priekšlaicīgu nāvi no slimībām, kas ir ārstējamas. </w:t>
      </w:r>
    </w:p>
    <w:p w14:paraId="5A5C86B6" w14:textId="737FD8F5" w:rsidR="00D923AA" w:rsidRPr="007B010A" w:rsidRDefault="00D923AA" w:rsidP="00D923AA">
      <w:pPr>
        <w:ind w:firstLine="720"/>
        <w:jc w:val="both"/>
      </w:pPr>
      <w:r w:rsidRPr="007B010A">
        <w:t xml:space="preserve">Lai situāciju uzlabotu, </w:t>
      </w:r>
      <w:r w:rsidR="00EF6AEA" w:rsidRPr="007B010A">
        <w:t xml:space="preserve">2018.gadā </w:t>
      </w:r>
      <w:r w:rsidRPr="007B010A">
        <w:t>kompensējamo zāļu sarakst</w:t>
      </w:r>
      <w:r w:rsidR="00EF6AEA" w:rsidRPr="007B010A">
        <w:t>s</w:t>
      </w:r>
      <w:r w:rsidRPr="007B010A">
        <w:t xml:space="preserve"> </w:t>
      </w:r>
      <w:r w:rsidR="00EF6AEA" w:rsidRPr="007B010A">
        <w:t xml:space="preserve"> tika </w:t>
      </w:r>
      <w:r w:rsidRPr="007B010A">
        <w:t>papildināt</w:t>
      </w:r>
      <w:r w:rsidR="00EF6AEA" w:rsidRPr="007B010A">
        <w:t>s</w:t>
      </w:r>
      <w:r w:rsidRPr="007B010A">
        <w:t xml:space="preserve"> ar jauniem medikamentiem. Tik</w:t>
      </w:r>
      <w:r w:rsidR="00EF6AEA" w:rsidRPr="007B010A">
        <w:t>a</w:t>
      </w:r>
      <w:r w:rsidRPr="007B010A">
        <w:t xml:space="preserve"> nodrošināta jaunu inovatīvu zāļu nodrošināšana sirds mazspējas, priekškambaru mirdzēšanas un plandīšanās pacientiem, uzlabota terapijas pieejamība pacientiem, kam pēc akūta koronāra sindroma veikta </w:t>
      </w:r>
      <w:proofErr w:type="spellStart"/>
      <w:r w:rsidRPr="007B010A">
        <w:t>stentēšana</w:t>
      </w:r>
      <w:proofErr w:type="spellEnd"/>
      <w:r w:rsidRPr="007B010A">
        <w:t>, jaunu diagnožu iekļaušana- plaušu embolija, dziļo vēnu tromboze, kurās jauno zāļu savlaicīga lietošana novērš letālas komplikācijas</w:t>
      </w:r>
      <w:r w:rsidR="006651F8" w:rsidRPr="007B010A">
        <w:t>.</w:t>
      </w:r>
    </w:p>
    <w:p w14:paraId="4594522B" w14:textId="10A6A091" w:rsidR="00125F19" w:rsidRPr="007B010A" w:rsidRDefault="00CC6D8A" w:rsidP="00125F19">
      <w:pPr>
        <w:shd w:val="clear" w:color="auto" w:fill="FFFFFF"/>
        <w:ind w:firstLine="720"/>
        <w:jc w:val="both"/>
      </w:pPr>
      <w:r w:rsidRPr="007B010A">
        <w:rPr>
          <w:bCs/>
          <w:kern w:val="1"/>
          <w:lang w:eastAsia="ar-SA"/>
        </w:rPr>
        <w:t>2018.gadā kopā tika piešķirts finansējums</w:t>
      </w:r>
      <w:r w:rsidR="00125F19" w:rsidRPr="007B010A">
        <w:rPr>
          <w:bCs/>
          <w:kern w:val="1"/>
          <w:lang w:eastAsia="ar-SA"/>
        </w:rPr>
        <w:t xml:space="preserve"> </w:t>
      </w:r>
      <w:r w:rsidR="00244D24" w:rsidRPr="007B010A">
        <w:rPr>
          <w:bCs/>
          <w:kern w:val="1"/>
          <w:lang w:eastAsia="ar-SA"/>
        </w:rPr>
        <w:t>3</w:t>
      </w:r>
      <w:r w:rsidR="00870A0D">
        <w:rPr>
          <w:bCs/>
          <w:kern w:val="1"/>
          <w:lang w:eastAsia="ar-SA"/>
        </w:rPr>
        <w:t> </w:t>
      </w:r>
      <w:r w:rsidR="00244D24" w:rsidRPr="007B010A">
        <w:rPr>
          <w:bCs/>
          <w:kern w:val="1"/>
          <w:lang w:eastAsia="ar-SA"/>
        </w:rPr>
        <w:t>376</w:t>
      </w:r>
      <w:r w:rsidR="00870A0D">
        <w:rPr>
          <w:bCs/>
          <w:kern w:val="1"/>
          <w:lang w:eastAsia="ar-SA"/>
        </w:rPr>
        <w:t> </w:t>
      </w:r>
      <w:r w:rsidR="00244D24" w:rsidRPr="007B010A">
        <w:rPr>
          <w:bCs/>
          <w:kern w:val="1"/>
          <w:lang w:eastAsia="ar-SA"/>
        </w:rPr>
        <w:t>873</w:t>
      </w:r>
      <w:r w:rsidR="00125F19" w:rsidRPr="007B010A">
        <w:rPr>
          <w:bCs/>
          <w:kern w:val="1"/>
          <w:lang w:eastAsia="ar-SA"/>
        </w:rPr>
        <w:t xml:space="preserve"> </w:t>
      </w:r>
      <w:proofErr w:type="spellStart"/>
      <w:r w:rsidR="00125F19" w:rsidRPr="007B010A">
        <w:rPr>
          <w:bCs/>
          <w:i/>
          <w:kern w:val="1"/>
          <w:lang w:eastAsia="ar-SA"/>
        </w:rPr>
        <w:t>euro</w:t>
      </w:r>
      <w:proofErr w:type="spellEnd"/>
      <w:r w:rsidR="00125F19" w:rsidRPr="007B010A">
        <w:rPr>
          <w:bCs/>
          <w:kern w:val="1"/>
          <w:lang w:eastAsia="ar-SA"/>
        </w:rPr>
        <w:t xml:space="preserve"> apmērā</w:t>
      </w:r>
      <w:r w:rsidRPr="007B010A">
        <w:rPr>
          <w:bCs/>
          <w:kern w:val="1"/>
          <w:lang w:eastAsia="ar-SA"/>
        </w:rPr>
        <w:t xml:space="preserve">, kas </w:t>
      </w:r>
      <w:r w:rsidR="00125F19" w:rsidRPr="007B010A">
        <w:rPr>
          <w:bCs/>
          <w:kern w:val="1"/>
          <w:lang w:eastAsia="ar-SA"/>
        </w:rPr>
        <w:t xml:space="preserve">novirzīts </w:t>
      </w:r>
      <w:r w:rsidR="00125F19" w:rsidRPr="007B010A">
        <w:t xml:space="preserve">no 2018.gadā plānotās līdzekļu ekonomijas hronisko pacientu aprūpei, atbilstoši Ministru kabineta 2018.gada 28.augusta sēdes protokola Nr.40 30§ </w:t>
      </w:r>
      <w:r w:rsidR="00125F19" w:rsidRPr="007B010A">
        <w:rPr>
          <w:shd w:val="clear" w:color="auto" w:fill="FFFFFF"/>
        </w:rPr>
        <w:t>2.</w:t>
      </w:r>
      <w:r w:rsidR="00125376" w:rsidRPr="007B010A">
        <w:rPr>
          <w:shd w:val="clear" w:color="auto" w:fill="FFFFFF"/>
        </w:rPr>
        <w:t>5.1</w:t>
      </w:r>
      <w:r w:rsidR="00125F19" w:rsidRPr="007B010A">
        <w:t xml:space="preserve">. apakšpunktā noteiktajam, ka </w:t>
      </w:r>
      <w:r w:rsidR="00F719D6" w:rsidRPr="007B010A">
        <w:rPr>
          <w:bCs/>
          <w:kern w:val="1"/>
          <w:lang w:eastAsia="ar-SA"/>
        </w:rPr>
        <w:t>3</w:t>
      </w:r>
      <w:r w:rsidR="00EE37EF" w:rsidRPr="007B010A">
        <w:rPr>
          <w:bCs/>
          <w:kern w:val="1"/>
          <w:lang w:eastAsia="ar-SA"/>
        </w:rPr>
        <w:t> </w:t>
      </w:r>
      <w:r w:rsidR="00F719D6" w:rsidRPr="007B010A">
        <w:rPr>
          <w:bCs/>
          <w:kern w:val="1"/>
          <w:lang w:eastAsia="ar-SA"/>
        </w:rPr>
        <w:t>376</w:t>
      </w:r>
      <w:r w:rsidR="00EE37EF" w:rsidRPr="007B010A">
        <w:rPr>
          <w:bCs/>
          <w:kern w:val="1"/>
          <w:lang w:eastAsia="ar-SA"/>
        </w:rPr>
        <w:t> </w:t>
      </w:r>
      <w:r w:rsidR="00F719D6" w:rsidRPr="007B010A">
        <w:rPr>
          <w:bCs/>
          <w:kern w:val="1"/>
          <w:lang w:eastAsia="ar-SA"/>
        </w:rPr>
        <w:t>873</w:t>
      </w:r>
      <w:r w:rsidR="00870A0D">
        <w:rPr>
          <w:bCs/>
          <w:kern w:val="1"/>
          <w:lang w:eastAsia="ar-SA"/>
        </w:rPr>
        <w:t xml:space="preserve"> </w:t>
      </w:r>
      <w:proofErr w:type="spellStart"/>
      <w:r w:rsidR="00125F19" w:rsidRPr="007B010A">
        <w:rPr>
          <w:i/>
        </w:rPr>
        <w:t>euro</w:t>
      </w:r>
      <w:proofErr w:type="spellEnd"/>
      <w:r w:rsidR="00125F19" w:rsidRPr="007B010A">
        <w:rPr>
          <w:shd w:val="clear" w:color="auto" w:fill="FFFFFF"/>
        </w:rPr>
        <w:t xml:space="preserve"> apmērā attiecīgi novirzāmi apakšprogrammā 33.</w:t>
      </w:r>
      <w:r w:rsidRPr="007B010A">
        <w:rPr>
          <w:shd w:val="clear" w:color="auto" w:fill="FFFFFF"/>
        </w:rPr>
        <w:t>03</w:t>
      </w:r>
      <w:r w:rsidR="00125F19" w:rsidRPr="007B010A">
        <w:rPr>
          <w:shd w:val="clear" w:color="auto" w:fill="FFFFFF"/>
        </w:rPr>
        <w:t xml:space="preserve">.00 </w:t>
      </w:r>
      <w:r w:rsidR="009F0FD7">
        <w:rPr>
          <w:shd w:val="clear" w:color="auto" w:fill="FFFFFF"/>
        </w:rPr>
        <w:t>“</w:t>
      </w:r>
      <w:r w:rsidRPr="007B010A">
        <w:rPr>
          <w:shd w:val="clear" w:color="auto" w:fill="FFFFFF"/>
        </w:rPr>
        <w:t>Kompensējamo medikamentu un materiālu apmaksāšana</w:t>
      </w:r>
      <w:r w:rsidR="009F0FD7">
        <w:rPr>
          <w:shd w:val="clear" w:color="auto" w:fill="FFFFFF"/>
        </w:rPr>
        <w:t>”</w:t>
      </w:r>
      <w:r w:rsidRPr="007B010A">
        <w:rPr>
          <w:shd w:val="clear" w:color="auto" w:fill="FFFFFF"/>
        </w:rPr>
        <w:t xml:space="preserve">, lai nodrošinātu zāļu kompensāciju pacientiem diagnožu grupā </w:t>
      </w:r>
      <w:r w:rsidR="009F0FD7">
        <w:rPr>
          <w:shd w:val="clear" w:color="auto" w:fill="FFFFFF"/>
        </w:rPr>
        <w:t>“</w:t>
      </w:r>
      <w:r w:rsidRPr="007B010A">
        <w:rPr>
          <w:shd w:val="clear" w:color="auto" w:fill="FFFFFF"/>
        </w:rPr>
        <w:t>Asinsrites sistēmas slimības</w:t>
      </w:r>
      <w:r w:rsidR="009F0FD7">
        <w:rPr>
          <w:shd w:val="clear" w:color="auto" w:fill="FFFFFF"/>
        </w:rPr>
        <w:t>”</w:t>
      </w:r>
      <w:r w:rsidRPr="007B010A">
        <w:rPr>
          <w:shd w:val="clear" w:color="auto" w:fill="FFFFFF"/>
        </w:rPr>
        <w:t>.</w:t>
      </w:r>
    </w:p>
    <w:p w14:paraId="2AA8E99B" w14:textId="21CF8A01" w:rsidR="00D923AA" w:rsidRPr="007B010A" w:rsidRDefault="00D923AA" w:rsidP="00D923AA">
      <w:pPr>
        <w:ind w:firstLine="720"/>
        <w:jc w:val="right"/>
      </w:pPr>
      <w:r w:rsidRPr="007B010A">
        <w:rPr>
          <w:i/>
        </w:rPr>
        <w:t>2</w:t>
      </w:r>
      <w:r w:rsidR="00EE37EF" w:rsidRPr="007B010A">
        <w:rPr>
          <w:i/>
        </w:rPr>
        <w:t>3</w:t>
      </w:r>
      <w:r w:rsidRPr="007B010A">
        <w:rPr>
          <w:i/>
        </w:rPr>
        <w:t>.tabula</w:t>
      </w:r>
    </w:p>
    <w:p w14:paraId="2D16B1F5" w14:textId="7104EC2A" w:rsidR="00D923AA" w:rsidRPr="007B010A" w:rsidRDefault="00D923AA" w:rsidP="00D923AA">
      <w:pPr>
        <w:autoSpaceDE w:val="0"/>
        <w:autoSpaceDN w:val="0"/>
        <w:adjustRightInd w:val="0"/>
        <w:spacing w:line="293" w:lineRule="atLeast"/>
        <w:jc w:val="center"/>
      </w:pPr>
      <w:r w:rsidRPr="007B010A">
        <w:t>SAS medikamentu 2018.gada izpilde</w:t>
      </w:r>
    </w:p>
    <w:p w14:paraId="5AB5C4E4" w14:textId="77777777" w:rsidR="00D923AA" w:rsidRPr="007B010A" w:rsidRDefault="00D923AA" w:rsidP="00D923AA">
      <w:pPr>
        <w:autoSpaceDE w:val="0"/>
        <w:autoSpaceDN w:val="0"/>
        <w:adjustRightInd w:val="0"/>
        <w:spacing w:line="293" w:lineRule="atLeast"/>
        <w:jc w:val="center"/>
      </w:pPr>
    </w:p>
    <w:tbl>
      <w:tblPr>
        <w:tblW w:w="9290" w:type="dxa"/>
        <w:jc w:val="center"/>
        <w:tblLook w:val="04A0" w:firstRow="1" w:lastRow="0" w:firstColumn="1" w:lastColumn="0" w:noHBand="0" w:noVBand="1"/>
      </w:tblPr>
      <w:tblGrid>
        <w:gridCol w:w="3681"/>
        <w:gridCol w:w="1365"/>
        <w:gridCol w:w="1470"/>
        <w:gridCol w:w="1365"/>
        <w:gridCol w:w="1409"/>
      </w:tblGrid>
      <w:tr w:rsidR="00D923AA" w:rsidRPr="00AC6366" w14:paraId="130F3EE8" w14:textId="77777777" w:rsidTr="00376CF0">
        <w:trPr>
          <w:trHeight w:val="517"/>
          <w:jc w:val="center"/>
        </w:trPr>
        <w:tc>
          <w:tcPr>
            <w:tcW w:w="3681"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0A4F4436" w14:textId="77777777" w:rsidR="00D923AA" w:rsidRPr="00AC6366" w:rsidRDefault="00D923AA" w:rsidP="00376CF0">
            <w:pPr>
              <w:jc w:val="center"/>
              <w:rPr>
                <w:sz w:val="22"/>
                <w:szCs w:val="22"/>
              </w:rPr>
            </w:pPr>
            <w:r w:rsidRPr="00AC6366">
              <w:rPr>
                <w:sz w:val="22"/>
                <w:szCs w:val="22"/>
              </w:rPr>
              <w:t>SAS medikamentozā ārstēšana</w:t>
            </w:r>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1DF875E1" w14:textId="77777777" w:rsidR="00D923AA" w:rsidRPr="00AC6366" w:rsidRDefault="00D923AA" w:rsidP="00376CF0">
            <w:pPr>
              <w:jc w:val="center"/>
              <w:rPr>
                <w:sz w:val="22"/>
                <w:szCs w:val="22"/>
              </w:rPr>
            </w:pPr>
            <w:r w:rsidRPr="00AC6366">
              <w:rPr>
                <w:sz w:val="22"/>
                <w:szCs w:val="22"/>
              </w:rPr>
              <w:t xml:space="preserve">Plānotais pakalpojumu skaits </w:t>
            </w:r>
          </w:p>
        </w:tc>
        <w:tc>
          <w:tcPr>
            <w:tcW w:w="1470"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FCEFD4C" w14:textId="77777777" w:rsidR="00D923AA" w:rsidRPr="00AC6366" w:rsidRDefault="00D923AA" w:rsidP="00376CF0">
            <w:pPr>
              <w:jc w:val="center"/>
              <w:rPr>
                <w:sz w:val="22"/>
                <w:szCs w:val="22"/>
              </w:rPr>
            </w:pPr>
            <w:r w:rsidRPr="00AC6366">
              <w:rPr>
                <w:sz w:val="22"/>
                <w:szCs w:val="22"/>
              </w:rPr>
              <w:t xml:space="preserve">Plānotais finansējums  </w:t>
            </w:r>
            <w:proofErr w:type="spellStart"/>
            <w:r w:rsidRPr="00AC6366">
              <w:rPr>
                <w:i/>
                <w:iCs/>
                <w:sz w:val="22"/>
                <w:szCs w:val="22"/>
              </w:rPr>
              <w:t>euro</w:t>
            </w:r>
            <w:proofErr w:type="spellEnd"/>
          </w:p>
        </w:tc>
        <w:tc>
          <w:tcPr>
            <w:tcW w:w="1365"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22D82E2B" w14:textId="77777777" w:rsidR="00D923AA" w:rsidRPr="00AC6366" w:rsidRDefault="00D923AA" w:rsidP="00376CF0">
            <w:pPr>
              <w:jc w:val="center"/>
              <w:rPr>
                <w:sz w:val="22"/>
                <w:szCs w:val="22"/>
              </w:rPr>
            </w:pPr>
            <w:r w:rsidRPr="00AC6366">
              <w:rPr>
                <w:sz w:val="22"/>
                <w:szCs w:val="22"/>
              </w:rPr>
              <w:t>Faktiskais pakalpojumu skaits</w:t>
            </w:r>
          </w:p>
        </w:tc>
        <w:tc>
          <w:tcPr>
            <w:tcW w:w="1409" w:type="dxa"/>
            <w:vMerge w:val="restart"/>
            <w:tcBorders>
              <w:top w:val="single" w:sz="4" w:space="0" w:color="auto"/>
              <w:left w:val="single" w:sz="4" w:space="0" w:color="auto"/>
              <w:bottom w:val="single" w:sz="4" w:space="0" w:color="000000"/>
              <w:right w:val="single" w:sz="4" w:space="0" w:color="auto"/>
            </w:tcBorders>
            <w:shd w:val="clear" w:color="000000" w:fill="FCE4D6"/>
            <w:vAlign w:val="center"/>
            <w:hideMark/>
          </w:tcPr>
          <w:p w14:paraId="5A6FEE21" w14:textId="77777777" w:rsidR="00D923AA" w:rsidRPr="00AC6366" w:rsidRDefault="00D923AA" w:rsidP="00376CF0">
            <w:pPr>
              <w:jc w:val="center"/>
              <w:rPr>
                <w:sz w:val="22"/>
                <w:szCs w:val="22"/>
              </w:rPr>
            </w:pPr>
            <w:r w:rsidRPr="00AC6366">
              <w:rPr>
                <w:sz w:val="22"/>
                <w:szCs w:val="22"/>
              </w:rPr>
              <w:t xml:space="preserve">Finanšu izlietojums  </w:t>
            </w:r>
            <w:proofErr w:type="spellStart"/>
            <w:r w:rsidRPr="00AC6366">
              <w:rPr>
                <w:i/>
                <w:iCs/>
                <w:sz w:val="22"/>
                <w:szCs w:val="22"/>
              </w:rPr>
              <w:t>euro</w:t>
            </w:r>
            <w:proofErr w:type="spellEnd"/>
          </w:p>
        </w:tc>
      </w:tr>
      <w:tr w:rsidR="00D923AA" w:rsidRPr="00AC6366" w14:paraId="50C76FED" w14:textId="77777777" w:rsidTr="00376CF0">
        <w:trPr>
          <w:trHeight w:val="645"/>
          <w:jc w:val="center"/>
        </w:trPr>
        <w:tc>
          <w:tcPr>
            <w:tcW w:w="3681" w:type="dxa"/>
            <w:vMerge/>
            <w:tcBorders>
              <w:top w:val="single" w:sz="4" w:space="0" w:color="auto"/>
              <w:left w:val="single" w:sz="4" w:space="0" w:color="auto"/>
              <w:bottom w:val="single" w:sz="4" w:space="0" w:color="000000"/>
              <w:right w:val="single" w:sz="4" w:space="0" w:color="auto"/>
            </w:tcBorders>
            <w:vAlign w:val="center"/>
            <w:hideMark/>
          </w:tcPr>
          <w:p w14:paraId="4AED18BB" w14:textId="77777777" w:rsidR="00D923AA" w:rsidRPr="00AC6366"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04DA9E98" w14:textId="77777777" w:rsidR="00D923AA" w:rsidRPr="00AC6366" w:rsidRDefault="00D923AA" w:rsidP="00376CF0">
            <w:pPr>
              <w:rPr>
                <w:sz w:val="22"/>
                <w:szCs w:val="22"/>
              </w:rPr>
            </w:pPr>
          </w:p>
        </w:tc>
        <w:tc>
          <w:tcPr>
            <w:tcW w:w="1470" w:type="dxa"/>
            <w:vMerge/>
            <w:tcBorders>
              <w:top w:val="single" w:sz="4" w:space="0" w:color="auto"/>
              <w:left w:val="single" w:sz="4" w:space="0" w:color="auto"/>
              <w:bottom w:val="single" w:sz="4" w:space="0" w:color="000000"/>
              <w:right w:val="single" w:sz="4" w:space="0" w:color="auto"/>
            </w:tcBorders>
            <w:vAlign w:val="center"/>
            <w:hideMark/>
          </w:tcPr>
          <w:p w14:paraId="5202ECD5" w14:textId="77777777" w:rsidR="00D923AA" w:rsidRPr="00AC6366" w:rsidRDefault="00D923AA" w:rsidP="00376CF0">
            <w:pPr>
              <w:rPr>
                <w:sz w:val="22"/>
                <w:szCs w:val="22"/>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55448962" w14:textId="77777777" w:rsidR="00D923AA" w:rsidRPr="00AC6366" w:rsidRDefault="00D923AA" w:rsidP="00376CF0">
            <w:pPr>
              <w:rPr>
                <w:sz w:val="22"/>
                <w:szCs w:val="22"/>
              </w:rPr>
            </w:pPr>
          </w:p>
        </w:tc>
        <w:tc>
          <w:tcPr>
            <w:tcW w:w="1409" w:type="dxa"/>
            <w:vMerge/>
            <w:tcBorders>
              <w:top w:val="single" w:sz="4" w:space="0" w:color="auto"/>
              <w:left w:val="single" w:sz="4" w:space="0" w:color="auto"/>
              <w:bottom w:val="single" w:sz="4" w:space="0" w:color="000000"/>
              <w:right w:val="single" w:sz="4" w:space="0" w:color="auto"/>
            </w:tcBorders>
            <w:vAlign w:val="center"/>
            <w:hideMark/>
          </w:tcPr>
          <w:p w14:paraId="415764EB" w14:textId="77777777" w:rsidR="00D923AA" w:rsidRPr="00AC6366" w:rsidRDefault="00D923AA" w:rsidP="00376CF0">
            <w:pPr>
              <w:rPr>
                <w:sz w:val="22"/>
                <w:szCs w:val="22"/>
              </w:rPr>
            </w:pPr>
          </w:p>
        </w:tc>
      </w:tr>
      <w:tr w:rsidR="00D923AA" w:rsidRPr="00AC6366" w14:paraId="6F32E058" w14:textId="77777777" w:rsidTr="00376CF0">
        <w:trPr>
          <w:trHeight w:val="300"/>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14:paraId="0E1DA7CC" w14:textId="77777777" w:rsidR="00D923AA" w:rsidRPr="00AC6366" w:rsidRDefault="00D923AA" w:rsidP="00376CF0">
            <w:pPr>
              <w:rPr>
                <w:sz w:val="22"/>
                <w:szCs w:val="22"/>
              </w:rPr>
            </w:pPr>
            <w:r w:rsidRPr="00AC6366">
              <w:rPr>
                <w:sz w:val="22"/>
                <w:szCs w:val="22"/>
              </w:rPr>
              <w:t>Ārstniecības iestādes</w:t>
            </w:r>
          </w:p>
        </w:tc>
        <w:tc>
          <w:tcPr>
            <w:tcW w:w="1365" w:type="dxa"/>
            <w:tcBorders>
              <w:top w:val="nil"/>
              <w:left w:val="nil"/>
              <w:bottom w:val="single" w:sz="4" w:space="0" w:color="auto"/>
              <w:right w:val="single" w:sz="4" w:space="0" w:color="auto"/>
            </w:tcBorders>
            <w:shd w:val="clear" w:color="auto" w:fill="auto"/>
            <w:noWrap/>
            <w:vAlign w:val="bottom"/>
            <w:hideMark/>
          </w:tcPr>
          <w:p w14:paraId="22BB08A4" w14:textId="77777777" w:rsidR="00D923AA" w:rsidRPr="00AC6366" w:rsidRDefault="00D923AA" w:rsidP="00376CF0">
            <w:pPr>
              <w:jc w:val="center"/>
              <w:rPr>
                <w:sz w:val="22"/>
                <w:szCs w:val="22"/>
              </w:rPr>
            </w:pPr>
            <w:r w:rsidRPr="00AC6366">
              <w:rPr>
                <w:sz w:val="22"/>
                <w:szCs w:val="22"/>
              </w:rPr>
              <w:t>5 205</w:t>
            </w:r>
          </w:p>
        </w:tc>
        <w:tc>
          <w:tcPr>
            <w:tcW w:w="1470" w:type="dxa"/>
            <w:tcBorders>
              <w:top w:val="nil"/>
              <w:left w:val="nil"/>
              <w:bottom w:val="single" w:sz="4" w:space="0" w:color="auto"/>
              <w:right w:val="single" w:sz="4" w:space="0" w:color="auto"/>
            </w:tcBorders>
            <w:shd w:val="clear" w:color="auto" w:fill="auto"/>
            <w:noWrap/>
            <w:vAlign w:val="bottom"/>
            <w:hideMark/>
          </w:tcPr>
          <w:p w14:paraId="7C4732A6" w14:textId="64E4FE2B" w:rsidR="00D923AA" w:rsidRPr="00AC6366" w:rsidRDefault="00D923AA" w:rsidP="00376CF0">
            <w:pPr>
              <w:jc w:val="center"/>
              <w:rPr>
                <w:sz w:val="22"/>
                <w:szCs w:val="22"/>
              </w:rPr>
            </w:pPr>
            <w:r w:rsidRPr="00AC6366">
              <w:rPr>
                <w:sz w:val="22"/>
                <w:szCs w:val="22"/>
              </w:rPr>
              <w:t>3 </w:t>
            </w:r>
            <w:r w:rsidR="00B42B8B" w:rsidRPr="00AC6366">
              <w:rPr>
                <w:sz w:val="22"/>
                <w:szCs w:val="22"/>
              </w:rPr>
              <w:t>376 873</w:t>
            </w:r>
          </w:p>
        </w:tc>
        <w:tc>
          <w:tcPr>
            <w:tcW w:w="1365" w:type="dxa"/>
            <w:tcBorders>
              <w:top w:val="nil"/>
              <w:left w:val="nil"/>
              <w:bottom w:val="single" w:sz="4" w:space="0" w:color="auto"/>
              <w:right w:val="single" w:sz="4" w:space="0" w:color="auto"/>
            </w:tcBorders>
            <w:shd w:val="clear" w:color="auto" w:fill="auto"/>
            <w:noWrap/>
            <w:vAlign w:val="bottom"/>
            <w:hideMark/>
          </w:tcPr>
          <w:p w14:paraId="526EF78D" w14:textId="3FF79BA7" w:rsidR="00D923AA" w:rsidRPr="00AC6366" w:rsidRDefault="00A91EF4" w:rsidP="00376CF0">
            <w:pPr>
              <w:jc w:val="center"/>
              <w:rPr>
                <w:sz w:val="22"/>
                <w:szCs w:val="22"/>
              </w:rPr>
            </w:pPr>
            <w:r w:rsidRPr="00AC6366">
              <w:rPr>
                <w:sz w:val="22"/>
                <w:szCs w:val="22"/>
              </w:rPr>
              <w:t>13 075</w:t>
            </w:r>
          </w:p>
        </w:tc>
        <w:tc>
          <w:tcPr>
            <w:tcW w:w="1409" w:type="dxa"/>
            <w:tcBorders>
              <w:top w:val="nil"/>
              <w:left w:val="nil"/>
              <w:bottom w:val="single" w:sz="4" w:space="0" w:color="auto"/>
              <w:right w:val="single" w:sz="4" w:space="0" w:color="auto"/>
            </w:tcBorders>
            <w:shd w:val="clear" w:color="auto" w:fill="auto"/>
            <w:noWrap/>
            <w:vAlign w:val="bottom"/>
            <w:hideMark/>
          </w:tcPr>
          <w:p w14:paraId="061BAFC6" w14:textId="191B1BF4" w:rsidR="00D923AA" w:rsidRPr="00AC6366" w:rsidRDefault="00A91EF4" w:rsidP="00376CF0">
            <w:pPr>
              <w:jc w:val="center"/>
              <w:rPr>
                <w:sz w:val="22"/>
                <w:szCs w:val="22"/>
              </w:rPr>
            </w:pPr>
            <w:r w:rsidRPr="00AC6366">
              <w:rPr>
                <w:sz w:val="22"/>
                <w:szCs w:val="22"/>
              </w:rPr>
              <w:t>2 754 827</w:t>
            </w:r>
          </w:p>
        </w:tc>
      </w:tr>
    </w:tbl>
    <w:p w14:paraId="2917CF34" w14:textId="77777777" w:rsidR="00E163F7" w:rsidRPr="00AC6366" w:rsidRDefault="00E163F7" w:rsidP="00D923AA">
      <w:pPr>
        <w:ind w:firstLine="720"/>
        <w:jc w:val="both"/>
        <w:rPr>
          <w:sz w:val="22"/>
          <w:szCs w:val="22"/>
        </w:rPr>
      </w:pPr>
    </w:p>
    <w:p w14:paraId="0DD590A0" w14:textId="0AB32D09" w:rsidR="00D923AA" w:rsidRPr="007B010A" w:rsidRDefault="00B529D4" w:rsidP="00D923AA">
      <w:pPr>
        <w:ind w:firstLine="720"/>
        <w:jc w:val="both"/>
      </w:pPr>
      <w:r w:rsidRPr="007B010A">
        <w:t xml:space="preserve">Ņemot vērā to, ka </w:t>
      </w:r>
      <w:r w:rsidR="00D923AA" w:rsidRPr="007B010A">
        <w:t xml:space="preserve">medikamentu lietošana tika uzsākta 2018.gada aprīļa mēnesī, </w:t>
      </w:r>
      <w:r w:rsidRPr="007B010A">
        <w:t>līdz ar</w:t>
      </w:r>
      <w:r w:rsidR="00D923AA" w:rsidRPr="007B010A">
        <w:t xml:space="preserve"> to faktiskā izpilde</w:t>
      </w:r>
      <w:r w:rsidRPr="007B010A">
        <w:t xml:space="preserve"> 2018.gadā</w:t>
      </w:r>
      <w:r w:rsidR="00D923AA" w:rsidRPr="007B010A">
        <w:t xml:space="preserve"> ir </w:t>
      </w:r>
      <w:r w:rsidRPr="007B010A">
        <w:t>zemāka</w:t>
      </w:r>
      <w:r w:rsidR="00D923AA" w:rsidRPr="007B010A">
        <w:t xml:space="preserve"> nekā sākotnēji tika plānots, sasniedzot </w:t>
      </w:r>
      <w:r w:rsidR="00A91EF4" w:rsidRPr="007B010A">
        <w:t>90,03</w:t>
      </w:r>
      <w:r w:rsidR="00D923AA" w:rsidRPr="007B010A">
        <w:t xml:space="preserve">% no gada plānotā apjoma. </w:t>
      </w:r>
      <w:r w:rsidR="00F719D6" w:rsidRPr="007B010A">
        <w:t xml:space="preserve">Ja pasākums tiktu uzsākts gada sākumā, tad veidotos pasākuma </w:t>
      </w:r>
      <w:proofErr w:type="spellStart"/>
      <w:r w:rsidR="00F719D6" w:rsidRPr="007B010A">
        <w:t>pārpilde</w:t>
      </w:r>
      <w:proofErr w:type="spellEnd"/>
      <w:r w:rsidR="00F719D6" w:rsidRPr="007B010A">
        <w:t>, jo pieaugtu pacientu skaits, kam nepieciešama ārstēšana.</w:t>
      </w:r>
    </w:p>
    <w:p w14:paraId="5519F8F4" w14:textId="77777777" w:rsidR="00D923AA" w:rsidRPr="007B010A" w:rsidRDefault="00D923AA" w:rsidP="00D923AA">
      <w:pPr>
        <w:autoSpaceDE w:val="0"/>
        <w:autoSpaceDN w:val="0"/>
        <w:adjustRightInd w:val="0"/>
        <w:spacing w:line="293" w:lineRule="atLeast"/>
        <w:jc w:val="both"/>
      </w:pPr>
    </w:p>
    <w:p w14:paraId="607096A2" w14:textId="77777777" w:rsidR="00D923AA" w:rsidRPr="007B010A" w:rsidRDefault="00D923AA" w:rsidP="00D923AA">
      <w:pPr>
        <w:pStyle w:val="Heading1"/>
        <w:numPr>
          <w:ilvl w:val="0"/>
          <w:numId w:val="13"/>
        </w:numPr>
        <w:spacing w:before="0" w:after="200"/>
        <w:jc w:val="center"/>
        <w:rPr>
          <w:rFonts w:ascii="Times New Roman" w:hAnsi="Times New Roman" w:cs="Times New Roman"/>
          <w:b/>
          <w:color w:val="auto"/>
          <w:sz w:val="28"/>
          <w:szCs w:val="28"/>
        </w:rPr>
      </w:pPr>
      <w:r w:rsidRPr="007B010A">
        <w:rPr>
          <w:rFonts w:ascii="Times New Roman" w:hAnsi="Times New Roman" w:cs="Times New Roman"/>
          <w:b/>
          <w:color w:val="auto"/>
          <w:sz w:val="28"/>
          <w:szCs w:val="28"/>
        </w:rPr>
        <w:t>Secinājumi un priekšlikumi</w:t>
      </w:r>
    </w:p>
    <w:p w14:paraId="5A4FB791" w14:textId="00A18F80" w:rsidR="00D923AA" w:rsidRPr="007B010A" w:rsidRDefault="00D923AA" w:rsidP="00D923AA">
      <w:pPr>
        <w:ind w:firstLine="720"/>
        <w:jc w:val="both"/>
      </w:pPr>
      <w:r w:rsidRPr="007B010A">
        <w:t>Ievērojot reformu uzsākšanai nepieciešamo laiku darba organizatorisko procesu maiņai ārstniecības iestādēs</w:t>
      </w:r>
      <w:r w:rsidR="006A4DA0" w:rsidRPr="007B010A">
        <w:t xml:space="preserve"> un</w:t>
      </w:r>
      <w:r w:rsidRPr="007B010A">
        <w:t xml:space="preserve"> </w:t>
      </w:r>
      <w:r w:rsidR="006A4DA0" w:rsidRPr="007B010A">
        <w:t>ambulatorajiem pakalpojumiem novirzāmos līdzekļus, izņemot plānotos līdzekļus sirds un asinsvadu slimību profilaksei,</w:t>
      </w:r>
      <w:r w:rsidR="002B6533" w:rsidRPr="007B010A">
        <w:t xml:space="preserve"> hronisko pacientu jomā,</w:t>
      </w:r>
      <w:r w:rsidR="006A4DA0" w:rsidRPr="007B010A">
        <w:t xml:space="preserve"> PET/CT un aknu transplantācijai, kur bija nepieciešams izstrādāt pakalpojumu apmaksas nosacījumus, </w:t>
      </w:r>
      <w:r w:rsidRPr="007B010A">
        <w:t>kā arī daļēju finanšu līdzekļu piešķīrumu tikai 2018.gada februāra beigās, līdz ar ko apguve uzsākta 2018.gada martā</w:t>
      </w:r>
      <w:r w:rsidR="006A4DA0" w:rsidRPr="007B010A">
        <w:t>, pārējā</w:t>
      </w:r>
      <w:r w:rsidR="00A51FA0" w:rsidRPr="007B010A">
        <w:t xml:space="preserve"> līdzekļu apguve tika uzsākta no gada sākuma</w:t>
      </w:r>
      <w:r w:rsidRPr="007B010A">
        <w:t>, reformu īstenošana vērtējama kā veiksmīga. Turklāt, reformu uzsākšanas procesā apzinātais nepieciešamais ļaundabīgo audzēju lokalizāciju tvēruma paplašinājums</w:t>
      </w:r>
      <w:r w:rsidR="00CA11D5" w:rsidRPr="007B010A">
        <w:t>,</w:t>
      </w:r>
      <w:r w:rsidRPr="007B010A">
        <w:t xml:space="preserve"> atbilstoši faktiskajām onkoloģiskajām saslimšanām vērtējams kā pozitīvs aspekts attiecībā uz savlaicīgu onkoloģisko slimību ārstēšanu, jo ir pilnveidotas izstrādātās shēmas un mehānismi efektīvai onkoloģisko pacientu ārstēšanai, kā arī n</w:t>
      </w:r>
      <w:r w:rsidRPr="007B010A">
        <w:rPr>
          <w:shd w:val="clear" w:color="auto" w:fill="FFFFFF"/>
        </w:rPr>
        <w:t>o 2018.</w:t>
      </w:r>
      <w:r w:rsidR="00EC2129" w:rsidRPr="007B010A">
        <w:rPr>
          <w:shd w:val="clear" w:color="auto" w:fill="FFFFFF"/>
        </w:rPr>
        <w:t>gada 1.janvāra “Zaļajā koridorā</w:t>
      </w:r>
      <w:r w:rsidRPr="007B010A">
        <w:rPr>
          <w:shd w:val="clear" w:color="auto" w:fill="FFFFFF"/>
        </w:rPr>
        <w:t>” ir iekļautas visas onkoloģisko slimību lokalizācijas un rezultātā ir nodrošināta visu lokalizāciju ļaundabīgo audzēju diagnostikai nepieciešamo izmeklējumu un ārstu konsultāciju apmaksa prioritārā kārtībā</w:t>
      </w:r>
      <w:r w:rsidRPr="007B010A">
        <w:t xml:space="preserve">. </w:t>
      </w:r>
    </w:p>
    <w:p w14:paraId="3F421309" w14:textId="2ADA06AA" w:rsidR="00D923AA" w:rsidRPr="007B010A" w:rsidRDefault="00D923AA" w:rsidP="00D923AA">
      <w:pPr>
        <w:ind w:firstLine="720"/>
        <w:jc w:val="both"/>
      </w:pPr>
      <w:r w:rsidRPr="007B010A">
        <w:t>Apkopojot 2018.gad</w:t>
      </w:r>
      <w:r w:rsidR="00374D6A" w:rsidRPr="007B010A">
        <w:t>a</w:t>
      </w:r>
      <w:r w:rsidRPr="007B010A">
        <w:t xml:space="preserve"> izpildes datus var secināt, ka iesāktās reformas tiek turpinātas  veiksmīgi, jo būtiski ir samazinājušās rindas uz </w:t>
      </w:r>
      <w:r w:rsidR="00133956" w:rsidRPr="007B010A">
        <w:t xml:space="preserve">speciālistu konsultācijām, </w:t>
      </w:r>
      <w:r w:rsidRPr="007B010A">
        <w:t xml:space="preserve">dienas stacionāra pakalpojumiem, savukārt </w:t>
      </w:r>
      <w:r w:rsidR="00CA11D5" w:rsidRPr="007B010A">
        <w:t xml:space="preserve">uz rehabilitācijas pakalpojumiem un </w:t>
      </w:r>
      <w:r w:rsidRPr="007B010A">
        <w:t xml:space="preserve">izmeklējumu segmentā ir </w:t>
      </w:r>
      <w:r w:rsidRPr="007B010A">
        <w:lastRenderedPageBreak/>
        <w:t>novērojams mērens rindu samazinājums, saistībā ar pacientu uzvedības maiņu, jo ir samazinājies iedzīvotāju skaits, kuri rindu, attāluma vai finanšu dēļ nav saņēmuši sekundāros ambulatoros veselības aprūpes pakalpojumus, kā arī ir samazinājies nesaņemto sekundāro ambulatoro veselības aprūpes pakalpojumu skaits (rindu, attāluma vai finanšu dēļ), kā arī pacienti, kuri līdz šim dažādu iemeslu dēļ bija izmantojuši maksas veselības aprūpes pakalpojumus, šobrīd sāk vairāk izmantot valsts apmaksāto</w:t>
      </w:r>
      <w:r w:rsidR="000B1A57">
        <w:t>s</w:t>
      </w:r>
      <w:r w:rsidRPr="007B010A">
        <w:t xml:space="preserve"> veselības aprūpes pakalpojumu</w:t>
      </w:r>
      <w:r w:rsidR="00761F81" w:rsidRPr="007B010A">
        <w:t>s</w:t>
      </w:r>
      <w:r w:rsidRPr="007B010A">
        <w:t>.</w:t>
      </w:r>
    </w:p>
    <w:p w14:paraId="64E1268B" w14:textId="59215EEB" w:rsidR="00D923AA" w:rsidRPr="007B010A" w:rsidRDefault="00D923AA" w:rsidP="00D923AA">
      <w:pPr>
        <w:ind w:firstLine="709"/>
        <w:jc w:val="both"/>
      </w:pPr>
      <w:r w:rsidRPr="007B010A">
        <w:t xml:space="preserve">Atbilstoši 2018.gada izpildes datiem var secināt, ka onkoloģijas rezultatīvie rādītāji ir </w:t>
      </w:r>
      <w:r w:rsidR="003C02BF" w:rsidRPr="007B010A">
        <w:t>pār</w:t>
      </w:r>
      <w:r w:rsidRPr="007B010A">
        <w:t>sniegti</w:t>
      </w:r>
      <w:r w:rsidR="003C02BF" w:rsidRPr="007B010A">
        <w:t xml:space="preserve">, jo pieaudzis veikto speciālistu konsultāciju skaits atbilstoši noteiktajiem algoritmiem, </w:t>
      </w:r>
      <w:r w:rsidR="00963E68">
        <w:t xml:space="preserve">un </w:t>
      </w:r>
      <w:r w:rsidR="003C02BF" w:rsidRPr="007B010A">
        <w:t>pacienti ir vairāk nosūtīti papildus veikt sekundāro diagnostiku un izmeklējumus</w:t>
      </w:r>
      <w:r w:rsidR="00267BAA" w:rsidRPr="007B010A">
        <w:t>, kas ļāvis savlaicīgāk diagnosticēt saslimšanu un uzsākt atbilstošu ārstēšanu</w:t>
      </w:r>
      <w:r w:rsidR="003B31F4" w:rsidRPr="007B010A">
        <w:t>,</w:t>
      </w:r>
      <w:r w:rsidR="00AC6366">
        <w:t xml:space="preserve"> tai skaitā tika nodrošināts </w:t>
      </w:r>
      <w:r w:rsidR="005E0542" w:rsidRPr="00AC6366">
        <w:t xml:space="preserve">medikamentu </w:t>
      </w:r>
      <w:r w:rsidR="00AC6366" w:rsidRPr="00AC6366">
        <w:t xml:space="preserve">pieejamības </w:t>
      </w:r>
      <w:r w:rsidR="003B31F4" w:rsidRPr="00AC6366">
        <w:t>pieaugum</w:t>
      </w:r>
      <w:r w:rsidR="00AC6366" w:rsidRPr="00AC6366">
        <w:t>s</w:t>
      </w:r>
      <w:r w:rsidRPr="007B010A">
        <w:t xml:space="preserve">. Veicot reformu izpildes finansējuma izlietojuma apkopojumu ir izveidojusies finansējuma neizpilde programmā </w:t>
      </w:r>
      <w:r w:rsidR="00C05893" w:rsidRPr="007B010A">
        <w:t>diabēta apmācību kabinetu izveidei 0,</w:t>
      </w:r>
      <w:r w:rsidR="00333D5A" w:rsidRPr="007B010A">
        <w:t>02</w:t>
      </w:r>
      <w:r w:rsidR="00C05893" w:rsidRPr="007B010A">
        <w:t>%, aknu transplantācijai 0,2</w:t>
      </w:r>
      <w:r w:rsidR="00D14B86" w:rsidRPr="007B010A">
        <w:t>5</w:t>
      </w:r>
      <w:r w:rsidR="00C05893" w:rsidRPr="007B010A">
        <w:t xml:space="preserve">%, </w:t>
      </w:r>
      <w:r w:rsidR="00DF5FC4" w:rsidRPr="007B010A">
        <w:t xml:space="preserve">bioloģiskās terapijas nodrošināšanai Krona slimībai, čūlainajam kolītam un </w:t>
      </w:r>
      <w:proofErr w:type="spellStart"/>
      <w:r w:rsidR="00DF5FC4" w:rsidRPr="007B010A">
        <w:t>psoriāzei</w:t>
      </w:r>
      <w:proofErr w:type="spellEnd"/>
      <w:r w:rsidR="00DF5FC4" w:rsidRPr="007B010A">
        <w:t xml:space="preserve"> 0,07%</w:t>
      </w:r>
      <w:r w:rsidR="00BB0BF9" w:rsidRPr="007B010A">
        <w:t xml:space="preserve"> un</w:t>
      </w:r>
      <w:r w:rsidR="00C05893" w:rsidRPr="007B010A">
        <w:t xml:space="preserve"> </w:t>
      </w:r>
      <w:r w:rsidRPr="007B010A">
        <w:t xml:space="preserve">hronisko pacientu jomā </w:t>
      </w:r>
      <w:r w:rsidR="00BB0BF9" w:rsidRPr="007B010A">
        <w:t>0</w:t>
      </w:r>
      <w:r w:rsidRPr="007B010A">
        <w:t>,</w:t>
      </w:r>
      <w:r w:rsidR="00BB0BF9" w:rsidRPr="007B010A">
        <w:t>56</w:t>
      </w:r>
      <w:r w:rsidRPr="007B010A">
        <w:t>%</w:t>
      </w:r>
      <w:r w:rsidR="008609BC" w:rsidRPr="007B010A">
        <w:t>, kopā veselības aprūpes pakalpojumu pieejamībā veidojot 0,9</w:t>
      </w:r>
      <w:r w:rsidR="00333D5A" w:rsidRPr="007B010A">
        <w:t>7</w:t>
      </w:r>
      <w:r w:rsidR="008609BC" w:rsidRPr="007B010A">
        <w:t>%</w:t>
      </w:r>
      <w:r w:rsidRPr="007B010A">
        <w:t xml:space="preserve"> </w:t>
      </w:r>
      <w:r w:rsidR="008609BC" w:rsidRPr="007B010A">
        <w:t>finansējuma neizpildi</w:t>
      </w:r>
      <w:r w:rsidRPr="007B010A">
        <w:t xml:space="preserve"> no piešķirtajiem 113 400 000 </w:t>
      </w:r>
      <w:proofErr w:type="spellStart"/>
      <w:r w:rsidRPr="007B010A">
        <w:rPr>
          <w:i/>
        </w:rPr>
        <w:t>euro</w:t>
      </w:r>
      <w:proofErr w:type="spellEnd"/>
      <w:r w:rsidR="00080A38" w:rsidRPr="007B010A">
        <w:t>.</w:t>
      </w:r>
      <w:r w:rsidR="00EA7942" w:rsidRPr="007B010A">
        <w:t xml:space="preserve"> Savukārt onkoloģijas </w:t>
      </w:r>
      <w:r w:rsidR="00E8157C" w:rsidRPr="007B010A">
        <w:t xml:space="preserve">jomā ir izveidojusies finansējuma </w:t>
      </w:r>
      <w:proofErr w:type="spellStart"/>
      <w:r w:rsidR="00E8157C" w:rsidRPr="007B010A">
        <w:t>pārpilde</w:t>
      </w:r>
      <w:proofErr w:type="spellEnd"/>
      <w:r w:rsidR="00E8157C" w:rsidRPr="007B010A">
        <w:t xml:space="preserve"> 1,36% apmērā, līdz ar to ir manāma veselības reformu ietekme uz savlaicīgu pacientu diagnostiku un ārstēšanas metodikas pielietošanu, kas kopumā sekmē dzīvildzes pagarināšanu.</w:t>
      </w:r>
      <w:r w:rsidRPr="007B010A">
        <w:t xml:space="preserve"> </w:t>
      </w:r>
    </w:p>
    <w:p w14:paraId="6AC2EE26" w14:textId="5D784095" w:rsidR="001455AB" w:rsidRPr="007B010A" w:rsidRDefault="00E40299" w:rsidP="00D923AA">
      <w:pPr>
        <w:ind w:firstLine="709"/>
        <w:jc w:val="both"/>
      </w:pPr>
      <w:r w:rsidRPr="007B010A">
        <w:t xml:space="preserve">Līdz šim </w:t>
      </w:r>
      <w:r w:rsidR="005A5D65" w:rsidRPr="007B010A">
        <w:t>veiktās reformas onkoloģijas “Z</w:t>
      </w:r>
      <w:r w:rsidR="00D923AA" w:rsidRPr="007B010A">
        <w:t>aļā koridora” izveidei ir nodrošinājušas, ka pacienta ceļš līdz diagnozes noteikšanai un ārstēšanas uzsākšanai ir ievērojami samazinājies, lielākajā daļā gadījumu nodrošinot, ka pēc reformu veikšanas 10 dienu laikā tiek nodrošinātas sākotnējās konsultācijas, izmeklējumi un uzsākta ārstēšana, savukārt pirms “</w:t>
      </w:r>
      <w:r w:rsidR="005A5D65" w:rsidRPr="007B010A">
        <w:t>Z</w:t>
      </w:r>
      <w:r w:rsidR="00D923AA" w:rsidRPr="007B010A">
        <w:t xml:space="preserve">aļā koridora” ieviešanas pacients tikai uz konsultāciju pie speciālista gaidīja vidēji 30 dienas. </w:t>
      </w:r>
    </w:p>
    <w:p w14:paraId="2C90A061" w14:textId="54DC0A9F" w:rsidR="00D923AA" w:rsidRPr="007B010A" w:rsidRDefault="00CE0957" w:rsidP="00D923AA">
      <w:pPr>
        <w:ind w:firstLine="709"/>
        <w:jc w:val="both"/>
      </w:pPr>
      <w:r w:rsidRPr="00CE0957">
        <w:t>Ir iezīmējies</w:t>
      </w:r>
      <w:r w:rsidR="00A86737" w:rsidRPr="00CE0957">
        <w:t>, k</w:t>
      </w:r>
      <w:r>
        <w:t xml:space="preserve">a </w:t>
      </w:r>
      <w:r w:rsidR="00D923AA" w:rsidRPr="00CE0957">
        <w:t xml:space="preserve">jaunu </w:t>
      </w:r>
      <w:r>
        <w:t>programmu</w:t>
      </w:r>
      <w:r w:rsidR="00D923AA" w:rsidRPr="00CE0957">
        <w:t xml:space="preserve"> sekmīgai ieviešanai</w:t>
      </w:r>
      <w:r>
        <w:t xml:space="preserve"> (</w:t>
      </w:r>
      <w:r w:rsidRPr="00CE0957">
        <w:t>piemēram, hronisko pacientu aprūpes, SAS programma</w:t>
      </w:r>
      <w:r>
        <w:t>)</w:t>
      </w:r>
      <w:r w:rsidR="00D923AA" w:rsidRPr="00CE0957">
        <w:t xml:space="preserve"> nepieciešams pietiekam</w:t>
      </w:r>
      <w:r w:rsidR="005E0542" w:rsidRPr="00CE0957">
        <w:t>i ilgs</w:t>
      </w:r>
      <w:r w:rsidR="00D923AA" w:rsidRPr="00CE0957">
        <w:t xml:space="preserve"> laik</w:t>
      </w:r>
      <w:r w:rsidR="00D45DDC">
        <w:t>s</w:t>
      </w:r>
      <w:r w:rsidR="00D923AA" w:rsidRPr="00CE0957">
        <w:t>, lai pakalpojumu sniedzēji var</w:t>
      </w:r>
      <w:r>
        <w:t xml:space="preserve">ētu </w:t>
      </w:r>
      <w:r w:rsidR="00D923AA" w:rsidRPr="00CE0957">
        <w:t>veikt izmaiņas pakalpojumu sniegšanas organizācijā, savukārt nosūtītāji izprastu ieguvumus no jaunās kārtības un aktīvi iesaistītos tās izmantošanā</w:t>
      </w:r>
      <w:r w:rsidR="00D45DDC">
        <w:t>, kā arī</w:t>
      </w:r>
      <w:r w:rsidR="00D923AA" w:rsidRPr="00CE0957">
        <w:t xml:space="preserve"> izstrādātajā kārtībā </w:t>
      </w:r>
      <w:r w:rsidR="00D45DDC">
        <w:t>būtu iespējams</w:t>
      </w:r>
      <w:r w:rsidR="00D923AA" w:rsidRPr="00CE0957">
        <w:t xml:space="preserve"> veikt korekcijas, kas uzlabo</w:t>
      </w:r>
      <w:r w:rsidR="00D45DDC">
        <w:t>tu</w:t>
      </w:r>
      <w:r w:rsidR="00D923AA" w:rsidRPr="00CE0957">
        <w:t xml:space="preserve"> pacientu plūsmu organizāciju</w:t>
      </w:r>
      <w:r w:rsidR="005E0542" w:rsidRPr="00CE0957">
        <w:t>,</w:t>
      </w:r>
      <w:r w:rsidR="00D923AA" w:rsidRPr="00CE0957">
        <w:t xml:space="preserve"> atbilstoši reālai situācijai</w:t>
      </w:r>
      <w:r w:rsidR="00D45DDC">
        <w:t>,</w:t>
      </w:r>
      <w:r w:rsidR="00E907B1">
        <w:t xml:space="preserve"> līdz ar to</w:t>
      </w:r>
      <w:r w:rsidR="005E0542" w:rsidRPr="00CE0957">
        <w:t xml:space="preserve"> 2019.gadā pastiprināta uzmanība tik</w:t>
      </w:r>
      <w:r w:rsidR="00286831" w:rsidRPr="00CE0957">
        <w:t>s</w:t>
      </w:r>
      <w:r w:rsidR="005E0542" w:rsidRPr="00CE0957">
        <w:t xml:space="preserve"> veltīta jauno pasākumu ieviešanas uzraudzībai, </w:t>
      </w:r>
      <w:r w:rsidR="00D45DDC">
        <w:t>kas</w:t>
      </w:r>
      <w:r w:rsidR="005E0542" w:rsidRPr="00CE0957">
        <w:t xml:space="preserve"> </w:t>
      </w:r>
      <w:r w:rsidR="00973498">
        <w:t>veicinātu</w:t>
      </w:r>
      <w:r w:rsidR="005E0542" w:rsidRPr="00CE0957">
        <w:t xml:space="preserve"> </w:t>
      </w:r>
      <w:r w:rsidR="00D43A19" w:rsidRPr="007B010A">
        <w:t xml:space="preserve">Eiropas Komisijas pieļautās budžeta deficīta atkāpes </w:t>
      </w:r>
      <w:r w:rsidR="005E0542" w:rsidRPr="00CE0957">
        <w:t>piešķirto finanšu līdzekļu</w:t>
      </w:r>
      <w:r w:rsidR="00973498">
        <w:t xml:space="preserve"> apgūšanu</w:t>
      </w:r>
      <w:r w:rsidR="005E0542" w:rsidRPr="00CE0957">
        <w:t>.</w:t>
      </w:r>
    </w:p>
    <w:p w14:paraId="436562B5" w14:textId="77777777" w:rsidR="00D923AA" w:rsidRPr="007B010A" w:rsidRDefault="00D923AA" w:rsidP="00D923AA">
      <w:pPr>
        <w:ind w:firstLine="709"/>
        <w:jc w:val="both"/>
      </w:pPr>
      <w:r w:rsidRPr="007B010A">
        <w:t>Turpinot VCH intervences dinamiskās novērošanas procesu, 2018.gada VCH pacientu progresa dati tiks iekļauti 2019.gada reformu izpildes ziņojumā.</w:t>
      </w:r>
    </w:p>
    <w:p w14:paraId="29E0D23E" w14:textId="256936A3" w:rsidR="00584AEB" w:rsidRPr="007B010A" w:rsidRDefault="009601D3" w:rsidP="0091099E">
      <w:pPr>
        <w:ind w:firstLine="709"/>
        <w:jc w:val="both"/>
      </w:pPr>
      <w:r w:rsidRPr="007B010A">
        <w:t>Izvērtējot 2018.gadā sasniegtos rezultātus</w:t>
      </w:r>
      <w:r w:rsidR="00B2615A" w:rsidRPr="007B010A">
        <w:t xml:space="preserve"> </w:t>
      </w:r>
      <w:r w:rsidRPr="007B010A">
        <w:t>ir nepieciešams</w:t>
      </w:r>
      <w:r w:rsidR="00D923AA" w:rsidRPr="007B010A">
        <w:t xml:space="preserve"> turpināt </w:t>
      </w:r>
      <w:r w:rsidR="0091099E" w:rsidRPr="007B010A">
        <w:t xml:space="preserve">iesāktās </w:t>
      </w:r>
      <w:r w:rsidR="00D923AA" w:rsidRPr="007B010A">
        <w:t xml:space="preserve">intervences arī </w:t>
      </w:r>
      <w:r w:rsidR="00AB1B86" w:rsidRPr="007B010A">
        <w:t>2019.</w:t>
      </w:r>
      <w:r w:rsidR="00D923AA" w:rsidRPr="007B010A">
        <w:t>gadā</w:t>
      </w:r>
      <w:r w:rsidR="0050737D" w:rsidRPr="007B010A">
        <w:t xml:space="preserve">, </w:t>
      </w:r>
      <w:r w:rsidR="00D923AA" w:rsidRPr="007B010A">
        <w:t>lai nodrošinātu sekmīgu pacientu ārstēšanu un</w:t>
      </w:r>
      <w:r w:rsidR="00CB2432">
        <w:t>,</w:t>
      </w:r>
      <w:r w:rsidR="00D923AA" w:rsidRPr="007B010A">
        <w:t xml:space="preserve"> kā šo reformu rezultātu</w:t>
      </w:r>
      <w:r w:rsidR="00CB2432">
        <w:t>,</w:t>
      </w:r>
      <w:r w:rsidR="00D923AA" w:rsidRPr="007B010A">
        <w:t xml:space="preserve"> arī nozīmīgu potenciāli zaudēto mūža gadu samazinājumu ilgākā periodā. </w:t>
      </w:r>
    </w:p>
    <w:p w14:paraId="558BDB3B" w14:textId="77777777" w:rsidR="00F35F94" w:rsidRPr="007B010A" w:rsidRDefault="00F35F94" w:rsidP="006E0391">
      <w:pPr>
        <w:ind w:right="-1"/>
      </w:pPr>
    </w:p>
    <w:p w14:paraId="50640B78" w14:textId="77777777" w:rsidR="00584AEB" w:rsidRDefault="00584AEB" w:rsidP="006E0391">
      <w:pPr>
        <w:ind w:right="-1"/>
      </w:pPr>
    </w:p>
    <w:p w14:paraId="4B615727" w14:textId="7669B57A" w:rsidR="00343E8A" w:rsidRPr="007B010A" w:rsidRDefault="00586130" w:rsidP="006E0391">
      <w:pPr>
        <w:ind w:right="-1"/>
      </w:pPr>
      <w:r w:rsidRPr="007B010A">
        <w:t>Valsts sekretār</w:t>
      </w:r>
      <w:r w:rsidR="00CB2012" w:rsidRPr="007B010A">
        <w:t>e</w:t>
      </w:r>
      <w:r w:rsidRPr="007B010A">
        <w:tab/>
      </w:r>
      <w:r w:rsidRPr="007B010A">
        <w:tab/>
      </w:r>
      <w:r w:rsidRPr="007B010A">
        <w:tab/>
        <w:t xml:space="preserve">                   </w:t>
      </w:r>
      <w:r w:rsidR="007930B5" w:rsidRPr="007B010A">
        <w:tab/>
      </w:r>
      <w:r w:rsidR="007930B5" w:rsidRPr="007B010A">
        <w:tab/>
        <w:t xml:space="preserve">      </w:t>
      </w:r>
      <w:r w:rsidRPr="007B010A">
        <w:t xml:space="preserve">  Daina </w:t>
      </w:r>
      <w:proofErr w:type="spellStart"/>
      <w:r w:rsidRPr="007B010A">
        <w:t>Mūrmane</w:t>
      </w:r>
      <w:proofErr w:type="spellEnd"/>
      <w:r w:rsidRPr="007B010A">
        <w:t xml:space="preserve"> - </w:t>
      </w:r>
      <w:proofErr w:type="spellStart"/>
      <w:r w:rsidRPr="007B010A">
        <w:t>Umbraško</w:t>
      </w:r>
      <w:proofErr w:type="spellEnd"/>
      <w:r w:rsidR="00D923AA" w:rsidRPr="007B010A">
        <w:t xml:space="preserve"> </w:t>
      </w:r>
    </w:p>
    <w:sectPr w:rsidR="00343E8A" w:rsidRPr="007B010A" w:rsidSect="00F11DB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EEC47" w14:textId="77777777" w:rsidR="00D664B7" w:rsidRDefault="00D664B7">
      <w:r>
        <w:separator/>
      </w:r>
    </w:p>
  </w:endnote>
  <w:endnote w:type="continuationSeparator" w:id="0">
    <w:p w14:paraId="60697374" w14:textId="77777777" w:rsidR="00D664B7" w:rsidRDefault="00D6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044FF" w14:textId="77777777" w:rsidR="00D664B7" w:rsidRDefault="00D6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41D7A" w14:textId="7B2040F0" w:rsidR="00D664B7" w:rsidRPr="00026E98" w:rsidRDefault="00D664B7" w:rsidP="00026E98">
    <w:pPr>
      <w:pStyle w:val="Footer"/>
      <w:rPr>
        <w:rFonts w:ascii="Times New Roman" w:hAnsi="Times New Roman" w:cs="Times New Roman"/>
        <w:sz w:val="20"/>
        <w:szCs w:val="20"/>
      </w:rPr>
    </w:pPr>
    <w:r w:rsidRPr="00FB42B8">
      <w:rPr>
        <w:rFonts w:ascii="Times New Roman" w:hAnsi="Times New Roman" w:cs="Times New Roman"/>
        <w:sz w:val="20"/>
        <w:szCs w:val="20"/>
      </w:rPr>
      <w:t>VM</w:t>
    </w:r>
    <w:r>
      <w:rPr>
        <w:rFonts w:ascii="Times New Roman" w:hAnsi="Times New Roman" w:cs="Times New Roman"/>
        <w:sz w:val="20"/>
        <w:szCs w:val="20"/>
      </w:rPr>
      <w:t>vestp1</w:t>
    </w:r>
    <w:r w:rsidRPr="00FB42B8">
      <w:rPr>
        <w:rFonts w:ascii="Times New Roman" w:hAnsi="Times New Roman" w:cs="Times New Roman"/>
        <w:sz w:val="20"/>
        <w:szCs w:val="20"/>
      </w:rPr>
      <w:t>_</w:t>
    </w:r>
    <w:r>
      <w:rPr>
        <w:rFonts w:ascii="Times New Roman" w:hAnsi="Times New Roman" w:cs="Times New Roman"/>
        <w:sz w:val="20"/>
        <w:szCs w:val="20"/>
      </w:rPr>
      <w:t>250319</w:t>
    </w:r>
    <w:r w:rsidRPr="00FB42B8">
      <w:rPr>
        <w:rFonts w:ascii="Times New Roman" w:hAnsi="Times New Roman" w:cs="Times New Roman"/>
        <w:sz w:val="20"/>
        <w:szCs w:val="20"/>
      </w:rPr>
      <w:t>_</w:t>
    </w:r>
    <w:r>
      <w:rPr>
        <w:rFonts w:ascii="Times New Roman" w:hAnsi="Times New Roman" w:cs="Times New Roman"/>
        <w:sz w:val="20"/>
        <w:szCs w:val="20"/>
      </w:rPr>
      <w:t>113milj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4A01" w14:textId="07CC2A7F" w:rsidR="00D664B7" w:rsidRPr="00ED2403" w:rsidRDefault="00D664B7" w:rsidP="00A45DB7">
    <w:pPr>
      <w:pStyle w:val="Footer"/>
      <w:rPr>
        <w:rFonts w:ascii="Times New Roman" w:hAnsi="Times New Roman" w:cs="Times New Roman"/>
        <w:sz w:val="20"/>
        <w:szCs w:val="20"/>
      </w:rPr>
    </w:pPr>
    <w:r w:rsidRPr="00FB42B8">
      <w:rPr>
        <w:rFonts w:ascii="Times New Roman" w:hAnsi="Times New Roman" w:cs="Times New Roman"/>
        <w:sz w:val="20"/>
        <w:szCs w:val="20"/>
      </w:rPr>
      <w:t>VM</w:t>
    </w:r>
    <w:r>
      <w:rPr>
        <w:rFonts w:ascii="Times New Roman" w:hAnsi="Times New Roman" w:cs="Times New Roman"/>
        <w:sz w:val="20"/>
        <w:szCs w:val="20"/>
      </w:rPr>
      <w:t>vestp1</w:t>
    </w:r>
    <w:r w:rsidRPr="00FB42B8">
      <w:rPr>
        <w:rFonts w:ascii="Times New Roman" w:hAnsi="Times New Roman" w:cs="Times New Roman"/>
        <w:sz w:val="20"/>
        <w:szCs w:val="20"/>
      </w:rPr>
      <w:t>_</w:t>
    </w:r>
    <w:r>
      <w:rPr>
        <w:rFonts w:ascii="Times New Roman" w:hAnsi="Times New Roman" w:cs="Times New Roman"/>
        <w:sz w:val="20"/>
        <w:szCs w:val="20"/>
      </w:rPr>
      <w:t>250319</w:t>
    </w:r>
    <w:r w:rsidRPr="00FB42B8">
      <w:rPr>
        <w:rFonts w:ascii="Times New Roman" w:hAnsi="Times New Roman" w:cs="Times New Roman"/>
        <w:sz w:val="20"/>
        <w:szCs w:val="20"/>
      </w:rPr>
      <w:t>_</w:t>
    </w:r>
    <w:r>
      <w:rPr>
        <w:rFonts w:ascii="Times New Roman" w:hAnsi="Times New Roman" w:cs="Times New Roman"/>
        <w:sz w:val="20"/>
        <w:szCs w:val="20"/>
      </w:rPr>
      <w:t>113milj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3D922" w14:textId="77777777" w:rsidR="00D664B7" w:rsidRDefault="00D664B7" w:rsidP="00742970">
      <w:r>
        <w:separator/>
      </w:r>
    </w:p>
  </w:footnote>
  <w:footnote w:type="continuationSeparator" w:id="0">
    <w:p w14:paraId="5352F7FB" w14:textId="77777777" w:rsidR="00D664B7" w:rsidRDefault="00D664B7" w:rsidP="00742970">
      <w:r>
        <w:continuationSeparator/>
      </w:r>
    </w:p>
  </w:footnote>
  <w:footnote w:type="continuationNotice" w:id="1">
    <w:p w14:paraId="6FE7DDB6" w14:textId="77777777" w:rsidR="00D664B7" w:rsidRDefault="00D664B7"/>
  </w:footnote>
  <w:footnote w:id="2">
    <w:p w14:paraId="4DA016F0" w14:textId="77777777" w:rsidR="00D664B7" w:rsidRPr="0040747C" w:rsidRDefault="00D664B7" w:rsidP="00D923AA">
      <w:pPr>
        <w:pStyle w:val="NormalWeb"/>
        <w:shd w:val="clear" w:color="auto" w:fill="FFFFFF"/>
        <w:spacing w:before="0" w:beforeAutospacing="0" w:after="0" w:afterAutospacing="0"/>
        <w:jc w:val="both"/>
        <w:rPr>
          <w:bCs/>
          <w:color w:val="000000" w:themeColor="text1"/>
          <w:sz w:val="20"/>
          <w:szCs w:val="20"/>
        </w:rPr>
      </w:pPr>
      <w:r w:rsidRPr="0040747C">
        <w:rPr>
          <w:rStyle w:val="FootnoteReference"/>
          <w:sz w:val="20"/>
          <w:szCs w:val="20"/>
        </w:rPr>
        <w:footnoteRef/>
      </w:r>
      <w:r w:rsidRPr="0040747C">
        <w:rPr>
          <w:sz w:val="20"/>
          <w:szCs w:val="20"/>
        </w:rPr>
        <w:t xml:space="preserve"> </w:t>
      </w:r>
      <w:r w:rsidRPr="0040747C">
        <w:rPr>
          <w:bCs/>
          <w:color w:val="000000" w:themeColor="text1"/>
          <w:sz w:val="20"/>
          <w:szCs w:val="20"/>
        </w:rPr>
        <w:t xml:space="preserve">Ministru kabineta rīkojums Nr.589 </w:t>
      </w:r>
      <w:r w:rsidRPr="0040747C">
        <w:rPr>
          <w:color w:val="000000" w:themeColor="text1"/>
          <w:sz w:val="20"/>
          <w:szCs w:val="20"/>
        </w:rPr>
        <w:t>2014.gada 14.oktobrī (prot. Nr.51 53.§) “</w:t>
      </w:r>
      <w:r w:rsidRPr="0040747C">
        <w:rPr>
          <w:color w:val="000000" w:themeColor="text1"/>
          <w:sz w:val="20"/>
          <w:szCs w:val="20"/>
          <w:lang w:bidi="en-US"/>
        </w:rPr>
        <w:t>Sabiedrības veselības pamatnostādnes 2014-2020” (6.lpp.)</w:t>
      </w:r>
    </w:p>
  </w:footnote>
  <w:footnote w:id="3">
    <w:p w14:paraId="119CD27A" w14:textId="77777777" w:rsidR="00D664B7" w:rsidRPr="0040747C" w:rsidRDefault="00D664B7" w:rsidP="00D923AA">
      <w:pPr>
        <w:pStyle w:val="FootnoteText"/>
        <w:jc w:val="both"/>
        <w:rPr>
          <w:rFonts w:ascii="Times New Roman" w:hAnsi="Times New Roman" w:cs="Times New Roman"/>
          <w:lang w:val="en-GB"/>
        </w:rPr>
      </w:pPr>
      <w:r w:rsidRPr="0040747C">
        <w:rPr>
          <w:rStyle w:val="FootnoteReference"/>
          <w:rFonts w:ascii="Times New Roman" w:hAnsi="Times New Roman" w:cs="Times New Roman"/>
        </w:rPr>
        <w:footnoteRef/>
      </w:r>
      <w:r w:rsidRPr="0040747C">
        <w:rPr>
          <w:rFonts w:ascii="Times New Roman" w:hAnsi="Times New Roman" w:cs="Times New Roman"/>
        </w:rPr>
        <w:t xml:space="preserve"> </w:t>
      </w:r>
      <w:r w:rsidRPr="0040747C">
        <w:rPr>
          <w:rFonts w:ascii="Times New Roman" w:hAnsi="Times New Roman" w:cs="Times New Roman"/>
          <w:bCs/>
          <w:color w:val="000000" w:themeColor="text1"/>
        </w:rPr>
        <w:t xml:space="preserve">Ministru kabineta rīkojums Nr.589 </w:t>
      </w:r>
      <w:r w:rsidRPr="0040747C">
        <w:rPr>
          <w:rFonts w:ascii="Times New Roman" w:hAnsi="Times New Roman" w:cs="Times New Roman"/>
          <w:color w:val="000000" w:themeColor="text1"/>
        </w:rPr>
        <w:t>2014.gada 14.oktobrī (prot. Nr.51 53.§) “</w:t>
      </w:r>
      <w:r w:rsidRPr="0040747C">
        <w:rPr>
          <w:rFonts w:ascii="Times New Roman" w:hAnsi="Times New Roman" w:cs="Times New Roman"/>
          <w:color w:val="000000" w:themeColor="text1"/>
          <w:lang w:bidi="en-US"/>
        </w:rPr>
        <w:t>Sabiedrības veselības pamatnostādnes 2014-2020” (83.lpp.)</w:t>
      </w:r>
    </w:p>
  </w:footnote>
  <w:footnote w:id="4">
    <w:p w14:paraId="48434B44" w14:textId="1E1FC4AB" w:rsidR="00D664B7" w:rsidRDefault="00D664B7" w:rsidP="00D923AA">
      <w:pPr>
        <w:pStyle w:val="FootnoteText"/>
      </w:pPr>
      <w:r>
        <w:rPr>
          <w:rStyle w:val="FootnoteReference"/>
        </w:rPr>
        <w:footnoteRef/>
      </w:r>
      <w:r w:rsidRPr="00BB73BC">
        <w:rPr>
          <w:rFonts w:ascii="Times New Roman" w:hAnsi="Times New Roman" w:cs="Times New Roman"/>
        </w:rPr>
        <w:t>Centrālā statistikas datu bāze</w:t>
      </w:r>
    </w:p>
  </w:footnote>
  <w:footnote w:id="5">
    <w:p w14:paraId="58AB4B57" w14:textId="77777777" w:rsidR="00D664B7" w:rsidRPr="008463B6" w:rsidRDefault="00D664B7" w:rsidP="00D923AA">
      <w:pPr>
        <w:pStyle w:val="FootnoteText"/>
        <w:rPr>
          <w:rFonts w:ascii="Times New Roman" w:hAnsi="Times New Roman" w:cs="Times New Roman"/>
        </w:rPr>
      </w:pPr>
      <w:r w:rsidRPr="008463B6">
        <w:rPr>
          <w:rStyle w:val="FootnoteReference"/>
          <w:rFonts w:ascii="Times New Roman" w:hAnsi="Times New Roman" w:cs="Times New Roman"/>
        </w:rPr>
        <w:footnoteRef/>
      </w:r>
      <w:r w:rsidRPr="00B76B13">
        <w:rPr>
          <w:rFonts w:ascii="Times New Roman" w:hAnsi="Times New Roman" w:cs="Times New Roman"/>
        </w:rPr>
        <w:t>https://ec.europa.eu/health/indicators_data/indicators_en</w:t>
      </w:r>
    </w:p>
  </w:footnote>
  <w:footnote w:id="6">
    <w:p w14:paraId="3E762811" w14:textId="1614F6EC" w:rsidR="00D664B7" w:rsidRPr="008463B6" w:rsidRDefault="00D664B7" w:rsidP="00D923AA">
      <w:pPr>
        <w:pStyle w:val="FootnoteText"/>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csp, statistisko datu krājums “Iedzīvotāju veselības </w:t>
      </w:r>
      <w:proofErr w:type="spellStart"/>
      <w:r w:rsidRPr="008463B6">
        <w:rPr>
          <w:rFonts w:ascii="Times New Roman" w:hAnsi="Times New Roman" w:cs="Times New Roman"/>
        </w:rPr>
        <w:t>apsekojuma</w:t>
      </w:r>
      <w:proofErr w:type="spellEnd"/>
      <w:r w:rsidRPr="008463B6">
        <w:rPr>
          <w:rFonts w:ascii="Times New Roman" w:hAnsi="Times New Roman" w:cs="Times New Roman"/>
        </w:rPr>
        <w:t xml:space="preserve"> rezultāti Latvijā”, </w:t>
      </w:r>
      <w:r>
        <w:rPr>
          <w:rFonts w:ascii="Times New Roman" w:hAnsi="Times New Roman" w:cs="Times New Roman"/>
        </w:rPr>
        <w:t xml:space="preserve">2016, </w:t>
      </w:r>
      <w:r w:rsidRPr="008463B6">
        <w:rPr>
          <w:rFonts w:ascii="Times New Roman" w:hAnsi="Times New Roman" w:cs="Times New Roman"/>
        </w:rPr>
        <w:t>66.lpp</w:t>
      </w:r>
    </w:p>
  </w:footnote>
  <w:footnote w:id="7">
    <w:p w14:paraId="55EBD763" w14:textId="77777777" w:rsidR="00D664B7" w:rsidRPr="007E21B3" w:rsidRDefault="00D664B7" w:rsidP="00D923AA">
      <w:pPr>
        <w:pStyle w:val="FootnoteText"/>
        <w:rPr>
          <w:rFonts w:ascii="Times New Roman" w:hAnsi="Times New Roman" w:cs="Times New Roman"/>
        </w:rPr>
      </w:pPr>
      <w:r w:rsidRPr="007E21B3">
        <w:rPr>
          <w:rStyle w:val="FootnoteReference"/>
          <w:rFonts w:ascii="Times New Roman" w:hAnsi="Times New Roman" w:cs="Times New Roman"/>
        </w:rPr>
        <w:footnoteRef/>
      </w:r>
      <w:r w:rsidRPr="007E21B3">
        <w:rPr>
          <w:rFonts w:ascii="Times New Roman" w:hAnsi="Times New Roman" w:cs="Times New Roman"/>
        </w:rPr>
        <w:t xml:space="preserve"> http://www.laa.lv/tirgus-dati/</w:t>
      </w:r>
    </w:p>
  </w:footnote>
  <w:footnote w:id="8">
    <w:p w14:paraId="10E107AB" w14:textId="6E6F4462" w:rsidR="00D664B7" w:rsidRPr="00DE16DB" w:rsidRDefault="00D664B7">
      <w:pPr>
        <w:pStyle w:val="FootnoteText"/>
        <w:rPr>
          <w:rFonts w:ascii="Times New Roman" w:hAnsi="Times New Roman" w:cs="Times New Roman"/>
        </w:rPr>
      </w:pPr>
      <w:r w:rsidRPr="00DE16DB">
        <w:rPr>
          <w:rStyle w:val="FootnoteReference"/>
          <w:rFonts w:ascii="Times New Roman" w:hAnsi="Times New Roman" w:cs="Times New Roman"/>
        </w:rPr>
        <w:footnoteRef/>
      </w:r>
      <w:r w:rsidRPr="00DE16DB">
        <w:rPr>
          <w:rFonts w:ascii="Times New Roman" w:hAnsi="Times New Roman" w:cs="Times New Roman"/>
        </w:rPr>
        <w:t xml:space="preserve"> http://www.vmnvd.gov.lv/lv/datu-bazes/rstniecb-izmantojamo-medicnisko-tehnoloiju-datu-bze/2-internas-medicinas-un-funkcionalas-diagnostikas-mediciniskie-pakalpo-jumi/228-pielikumi-izverstie-mediciniskas-tehnologijas-metodes-apraksti-un-citi-materiali/cukura-diabeta-pacientu-apmaciba</w:t>
      </w:r>
    </w:p>
  </w:footnote>
  <w:footnote w:id="9">
    <w:p w14:paraId="53B2C82E" w14:textId="77777777" w:rsidR="00D664B7" w:rsidRPr="00370D8C" w:rsidRDefault="00D664B7" w:rsidP="00D923AA">
      <w:pPr>
        <w:pStyle w:val="FootnoteText"/>
        <w:rPr>
          <w:rFonts w:ascii="Times New Roman" w:hAnsi="Times New Roman" w:cs="Times New Roman"/>
        </w:rPr>
      </w:pPr>
      <w:r w:rsidRPr="00370D8C">
        <w:rPr>
          <w:rStyle w:val="FootnoteReference"/>
          <w:rFonts w:ascii="Times New Roman" w:hAnsi="Times New Roman" w:cs="Times New Roman"/>
        </w:rPr>
        <w:footnoteRef/>
      </w:r>
      <w:r w:rsidRPr="00370D8C">
        <w:rPr>
          <w:rFonts w:ascii="Times New Roman" w:hAnsi="Times New Roman" w:cs="Times New Roman"/>
        </w:rPr>
        <w:t xml:space="preserve"> M</w:t>
      </w:r>
      <w:r>
        <w:rPr>
          <w:rFonts w:ascii="Times New Roman" w:hAnsi="Times New Roman" w:cs="Times New Roman"/>
        </w:rPr>
        <w:t xml:space="preserve">inistru kabineta 2018.gada 4.janvāra noteikumi Nr.12 “Grozījumi Ministru kabineta 2006.gada 31.oktobra noteikumos </w:t>
      </w:r>
      <w:r w:rsidRPr="00370D8C">
        <w:rPr>
          <w:rFonts w:ascii="Times New Roman" w:hAnsi="Times New Roman" w:cs="Times New Roman"/>
        </w:rPr>
        <w:t xml:space="preserve">“Ambulatorajai ārstēšanai paredzēto zāļu un medicīnisko ierīču iegādes </w:t>
      </w:r>
      <w:r>
        <w:rPr>
          <w:rFonts w:ascii="Times New Roman" w:hAnsi="Times New Roman" w:cs="Times New Roman"/>
        </w:rPr>
        <w:t xml:space="preserve">izdevumu kompensācijas kārtība””  </w:t>
      </w:r>
    </w:p>
  </w:footnote>
  <w:footnote w:id="10">
    <w:p w14:paraId="038170AD" w14:textId="77777777" w:rsidR="00D664B7" w:rsidRPr="00B72A14" w:rsidRDefault="00D664B7" w:rsidP="00B80FCE">
      <w:pPr>
        <w:pStyle w:val="FootnoteText"/>
        <w:rPr>
          <w:rFonts w:ascii="Times New Roman" w:hAnsi="Times New Roman" w:cs="Times New Roman"/>
        </w:rPr>
      </w:pPr>
      <w:r w:rsidRPr="00B72A14">
        <w:rPr>
          <w:rStyle w:val="FootnoteReference"/>
          <w:rFonts w:ascii="Times New Roman" w:hAnsi="Times New Roman" w:cs="Times New Roman"/>
        </w:rPr>
        <w:footnoteRef/>
      </w:r>
      <w:r w:rsidRPr="00B72A14">
        <w:rPr>
          <w:rFonts w:ascii="Times New Roman" w:hAnsi="Times New Roman" w:cs="Times New Roman"/>
        </w:rPr>
        <w:t xml:space="preserve"> http://apps.who.int/iris/bitstream/10665/260445/1/WHO-CDS-HIV-18.4-eng.pdf?ua=1</w:t>
      </w:r>
    </w:p>
  </w:footnote>
  <w:footnote w:id="11">
    <w:p w14:paraId="17CC43D0" w14:textId="77777777" w:rsidR="00D664B7" w:rsidRDefault="00D664B7" w:rsidP="00B80FCE">
      <w:pPr>
        <w:pStyle w:val="FootnoteText"/>
      </w:pPr>
      <w:r>
        <w:rPr>
          <w:rStyle w:val="FootnoteReference"/>
        </w:rPr>
        <w:footnoteRef/>
      </w:r>
      <w:r>
        <w:t xml:space="preserve"> </w:t>
      </w:r>
      <w:r w:rsidRPr="002D2884">
        <w:rPr>
          <w:rFonts w:ascii="Times New Roman" w:hAnsi="Times New Roman" w:cs="Times New Roman"/>
        </w:rPr>
        <w:t xml:space="preserve">“Progress report on access to hepatitis C treatment </w:t>
      </w:r>
      <w:r w:rsidRPr="002D2884">
        <w:rPr>
          <w:rFonts w:ascii="Times New Roman" w:hAnsi="Times New Roman" w:cs="Times New Roman"/>
          <w:bCs/>
        </w:rPr>
        <w:t>Focus on overcoming barriers in low- and middle-income countries”</w:t>
      </w:r>
      <w:r>
        <w:rPr>
          <w:rFonts w:ascii="Times New Roman" w:hAnsi="Times New Roman" w:cs="Times New Roman"/>
          <w:bCs/>
        </w:rPr>
        <w:t xml:space="preserve"> March </w:t>
      </w:r>
      <w:r w:rsidRPr="002D2884">
        <w:rPr>
          <w:rFonts w:ascii="Times New Roman" w:hAnsi="Times New Roman" w:cs="Times New Roman"/>
          <w:bCs/>
        </w:rPr>
        <w:t>2018.</w:t>
      </w:r>
    </w:p>
  </w:footnote>
  <w:footnote w:id="12">
    <w:p w14:paraId="290DA116" w14:textId="77777777" w:rsidR="00D664B7" w:rsidRDefault="00D664B7" w:rsidP="00B80FCE">
      <w:pPr>
        <w:pStyle w:val="FootnoteText"/>
        <w:jc w:val="both"/>
        <w:rPr>
          <w:rFonts w:ascii="Times New Roman" w:hAnsi="Times New Roman" w:cs="Times New Roman"/>
        </w:rPr>
      </w:pPr>
      <w:r>
        <w:rPr>
          <w:rStyle w:val="FootnoteReference"/>
        </w:rPr>
        <w:footnoteRef/>
      </w:r>
      <w:r>
        <w:t xml:space="preserve"> </w:t>
      </w:r>
      <w:r w:rsidRPr="0062375F">
        <w:rPr>
          <w:rFonts w:ascii="Times New Roman" w:hAnsi="Times New Roman" w:cs="Times New Roman"/>
        </w:rPr>
        <w:t>EASL Recommendations on</w:t>
      </w:r>
      <w:r>
        <w:rPr>
          <w:rFonts w:ascii="Times New Roman" w:hAnsi="Times New Roman" w:cs="Times New Roman"/>
        </w:rPr>
        <w:t xml:space="preserve"> Treatment of Hepatitis C 2016q </w:t>
      </w:r>
    </w:p>
    <w:p w14:paraId="0AE98876" w14:textId="77777777" w:rsidR="00D664B7" w:rsidRPr="0062375F" w:rsidRDefault="00D664B7" w:rsidP="00B80FCE">
      <w:pPr>
        <w:pStyle w:val="FootnoteText"/>
        <w:jc w:val="both"/>
        <w:rPr>
          <w:rFonts w:ascii="Times New Roman" w:hAnsi="Times New Roman" w:cs="Times New Roman"/>
        </w:rPr>
      </w:pPr>
      <w:r w:rsidRPr="0062375F">
        <w:rPr>
          <w:rFonts w:ascii="Times New Roman" w:hAnsi="Times New Roman" w:cs="Times New Roman"/>
        </w:rPr>
        <w:t>http://www.easl.eu/medias/cpg/HCV2016/English-report.pdf</w:t>
      </w:r>
    </w:p>
  </w:footnote>
  <w:footnote w:id="13">
    <w:p w14:paraId="3C24C493" w14:textId="77777777" w:rsidR="00D664B7" w:rsidRPr="00382DB1" w:rsidRDefault="00D664B7" w:rsidP="00B80FCE">
      <w:pPr>
        <w:pStyle w:val="FootnoteText"/>
        <w:rPr>
          <w:rFonts w:ascii="Times New Roman" w:hAnsi="Times New Roman" w:cs="Times New Roman"/>
          <w:sz w:val="18"/>
          <w:szCs w:val="18"/>
        </w:rPr>
      </w:pPr>
      <w:r w:rsidRPr="00382DB1">
        <w:rPr>
          <w:rStyle w:val="FootnoteReference"/>
          <w:rFonts w:ascii="Times New Roman" w:hAnsi="Times New Roman" w:cs="Times New Roman"/>
          <w:sz w:val="18"/>
          <w:szCs w:val="18"/>
        </w:rPr>
        <w:footnoteRef/>
      </w:r>
      <w:r w:rsidRPr="00382DB1">
        <w:rPr>
          <w:rFonts w:ascii="Times New Roman" w:hAnsi="Times New Roman" w:cs="Times New Roman"/>
          <w:sz w:val="18"/>
          <w:szCs w:val="18"/>
        </w:rPr>
        <w:t xml:space="preserve"> Tolmane I, Rozentale B, Keiss J, Arsa F, Brigis G, Zvaigzne A. The prevalence of viral hepatitis C in Latvia: a population-based study. Medicina (Kaunas). 2011;47(10):532-5.</w:t>
      </w:r>
    </w:p>
  </w:footnote>
  <w:footnote w:id="14">
    <w:p w14:paraId="69960D99" w14:textId="77777777" w:rsidR="00D664B7" w:rsidRPr="00177DE1" w:rsidRDefault="00D664B7" w:rsidP="00B80FCE">
      <w:pPr>
        <w:pStyle w:val="FootnoteText"/>
        <w:rPr>
          <w:rFonts w:ascii="Times New Roman" w:hAnsi="Times New Roman" w:cs="Times New Roman"/>
        </w:rPr>
      </w:pPr>
      <w:r w:rsidRPr="00177DE1">
        <w:rPr>
          <w:rStyle w:val="FootnoteReference"/>
          <w:rFonts w:ascii="Times New Roman" w:hAnsi="Times New Roman" w:cs="Times New Roman"/>
        </w:rPr>
        <w:footnoteRef/>
      </w:r>
      <w:r w:rsidRPr="00177DE1">
        <w:rPr>
          <w:rFonts w:ascii="Times New Roman" w:hAnsi="Times New Roman" w:cs="Times New Roman"/>
        </w:rPr>
        <w:t xml:space="preserve"> http://apps.who.int/iris/bitstream/10665/206453/1/WHO_HIV_2016.04_eng.pdf?ua=1</w:t>
      </w:r>
    </w:p>
  </w:footnote>
  <w:footnote w:id="15">
    <w:p w14:paraId="498B4492" w14:textId="77777777" w:rsidR="00D664B7" w:rsidRPr="001B3584" w:rsidRDefault="00D664B7" w:rsidP="00927164">
      <w:pPr>
        <w:pStyle w:val="FootnoteText"/>
        <w:rPr>
          <w:rFonts w:ascii="Times New Roman" w:hAnsi="Times New Roman" w:cs="Times New Roman"/>
          <w:lang w:val="en-US"/>
        </w:rPr>
      </w:pPr>
      <w:r w:rsidRPr="001B3584">
        <w:rPr>
          <w:rStyle w:val="FootnoteReference"/>
          <w:rFonts w:ascii="Times New Roman" w:hAnsi="Times New Roman" w:cs="Times New Roman"/>
          <w:lang w:val="en-US"/>
        </w:rPr>
        <w:footnoteRef/>
      </w:r>
      <w:r w:rsidRPr="001B3584">
        <w:rPr>
          <w:rFonts w:ascii="Times New Roman" w:hAnsi="Times New Roman" w:cs="Times New Roman"/>
          <w:lang w:val="en-US"/>
        </w:rPr>
        <w:t>Patel P, Borkowf CB, Brooks JT. Et al. Estimating per-act HIV transmission risk: a systematic review. AIDS. 2014. doi: 10.1097/QAD.0000000000000298</w:t>
      </w:r>
    </w:p>
  </w:footnote>
  <w:footnote w:id="16">
    <w:p w14:paraId="7ED267D5" w14:textId="77777777" w:rsidR="00D664B7" w:rsidRPr="001B3584" w:rsidRDefault="00D664B7" w:rsidP="00927164">
      <w:pPr>
        <w:pStyle w:val="FootnoteText"/>
        <w:rPr>
          <w:rFonts w:ascii="Times New Roman" w:hAnsi="Times New Roman" w:cs="Times New Roman"/>
          <w:lang w:val="en-US"/>
        </w:rPr>
      </w:pPr>
      <w:r w:rsidRPr="001B3584">
        <w:rPr>
          <w:rStyle w:val="FootnoteReference"/>
          <w:rFonts w:ascii="Times New Roman" w:hAnsi="Times New Roman" w:cs="Times New Roman"/>
          <w:lang w:val="en-US"/>
        </w:rPr>
        <w:footnoteRef/>
      </w:r>
      <w:r w:rsidRPr="001B3584">
        <w:rPr>
          <w:rFonts w:ascii="Times New Roman" w:hAnsi="Times New Roman" w:cs="Times New Roman"/>
          <w:lang w:val="en-US"/>
        </w:rPr>
        <w:t xml:space="preserve">Pretty LA, Anderson GS, Sweet DJ. Human bites and the risk of human immunodeficiency virus transmission. Am J Forensic Med Pathol 1999;20(3):232-239 </w:t>
      </w:r>
    </w:p>
  </w:footnote>
  <w:footnote w:id="17">
    <w:p w14:paraId="0B84B50F" w14:textId="7266F19F" w:rsidR="00D664B7" w:rsidRPr="008463B6" w:rsidRDefault="00D664B7" w:rsidP="00D923AA">
      <w:pPr>
        <w:pStyle w:val="FootnoteText"/>
        <w:rPr>
          <w:rFonts w:ascii="Times New Roman" w:hAnsi="Times New Roman" w:cs="Times New Roman"/>
        </w:rPr>
      </w:pPr>
      <w:r w:rsidRPr="008463B6">
        <w:rPr>
          <w:rStyle w:val="FootnoteReference"/>
          <w:rFonts w:ascii="Times New Roman" w:hAnsi="Times New Roman" w:cs="Times New Roman"/>
        </w:rPr>
        <w:footnoteRef/>
      </w:r>
      <w:r w:rsidRPr="008463B6">
        <w:rPr>
          <w:rFonts w:ascii="Times New Roman" w:hAnsi="Times New Roman" w:cs="Times New Roman"/>
        </w:rPr>
        <w:t xml:space="preserve"> Papildus no valsts budžeta finansējuma plānots palielināt kapitācijas naudā iekļauto mēnešalgas pozīciju, nodrošinot ka</w:t>
      </w:r>
      <w:r>
        <w:rPr>
          <w:rFonts w:ascii="Times New Roman" w:hAnsi="Times New Roman" w:cs="Times New Roman"/>
        </w:rPr>
        <w:t>pitācijas naudas pieaugumu no 1,</w:t>
      </w:r>
      <w:r w:rsidRPr="008463B6">
        <w:rPr>
          <w:rFonts w:ascii="Times New Roman" w:hAnsi="Times New Roman" w:cs="Times New Roman"/>
        </w:rPr>
        <w:t>251254 līdz 1</w:t>
      </w:r>
      <w:r>
        <w:rPr>
          <w:rFonts w:ascii="Times New Roman" w:hAnsi="Times New Roman" w:cs="Times New Roman"/>
        </w:rPr>
        <w:t>,</w:t>
      </w:r>
      <w:r w:rsidRPr="008463B6">
        <w:rPr>
          <w:rFonts w:ascii="Times New Roman" w:hAnsi="Times New Roman" w:cs="Times New Roman"/>
        </w:rPr>
        <w:t xml:space="preserve">47171 </w:t>
      </w:r>
      <w:r w:rsidRPr="006E0391">
        <w:rPr>
          <w:rFonts w:ascii="Times New Roman" w:hAnsi="Times New Roman" w:cs="Times New Roman"/>
          <w:i/>
        </w:rPr>
        <w:t>euro</w:t>
      </w:r>
      <w:r w:rsidRPr="008463B6">
        <w:rPr>
          <w:rFonts w:ascii="Times New Roman" w:hAnsi="Times New Roman" w:cs="Times New Roman"/>
        </w:rPr>
        <w:t>. No EK atkāpes finansējuma nav plānots mēnešalgas palielinājums.</w:t>
      </w:r>
    </w:p>
  </w:footnote>
  <w:footnote w:id="18">
    <w:p w14:paraId="7D22B69E" w14:textId="77777777" w:rsidR="00D664B7" w:rsidRPr="007A4F51" w:rsidRDefault="00D664B7" w:rsidP="00D923AA">
      <w:pPr>
        <w:pStyle w:val="FootnoteText"/>
        <w:rPr>
          <w:rFonts w:ascii="Times New Roman" w:hAnsi="Times New Roman" w:cs="Times New Roman"/>
          <w:i/>
        </w:rPr>
      </w:pPr>
      <w:r w:rsidRPr="00A17552">
        <w:rPr>
          <w:rStyle w:val="FootnoteReference"/>
          <w:rFonts w:ascii="Times New Roman" w:hAnsi="Times New Roman" w:cs="Times New Roman"/>
        </w:rPr>
        <w:footnoteRef/>
      </w:r>
      <w:r w:rsidRPr="00A17552">
        <w:rPr>
          <w:rFonts w:ascii="Times New Roman" w:hAnsi="Times New Roman" w:cs="Times New Roman"/>
        </w:rPr>
        <w:t xml:space="preserve"> </w:t>
      </w:r>
      <w:r>
        <w:rPr>
          <w:rFonts w:ascii="Times New Roman" w:hAnsi="Times New Roman" w:cs="Times New Roman"/>
        </w:rPr>
        <w:t xml:space="preserve">Papildus informācijai: </w:t>
      </w:r>
      <w:hyperlink r:id="rId1" w:history="1">
        <w:r w:rsidRPr="00866A3E">
          <w:rPr>
            <w:rStyle w:val="Hyperlink"/>
            <w:rFonts w:ascii="Times New Roman" w:hAnsi="Times New Roman" w:cs="Times New Roman"/>
            <w:i/>
            <w:color w:val="auto"/>
          </w:rPr>
          <w:t>https://spkc.gov.lv/upload/Arstniecibas%20personam/Metodiskie%20materiali/vadlinijas_augsta_riska_individu_atpazisana.</w:t>
        </w:r>
        <w:r w:rsidRPr="00F62EDF">
          <w:rPr>
            <w:rStyle w:val="Hyperlink"/>
            <w:rFonts w:ascii="Times New Roman" w:hAnsi="Times New Roman" w:cs="Times New Roman"/>
            <w:i/>
            <w:color w:val="auto"/>
          </w:rPr>
          <w:t>pdf</w:t>
        </w:r>
      </w:hyperlink>
      <w:r w:rsidRPr="00866A3E">
        <w:rPr>
          <w:rFonts w:ascii="Times New Roman" w:hAnsi="Times New Roman" w:cs="Times New Roman"/>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0B7D2" w14:textId="77777777" w:rsidR="00D664B7" w:rsidRDefault="00D66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092825187"/>
      <w:docPartObj>
        <w:docPartGallery w:val="Page Numbers (Top of Page)"/>
        <w:docPartUnique/>
      </w:docPartObj>
    </w:sdtPr>
    <w:sdtContent>
      <w:p w14:paraId="6E5CA1D3" w14:textId="4DE25CCF" w:rsidR="00D664B7" w:rsidRPr="005423DB" w:rsidRDefault="00D664B7">
        <w:pPr>
          <w:pStyle w:val="Header"/>
          <w:jc w:val="center"/>
          <w:rPr>
            <w:rFonts w:ascii="Times New Roman" w:hAnsi="Times New Roman" w:cs="Times New Roman"/>
          </w:rPr>
        </w:pPr>
        <w:r w:rsidRPr="005423DB">
          <w:rPr>
            <w:rFonts w:ascii="Times New Roman" w:hAnsi="Times New Roman" w:cs="Times New Roman"/>
          </w:rPr>
          <w:fldChar w:fldCharType="begin"/>
        </w:r>
        <w:r w:rsidRPr="005423DB">
          <w:rPr>
            <w:rFonts w:ascii="Times New Roman" w:hAnsi="Times New Roman" w:cs="Times New Roman"/>
          </w:rPr>
          <w:instrText xml:space="preserve"> PAGE   \* MERGEFORMAT </w:instrText>
        </w:r>
        <w:r w:rsidRPr="005423DB">
          <w:rPr>
            <w:rFonts w:ascii="Times New Roman" w:hAnsi="Times New Roman" w:cs="Times New Roman"/>
          </w:rPr>
          <w:fldChar w:fldCharType="separate"/>
        </w:r>
        <w:r>
          <w:rPr>
            <w:rFonts w:ascii="Times New Roman" w:hAnsi="Times New Roman" w:cs="Times New Roman"/>
            <w:noProof/>
          </w:rPr>
          <w:t>36</w:t>
        </w:r>
        <w:r w:rsidRPr="005423DB">
          <w:rPr>
            <w:rFonts w:ascii="Times New Roman" w:hAnsi="Times New Roman" w:cs="Times New Roman"/>
          </w:rPr>
          <w:fldChar w:fldCharType="end"/>
        </w:r>
      </w:p>
    </w:sdtContent>
  </w:sdt>
  <w:p w14:paraId="72B9146F" w14:textId="77777777" w:rsidR="00D664B7" w:rsidRDefault="00D66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B5A5A" w14:textId="77777777" w:rsidR="00D664B7" w:rsidRDefault="00D66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3F574E"/>
    <w:multiLevelType w:val="hybridMultilevel"/>
    <w:tmpl w:val="D9040366"/>
    <w:lvl w:ilvl="0" w:tplc="B824BB82">
      <w:start w:val="47"/>
      <w:numFmt w:val="bullet"/>
      <w:lvlText w:val=""/>
      <w:lvlJc w:val="left"/>
      <w:pPr>
        <w:ind w:left="671" w:hanging="360"/>
      </w:pPr>
      <w:rPr>
        <w:rFonts w:ascii="Symbol" w:eastAsia="Times New Roman" w:hAnsi="Symbol" w:cs="Times New Roman" w:hint="default"/>
      </w:rPr>
    </w:lvl>
    <w:lvl w:ilvl="1" w:tplc="0E16BEC4">
      <w:start w:val="1"/>
      <w:numFmt w:val="bullet"/>
      <w:lvlText w:val="o"/>
      <w:lvlJc w:val="left"/>
      <w:pPr>
        <w:ind w:left="1391" w:hanging="360"/>
      </w:pPr>
      <w:rPr>
        <w:rFonts w:ascii="Courier New" w:hAnsi="Courier New" w:cs="Courier New" w:hint="default"/>
      </w:rPr>
    </w:lvl>
    <w:lvl w:ilvl="2" w:tplc="E6D65180" w:tentative="1">
      <w:start w:val="1"/>
      <w:numFmt w:val="bullet"/>
      <w:lvlText w:val=""/>
      <w:lvlJc w:val="left"/>
      <w:pPr>
        <w:ind w:left="2111" w:hanging="360"/>
      </w:pPr>
      <w:rPr>
        <w:rFonts w:ascii="Wingdings" w:hAnsi="Wingdings" w:hint="default"/>
      </w:rPr>
    </w:lvl>
    <w:lvl w:ilvl="3" w:tplc="F0EE5BBA" w:tentative="1">
      <w:start w:val="1"/>
      <w:numFmt w:val="bullet"/>
      <w:lvlText w:val=""/>
      <w:lvlJc w:val="left"/>
      <w:pPr>
        <w:ind w:left="2831" w:hanging="360"/>
      </w:pPr>
      <w:rPr>
        <w:rFonts w:ascii="Symbol" w:hAnsi="Symbol" w:hint="default"/>
      </w:rPr>
    </w:lvl>
    <w:lvl w:ilvl="4" w:tplc="58E4B9CC" w:tentative="1">
      <w:start w:val="1"/>
      <w:numFmt w:val="bullet"/>
      <w:lvlText w:val="o"/>
      <w:lvlJc w:val="left"/>
      <w:pPr>
        <w:ind w:left="3551" w:hanging="360"/>
      </w:pPr>
      <w:rPr>
        <w:rFonts w:ascii="Courier New" w:hAnsi="Courier New" w:cs="Courier New" w:hint="default"/>
      </w:rPr>
    </w:lvl>
    <w:lvl w:ilvl="5" w:tplc="6728D84A" w:tentative="1">
      <w:start w:val="1"/>
      <w:numFmt w:val="bullet"/>
      <w:lvlText w:val=""/>
      <w:lvlJc w:val="left"/>
      <w:pPr>
        <w:ind w:left="4271" w:hanging="360"/>
      </w:pPr>
      <w:rPr>
        <w:rFonts w:ascii="Wingdings" w:hAnsi="Wingdings" w:hint="default"/>
      </w:rPr>
    </w:lvl>
    <w:lvl w:ilvl="6" w:tplc="2DC4FE9E" w:tentative="1">
      <w:start w:val="1"/>
      <w:numFmt w:val="bullet"/>
      <w:lvlText w:val=""/>
      <w:lvlJc w:val="left"/>
      <w:pPr>
        <w:ind w:left="4991" w:hanging="360"/>
      </w:pPr>
      <w:rPr>
        <w:rFonts w:ascii="Symbol" w:hAnsi="Symbol" w:hint="default"/>
      </w:rPr>
    </w:lvl>
    <w:lvl w:ilvl="7" w:tplc="85522A92" w:tentative="1">
      <w:start w:val="1"/>
      <w:numFmt w:val="bullet"/>
      <w:lvlText w:val="o"/>
      <w:lvlJc w:val="left"/>
      <w:pPr>
        <w:ind w:left="5711" w:hanging="360"/>
      </w:pPr>
      <w:rPr>
        <w:rFonts w:ascii="Courier New" w:hAnsi="Courier New" w:cs="Courier New" w:hint="default"/>
      </w:rPr>
    </w:lvl>
    <w:lvl w:ilvl="8" w:tplc="AD60C00C" w:tentative="1">
      <w:start w:val="1"/>
      <w:numFmt w:val="bullet"/>
      <w:lvlText w:val=""/>
      <w:lvlJc w:val="left"/>
      <w:pPr>
        <w:ind w:left="6431" w:hanging="360"/>
      </w:pPr>
      <w:rPr>
        <w:rFonts w:ascii="Wingdings" w:hAnsi="Wingdings" w:hint="default"/>
      </w:rPr>
    </w:lvl>
  </w:abstractNum>
  <w:abstractNum w:abstractNumId="1" w15:restartNumberingAfterBreak="1">
    <w:nsid w:val="06841A27"/>
    <w:multiLevelType w:val="hybridMultilevel"/>
    <w:tmpl w:val="E5A23B7E"/>
    <w:lvl w:ilvl="0" w:tplc="6CFC9934">
      <w:start w:val="1"/>
      <w:numFmt w:val="bullet"/>
      <w:lvlText w:val=""/>
      <w:lvlJc w:val="left"/>
      <w:pPr>
        <w:ind w:left="1440" w:hanging="360"/>
      </w:pPr>
      <w:rPr>
        <w:rFonts w:ascii="Wingdings" w:hAnsi="Wingdings" w:hint="default"/>
      </w:rPr>
    </w:lvl>
    <w:lvl w:ilvl="1" w:tplc="C9543928">
      <w:start w:val="1"/>
      <w:numFmt w:val="bullet"/>
      <w:lvlText w:val=""/>
      <w:lvlJc w:val="left"/>
      <w:pPr>
        <w:ind w:left="2160" w:hanging="360"/>
      </w:pPr>
      <w:rPr>
        <w:rFonts w:ascii="Wingdings" w:hAnsi="Wingdings" w:hint="default"/>
      </w:rPr>
    </w:lvl>
    <w:lvl w:ilvl="2" w:tplc="1AFEFC60" w:tentative="1">
      <w:start w:val="1"/>
      <w:numFmt w:val="bullet"/>
      <w:lvlText w:val=""/>
      <w:lvlJc w:val="left"/>
      <w:pPr>
        <w:ind w:left="2880" w:hanging="360"/>
      </w:pPr>
      <w:rPr>
        <w:rFonts w:ascii="Wingdings" w:hAnsi="Wingdings" w:hint="default"/>
      </w:rPr>
    </w:lvl>
    <w:lvl w:ilvl="3" w:tplc="B4688234" w:tentative="1">
      <w:start w:val="1"/>
      <w:numFmt w:val="bullet"/>
      <w:lvlText w:val=""/>
      <w:lvlJc w:val="left"/>
      <w:pPr>
        <w:ind w:left="3600" w:hanging="360"/>
      </w:pPr>
      <w:rPr>
        <w:rFonts w:ascii="Symbol" w:hAnsi="Symbol" w:hint="default"/>
      </w:rPr>
    </w:lvl>
    <w:lvl w:ilvl="4" w:tplc="6818F970" w:tentative="1">
      <w:start w:val="1"/>
      <w:numFmt w:val="bullet"/>
      <w:lvlText w:val="o"/>
      <w:lvlJc w:val="left"/>
      <w:pPr>
        <w:ind w:left="4320" w:hanging="360"/>
      </w:pPr>
      <w:rPr>
        <w:rFonts w:ascii="Courier New" w:hAnsi="Courier New" w:cs="Courier New" w:hint="default"/>
      </w:rPr>
    </w:lvl>
    <w:lvl w:ilvl="5" w:tplc="DB3AD9AC" w:tentative="1">
      <w:start w:val="1"/>
      <w:numFmt w:val="bullet"/>
      <w:lvlText w:val=""/>
      <w:lvlJc w:val="left"/>
      <w:pPr>
        <w:ind w:left="5040" w:hanging="360"/>
      </w:pPr>
      <w:rPr>
        <w:rFonts w:ascii="Wingdings" w:hAnsi="Wingdings" w:hint="default"/>
      </w:rPr>
    </w:lvl>
    <w:lvl w:ilvl="6" w:tplc="23CA57E4" w:tentative="1">
      <w:start w:val="1"/>
      <w:numFmt w:val="bullet"/>
      <w:lvlText w:val=""/>
      <w:lvlJc w:val="left"/>
      <w:pPr>
        <w:ind w:left="5760" w:hanging="360"/>
      </w:pPr>
      <w:rPr>
        <w:rFonts w:ascii="Symbol" w:hAnsi="Symbol" w:hint="default"/>
      </w:rPr>
    </w:lvl>
    <w:lvl w:ilvl="7" w:tplc="16B22946" w:tentative="1">
      <w:start w:val="1"/>
      <w:numFmt w:val="bullet"/>
      <w:lvlText w:val="o"/>
      <w:lvlJc w:val="left"/>
      <w:pPr>
        <w:ind w:left="6480" w:hanging="360"/>
      </w:pPr>
      <w:rPr>
        <w:rFonts w:ascii="Courier New" w:hAnsi="Courier New" w:cs="Courier New" w:hint="default"/>
      </w:rPr>
    </w:lvl>
    <w:lvl w:ilvl="8" w:tplc="B32292F8" w:tentative="1">
      <w:start w:val="1"/>
      <w:numFmt w:val="bullet"/>
      <w:lvlText w:val=""/>
      <w:lvlJc w:val="left"/>
      <w:pPr>
        <w:ind w:left="7200" w:hanging="360"/>
      </w:pPr>
      <w:rPr>
        <w:rFonts w:ascii="Wingdings" w:hAnsi="Wingdings" w:hint="default"/>
      </w:rPr>
    </w:lvl>
  </w:abstractNum>
  <w:abstractNum w:abstractNumId="2" w15:restartNumberingAfterBreak="1">
    <w:nsid w:val="077B2A5E"/>
    <w:multiLevelType w:val="hybridMultilevel"/>
    <w:tmpl w:val="2BC4440A"/>
    <w:lvl w:ilvl="0" w:tplc="423A2DE8">
      <w:start w:val="1"/>
      <w:numFmt w:val="bullet"/>
      <w:lvlText w:val=""/>
      <w:lvlJc w:val="left"/>
      <w:pPr>
        <w:ind w:left="1429" w:hanging="360"/>
      </w:pPr>
      <w:rPr>
        <w:rFonts w:ascii="Wingdings" w:hAnsi="Wingdings" w:hint="default"/>
      </w:rPr>
    </w:lvl>
    <w:lvl w:ilvl="1" w:tplc="7A463FFC" w:tentative="1">
      <w:start w:val="1"/>
      <w:numFmt w:val="bullet"/>
      <w:lvlText w:val="o"/>
      <w:lvlJc w:val="left"/>
      <w:pPr>
        <w:ind w:left="2149" w:hanging="360"/>
      </w:pPr>
      <w:rPr>
        <w:rFonts w:ascii="Courier New" w:hAnsi="Courier New" w:cs="Courier New" w:hint="default"/>
      </w:rPr>
    </w:lvl>
    <w:lvl w:ilvl="2" w:tplc="0FEABEE8" w:tentative="1">
      <w:start w:val="1"/>
      <w:numFmt w:val="bullet"/>
      <w:lvlText w:val=""/>
      <w:lvlJc w:val="left"/>
      <w:pPr>
        <w:ind w:left="2869" w:hanging="360"/>
      </w:pPr>
      <w:rPr>
        <w:rFonts w:ascii="Wingdings" w:hAnsi="Wingdings" w:hint="default"/>
      </w:rPr>
    </w:lvl>
    <w:lvl w:ilvl="3" w:tplc="7EDA07B4" w:tentative="1">
      <w:start w:val="1"/>
      <w:numFmt w:val="bullet"/>
      <w:lvlText w:val=""/>
      <w:lvlJc w:val="left"/>
      <w:pPr>
        <w:ind w:left="3589" w:hanging="360"/>
      </w:pPr>
      <w:rPr>
        <w:rFonts w:ascii="Symbol" w:hAnsi="Symbol" w:hint="default"/>
      </w:rPr>
    </w:lvl>
    <w:lvl w:ilvl="4" w:tplc="0012FD00" w:tentative="1">
      <w:start w:val="1"/>
      <w:numFmt w:val="bullet"/>
      <w:lvlText w:val="o"/>
      <w:lvlJc w:val="left"/>
      <w:pPr>
        <w:ind w:left="4309" w:hanging="360"/>
      </w:pPr>
      <w:rPr>
        <w:rFonts w:ascii="Courier New" w:hAnsi="Courier New" w:cs="Courier New" w:hint="default"/>
      </w:rPr>
    </w:lvl>
    <w:lvl w:ilvl="5" w:tplc="70D87114" w:tentative="1">
      <w:start w:val="1"/>
      <w:numFmt w:val="bullet"/>
      <w:lvlText w:val=""/>
      <w:lvlJc w:val="left"/>
      <w:pPr>
        <w:ind w:left="5029" w:hanging="360"/>
      </w:pPr>
      <w:rPr>
        <w:rFonts w:ascii="Wingdings" w:hAnsi="Wingdings" w:hint="default"/>
      </w:rPr>
    </w:lvl>
    <w:lvl w:ilvl="6" w:tplc="8B5AA300" w:tentative="1">
      <w:start w:val="1"/>
      <w:numFmt w:val="bullet"/>
      <w:lvlText w:val=""/>
      <w:lvlJc w:val="left"/>
      <w:pPr>
        <w:ind w:left="5749" w:hanging="360"/>
      </w:pPr>
      <w:rPr>
        <w:rFonts w:ascii="Symbol" w:hAnsi="Symbol" w:hint="default"/>
      </w:rPr>
    </w:lvl>
    <w:lvl w:ilvl="7" w:tplc="B57037BA" w:tentative="1">
      <w:start w:val="1"/>
      <w:numFmt w:val="bullet"/>
      <w:lvlText w:val="o"/>
      <w:lvlJc w:val="left"/>
      <w:pPr>
        <w:ind w:left="6469" w:hanging="360"/>
      </w:pPr>
      <w:rPr>
        <w:rFonts w:ascii="Courier New" w:hAnsi="Courier New" w:cs="Courier New" w:hint="default"/>
      </w:rPr>
    </w:lvl>
    <w:lvl w:ilvl="8" w:tplc="4DFADFBC" w:tentative="1">
      <w:start w:val="1"/>
      <w:numFmt w:val="bullet"/>
      <w:lvlText w:val=""/>
      <w:lvlJc w:val="left"/>
      <w:pPr>
        <w:ind w:left="7189" w:hanging="360"/>
      </w:pPr>
      <w:rPr>
        <w:rFonts w:ascii="Wingdings" w:hAnsi="Wingdings" w:hint="default"/>
      </w:rPr>
    </w:lvl>
  </w:abstractNum>
  <w:abstractNum w:abstractNumId="3" w15:restartNumberingAfterBreak="0">
    <w:nsid w:val="0ECB3F52"/>
    <w:multiLevelType w:val="hybridMultilevel"/>
    <w:tmpl w:val="FF10A46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123A55"/>
    <w:multiLevelType w:val="multilevel"/>
    <w:tmpl w:val="1AF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E4B82"/>
    <w:multiLevelType w:val="hybridMultilevel"/>
    <w:tmpl w:val="2C309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1CFB0999"/>
    <w:multiLevelType w:val="hybridMultilevel"/>
    <w:tmpl w:val="E2BE3B06"/>
    <w:lvl w:ilvl="0" w:tplc="CB1A6218">
      <w:start w:val="1"/>
      <w:numFmt w:val="bullet"/>
      <w:lvlText w:val=""/>
      <w:lvlJc w:val="left"/>
      <w:pPr>
        <w:ind w:left="720" w:hanging="360"/>
      </w:pPr>
      <w:rPr>
        <w:rFonts w:ascii="Symbol" w:hAnsi="Symbol" w:hint="default"/>
      </w:rPr>
    </w:lvl>
    <w:lvl w:ilvl="1" w:tplc="92B0E540" w:tentative="1">
      <w:start w:val="1"/>
      <w:numFmt w:val="bullet"/>
      <w:lvlText w:val="o"/>
      <w:lvlJc w:val="left"/>
      <w:pPr>
        <w:ind w:left="1440" w:hanging="360"/>
      </w:pPr>
      <w:rPr>
        <w:rFonts w:ascii="Courier New" w:hAnsi="Courier New" w:cs="Courier New" w:hint="default"/>
      </w:rPr>
    </w:lvl>
    <w:lvl w:ilvl="2" w:tplc="63C4C4FE" w:tentative="1">
      <w:start w:val="1"/>
      <w:numFmt w:val="bullet"/>
      <w:lvlText w:val=""/>
      <w:lvlJc w:val="left"/>
      <w:pPr>
        <w:ind w:left="2160" w:hanging="360"/>
      </w:pPr>
      <w:rPr>
        <w:rFonts w:ascii="Wingdings" w:hAnsi="Wingdings" w:hint="default"/>
      </w:rPr>
    </w:lvl>
    <w:lvl w:ilvl="3" w:tplc="B9207A2C" w:tentative="1">
      <w:start w:val="1"/>
      <w:numFmt w:val="bullet"/>
      <w:lvlText w:val=""/>
      <w:lvlJc w:val="left"/>
      <w:pPr>
        <w:ind w:left="2880" w:hanging="360"/>
      </w:pPr>
      <w:rPr>
        <w:rFonts w:ascii="Symbol" w:hAnsi="Symbol" w:hint="default"/>
      </w:rPr>
    </w:lvl>
    <w:lvl w:ilvl="4" w:tplc="6ED083B8" w:tentative="1">
      <w:start w:val="1"/>
      <w:numFmt w:val="bullet"/>
      <w:lvlText w:val="o"/>
      <w:lvlJc w:val="left"/>
      <w:pPr>
        <w:ind w:left="3600" w:hanging="360"/>
      </w:pPr>
      <w:rPr>
        <w:rFonts w:ascii="Courier New" w:hAnsi="Courier New" w:cs="Courier New" w:hint="default"/>
      </w:rPr>
    </w:lvl>
    <w:lvl w:ilvl="5" w:tplc="9132909E" w:tentative="1">
      <w:start w:val="1"/>
      <w:numFmt w:val="bullet"/>
      <w:lvlText w:val=""/>
      <w:lvlJc w:val="left"/>
      <w:pPr>
        <w:ind w:left="4320" w:hanging="360"/>
      </w:pPr>
      <w:rPr>
        <w:rFonts w:ascii="Wingdings" w:hAnsi="Wingdings" w:hint="default"/>
      </w:rPr>
    </w:lvl>
    <w:lvl w:ilvl="6" w:tplc="A66C27F0" w:tentative="1">
      <w:start w:val="1"/>
      <w:numFmt w:val="bullet"/>
      <w:lvlText w:val=""/>
      <w:lvlJc w:val="left"/>
      <w:pPr>
        <w:ind w:left="5040" w:hanging="360"/>
      </w:pPr>
      <w:rPr>
        <w:rFonts w:ascii="Symbol" w:hAnsi="Symbol" w:hint="default"/>
      </w:rPr>
    </w:lvl>
    <w:lvl w:ilvl="7" w:tplc="A2FC1CB6" w:tentative="1">
      <w:start w:val="1"/>
      <w:numFmt w:val="bullet"/>
      <w:lvlText w:val="o"/>
      <w:lvlJc w:val="left"/>
      <w:pPr>
        <w:ind w:left="5760" w:hanging="360"/>
      </w:pPr>
      <w:rPr>
        <w:rFonts w:ascii="Courier New" w:hAnsi="Courier New" w:cs="Courier New" w:hint="default"/>
      </w:rPr>
    </w:lvl>
    <w:lvl w:ilvl="8" w:tplc="E9A64BD6" w:tentative="1">
      <w:start w:val="1"/>
      <w:numFmt w:val="bullet"/>
      <w:lvlText w:val=""/>
      <w:lvlJc w:val="left"/>
      <w:pPr>
        <w:ind w:left="6480" w:hanging="360"/>
      </w:pPr>
      <w:rPr>
        <w:rFonts w:ascii="Wingdings" w:hAnsi="Wingdings" w:hint="default"/>
      </w:rPr>
    </w:lvl>
  </w:abstractNum>
  <w:abstractNum w:abstractNumId="7" w15:restartNumberingAfterBreak="1">
    <w:nsid w:val="221D6FBC"/>
    <w:multiLevelType w:val="multilevel"/>
    <w:tmpl w:val="75E8CA6A"/>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1B5956"/>
    <w:multiLevelType w:val="multilevel"/>
    <w:tmpl w:val="2160A9CC"/>
    <w:lvl w:ilvl="0">
      <w:start w:val="4"/>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1">
    <w:nsid w:val="2A50077A"/>
    <w:multiLevelType w:val="hybridMultilevel"/>
    <w:tmpl w:val="1EC25FB6"/>
    <w:lvl w:ilvl="0" w:tplc="AB2888A6">
      <w:start w:val="1"/>
      <w:numFmt w:val="decimal"/>
      <w:lvlText w:val="%1)"/>
      <w:lvlJc w:val="left"/>
      <w:pPr>
        <w:ind w:left="1080" w:hanging="360"/>
      </w:pPr>
      <w:rPr>
        <w:rFonts w:hint="default"/>
      </w:rPr>
    </w:lvl>
    <w:lvl w:ilvl="1" w:tplc="BC2C5CC2" w:tentative="1">
      <w:start w:val="1"/>
      <w:numFmt w:val="lowerLetter"/>
      <w:lvlText w:val="%2."/>
      <w:lvlJc w:val="left"/>
      <w:pPr>
        <w:ind w:left="1800" w:hanging="360"/>
      </w:pPr>
    </w:lvl>
    <w:lvl w:ilvl="2" w:tplc="15EEBD4E" w:tentative="1">
      <w:start w:val="1"/>
      <w:numFmt w:val="lowerRoman"/>
      <w:lvlText w:val="%3."/>
      <w:lvlJc w:val="right"/>
      <w:pPr>
        <w:ind w:left="2520" w:hanging="180"/>
      </w:pPr>
    </w:lvl>
    <w:lvl w:ilvl="3" w:tplc="F092B990" w:tentative="1">
      <w:start w:val="1"/>
      <w:numFmt w:val="decimal"/>
      <w:lvlText w:val="%4."/>
      <w:lvlJc w:val="left"/>
      <w:pPr>
        <w:ind w:left="3240" w:hanging="360"/>
      </w:pPr>
    </w:lvl>
    <w:lvl w:ilvl="4" w:tplc="54E0AC62" w:tentative="1">
      <w:start w:val="1"/>
      <w:numFmt w:val="lowerLetter"/>
      <w:lvlText w:val="%5."/>
      <w:lvlJc w:val="left"/>
      <w:pPr>
        <w:ind w:left="3960" w:hanging="360"/>
      </w:pPr>
    </w:lvl>
    <w:lvl w:ilvl="5" w:tplc="9CC80D9E" w:tentative="1">
      <w:start w:val="1"/>
      <w:numFmt w:val="lowerRoman"/>
      <w:lvlText w:val="%6."/>
      <w:lvlJc w:val="right"/>
      <w:pPr>
        <w:ind w:left="4680" w:hanging="180"/>
      </w:pPr>
    </w:lvl>
    <w:lvl w:ilvl="6" w:tplc="AF12E27A" w:tentative="1">
      <w:start w:val="1"/>
      <w:numFmt w:val="decimal"/>
      <w:lvlText w:val="%7."/>
      <w:lvlJc w:val="left"/>
      <w:pPr>
        <w:ind w:left="5400" w:hanging="360"/>
      </w:pPr>
    </w:lvl>
    <w:lvl w:ilvl="7" w:tplc="ED7674C2" w:tentative="1">
      <w:start w:val="1"/>
      <w:numFmt w:val="lowerLetter"/>
      <w:lvlText w:val="%8."/>
      <w:lvlJc w:val="left"/>
      <w:pPr>
        <w:ind w:left="6120" w:hanging="360"/>
      </w:pPr>
    </w:lvl>
    <w:lvl w:ilvl="8" w:tplc="A4B8C3D8" w:tentative="1">
      <w:start w:val="1"/>
      <w:numFmt w:val="lowerRoman"/>
      <w:lvlText w:val="%9."/>
      <w:lvlJc w:val="right"/>
      <w:pPr>
        <w:ind w:left="6840" w:hanging="180"/>
      </w:pPr>
    </w:lvl>
  </w:abstractNum>
  <w:abstractNum w:abstractNumId="10" w15:restartNumberingAfterBreak="1">
    <w:nsid w:val="2BE23BD8"/>
    <w:multiLevelType w:val="hybridMultilevel"/>
    <w:tmpl w:val="376C9178"/>
    <w:lvl w:ilvl="0" w:tplc="5AD4E6C4">
      <w:start w:val="1"/>
      <w:numFmt w:val="bullet"/>
      <w:lvlText w:val=""/>
      <w:lvlJc w:val="left"/>
      <w:pPr>
        <w:ind w:left="933" w:hanging="360"/>
      </w:pPr>
      <w:rPr>
        <w:rFonts w:ascii="Symbol" w:hAnsi="Symbol" w:hint="default"/>
      </w:rPr>
    </w:lvl>
    <w:lvl w:ilvl="1" w:tplc="A9CEE0F0" w:tentative="1">
      <w:start w:val="1"/>
      <w:numFmt w:val="bullet"/>
      <w:lvlText w:val="o"/>
      <w:lvlJc w:val="left"/>
      <w:pPr>
        <w:ind w:left="1653" w:hanging="360"/>
      </w:pPr>
      <w:rPr>
        <w:rFonts w:ascii="Courier New" w:hAnsi="Courier New" w:cs="Courier New" w:hint="default"/>
      </w:rPr>
    </w:lvl>
    <w:lvl w:ilvl="2" w:tplc="0504E562" w:tentative="1">
      <w:start w:val="1"/>
      <w:numFmt w:val="bullet"/>
      <w:lvlText w:val=""/>
      <w:lvlJc w:val="left"/>
      <w:pPr>
        <w:ind w:left="2373" w:hanging="360"/>
      </w:pPr>
      <w:rPr>
        <w:rFonts w:ascii="Wingdings" w:hAnsi="Wingdings" w:hint="default"/>
      </w:rPr>
    </w:lvl>
    <w:lvl w:ilvl="3" w:tplc="7B562E66" w:tentative="1">
      <w:start w:val="1"/>
      <w:numFmt w:val="bullet"/>
      <w:lvlText w:val=""/>
      <w:lvlJc w:val="left"/>
      <w:pPr>
        <w:ind w:left="3093" w:hanging="360"/>
      </w:pPr>
      <w:rPr>
        <w:rFonts w:ascii="Symbol" w:hAnsi="Symbol" w:hint="default"/>
      </w:rPr>
    </w:lvl>
    <w:lvl w:ilvl="4" w:tplc="5A7A97B6" w:tentative="1">
      <w:start w:val="1"/>
      <w:numFmt w:val="bullet"/>
      <w:lvlText w:val="o"/>
      <w:lvlJc w:val="left"/>
      <w:pPr>
        <w:ind w:left="3813" w:hanging="360"/>
      </w:pPr>
      <w:rPr>
        <w:rFonts w:ascii="Courier New" w:hAnsi="Courier New" w:cs="Courier New" w:hint="default"/>
      </w:rPr>
    </w:lvl>
    <w:lvl w:ilvl="5" w:tplc="AA6C8F70" w:tentative="1">
      <w:start w:val="1"/>
      <w:numFmt w:val="bullet"/>
      <w:lvlText w:val=""/>
      <w:lvlJc w:val="left"/>
      <w:pPr>
        <w:ind w:left="4533" w:hanging="360"/>
      </w:pPr>
      <w:rPr>
        <w:rFonts w:ascii="Wingdings" w:hAnsi="Wingdings" w:hint="default"/>
      </w:rPr>
    </w:lvl>
    <w:lvl w:ilvl="6" w:tplc="420649B4" w:tentative="1">
      <w:start w:val="1"/>
      <w:numFmt w:val="bullet"/>
      <w:lvlText w:val=""/>
      <w:lvlJc w:val="left"/>
      <w:pPr>
        <w:ind w:left="5253" w:hanging="360"/>
      </w:pPr>
      <w:rPr>
        <w:rFonts w:ascii="Symbol" w:hAnsi="Symbol" w:hint="default"/>
      </w:rPr>
    </w:lvl>
    <w:lvl w:ilvl="7" w:tplc="F66633C6" w:tentative="1">
      <w:start w:val="1"/>
      <w:numFmt w:val="bullet"/>
      <w:lvlText w:val="o"/>
      <w:lvlJc w:val="left"/>
      <w:pPr>
        <w:ind w:left="5973" w:hanging="360"/>
      </w:pPr>
      <w:rPr>
        <w:rFonts w:ascii="Courier New" w:hAnsi="Courier New" w:cs="Courier New" w:hint="default"/>
      </w:rPr>
    </w:lvl>
    <w:lvl w:ilvl="8" w:tplc="7F7E9A98" w:tentative="1">
      <w:start w:val="1"/>
      <w:numFmt w:val="bullet"/>
      <w:lvlText w:val=""/>
      <w:lvlJc w:val="left"/>
      <w:pPr>
        <w:ind w:left="6693" w:hanging="360"/>
      </w:pPr>
      <w:rPr>
        <w:rFonts w:ascii="Wingdings" w:hAnsi="Wingdings" w:hint="default"/>
      </w:rPr>
    </w:lvl>
  </w:abstractNum>
  <w:abstractNum w:abstractNumId="11" w15:restartNumberingAfterBreak="1">
    <w:nsid w:val="356C33D1"/>
    <w:multiLevelType w:val="hybridMultilevel"/>
    <w:tmpl w:val="3C0AA1DE"/>
    <w:lvl w:ilvl="0" w:tplc="1D189E90">
      <w:start w:val="1"/>
      <w:numFmt w:val="bullet"/>
      <w:lvlText w:val=""/>
      <w:lvlJc w:val="left"/>
      <w:pPr>
        <w:ind w:left="1440" w:hanging="360"/>
      </w:pPr>
      <w:rPr>
        <w:rFonts w:ascii="Wingdings" w:hAnsi="Wingdings" w:hint="default"/>
      </w:rPr>
    </w:lvl>
    <w:lvl w:ilvl="1" w:tplc="699E3650">
      <w:start w:val="1"/>
      <w:numFmt w:val="bullet"/>
      <w:lvlText w:val=""/>
      <w:lvlJc w:val="left"/>
      <w:pPr>
        <w:ind w:left="2160" w:hanging="360"/>
      </w:pPr>
      <w:rPr>
        <w:rFonts w:ascii="Wingdings" w:hAnsi="Wingdings" w:hint="default"/>
      </w:rPr>
    </w:lvl>
    <w:lvl w:ilvl="2" w:tplc="29F038FA" w:tentative="1">
      <w:start w:val="1"/>
      <w:numFmt w:val="bullet"/>
      <w:lvlText w:val=""/>
      <w:lvlJc w:val="left"/>
      <w:pPr>
        <w:ind w:left="2880" w:hanging="360"/>
      </w:pPr>
      <w:rPr>
        <w:rFonts w:ascii="Wingdings" w:hAnsi="Wingdings" w:hint="default"/>
      </w:rPr>
    </w:lvl>
    <w:lvl w:ilvl="3" w:tplc="2BE08B82" w:tentative="1">
      <w:start w:val="1"/>
      <w:numFmt w:val="bullet"/>
      <w:lvlText w:val=""/>
      <w:lvlJc w:val="left"/>
      <w:pPr>
        <w:ind w:left="3600" w:hanging="360"/>
      </w:pPr>
      <w:rPr>
        <w:rFonts w:ascii="Symbol" w:hAnsi="Symbol" w:hint="default"/>
      </w:rPr>
    </w:lvl>
    <w:lvl w:ilvl="4" w:tplc="7A84B7B4" w:tentative="1">
      <w:start w:val="1"/>
      <w:numFmt w:val="bullet"/>
      <w:lvlText w:val="o"/>
      <w:lvlJc w:val="left"/>
      <w:pPr>
        <w:ind w:left="4320" w:hanging="360"/>
      </w:pPr>
      <w:rPr>
        <w:rFonts w:ascii="Courier New" w:hAnsi="Courier New" w:cs="Courier New" w:hint="default"/>
      </w:rPr>
    </w:lvl>
    <w:lvl w:ilvl="5" w:tplc="F5A43F16" w:tentative="1">
      <w:start w:val="1"/>
      <w:numFmt w:val="bullet"/>
      <w:lvlText w:val=""/>
      <w:lvlJc w:val="left"/>
      <w:pPr>
        <w:ind w:left="5040" w:hanging="360"/>
      </w:pPr>
      <w:rPr>
        <w:rFonts w:ascii="Wingdings" w:hAnsi="Wingdings" w:hint="default"/>
      </w:rPr>
    </w:lvl>
    <w:lvl w:ilvl="6" w:tplc="BCF233DE" w:tentative="1">
      <w:start w:val="1"/>
      <w:numFmt w:val="bullet"/>
      <w:lvlText w:val=""/>
      <w:lvlJc w:val="left"/>
      <w:pPr>
        <w:ind w:left="5760" w:hanging="360"/>
      </w:pPr>
      <w:rPr>
        <w:rFonts w:ascii="Symbol" w:hAnsi="Symbol" w:hint="default"/>
      </w:rPr>
    </w:lvl>
    <w:lvl w:ilvl="7" w:tplc="1AA21216" w:tentative="1">
      <w:start w:val="1"/>
      <w:numFmt w:val="bullet"/>
      <w:lvlText w:val="o"/>
      <w:lvlJc w:val="left"/>
      <w:pPr>
        <w:ind w:left="6480" w:hanging="360"/>
      </w:pPr>
      <w:rPr>
        <w:rFonts w:ascii="Courier New" w:hAnsi="Courier New" w:cs="Courier New" w:hint="default"/>
      </w:rPr>
    </w:lvl>
    <w:lvl w:ilvl="8" w:tplc="2160CC4C" w:tentative="1">
      <w:start w:val="1"/>
      <w:numFmt w:val="bullet"/>
      <w:lvlText w:val=""/>
      <w:lvlJc w:val="left"/>
      <w:pPr>
        <w:ind w:left="7200" w:hanging="360"/>
      </w:pPr>
      <w:rPr>
        <w:rFonts w:ascii="Wingdings" w:hAnsi="Wingdings" w:hint="default"/>
      </w:rPr>
    </w:lvl>
  </w:abstractNum>
  <w:abstractNum w:abstractNumId="12" w15:restartNumberingAfterBreak="1">
    <w:nsid w:val="3D1E6049"/>
    <w:multiLevelType w:val="hybridMultilevel"/>
    <w:tmpl w:val="3E26BDA8"/>
    <w:lvl w:ilvl="0" w:tplc="B936EFF4">
      <w:start w:val="1"/>
      <w:numFmt w:val="bullet"/>
      <w:lvlText w:val=""/>
      <w:lvlJc w:val="left"/>
      <w:pPr>
        <w:ind w:left="1080" w:hanging="360"/>
      </w:pPr>
      <w:rPr>
        <w:rFonts w:ascii="Symbol" w:hAnsi="Symbol" w:hint="default"/>
      </w:rPr>
    </w:lvl>
    <w:lvl w:ilvl="1" w:tplc="2AE4D16C" w:tentative="1">
      <w:start w:val="1"/>
      <w:numFmt w:val="bullet"/>
      <w:lvlText w:val="o"/>
      <w:lvlJc w:val="left"/>
      <w:pPr>
        <w:ind w:left="1800" w:hanging="360"/>
      </w:pPr>
      <w:rPr>
        <w:rFonts w:ascii="Courier New" w:hAnsi="Courier New" w:cs="Courier New" w:hint="default"/>
      </w:rPr>
    </w:lvl>
    <w:lvl w:ilvl="2" w:tplc="C9428200" w:tentative="1">
      <w:start w:val="1"/>
      <w:numFmt w:val="bullet"/>
      <w:lvlText w:val=""/>
      <w:lvlJc w:val="left"/>
      <w:pPr>
        <w:ind w:left="2520" w:hanging="360"/>
      </w:pPr>
      <w:rPr>
        <w:rFonts w:ascii="Wingdings" w:hAnsi="Wingdings" w:hint="default"/>
      </w:rPr>
    </w:lvl>
    <w:lvl w:ilvl="3" w:tplc="A2DEC18A" w:tentative="1">
      <w:start w:val="1"/>
      <w:numFmt w:val="bullet"/>
      <w:lvlText w:val=""/>
      <w:lvlJc w:val="left"/>
      <w:pPr>
        <w:ind w:left="3240" w:hanging="360"/>
      </w:pPr>
      <w:rPr>
        <w:rFonts w:ascii="Symbol" w:hAnsi="Symbol" w:hint="default"/>
      </w:rPr>
    </w:lvl>
    <w:lvl w:ilvl="4" w:tplc="3C88B39A" w:tentative="1">
      <w:start w:val="1"/>
      <w:numFmt w:val="bullet"/>
      <w:lvlText w:val="o"/>
      <w:lvlJc w:val="left"/>
      <w:pPr>
        <w:ind w:left="3960" w:hanging="360"/>
      </w:pPr>
      <w:rPr>
        <w:rFonts w:ascii="Courier New" w:hAnsi="Courier New" w:cs="Courier New" w:hint="default"/>
      </w:rPr>
    </w:lvl>
    <w:lvl w:ilvl="5" w:tplc="BB08BDA0" w:tentative="1">
      <w:start w:val="1"/>
      <w:numFmt w:val="bullet"/>
      <w:lvlText w:val=""/>
      <w:lvlJc w:val="left"/>
      <w:pPr>
        <w:ind w:left="4680" w:hanging="360"/>
      </w:pPr>
      <w:rPr>
        <w:rFonts w:ascii="Wingdings" w:hAnsi="Wingdings" w:hint="default"/>
      </w:rPr>
    </w:lvl>
    <w:lvl w:ilvl="6" w:tplc="2D92923A" w:tentative="1">
      <w:start w:val="1"/>
      <w:numFmt w:val="bullet"/>
      <w:lvlText w:val=""/>
      <w:lvlJc w:val="left"/>
      <w:pPr>
        <w:ind w:left="5400" w:hanging="360"/>
      </w:pPr>
      <w:rPr>
        <w:rFonts w:ascii="Symbol" w:hAnsi="Symbol" w:hint="default"/>
      </w:rPr>
    </w:lvl>
    <w:lvl w:ilvl="7" w:tplc="5AB2F276" w:tentative="1">
      <w:start w:val="1"/>
      <w:numFmt w:val="bullet"/>
      <w:lvlText w:val="o"/>
      <w:lvlJc w:val="left"/>
      <w:pPr>
        <w:ind w:left="6120" w:hanging="360"/>
      </w:pPr>
      <w:rPr>
        <w:rFonts w:ascii="Courier New" w:hAnsi="Courier New" w:cs="Courier New" w:hint="default"/>
      </w:rPr>
    </w:lvl>
    <w:lvl w:ilvl="8" w:tplc="4A94A37C" w:tentative="1">
      <w:start w:val="1"/>
      <w:numFmt w:val="bullet"/>
      <w:lvlText w:val=""/>
      <w:lvlJc w:val="left"/>
      <w:pPr>
        <w:ind w:left="6840" w:hanging="360"/>
      </w:pPr>
      <w:rPr>
        <w:rFonts w:ascii="Wingdings" w:hAnsi="Wingdings" w:hint="default"/>
      </w:rPr>
    </w:lvl>
  </w:abstractNum>
  <w:abstractNum w:abstractNumId="13" w15:restartNumberingAfterBreak="0">
    <w:nsid w:val="3EC53CF8"/>
    <w:multiLevelType w:val="multilevel"/>
    <w:tmpl w:val="5A5E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EF47AD"/>
    <w:multiLevelType w:val="hybridMultilevel"/>
    <w:tmpl w:val="19EE48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1">
    <w:nsid w:val="4A7C43A4"/>
    <w:multiLevelType w:val="hybridMultilevel"/>
    <w:tmpl w:val="B83C6F16"/>
    <w:lvl w:ilvl="0" w:tplc="05B08490">
      <w:start w:val="1"/>
      <w:numFmt w:val="decimal"/>
      <w:lvlText w:val="%1)"/>
      <w:lvlJc w:val="left"/>
      <w:pPr>
        <w:ind w:left="1080" w:hanging="360"/>
      </w:pPr>
      <w:rPr>
        <w:rFonts w:hint="default"/>
      </w:rPr>
    </w:lvl>
    <w:lvl w:ilvl="1" w:tplc="2FFEA7BC" w:tentative="1">
      <w:start w:val="1"/>
      <w:numFmt w:val="lowerLetter"/>
      <w:lvlText w:val="%2."/>
      <w:lvlJc w:val="left"/>
      <w:pPr>
        <w:ind w:left="1800" w:hanging="360"/>
      </w:pPr>
    </w:lvl>
    <w:lvl w:ilvl="2" w:tplc="83EC7E58" w:tentative="1">
      <w:start w:val="1"/>
      <w:numFmt w:val="lowerRoman"/>
      <w:lvlText w:val="%3."/>
      <w:lvlJc w:val="right"/>
      <w:pPr>
        <w:ind w:left="2520" w:hanging="180"/>
      </w:pPr>
    </w:lvl>
    <w:lvl w:ilvl="3" w:tplc="5EA68438" w:tentative="1">
      <w:start w:val="1"/>
      <w:numFmt w:val="decimal"/>
      <w:lvlText w:val="%4."/>
      <w:lvlJc w:val="left"/>
      <w:pPr>
        <w:ind w:left="3240" w:hanging="360"/>
      </w:pPr>
    </w:lvl>
    <w:lvl w:ilvl="4" w:tplc="C096E480" w:tentative="1">
      <w:start w:val="1"/>
      <w:numFmt w:val="lowerLetter"/>
      <w:lvlText w:val="%5."/>
      <w:lvlJc w:val="left"/>
      <w:pPr>
        <w:ind w:left="3960" w:hanging="360"/>
      </w:pPr>
    </w:lvl>
    <w:lvl w:ilvl="5" w:tplc="8A7E88D2" w:tentative="1">
      <w:start w:val="1"/>
      <w:numFmt w:val="lowerRoman"/>
      <w:lvlText w:val="%6."/>
      <w:lvlJc w:val="right"/>
      <w:pPr>
        <w:ind w:left="4680" w:hanging="180"/>
      </w:pPr>
    </w:lvl>
    <w:lvl w:ilvl="6" w:tplc="72C6A090" w:tentative="1">
      <w:start w:val="1"/>
      <w:numFmt w:val="decimal"/>
      <w:lvlText w:val="%7."/>
      <w:lvlJc w:val="left"/>
      <w:pPr>
        <w:ind w:left="5400" w:hanging="360"/>
      </w:pPr>
    </w:lvl>
    <w:lvl w:ilvl="7" w:tplc="45D44880" w:tentative="1">
      <w:start w:val="1"/>
      <w:numFmt w:val="lowerLetter"/>
      <w:lvlText w:val="%8."/>
      <w:lvlJc w:val="left"/>
      <w:pPr>
        <w:ind w:left="6120" w:hanging="360"/>
      </w:pPr>
    </w:lvl>
    <w:lvl w:ilvl="8" w:tplc="B3983F3A" w:tentative="1">
      <w:start w:val="1"/>
      <w:numFmt w:val="lowerRoman"/>
      <w:lvlText w:val="%9."/>
      <w:lvlJc w:val="right"/>
      <w:pPr>
        <w:ind w:left="6840" w:hanging="180"/>
      </w:pPr>
    </w:lvl>
  </w:abstractNum>
  <w:abstractNum w:abstractNumId="16" w15:restartNumberingAfterBreak="0">
    <w:nsid w:val="4B507770"/>
    <w:multiLevelType w:val="hybridMultilevel"/>
    <w:tmpl w:val="919229E8"/>
    <w:lvl w:ilvl="0" w:tplc="0426000D">
      <w:start w:val="1"/>
      <w:numFmt w:val="bullet"/>
      <w:lvlText w:val=""/>
      <w:lvlJc w:val="left"/>
      <w:pPr>
        <w:ind w:left="927" w:hanging="360"/>
      </w:pPr>
      <w:rPr>
        <w:rFonts w:ascii="Wingdings" w:hAnsi="Wingdings"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7" w15:restartNumberingAfterBreak="1">
    <w:nsid w:val="5A4C6BC4"/>
    <w:multiLevelType w:val="hybridMultilevel"/>
    <w:tmpl w:val="3994423C"/>
    <w:lvl w:ilvl="0" w:tplc="BAEC7470">
      <w:start w:val="1"/>
      <w:numFmt w:val="bullet"/>
      <w:lvlText w:val=""/>
      <w:lvlJc w:val="left"/>
      <w:pPr>
        <w:ind w:left="720" w:hanging="360"/>
      </w:pPr>
      <w:rPr>
        <w:rFonts w:ascii="Wingdings" w:hAnsi="Wingdings" w:hint="default"/>
      </w:rPr>
    </w:lvl>
    <w:lvl w:ilvl="1" w:tplc="62BA1438" w:tentative="1">
      <w:start w:val="1"/>
      <w:numFmt w:val="bullet"/>
      <w:lvlText w:val="o"/>
      <w:lvlJc w:val="left"/>
      <w:pPr>
        <w:ind w:left="1440" w:hanging="360"/>
      </w:pPr>
      <w:rPr>
        <w:rFonts w:ascii="Courier New" w:hAnsi="Courier New" w:cs="Courier New" w:hint="default"/>
      </w:rPr>
    </w:lvl>
    <w:lvl w:ilvl="2" w:tplc="F5DCADB4" w:tentative="1">
      <w:start w:val="1"/>
      <w:numFmt w:val="bullet"/>
      <w:lvlText w:val=""/>
      <w:lvlJc w:val="left"/>
      <w:pPr>
        <w:ind w:left="2160" w:hanging="360"/>
      </w:pPr>
      <w:rPr>
        <w:rFonts w:ascii="Wingdings" w:hAnsi="Wingdings" w:hint="default"/>
      </w:rPr>
    </w:lvl>
    <w:lvl w:ilvl="3" w:tplc="64F0EC3C" w:tentative="1">
      <w:start w:val="1"/>
      <w:numFmt w:val="bullet"/>
      <w:lvlText w:val=""/>
      <w:lvlJc w:val="left"/>
      <w:pPr>
        <w:ind w:left="2880" w:hanging="360"/>
      </w:pPr>
      <w:rPr>
        <w:rFonts w:ascii="Symbol" w:hAnsi="Symbol" w:hint="default"/>
      </w:rPr>
    </w:lvl>
    <w:lvl w:ilvl="4" w:tplc="63504FE2" w:tentative="1">
      <w:start w:val="1"/>
      <w:numFmt w:val="bullet"/>
      <w:lvlText w:val="o"/>
      <w:lvlJc w:val="left"/>
      <w:pPr>
        <w:ind w:left="3600" w:hanging="360"/>
      </w:pPr>
      <w:rPr>
        <w:rFonts w:ascii="Courier New" w:hAnsi="Courier New" w:cs="Courier New" w:hint="default"/>
      </w:rPr>
    </w:lvl>
    <w:lvl w:ilvl="5" w:tplc="E4CCEFF4" w:tentative="1">
      <w:start w:val="1"/>
      <w:numFmt w:val="bullet"/>
      <w:lvlText w:val=""/>
      <w:lvlJc w:val="left"/>
      <w:pPr>
        <w:ind w:left="4320" w:hanging="360"/>
      </w:pPr>
      <w:rPr>
        <w:rFonts w:ascii="Wingdings" w:hAnsi="Wingdings" w:hint="default"/>
      </w:rPr>
    </w:lvl>
    <w:lvl w:ilvl="6" w:tplc="0F66409A" w:tentative="1">
      <w:start w:val="1"/>
      <w:numFmt w:val="bullet"/>
      <w:lvlText w:val=""/>
      <w:lvlJc w:val="left"/>
      <w:pPr>
        <w:ind w:left="5040" w:hanging="360"/>
      </w:pPr>
      <w:rPr>
        <w:rFonts w:ascii="Symbol" w:hAnsi="Symbol" w:hint="default"/>
      </w:rPr>
    </w:lvl>
    <w:lvl w:ilvl="7" w:tplc="CBF05894" w:tentative="1">
      <w:start w:val="1"/>
      <w:numFmt w:val="bullet"/>
      <w:lvlText w:val="o"/>
      <w:lvlJc w:val="left"/>
      <w:pPr>
        <w:ind w:left="5760" w:hanging="360"/>
      </w:pPr>
      <w:rPr>
        <w:rFonts w:ascii="Courier New" w:hAnsi="Courier New" w:cs="Courier New" w:hint="default"/>
      </w:rPr>
    </w:lvl>
    <w:lvl w:ilvl="8" w:tplc="95F683DC" w:tentative="1">
      <w:start w:val="1"/>
      <w:numFmt w:val="bullet"/>
      <w:lvlText w:val=""/>
      <w:lvlJc w:val="left"/>
      <w:pPr>
        <w:ind w:left="6480" w:hanging="360"/>
      </w:pPr>
      <w:rPr>
        <w:rFonts w:ascii="Wingdings" w:hAnsi="Wingdings" w:hint="default"/>
      </w:rPr>
    </w:lvl>
  </w:abstractNum>
  <w:abstractNum w:abstractNumId="18" w15:restartNumberingAfterBreak="1">
    <w:nsid w:val="5D7B6F95"/>
    <w:multiLevelType w:val="multilevel"/>
    <w:tmpl w:val="738635FA"/>
    <w:lvl w:ilvl="0">
      <w:start w:val="1"/>
      <w:numFmt w:val="decimal"/>
      <w:lvlText w:val="%1."/>
      <w:lvlJc w:val="left"/>
      <w:pPr>
        <w:ind w:left="1129" w:hanging="360"/>
      </w:pPr>
      <w:rPr>
        <w:rFonts w:hint="default"/>
        <w:color w:val="00000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19" w15:restartNumberingAfterBreak="1">
    <w:nsid w:val="619726B5"/>
    <w:multiLevelType w:val="hybridMultilevel"/>
    <w:tmpl w:val="680E46FC"/>
    <w:lvl w:ilvl="0" w:tplc="CAA00D38">
      <w:start w:val="1"/>
      <w:numFmt w:val="bullet"/>
      <w:lvlText w:val=""/>
      <w:lvlJc w:val="left"/>
      <w:pPr>
        <w:ind w:left="720" w:hanging="360"/>
      </w:pPr>
      <w:rPr>
        <w:rFonts w:ascii="Symbol" w:hAnsi="Symbol" w:hint="default"/>
      </w:rPr>
    </w:lvl>
    <w:lvl w:ilvl="1" w:tplc="75ACC09A">
      <w:start w:val="1"/>
      <w:numFmt w:val="bullet"/>
      <w:lvlText w:val="o"/>
      <w:lvlJc w:val="left"/>
      <w:pPr>
        <w:ind w:left="1440" w:hanging="360"/>
      </w:pPr>
      <w:rPr>
        <w:rFonts w:ascii="Courier New" w:hAnsi="Courier New" w:cs="Courier New" w:hint="default"/>
      </w:rPr>
    </w:lvl>
    <w:lvl w:ilvl="2" w:tplc="5848162E">
      <w:start w:val="1"/>
      <w:numFmt w:val="bullet"/>
      <w:lvlText w:val=""/>
      <w:lvlJc w:val="left"/>
      <w:pPr>
        <w:ind w:left="2160" w:hanging="360"/>
      </w:pPr>
      <w:rPr>
        <w:rFonts w:ascii="Wingdings" w:hAnsi="Wingdings" w:hint="default"/>
      </w:rPr>
    </w:lvl>
    <w:lvl w:ilvl="3" w:tplc="6B180046">
      <w:start w:val="1"/>
      <w:numFmt w:val="bullet"/>
      <w:lvlText w:val=""/>
      <w:lvlJc w:val="left"/>
      <w:pPr>
        <w:ind w:left="2880" w:hanging="360"/>
      </w:pPr>
      <w:rPr>
        <w:rFonts w:ascii="Symbol" w:hAnsi="Symbol" w:hint="default"/>
      </w:rPr>
    </w:lvl>
    <w:lvl w:ilvl="4" w:tplc="DFAA0684">
      <w:start w:val="1"/>
      <w:numFmt w:val="bullet"/>
      <w:lvlText w:val="o"/>
      <w:lvlJc w:val="left"/>
      <w:pPr>
        <w:ind w:left="3600" w:hanging="360"/>
      </w:pPr>
      <w:rPr>
        <w:rFonts w:ascii="Courier New" w:hAnsi="Courier New" w:cs="Courier New" w:hint="default"/>
      </w:rPr>
    </w:lvl>
    <w:lvl w:ilvl="5" w:tplc="45A2B522">
      <w:start w:val="1"/>
      <w:numFmt w:val="bullet"/>
      <w:lvlText w:val=""/>
      <w:lvlJc w:val="left"/>
      <w:pPr>
        <w:ind w:left="4320" w:hanging="360"/>
      </w:pPr>
      <w:rPr>
        <w:rFonts w:ascii="Wingdings" w:hAnsi="Wingdings" w:hint="default"/>
      </w:rPr>
    </w:lvl>
    <w:lvl w:ilvl="6" w:tplc="74EE389C">
      <w:start w:val="1"/>
      <w:numFmt w:val="bullet"/>
      <w:lvlText w:val=""/>
      <w:lvlJc w:val="left"/>
      <w:pPr>
        <w:ind w:left="5040" w:hanging="360"/>
      </w:pPr>
      <w:rPr>
        <w:rFonts w:ascii="Symbol" w:hAnsi="Symbol" w:hint="default"/>
      </w:rPr>
    </w:lvl>
    <w:lvl w:ilvl="7" w:tplc="0AB0570A">
      <w:start w:val="1"/>
      <w:numFmt w:val="bullet"/>
      <w:lvlText w:val="o"/>
      <w:lvlJc w:val="left"/>
      <w:pPr>
        <w:ind w:left="5760" w:hanging="360"/>
      </w:pPr>
      <w:rPr>
        <w:rFonts w:ascii="Courier New" w:hAnsi="Courier New" w:cs="Courier New" w:hint="default"/>
      </w:rPr>
    </w:lvl>
    <w:lvl w:ilvl="8" w:tplc="7BA25DB2">
      <w:start w:val="1"/>
      <w:numFmt w:val="bullet"/>
      <w:lvlText w:val=""/>
      <w:lvlJc w:val="left"/>
      <w:pPr>
        <w:ind w:left="6480" w:hanging="360"/>
      </w:pPr>
      <w:rPr>
        <w:rFonts w:ascii="Wingdings" w:hAnsi="Wingdings" w:hint="default"/>
      </w:rPr>
    </w:lvl>
  </w:abstractNum>
  <w:abstractNum w:abstractNumId="20" w15:restartNumberingAfterBreak="1">
    <w:nsid w:val="62E9590B"/>
    <w:multiLevelType w:val="hybridMultilevel"/>
    <w:tmpl w:val="7654F5D8"/>
    <w:lvl w:ilvl="0" w:tplc="B0449A68">
      <w:start w:val="1"/>
      <w:numFmt w:val="bullet"/>
      <w:lvlText w:val=""/>
      <w:lvlJc w:val="left"/>
      <w:pPr>
        <w:ind w:left="720" w:hanging="360"/>
      </w:pPr>
      <w:rPr>
        <w:rFonts w:ascii="Symbol" w:hAnsi="Symbol" w:hint="default"/>
      </w:rPr>
    </w:lvl>
    <w:lvl w:ilvl="1" w:tplc="2EA82F44" w:tentative="1">
      <w:start w:val="1"/>
      <w:numFmt w:val="bullet"/>
      <w:lvlText w:val="o"/>
      <w:lvlJc w:val="left"/>
      <w:pPr>
        <w:ind w:left="1440" w:hanging="360"/>
      </w:pPr>
      <w:rPr>
        <w:rFonts w:ascii="Courier New" w:hAnsi="Courier New" w:cs="Courier New" w:hint="default"/>
      </w:rPr>
    </w:lvl>
    <w:lvl w:ilvl="2" w:tplc="8CCAC606" w:tentative="1">
      <w:start w:val="1"/>
      <w:numFmt w:val="bullet"/>
      <w:lvlText w:val=""/>
      <w:lvlJc w:val="left"/>
      <w:pPr>
        <w:ind w:left="2160" w:hanging="360"/>
      </w:pPr>
      <w:rPr>
        <w:rFonts w:ascii="Wingdings" w:hAnsi="Wingdings" w:hint="default"/>
      </w:rPr>
    </w:lvl>
    <w:lvl w:ilvl="3" w:tplc="83B0553C" w:tentative="1">
      <w:start w:val="1"/>
      <w:numFmt w:val="bullet"/>
      <w:lvlText w:val=""/>
      <w:lvlJc w:val="left"/>
      <w:pPr>
        <w:ind w:left="2880" w:hanging="360"/>
      </w:pPr>
      <w:rPr>
        <w:rFonts w:ascii="Symbol" w:hAnsi="Symbol" w:hint="default"/>
      </w:rPr>
    </w:lvl>
    <w:lvl w:ilvl="4" w:tplc="6A8AAE60" w:tentative="1">
      <w:start w:val="1"/>
      <w:numFmt w:val="bullet"/>
      <w:lvlText w:val="o"/>
      <w:lvlJc w:val="left"/>
      <w:pPr>
        <w:ind w:left="3600" w:hanging="360"/>
      </w:pPr>
      <w:rPr>
        <w:rFonts w:ascii="Courier New" w:hAnsi="Courier New" w:cs="Courier New" w:hint="default"/>
      </w:rPr>
    </w:lvl>
    <w:lvl w:ilvl="5" w:tplc="08D8B3D4" w:tentative="1">
      <w:start w:val="1"/>
      <w:numFmt w:val="bullet"/>
      <w:lvlText w:val=""/>
      <w:lvlJc w:val="left"/>
      <w:pPr>
        <w:ind w:left="4320" w:hanging="360"/>
      </w:pPr>
      <w:rPr>
        <w:rFonts w:ascii="Wingdings" w:hAnsi="Wingdings" w:hint="default"/>
      </w:rPr>
    </w:lvl>
    <w:lvl w:ilvl="6" w:tplc="3F4C918C" w:tentative="1">
      <w:start w:val="1"/>
      <w:numFmt w:val="bullet"/>
      <w:lvlText w:val=""/>
      <w:lvlJc w:val="left"/>
      <w:pPr>
        <w:ind w:left="5040" w:hanging="360"/>
      </w:pPr>
      <w:rPr>
        <w:rFonts w:ascii="Symbol" w:hAnsi="Symbol" w:hint="default"/>
      </w:rPr>
    </w:lvl>
    <w:lvl w:ilvl="7" w:tplc="5104665E" w:tentative="1">
      <w:start w:val="1"/>
      <w:numFmt w:val="bullet"/>
      <w:lvlText w:val="o"/>
      <w:lvlJc w:val="left"/>
      <w:pPr>
        <w:ind w:left="5760" w:hanging="360"/>
      </w:pPr>
      <w:rPr>
        <w:rFonts w:ascii="Courier New" w:hAnsi="Courier New" w:cs="Courier New" w:hint="default"/>
      </w:rPr>
    </w:lvl>
    <w:lvl w:ilvl="8" w:tplc="BF106406" w:tentative="1">
      <w:start w:val="1"/>
      <w:numFmt w:val="bullet"/>
      <w:lvlText w:val=""/>
      <w:lvlJc w:val="left"/>
      <w:pPr>
        <w:ind w:left="6480" w:hanging="360"/>
      </w:pPr>
      <w:rPr>
        <w:rFonts w:ascii="Wingdings" w:hAnsi="Wingdings" w:hint="default"/>
      </w:rPr>
    </w:lvl>
  </w:abstractNum>
  <w:abstractNum w:abstractNumId="21" w15:restartNumberingAfterBreak="1">
    <w:nsid w:val="63B55768"/>
    <w:multiLevelType w:val="multilevel"/>
    <w:tmpl w:val="738635FA"/>
    <w:lvl w:ilvl="0">
      <w:start w:val="1"/>
      <w:numFmt w:val="decimal"/>
      <w:lvlText w:val="%1."/>
      <w:lvlJc w:val="left"/>
      <w:pPr>
        <w:ind w:left="1129" w:hanging="360"/>
      </w:pPr>
      <w:rPr>
        <w:rFonts w:hint="default"/>
        <w:color w:val="000000"/>
      </w:rPr>
    </w:lvl>
    <w:lvl w:ilvl="1">
      <w:start w:val="1"/>
      <w:numFmt w:val="decimal"/>
      <w:isLgl/>
      <w:lvlText w:val="%1.%2."/>
      <w:lvlJc w:val="left"/>
      <w:pPr>
        <w:ind w:left="1489" w:hanging="36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22" w15:restartNumberingAfterBreak="1">
    <w:nsid w:val="65DB4A7A"/>
    <w:multiLevelType w:val="hybridMultilevel"/>
    <w:tmpl w:val="03C28676"/>
    <w:lvl w:ilvl="0" w:tplc="3294C856">
      <w:start w:val="1"/>
      <w:numFmt w:val="bullet"/>
      <w:lvlText w:val=""/>
      <w:lvlJc w:val="left"/>
      <w:pPr>
        <w:ind w:left="1500" w:hanging="360"/>
      </w:pPr>
      <w:rPr>
        <w:rFonts w:ascii="Wingdings" w:hAnsi="Wingdings" w:hint="default"/>
      </w:rPr>
    </w:lvl>
    <w:lvl w:ilvl="1" w:tplc="3AEA81B2" w:tentative="1">
      <w:start w:val="1"/>
      <w:numFmt w:val="bullet"/>
      <w:lvlText w:val="o"/>
      <w:lvlJc w:val="left"/>
      <w:pPr>
        <w:ind w:left="2220" w:hanging="360"/>
      </w:pPr>
      <w:rPr>
        <w:rFonts w:ascii="Courier New" w:hAnsi="Courier New" w:cs="Courier New" w:hint="default"/>
      </w:rPr>
    </w:lvl>
    <w:lvl w:ilvl="2" w:tplc="150CE866" w:tentative="1">
      <w:start w:val="1"/>
      <w:numFmt w:val="bullet"/>
      <w:lvlText w:val=""/>
      <w:lvlJc w:val="left"/>
      <w:pPr>
        <w:ind w:left="2940" w:hanging="360"/>
      </w:pPr>
      <w:rPr>
        <w:rFonts w:ascii="Wingdings" w:hAnsi="Wingdings" w:hint="default"/>
      </w:rPr>
    </w:lvl>
    <w:lvl w:ilvl="3" w:tplc="381844B4" w:tentative="1">
      <w:start w:val="1"/>
      <w:numFmt w:val="bullet"/>
      <w:lvlText w:val=""/>
      <w:lvlJc w:val="left"/>
      <w:pPr>
        <w:ind w:left="3660" w:hanging="360"/>
      </w:pPr>
      <w:rPr>
        <w:rFonts w:ascii="Symbol" w:hAnsi="Symbol" w:hint="default"/>
      </w:rPr>
    </w:lvl>
    <w:lvl w:ilvl="4" w:tplc="362EF7C2" w:tentative="1">
      <w:start w:val="1"/>
      <w:numFmt w:val="bullet"/>
      <w:lvlText w:val="o"/>
      <w:lvlJc w:val="left"/>
      <w:pPr>
        <w:ind w:left="4380" w:hanging="360"/>
      </w:pPr>
      <w:rPr>
        <w:rFonts w:ascii="Courier New" w:hAnsi="Courier New" w:cs="Courier New" w:hint="default"/>
      </w:rPr>
    </w:lvl>
    <w:lvl w:ilvl="5" w:tplc="945E4AAA" w:tentative="1">
      <w:start w:val="1"/>
      <w:numFmt w:val="bullet"/>
      <w:lvlText w:val=""/>
      <w:lvlJc w:val="left"/>
      <w:pPr>
        <w:ind w:left="5100" w:hanging="360"/>
      </w:pPr>
      <w:rPr>
        <w:rFonts w:ascii="Wingdings" w:hAnsi="Wingdings" w:hint="default"/>
      </w:rPr>
    </w:lvl>
    <w:lvl w:ilvl="6" w:tplc="CF6C086A" w:tentative="1">
      <w:start w:val="1"/>
      <w:numFmt w:val="bullet"/>
      <w:lvlText w:val=""/>
      <w:lvlJc w:val="left"/>
      <w:pPr>
        <w:ind w:left="5820" w:hanging="360"/>
      </w:pPr>
      <w:rPr>
        <w:rFonts w:ascii="Symbol" w:hAnsi="Symbol" w:hint="default"/>
      </w:rPr>
    </w:lvl>
    <w:lvl w:ilvl="7" w:tplc="1D42F6A8" w:tentative="1">
      <w:start w:val="1"/>
      <w:numFmt w:val="bullet"/>
      <w:lvlText w:val="o"/>
      <w:lvlJc w:val="left"/>
      <w:pPr>
        <w:ind w:left="6540" w:hanging="360"/>
      </w:pPr>
      <w:rPr>
        <w:rFonts w:ascii="Courier New" w:hAnsi="Courier New" w:cs="Courier New" w:hint="default"/>
      </w:rPr>
    </w:lvl>
    <w:lvl w:ilvl="8" w:tplc="2B3861FC" w:tentative="1">
      <w:start w:val="1"/>
      <w:numFmt w:val="bullet"/>
      <w:lvlText w:val=""/>
      <w:lvlJc w:val="left"/>
      <w:pPr>
        <w:ind w:left="7260" w:hanging="360"/>
      </w:pPr>
      <w:rPr>
        <w:rFonts w:ascii="Wingdings" w:hAnsi="Wingdings" w:hint="default"/>
      </w:rPr>
    </w:lvl>
  </w:abstractNum>
  <w:abstractNum w:abstractNumId="23" w15:restartNumberingAfterBreak="1">
    <w:nsid w:val="6C3F0761"/>
    <w:multiLevelType w:val="hybridMultilevel"/>
    <w:tmpl w:val="A956EAFA"/>
    <w:lvl w:ilvl="0" w:tplc="06E4B300">
      <w:start w:val="1"/>
      <w:numFmt w:val="bullet"/>
      <w:lvlText w:val=""/>
      <w:lvlJc w:val="left"/>
      <w:pPr>
        <w:ind w:left="1060" w:hanging="360"/>
      </w:pPr>
      <w:rPr>
        <w:rFonts w:ascii="Symbol" w:hAnsi="Symbol" w:hint="default"/>
      </w:rPr>
    </w:lvl>
    <w:lvl w:ilvl="1" w:tplc="9CC8175E" w:tentative="1">
      <w:start w:val="1"/>
      <w:numFmt w:val="bullet"/>
      <w:lvlText w:val="o"/>
      <w:lvlJc w:val="left"/>
      <w:pPr>
        <w:ind w:left="1780" w:hanging="360"/>
      </w:pPr>
      <w:rPr>
        <w:rFonts w:ascii="Courier New" w:hAnsi="Courier New" w:cs="Courier New" w:hint="default"/>
      </w:rPr>
    </w:lvl>
    <w:lvl w:ilvl="2" w:tplc="E932E7C6" w:tentative="1">
      <w:start w:val="1"/>
      <w:numFmt w:val="bullet"/>
      <w:lvlText w:val=""/>
      <w:lvlJc w:val="left"/>
      <w:pPr>
        <w:ind w:left="2500" w:hanging="360"/>
      </w:pPr>
      <w:rPr>
        <w:rFonts w:ascii="Wingdings" w:hAnsi="Wingdings" w:hint="default"/>
      </w:rPr>
    </w:lvl>
    <w:lvl w:ilvl="3" w:tplc="1280352A" w:tentative="1">
      <w:start w:val="1"/>
      <w:numFmt w:val="bullet"/>
      <w:lvlText w:val=""/>
      <w:lvlJc w:val="left"/>
      <w:pPr>
        <w:ind w:left="3220" w:hanging="360"/>
      </w:pPr>
      <w:rPr>
        <w:rFonts w:ascii="Symbol" w:hAnsi="Symbol" w:hint="default"/>
      </w:rPr>
    </w:lvl>
    <w:lvl w:ilvl="4" w:tplc="FA009B80" w:tentative="1">
      <w:start w:val="1"/>
      <w:numFmt w:val="bullet"/>
      <w:lvlText w:val="o"/>
      <w:lvlJc w:val="left"/>
      <w:pPr>
        <w:ind w:left="3940" w:hanging="360"/>
      </w:pPr>
      <w:rPr>
        <w:rFonts w:ascii="Courier New" w:hAnsi="Courier New" w:cs="Courier New" w:hint="default"/>
      </w:rPr>
    </w:lvl>
    <w:lvl w:ilvl="5" w:tplc="0A8C109C" w:tentative="1">
      <w:start w:val="1"/>
      <w:numFmt w:val="bullet"/>
      <w:lvlText w:val=""/>
      <w:lvlJc w:val="left"/>
      <w:pPr>
        <w:ind w:left="4660" w:hanging="360"/>
      </w:pPr>
      <w:rPr>
        <w:rFonts w:ascii="Wingdings" w:hAnsi="Wingdings" w:hint="default"/>
      </w:rPr>
    </w:lvl>
    <w:lvl w:ilvl="6" w:tplc="96A6FA92" w:tentative="1">
      <w:start w:val="1"/>
      <w:numFmt w:val="bullet"/>
      <w:lvlText w:val=""/>
      <w:lvlJc w:val="left"/>
      <w:pPr>
        <w:ind w:left="5380" w:hanging="360"/>
      </w:pPr>
      <w:rPr>
        <w:rFonts w:ascii="Symbol" w:hAnsi="Symbol" w:hint="default"/>
      </w:rPr>
    </w:lvl>
    <w:lvl w:ilvl="7" w:tplc="4288E8AA" w:tentative="1">
      <w:start w:val="1"/>
      <w:numFmt w:val="bullet"/>
      <w:lvlText w:val="o"/>
      <w:lvlJc w:val="left"/>
      <w:pPr>
        <w:ind w:left="6100" w:hanging="360"/>
      </w:pPr>
      <w:rPr>
        <w:rFonts w:ascii="Courier New" w:hAnsi="Courier New" w:cs="Courier New" w:hint="default"/>
      </w:rPr>
    </w:lvl>
    <w:lvl w:ilvl="8" w:tplc="5CAA736C" w:tentative="1">
      <w:start w:val="1"/>
      <w:numFmt w:val="bullet"/>
      <w:lvlText w:val=""/>
      <w:lvlJc w:val="left"/>
      <w:pPr>
        <w:ind w:left="6820" w:hanging="360"/>
      </w:pPr>
      <w:rPr>
        <w:rFonts w:ascii="Wingdings" w:hAnsi="Wingdings" w:hint="default"/>
      </w:rPr>
    </w:lvl>
  </w:abstractNum>
  <w:abstractNum w:abstractNumId="24" w15:restartNumberingAfterBreak="1">
    <w:nsid w:val="6ECD00AB"/>
    <w:multiLevelType w:val="hybridMultilevel"/>
    <w:tmpl w:val="EEB05E66"/>
    <w:lvl w:ilvl="0" w:tplc="EDE618FC">
      <w:start w:val="1"/>
      <w:numFmt w:val="decimal"/>
      <w:lvlText w:val="%1)"/>
      <w:lvlJc w:val="left"/>
      <w:pPr>
        <w:ind w:left="720" w:hanging="360"/>
      </w:pPr>
      <w:rPr>
        <w:rFonts w:hint="default"/>
      </w:rPr>
    </w:lvl>
    <w:lvl w:ilvl="1" w:tplc="E5D6BDEC" w:tentative="1">
      <w:start w:val="1"/>
      <w:numFmt w:val="lowerLetter"/>
      <w:lvlText w:val="%2."/>
      <w:lvlJc w:val="left"/>
      <w:pPr>
        <w:ind w:left="1440" w:hanging="360"/>
      </w:pPr>
    </w:lvl>
    <w:lvl w:ilvl="2" w:tplc="82A8E37C" w:tentative="1">
      <w:start w:val="1"/>
      <w:numFmt w:val="lowerRoman"/>
      <w:lvlText w:val="%3."/>
      <w:lvlJc w:val="right"/>
      <w:pPr>
        <w:ind w:left="2160" w:hanging="180"/>
      </w:pPr>
    </w:lvl>
    <w:lvl w:ilvl="3" w:tplc="CD002434" w:tentative="1">
      <w:start w:val="1"/>
      <w:numFmt w:val="decimal"/>
      <w:lvlText w:val="%4."/>
      <w:lvlJc w:val="left"/>
      <w:pPr>
        <w:ind w:left="2880" w:hanging="360"/>
      </w:pPr>
    </w:lvl>
    <w:lvl w:ilvl="4" w:tplc="441A1178" w:tentative="1">
      <w:start w:val="1"/>
      <w:numFmt w:val="lowerLetter"/>
      <w:lvlText w:val="%5."/>
      <w:lvlJc w:val="left"/>
      <w:pPr>
        <w:ind w:left="3600" w:hanging="360"/>
      </w:pPr>
    </w:lvl>
    <w:lvl w:ilvl="5" w:tplc="721C3072" w:tentative="1">
      <w:start w:val="1"/>
      <w:numFmt w:val="lowerRoman"/>
      <w:lvlText w:val="%6."/>
      <w:lvlJc w:val="right"/>
      <w:pPr>
        <w:ind w:left="4320" w:hanging="180"/>
      </w:pPr>
    </w:lvl>
    <w:lvl w:ilvl="6" w:tplc="09D8FC56" w:tentative="1">
      <w:start w:val="1"/>
      <w:numFmt w:val="decimal"/>
      <w:lvlText w:val="%7."/>
      <w:lvlJc w:val="left"/>
      <w:pPr>
        <w:ind w:left="5040" w:hanging="360"/>
      </w:pPr>
    </w:lvl>
    <w:lvl w:ilvl="7" w:tplc="0EF42DE6" w:tentative="1">
      <w:start w:val="1"/>
      <w:numFmt w:val="lowerLetter"/>
      <w:lvlText w:val="%8."/>
      <w:lvlJc w:val="left"/>
      <w:pPr>
        <w:ind w:left="5760" w:hanging="360"/>
      </w:pPr>
    </w:lvl>
    <w:lvl w:ilvl="8" w:tplc="4C523B10" w:tentative="1">
      <w:start w:val="1"/>
      <w:numFmt w:val="lowerRoman"/>
      <w:lvlText w:val="%9."/>
      <w:lvlJc w:val="right"/>
      <w:pPr>
        <w:ind w:left="6480" w:hanging="180"/>
      </w:pPr>
    </w:lvl>
  </w:abstractNum>
  <w:abstractNum w:abstractNumId="25" w15:restartNumberingAfterBreak="0">
    <w:nsid w:val="6FA13E43"/>
    <w:multiLevelType w:val="multilevel"/>
    <w:tmpl w:val="2160A9CC"/>
    <w:lvl w:ilvl="0">
      <w:start w:val="4"/>
      <w:numFmt w:val="decimal"/>
      <w:lvlText w:val="%1."/>
      <w:lvlJc w:val="left"/>
      <w:pPr>
        <w:ind w:left="720" w:hanging="360"/>
      </w:pPr>
      <w:rPr>
        <w:rFonts w:eastAsia="Times New Roman"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1">
    <w:nsid w:val="70C92804"/>
    <w:multiLevelType w:val="multilevel"/>
    <w:tmpl w:val="27426B8A"/>
    <w:lvl w:ilvl="0">
      <w:start w:val="1"/>
      <w:numFmt w:val="decimal"/>
      <w:pStyle w:val="1pakapesvirsraksts"/>
      <w:lvlText w:val="%1."/>
      <w:lvlJc w:val="left"/>
      <w:pPr>
        <w:ind w:left="720" w:hanging="360"/>
      </w:pPr>
      <w:rPr>
        <w:rFonts w:cs="Times New Roman" w:hint="default"/>
      </w:rPr>
    </w:lvl>
    <w:lvl w:ilvl="1">
      <w:start w:val="1"/>
      <w:numFmt w:val="decimal"/>
      <w:pStyle w:val="2pakapesvirsraksts"/>
      <w:isLgl/>
      <w:lvlText w:val="%1.%2."/>
      <w:lvlJc w:val="left"/>
      <w:pPr>
        <w:ind w:left="405" w:hanging="405"/>
      </w:pPr>
      <w:rPr>
        <w:rFonts w:cs="Times New Roman" w:hint="default"/>
      </w:rPr>
    </w:lvl>
    <w:lvl w:ilvl="2">
      <w:start w:val="1"/>
      <w:numFmt w:val="decimal"/>
      <w:pStyle w:val="3pakapesvirsraksts"/>
      <w:isLgl/>
      <w:lvlText w:val="%1.%2.%3."/>
      <w:lvlJc w:val="left"/>
      <w:pPr>
        <w:ind w:left="1004" w:hanging="720"/>
      </w:pPr>
      <w:rPr>
        <w:rFonts w:cs="Times New Roman" w:hint="default"/>
      </w:rPr>
    </w:lvl>
    <w:lvl w:ilvl="3">
      <w:start w:val="1"/>
      <w:numFmt w:val="decimal"/>
      <w:pStyle w:val="4pakapesvirsraksts"/>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7" w15:restartNumberingAfterBreak="1">
    <w:nsid w:val="75022399"/>
    <w:multiLevelType w:val="hybridMultilevel"/>
    <w:tmpl w:val="BC44FBF0"/>
    <w:lvl w:ilvl="0" w:tplc="C28E3B76">
      <w:start w:val="1"/>
      <w:numFmt w:val="bullet"/>
      <w:lvlText w:val=""/>
      <w:lvlJc w:val="left"/>
      <w:pPr>
        <w:ind w:left="720" w:hanging="360"/>
      </w:pPr>
      <w:rPr>
        <w:rFonts w:ascii="Symbol" w:hAnsi="Symbol" w:hint="default"/>
      </w:rPr>
    </w:lvl>
    <w:lvl w:ilvl="1" w:tplc="7AD48510">
      <w:start w:val="1"/>
      <w:numFmt w:val="bullet"/>
      <w:lvlText w:val="o"/>
      <w:lvlJc w:val="left"/>
      <w:pPr>
        <w:ind w:left="1440" w:hanging="360"/>
      </w:pPr>
      <w:rPr>
        <w:rFonts w:ascii="Courier New" w:hAnsi="Courier New" w:cs="Courier New" w:hint="default"/>
      </w:rPr>
    </w:lvl>
    <w:lvl w:ilvl="2" w:tplc="3050EF6E">
      <w:start w:val="1"/>
      <w:numFmt w:val="bullet"/>
      <w:lvlText w:val=""/>
      <w:lvlJc w:val="left"/>
      <w:pPr>
        <w:ind w:left="2160" w:hanging="360"/>
      </w:pPr>
      <w:rPr>
        <w:rFonts w:ascii="Wingdings" w:hAnsi="Wingdings" w:hint="default"/>
      </w:rPr>
    </w:lvl>
    <w:lvl w:ilvl="3" w:tplc="DA429B18">
      <w:start w:val="1"/>
      <w:numFmt w:val="bullet"/>
      <w:lvlText w:val=""/>
      <w:lvlJc w:val="left"/>
      <w:pPr>
        <w:ind w:left="2880" w:hanging="360"/>
      </w:pPr>
      <w:rPr>
        <w:rFonts w:ascii="Symbol" w:hAnsi="Symbol" w:hint="default"/>
      </w:rPr>
    </w:lvl>
    <w:lvl w:ilvl="4" w:tplc="6926691C">
      <w:start w:val="1"/>
      <w:numFmt w:val="bullet"/>
      <w:lvlText w:val="o"/>
      <w:lvlJc w:val="left"/>
      <w:pPr>
        <w:ind w:left="3600" w:hanging="360"/>
      </w:pPr>
      <w:rPr>
        <w:rFonts w:ascii="Courier New" w:hAnsi="Courier New" w:cs="Courier New" w:hint="default"/>
      </w:rPr>
    </w:lvl>
    <w:lvl w:ilvl="5" w:tplc="D95A1428">
      <w:start w:val="1"/>
      <w:numFmt w:val="bullet"/>
      <w:lvlText w:val=""/>
      <w:lvlJc w:val="left"/>
      <w:pPr>
        <w:ind w:left="4320" w:hanging="360"/>
      </w:pPr>
      <w:rPr>
        <w:rFonts w:ascii="Wingdings" w:hAnsi="Wingdings" w:hint="default"/>
      </w:rPr>
    </w:lvl>
    <w:lvl w:ilvl="6" w:tplc="C28058E8">
      <w:start w:val="1"/>
      <w:numFmt w:val="bullet"/>
      <w:lvlText w:val=""/>
      <w:lvlJc w:val="left"/>
      <w:pPr>
        <w:ind w:left="5040" w:hanging="360"/>
      </w:pPr>
      <w:rPr>
        <w:rFonts w:ascii="Symbol" w:hAnsi="Symbol" w:hint="default"/>
      </w:rPr>
    </w:lvl>
    <w:lvl w:ilvl="7" w:tplc="1E8EA018">
      <w:start w:val="1"/>
      <w:numFmt w:val="bullet"/>
      <w:lvlText w:val="o"/>
      <w:lvlJc w:val="left"/>
      <w:pPr>
        <w:ind w:left="5760" w:hanging="360"/>
      </w:pPr>
      <w:rPr>
        <w:rFonts w:ascii="Courier New" w:hAnsi="Courier New" w:cs="Courier New" w:hint="default"/>
      </w:rPr>
    </w:lvl>
    <w:lvl w:ilvl="8" w:tplc="4CE8BADC">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6"/>
  </w:num>
  <w:num w:numId="4">
    <w:abstractNumId w:val="9"/>
  </w:num>
  <w:num w:numId="5">
    <w:abstractNumId w:val="15"/>
  </w:num>
  <w:num w:numId="6">
    <w:abstractNumId w:val="24"/>
  </w:num>
  <w:num w:numId="7">
    <w:abstractNumId w:val="2"/>
  </w:num>
  <w:num w:numId="8">
    <w:abstractNumId w:val="12"/>
  </w:num>
  <w:num w:numId="9">
    <w:abstractNumId w:val="22"/>
  </w:num>
  <w:num w:numId="10">
    <w:abstractNumId w:val="19"/>
  </w:num>
  <w:num w:numId="11">
    <w:abstractNumId w:val="27"/>
  </w:num>
  <w:num w:numId="12">
    <w:abstractNumId w:val="21"/>
  </w:num>
  <w:num w:numId="13">
    <w:abstractNumId w:val="8"/>
  </w:num>
  <w:num w:numId="14">
    <w:abstractNumId w:val="0"/>
  </w:num>
  <w:num w:numId="15">
    <w:abstractNumId w:val="20"/>
  </w:num>
  <w:num w:numId="16">
    <w:abstractNumId w:val="10"/>
  </w:num>
  <w:num w:numId="17">
    <w:abstractNumId w:val="16"/>
  </w:num>
  <w:num w:numId="18">
    <w:abstractNumId w:val="23"/>
  </w:num>
  <w:num w:numId="19">
    <w:abstractNumId w:val="25"/>
  </w:num>
  <w:num w:numId="20">
    <w:abstractNumId w:val="3"/>
  </w:num>
  <w:num w:numId="21">
    <w:abstractNumId w:val="14"/>
  </w:num>
  <w:num w:numId="22">
    <w:abstractNumId w:val="13"/>
  </w:num>
  <w:num w:numId="23">
    <w:abstractNumId w:val="5"/>
  </w:num>
  <w:num w:numId="24">
    <w:abstractNumId w:val="4"/>
  </w:num>
  <w:num w:numId="25">
    <w:abstractNumId w:val="18"/>
  </w:num>
  <w:num w:numId="26">
    <w:abstractNumId w:val="17"/>
  </w:num>
  <w:num w:numId="27">
    <w:abstractNumId w:val="11"/>
  </w:num>
  <w:num w:numId="2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70"/>
    <w:rsid w:val="00000A21"/>
    <w:rsid w:val="000016AF"/>
    <w:rsid w:val="000017A3"/>
    <w:rsid w:val="000028C9"/>
    <w:rsid w:val="00002E40"/>
    <w:rsid w:val="00004450"/>
    <w:rsid w:val="00004581"/>
    <w:rsid w:val="00004B91"/>
    <w:rsid w:val="00004C3A"/>
    <w:rsid w:val="00005792"/>
    <w:rsid w:val="000062C2"/>
    <w:rsid w:val="00007886"/>
    <w:rsid w:val="00007CF7"/>
    <w:rsid w:val="00007EDE"/>
    <w:rsid w:val="00010A18"/>
    <w:rsid w:val="00010B16"/>
    <w:rsid w:val="00010C9F"/>
    <w:rsid w:val="0001166B"/>
    <w:rsid w:val="00011826"/>
    <w:rsid w:val="0001297D"/>
    <w:rsid w:val="00013560"/>
    <w:rsid w:val="00013658"/>
    <w:rsid w:val="00013E49"/>
    <w:rsid w:val="00014021"/>
    <w:rsid w:val="00014B3F"/>
    <w:rsid w:val="0001597D"/>
    <w:rsid w:val="00015AD8"/>
    <w:rsid w:val="00015D0A"/>
    <w:rsid w:val="00015FDB"/>
    <w:rsid w:val="000163AF"/>
    <w:rsid w:val="00017F6C"/>
    <w:rsid w:val="00017F6F"/>
    <w:rsid w:val="00020898"/>
    <w:rsid w:val="00022346"/>
    <w:rsid w:val="000224B6"/>
    <w:rsid w:val="00023B2A"/>
    <w:rsid w:val="0002467D"/>
    <w:rsid w:val="0002498C"/>
    <w:rsid w:val="00024A4B"/>
    <w:rsid w:val="00025183"/>
    <w:rsid w:val="00025E7E"/>
    <w:rsid w:val="0002665E"/>
    <w:rsid w:val="00026B33"/>
    <w:rsid w:val="00026C21"/>
    <w:rsid w:val="00026E98"/>
    <w:rsid w:val="0002794C"/>
    <w:rsid w:val="00027CE7"/>
    <w:rsid w:val="00030F5D"/>
    <w:rsid w:val="0003137D"/>
    <w:rsid w:val="00031570"/>
    <w:rsid w:val="00031978"/>
    <w:rsid w:val="00031C57"/>
    <w:rsid w:val="000323BD"/>
    <w:rsid w:val="00032B87"/>
    <w:rsid w:val="00032EE2"/>
    <w:rsid w:val="000330DB"/>
    <w:rsid w:val="00033628"/>
    <w:rsid w:val="00033AAE"/>
    <w:rsid w:val="00034E46"/>
    <w:rsid w:val="00034EC3"/>
    <w:rsid w:val="000353C4"/>
    <w:rsid w:val="000356D7"/>
    <w:rsid w:val="00035846"/>
    <w:rsid w:val="000368AB"/>
    <w:rsid w:val="000369D8"/>
    <w:rsid w:val="0003705D"/>
    <w:rsid w:val="00037BAA"/>
    <w:rsid w:val="0004027D"/>
    <w:rsid w:val="00040C38"/>
    <w:rsid w:val="00041147"/>
    <w:rsid w:val="000416C8"/>
    <w:rsid w:val="00041AF9"/>
    <w:rsid w:val="000429BF"/>
    <w:rsid w:val="00042ACB"/>
    <w:rsid w:val="00043077"/>
    <w:rsid w:val="00043EF6"/>
    <w:rsid w:val="000444B0"/>
    <w:rsid w:val="00044B3C"/>
    <w:rsid w:val="00045141"/>
    <w:rsid w:val="00045D91"/>
    <w:rsid w:val="00045FB3"/>
    <w:rsid w:val="000462FA"/>
    <w:rsid w:val="0004688A"/>
    <w:rsid w:val="0004694F"/>
    <w:rsid w:val="00046AAF"/>
    <w:rsid w:val="0004769C"/>
    <w:rsid w:val="00047C94"/>
    <w:rsid w:val="0005043F"/>
    <w:rsid w:val="00050D9C"/>
    <w:rsid w:val="00050ED4"/>
    <w:rsid w:val="00051EAF"/>
    <w:rsid w:val="000522B0"/>
    <w:rsid w:val="000523C3"/>
    <w:rsid w:val="0005280E"/>
    <w:rsid w:val="00052837"/>
    <w:rsid w:val="00052B54"/>
    <w:rsid w:val="00052B6D"/>
    <w:rsid w:val="00052D53"/>
    <w:rsid w:val="000535EA"/>
    <w:rsid w:val="000549CC"/>
    <w:rsid w:val="0005594E"/>
    <w:rsid w:val="00056617"/>
    <w:rsid w:val="00056687"/>
    <w:rsid w:val="00056725"/>
    <w:rsid w:val="000569FF"/>
    <w:rsid w:val="00056A30"/>
    <w:rsid w:val="00056AB6"/>
    <w:rsid w:val="000573A9"/>
    <w:rsid w:val="00060175"/>
    <w:rsid w:val="000602D5"/>
    <w:rsid w:val="0006051B"/>
    <w:rsid w:val="0006091E"/>
    <w:rsid w:val="00060DF0"/>
    <w:rsid w:val="00060FB6"/>
    <w:rsid w:val="0006178F"/>
    <w:rsid w:val="00062684"/>
    <w:rsid w:val="000626F9"/>
    <w:rsid w:val="000629C4"/>
    <w:rsid w:val="0006327D"/>
    <w:rsid w:val="000636B9"/>
    <w:rsid w:val="00064C1A"/>
    <w:rsid w:val="0006577A"/>
    <w:rsid w:val="00065D34"/>
    <w:rsid w:val="00065FC6"/>
    <w:rsid w:val="00067527"/>
    <w:rsid w:val="000676E3"/>
    <w:rsid w:val="00067FF0"/>
    <w:rsid w:val="000707FF"/>
    <w:rsid w:val="00070BFA"/>
    <w:rsid w:val="00071AF3"/>
    <w:rsid w:val="000726E8"/>
    <w:rsid w:val="0007279D"/>
    <w:rsid w:val="00072B12"/>
    <w:rsid w:val="0007302B"/>
    <w:rsid w:val="00073138"/>
    <w:rsid w:val="00073902"/>
    <w:rsid w:val="00073A85"/>
    <w:rsid w:val="0007564B"/>
    <w:rsid w:val="000762FE"/>
    <w:rsid w:val="00076300"/>
    <w:rsid w:val="00076483"/>
    <w:rsid w:val="00076910"/>
    <w:rsid w:val="00076D03"/>
    <w:rsid w:val="00077516"/>
    <w:rsid w:val="00077E98"/>
    <w:rsid w:val="00077F89"/>
    <w:rsid w:val="00080A38"/>
    <w:rsid w:val="00081A67"/>
    <w:rsid w:val="0008221C"/>
    <w:rsid w:val="00082386"/>
    <w:rsid w:val="000827E5"/>
    <w:rsid w:val="00083160"/>
    <w:rsid w:val="00083DEB"/>
    <w:rsid w:val="0008420B"/>
    <w:rsid w:val="00084223"/>
    <w:rsid w:val="000857DF"/>
    <w:rsid w:val="00085819"/>
    <w:rsid w:val="00086342"/>
    <w:rsid w:val="0008685B"/>
    <w:rsid w:val="0008751E"/>
    <w:rsid w:val="00087CF0"/>
    <w:rsid w:val="00087E2E"/>
    <w:rsid w:val="00090401"/>
    <w:rsid w:val="000905AC"/>
    <w:rsid w:val="00090820"/>
    <w:rsid w:val="0009144E"/>
    <w:rsid w:val="00091F99"/>
    <w:rsid w:val="000921AE"/>
    <w:rsid w:val="000924CD"/>
    <w:rsid w:val="00093536"/>
    <w:rsid w:val="00093715"/>
    <w:rsid w:val="00093DD6"/>
    <w:rsid w:val="000962A0"/>
    <w:rsid w:val="00096930"/>
    <w:rsid w:val="00096C91"/>
    <w:rsid w:val="00097058"/>
    <w:rsid w:val="0009723F"/>
    <w:rsid w:val="00097547"/>
    <w:rsid w:val="00097BDA"/>
    <w:rsid w:val="000A0426"/>
    <w:rsid w:val="000A05A2"/>
    <w:rsid w:val="000A0E74"/>
    <w:rsid w:val="000A0EEB"/>
    <w:rsid w:val="000A17E0"/>
    <w:rsid w:val="000A19E3"/>
    <w:rsid w:val="000A2E64"/>
    <w:rsid w:val="000A3D98"/>
    <w:rsid w:val="000A44D4"/>
    <w:rsid w:val="000A4654"/>
    <w:rsid w:val="000A4EFD"/>
    <w:rsid w:val="000A6128"/>
    <w:rsid w:val="000A68B7"/>
    <w:rsid w:val="000A745C"/>
    <w:rsid w:val="000A7B25"/>
    <w:rsid w:val="000B1A57"/>
    <w:rsid w:val="000B22F8"/>
    <w:rsid w:val="000B2C5B"/>
    <w:rsid w:val="000B2CA3"/>
    <w:rsid w:val="000B2EAB"/>
    <w:rsid w:val="000B5110"/>
    <w:rsid w:val="000B546C"/>
    <w:rsid w:val="000B66FA"/>
    <w:rsid w:val="000B7D18"/>
    <w:rsid w:val="000C0420"/>
    <w:rsid w:val="000C1BB4"/>
    <w:rsid w:val="000C23EA"/>
    <w:rsid w:val="000C69B5"/>
    <w:rsid w:val="000C7A42"/>
    <w:rsid w:val="000C7D63"/>
    <w:rsid w:val="000D0D8A"/>
    <w:rsid w:val="000D12D8"/>
    <w:rsid w:val="000D24AE"/>
    <w:rsid w:val="000D362B"/>
    <w:rsid w:val="000D36FD"/>
    <w:rsid w:val="000D3974"/>
    <w:rsid w:val="000D53EA"/>
    <w:rsid w:val="000E0605"/>
    <w:rsid w:val="000E09B4"/>
    <w:rsid w:val="000E1965"/>
    <w:rsid w:val="000E217C"/>
    <w:rsid w:val="000E289A"/>
    <w:rsid w:val="000E2CDB"/>
    <w:rsid w:val="000E38A3"/>
    <w:rsid w:val="000E3909"/>
    <w:rsid w:val="000E3DDC"/>
    <w:rsid w:val="000E3FC0"/>
    <w:rsid w:val="000E4347"/>
    <w:rsid w:val="000E4D0D"/>
    <w:rsid w:val="000E4F1B"/>
    <w:rsid w:val="000E5CC0"/>
    <w:rsid w:val="000E643F"/>
    <w:rsid w:val="000E6CE9"/>
    <w:rsid w:val="000F058B"/>
    <w:rsid w:val="000F0B96"/>
    <w:rsid w:val="000F0FBD"/>
    <w:rsid w:val="000F1FE7"/>
    <w:rsid w:val="000F22AC"/>
    <w:rsid w:val="000F3CEF"/>
    <w:rsid w:val="000F42D9"/>
    <w:rsid w:val="000F49DE"/>
    <w:rsid w:val="000F4B32"/>
    <w:rsid w:val="000F549A"/>
    <w:rsid w:val="000F56D1"/>
    <w:rsid w:val="000F624C"/>
    <w:rsid w:val="000F73B2"/>
    <w:rsid w:val="000F7E05"/>
    <w:rsid w:val="00100A33"/>
    <w:rsid w:val="001014A6"/>
    <w:rsid w:val="00101BC1"/>
    <w:rsid w:val="00102276"/>
    <w:rsid w:val="0010247D"/>
    <w:rsid w:val="00104034"/>
    <w:rsid w:val="0010418A"/>
    <w:rsid w:val="001042CE"/>
    <w:rsid w:val="001051B9"/>
    <w:rsid w:val="0010546C"/>
    <w:rsid w:val="00105C5A"/>
    <w:rsid w:val="00106B6E"/>
    <w:rsid w:val="00106BC8"/>
    <w:rsid w:val="00106F51"/>
    <w:rsid w:val="00107173"/>
    <w:rsid w:val="00107905"/>
    <w:rsid w:val="00107F92"/>
    <w:rsid w:val="00110558"/>
    <w:rsid w:val="001108DB"/>
    <w:rsid w:val="001113E5"/>
    <w:rsid w:val="00111B18"/>
    <w:rsid w:val="001132D9"/>
    <w:rsid w:val="00113795"/>
    <w:rsid w:val="00113AEA"/>
    <w:rsid w:val="001146CB"/>
    <w:rsid w:val="00114788"/>
    <w:rsid w:val="00114CF3"/>
    <w:rsid w:val="00114E2B"/>
    <w:rsid w:val="00115899"/>
    <w:rsid w:val="00115990"/>
    <w:rsid w:val="001168E6"/>
    <w:rsid w:val="00117CC6"/>
    <w:rsid w:val="00117E61"/>
    <w:rsid w:val="00121297"/>
    <w:rsid w:val="00121331"/>
    <w:rsid w:val="00121874"/>
    <w:rsid w:val="00121AC9"/>
    <w:rsid w:val="00121DFD"/>
    <w:rsid w:val="0012323F"/>
    <w:rsid w:val="0012436D"/>
    <w:rsid w:val="00125376"/>
    <w:rsid w:val="00125F19"/>
    <w:rsid w:val="001269F2"/>
    <w:rsid w:val="0012718E"/>
    <w:rsid w:val="001304B7"/>
    <w:rsid w:val="00130D0B"/>
    <w:rsid w:val="00133956"/>
    <w:rsid w:val="0013413C"/>
    <w:rsid w:val="00135166"/>
    <w:rsid w:val="00135227"/>
    <w:rsid w:val="001368FE"/>
    <w:rsid w:val="00137A19"/>
    <w:rsid w:val="00137AB8"/>
    <w:rsid w:val="00137ECD"/>
    <w:rsid w:val="00137F65"/>
    <w:rsid w:val="0014027A"/>
    <w:rsid w:val="00140338"/>
    <w:rsid w:val="0014036A"/>
    <w:rsid w:val="00140933"/>
    <w:rsid w:val="00140945"/>
    <w:rsid w:val="0014134F"/>
    <w:rsid w:val="00142742"/>
    <w:rsid w:val="001429DA"/>
    <w:rsid w:val="00144087"/>
    <w:rsid w:val="001440FA"/>
    <w:rsid w:val="001455AB"/>
    <w:rsid w:val="00145E38"/>
    <w:rsid w:val="001460CD"/>
    <w:rsid w:val="001470F0"/>
    <w:rsid w:val="001476A4"/>
    <w:rsid w:val="001504AA"/>
    <w:rsid w:val="001506A7"/>
    <w:rsid w:val="0015087C"/>
    <w:rsid w:val="0015101B"/>
    <w:rsid w:val="001515DA"/>
    <w:rsid w:val="001518F7"/>
    <w:rsid w:val="001533D1"/>
    <w:rsid w:val="00153690"/>
    <w:rsid w:val="0015392A"/>
    <w:rsid w:val="00153DFF"/>
    <w:rsid w:val="001542AA"/>
    <w:rsid w:val="001542DA"/>
    <w:rsid w:val="00154655"/>
    <w:rsid w:val="001548D3"/>
    <w:rsid w:val="0015496C"/>
    <w:rsid w:val="001554DF"/>
    <w:rsid w:val="00155550"/>
    <w:rsid w:val="00155FF4"/>
    <w:rsid w:val="00156A31"/>
    <w:rsid w:val="001572E2"/>
    <w:rsid w:val="00157573"/>
    <w:rsid w:val="0015787B"/>
    <w:rsid w:val="00157915"/>
    <w:rsid w:val="00160316"/>
    <w:rsid w:val="001605B4"/>
    <w:rsid w:val="00160BE0"/>
    <w:rsid w:val="00160C70"/>
    <w:rsid w:val="00161184"/>
    <w:rsid w:val="0016285F"/>
    <w:rsid w:val="00162B6E"/>
    <w:rsid w:val="00163075"/>
    <w:rsid w:val="001630C6"/>
    <w:rsid w:val="00163181"/>
    <w:rsid w:val="00164A4C"/>
    <w:rsid w:val="00164B8A"/>
    <w:rsid w:val="00166140"/>
    <w:rsid w:val="0016627D"/>
    <w:rsid w:val="001678C9"/>
    <w:rsid w:val="001715C8"/>
    <w:rsid w:val="00171F61"/>
    <w:rsid w:val="00172C33"/>
    <w:rsid w:val="00173075"/>
    <w:rsid w:val="001731CD"/>
    <w:rsid w:val="001734BD"/>
    <w:rsid w:val="00174607"/>
    <w:rsid w:val="0017515F"/>
    <w:rsid w:val="0017650D"/>
    <w:rsid w:val="00176637"/>
    <w:rsid w:val="00176B8C"/>
    <w:rsid w:val="00177648"/>
    <w:rsid w:val="00177B31"/>
    <w:rsid w:val="00177C7E"/>
    <w:rsid w:val="00177DE1"/>
    <w:rsid w:val="00177F3B"/>
    <w:rsid w:val="001803AE"/>
    <w:rsid w:val="001805A5"/>
    <w:rsid w:val="001807C9"/>
    <w:rsid w:val="00180838"/>
    <w:rsid w:val="001812DD"/>
    <w:rsid w:val="00181979"/>
    <w:rsid w:val="00181CD3"/>
    <w:rsid w:val="00181EB1"/>
    <w:rsid w:val="001825E4"/>
    <w:rsid w:val="00182F34"/>
    <w:rsid w:val="00183200"/>
    <w:rsid w:val="00183547"/>
    <w:rsid w:val="00183E50"/>
    <w:rsid w:val="001842E5"/>
    <w:rsid w:val="00184AD4"/>
    <w:rsid w:val="00185E98"/>
    <w:rsid w:val="00185EDB"/>
    <w:rsid w:val="0018631D"/>
    <w:rsid w:val="00187AA4"/>
    <w:rsid w:val="00187F39"/>
    <w:rsid w:val="00190B3E"/>
    <w:rsid w:val="00191273"/>
    <w:rsid w:val="00191301"/>
    <w:rsid w:val="0019180B"/>
    <w:rsid w:val="00191A85"/>
    <w:rsid w:val="00191AD4"/>
    <w:rsid w:val="00193492"/>
    <w:rsid w:val="00193763"/>
    <w:rsid w:val="00193959"/>
    <w:rsid w:val="00194223"/>
    <w:rsid w:val="00194926"/>
    <w:rsid w:val="00194FBC"/>
    <w:rsid w:val="001954FD"/>
    <w:rsid w:val="00195916"/>
    <w:rsid w:val="00196761"/>
    <w:rsid w:val="00196D19"/>
    <w:rsid w:val="00196F4D"/>
    <w:rsid w:val="001A0860"/>
    <w:rsid w:val="001A155C"/>
    <w:rsid w:val="001A19E3"/>
    <w:rsid w:val="001A2FC2"/>
    <w:rsid w:val="001A4401"/>
    <w:rsid w:val="001A5984"/>
    <w:rsid w:val="001A6661"/>
    <w:rsid w:val="001A684F"/>
    <w:rsid w:val="001A6CA8"/>
    <w:rsid w:val="001A7B79"/>
    <w:rsid w:val="001B1C57"/>
    <w:rsid w:val="001B246E"/>
    <w:rsid w:val="001B27B5"/>
    <w:rsid w:val="001B324A"/>
    <w:rsid w:val="001B3D8E"/>
    <w:rsid w:val="001B402E"/>
    <w:rsid w:val="001B444B"/>
    <w:rsid w:val="001B5B49"/>
    <w:rsid w:val="001B6297"/>
    <w:rsid w:val="001B6699"/>
    <w:rsid w:val="001B6DA2"/>
    <w:rsid w:val="001C0CE1"/>
    <w:rsid w:val="001C0D19"/>
    <w:rsid w:val="001C19F8"/>
    <w:rsid w:val="001C2F25"/>
    <w:rsid w:val="001C38A7"/>
    <w:rsid w:val="001C42B6"/>
    <w:rsid w:val="001C5B74"/>
    <w:rsid w:val="001C6722"/>
    <w:rsid w:val="001C680F"/>
    <w:rsid w:val="001C6A8C"/>
    <w:rsid w:val="001D0E46"/>
    <w:rsid w:val="001D1080"/>
    <w:rsid w:val="001D1986"/>
    <w:rsid w:val="001D2505"/>
    <w:rsid w:val="001D2C61"/>
    <w:rsid w:val="001D3685"/>
    <w:rsid w:val="001D45E8"/>
    <w:rsid w:val="001D52F1"/>
    <w:rsid w:val="001D66AA"/>
    <w:rsid w:val="001D723A"/>
    <w:rsid w:val="001D79B1"/>
    <w:rsid w:val="001D7EC2"/>
    <w:rsid w:val="001E043E"/>
    <w:rsid w:val="001E04E6"/>
    <w:rsid w:val="001E0694"/>
    <w:rsid w:val="001E0F8B"/>
    <w:rsid w:val="001E1664"/>
    <w:rsid w:val="001E1DE4"/>
    <w:rsid w:val="001E38B9"/>
    <w:rsid w:val="001E3BA0"/>
    <w:rsid w:val="001E43CD"/>
    <w:rsid w:val="001E4909"/>
    <w:rsid w:val="001E4D0A"/>
    <w:rsid w:val="001E560F"/>
    <w:rsid w:val="001E6002"/>
    <w:rsid w:val="001E6552"/>
    <w:rsid w:val="001E6C29"/>
    <w:rsid w:val="001E6F28"/>
    <w:rsid w:val="001E7AD5"/>
    <w:rsid w:val="001E7D8F"/>
    <w:rsid w:val="001E7F6A"/>
    <w:rsid w:val="001F082B"/>
    <w:rsid w:val="001F0B50"/>
    <w:rsid w:val="001F0D44"/>
    <w:rsid w:val="001F136B"/>
    <w:rsid w:val="001F223F"/>
    <w:rsid w:val="001F289F"/>
    <w:rsid w:val="001F2D21"/>
    <w:rsid w:val="001F331F"/>
    <w:rsid w:val="001F3570"/>
    <w:rsid w:val="001F528A"/>
    <w:rsid w:val="001F64B6"/>
    <w:rsid w:val="001F67EA"/>
    <w:rsid w:val="001F68D9"/>
    <w:rsid w:val="001F6939"/>
    <w:rsid w:val="001F6C62"/>
    <w:rsid w:val="001F6CC8"/>
    <w:rsid w:val="001F716D"/>
    <w:rsid w:val="001F7285"/>
    <w:rsid w:val="001F77C9"/>
    <w:rsid w:val="001F7828"/>
    <w:rsid w:val="001F7872"/>
    <w:rsid w:val="001F7EC0"/>
    <w:rsid w:val="00200BEC"/>
    <w:rsid w:val="00202103"/>
    <w:rsid w:val="002025E5"/>
    <w:rsid w:val="00202824"/>
    <w:rsid w:val="002032C3"/>
    <w:rsid w:val="00204612"/>
    <w:rsid w:val="0020470C"/>
    <w:rsid w:val="00204DF5"/>
    <w:rsid w:val="00205373"/>
    <w:rsid w:val="00205ABC"/>
    <w:rsid w:val="00205EBB"/>
    <w:rsid w:val="00206B60"/>
    <w:rsid w:val="00207184"/>
    <w:rsid w:val="002076F3"/>
    <w:rsid w:val="002077AA"/>
    <w:rsid w:val="00207D51"/>
    <w:rsid w:val="00210B75"/>
    <w:rsid w:val="00210D2E"/>
    <w:rsid w:val="0021151C"/>
    <w:rsid w:val="00211576"/>
    <w:rsid w:val="00211CAD"/>
    <w:rsid w:val="002124BE"/>
    <w:rsid w:val="00212EB5"/>
    <w:rsid w:val="00212ECB"/>
    <w:rsid w:val="002134DA"/>
    <w:rsid w:val="00215953"/>
    <w:rsid w:val="00216D6D"/>
    <w:rsid w:val="00216EEB"/>
    <w:rsid w:val="00217405"/>
    <w:rsid w:val="00217566"/>
    <w:rsid w:val="00217843"/>
    <w:rsid w:val="00217A33"/>
    <w:rsid w:val="00217C2D"/>
    <w:rsid w:val="002201FD"/>
    <w:rsid w:val="00220A1B"/>
    <w:rsid w:val="00220B82"/>
    <w:rsid w:val="00220FB0"/>
    <w:rsid w:val="00221677"/>
    <w:rsid w:val="00221DA8"/>
    <w:rsid w:val="00221EE3"/>
    <w:rsid w:val="00221FEA"/>
    <w:rsid w:val="002226D9"/>
    <w:rsid w:val="00222FC9"/>
    <w:rsid w:val="00223616"/>
    <w:rsid w:val="00224263"/>
    <w:rsid w:val="00224402"/>
    <w:rsid w:val="0022465A"/>
    <w:rsid w:val="00226307"/>
    <w:rsid w:val="00226F7D"/>
    <w:rsid w:val="00227513"/>
    <w:rsid w:val="00230E6B"/>
    <w:rsid w:val="00230F62"/>
    <w:rsid w:val="00231B54"/>
    <w:rsid w:val="002343D1"/>
    <w:rsid w:val="002343E6"/>
    <w:rsid w:val="00234619"/>
    <w:rsid w:val="00234B48"/>
    <w:rsid w:val="0023555C"/>
    <w:rsid w:val="0023581B"/>
    <w:rsid w:val="002359B1"/>
    <w:rsid w:val="00235C53"/>
    <w:rsid w:val="00235D1B"/>
    <w:rsid w:val="0023660B"/>
    <w:rsid w:val="002370DE"/>
    <w:rsid w:val="00240E30"/>
    <w:rsid w:val="002415BF"/>
    <w:rsid w:val="002417F7"/>
    <w:rsid w:val="00241AAA"/>
    <w:rsid w:val="002427C4"/>
    <w:rsid w:val="0024356D"/>
    <w:rsid w:val="00243B92"/>
    <w:rsid w:val="00244331"/>
    <w:rsid w:val="00244D24"/>
    <w:rsid w:val="00245344"/>
    <w:rsid w:val="002461FF"/>
    <w:rsid w:val="0024691E"/>
    <w:rsid w:val="00246A55"/>
    <w:rsid w:val="00246B1E"/>
    <w:rsid w:val="00246D9F"/>
    <w:rsid w:val="00247F6E"/>
    <w:rsid w:val="002500D3"/>
    <w:rsid w:val="0025164F"/>
    <w:rsid w:val="002518FC"/>
    <w:rsid w:val="00251B35"/>
    <w:rsid w:val="00251F86"/>
    <w:rsid w:val="002521AF"/>
    <w:rsid w:val="00252681"/>
    <w:rsid w:val="00252D7E"/>
    <w:rsid w:val="00252F26"/>
    <w:rsid w:val="00253264"/>
    <w:rsid w:val="0025333C"/>
    <w:rsid w:val="002534DE"/>
    <w:rsid w:val="002535AC"/>
    <w:rsid w:val="0025370C"/>
    <w:rsid w:val="00253AAC"/>
    <w:rsid w:val="00253AB2"/>
    <w:rsid w:val="00254414"/>
    <w:rsid w:val="002545D1"/>
    <w:rsid w:val="00254A4C"/>
    <w:rsid w:val="00255231"/>
    <w:rsid w:val="00255BD1"/>
    <w:rsid w:val="00255DF3"/>
    <w:rsid w:val="0025727F"/>
    <w:rsid w:val="0025778E"/>
    <w:rsid w:val="002615BC"/>
    <w:rsid w:val="0026171C"/>
    <w:rsid w:val="00261765"/>
    <w:rsid w:val="0026298F"/>
    <w:rsid w:val="00262A5D"/>
    <w:rsid w:val="002630E5"/>
    <w:rsid w:val="00263AFA"/>
    <w:rsid w:val="00263CF1"/>
    <w:rsid w:val="00263F13"/>
    <w:rsid w:val="002641FE"/>
    <w:rsid w:val="00264B86"/>
    <w:rsid w:val="00264F80"/>
    <w:rsid w:val="00264FBC"/>
    <w:rsid w:val="00265250"/>
    <w:rsid w:val="00265C8A"/>
    <w:rsid w:val="00265E89"/>
    <w:rsid w:val="0026628F"/>
    <w:rsid w:val="002663FD"/>
    <w:rsid w:val="00266D1C"/>
    <w:rsid w:val="00267066"/>
    <w:rsid w:val="00267073"/>
    <w:rsid w:val="002671BE"/>
    <w:rsid w:val="00267BAA"/>
    <w:rsid w:val="00267D0F"/>
    <w:rsid w:val="0027049E"/>
    <w:rsid w:val="00271B3A"/>
    <w:rsid w:val="00271C97"/>
    <w:rsid w:val="0027251E"/>
    <w:rsid w:val="0027286F"/>
    <w:rsid w:val="00274028"/>
    <w:rsid w:val="00274343"/>
    <w:rsid w:val="00274CA2"/>
    <w:rsid w:val="00274DDD"/>
    <w:rsid w:val="00274FA2"/>
    <w:rsid w:val="0027761E"/>
    <w:rsid w:val="00277B1D"/>
    <w:rsid w:val="002804D7"/>
    <w:rsid w:val="00280C31"/>
    <w:rsid w:val="0028112E"/>
    <w:rsid w:val="00281DD7"/>
    <w:rsid w:val="002826C6"/>
    <w:rsid w:val="00282A83"/>
    <w:rsid w:val="00282D57"/>
    <w:rsid w:val="00283AC8"/>
    <w:rsid w:val="00284C70"/>
    <w:rsid w:val="0028586A"/>
    <w:rsid w:val="00286831"/>
    <w:rsid w:val="00287952"/>
    <w:rsid w:val="00290451"/>
    <w:rsid w:val="002918FA"/>
    <w:rsid w:val="00291D09"/>
    <w:rsid w:val="00291F04"/>
    <w:rsid w:val="002923D0"/>
    <w:rsid w:val="00293246"/>
    <w:rsid w:val="00293367"/>
    <w:rsid w:val="0029403C"/>
    <w:rsid w:val="002947CD"/>
    <w:rsid w:val="002954E0"/>
    <w:rsid w:val="002971F5"/>
    <w:rsid w:val="00297312"/>
    <w:rsid w:val="00297B33"/>
    <w:rsid w:val="00297D6F"/>
    <w:rsid w:val="002A185C"/>
    <w:rsid w:val="002A22B6"/>
    <w:rsid w:val="002A23CF"/>
    <w:rsid w:val="002A2632"/>
    <w:rsid w:val="002A29DE"/>
    <w:rsid w:val="002A31F8"/>
    <w:rsid w:val="002A3E00"/>
    <w:rsid w:val="002A4355"/>
    <w:rsid w:val="002A442F"/>
    <w:rsid w:val="002A459B"/>
    <w:rsid w:val="002A56B1"/>
    <w:rsid w:val="002A6111"/>
    <w:rsid w:val="002A6226"/>
    <w:rsid w:val="002A6D3D"/>
    <w:rsid w:val="002A7813"/>
    <w:rsid w:val="002A7C8A"/>
    <w:rsid w:val="002A7E6F"/>
    <w:rsid w:val="002B089F"/>
    <w:rsid w:val="002B0D40"/>
    <w:rsid w:val="002B0F79"/>
    <w:rsid w:val="002B20CB"/>
    <w:rsid w:val="002B23CA"/>
    <w:rsid w:val="002B2539"/>
    <w:rsid w:val="002B342D"/>
    <w:rsid w:val="002B3745"/>
    <w:rsid w:val="002B41D8"/>
    <w:rsid w:val="002B477B"/>
    <w:rsid w:val="002B501C"/>
    <w:rsid w:val="002B5085"/>
    <w:rsid w:val="002B55E6"/>
    <w:rsid w:val="002B58AD"/>
    <w:rsid w:val="002B5B37"/>
    <w:rsid w:val="002B64E7"/>
    <w:rsid w:val="002B6533"/>
    <w:rsid w:val="002B68C6"/>
    <w:rsid w:val="002B6946"/>
    <w:rsid w:val="002B6A47"/>
    <w:rsid w:val="002B76B0"/>
    <w:rsid w:val="002B7FC5"/>
    <w:rsid w:val="002C1F96"/>
    <w:rsid w:val="002C2287"/>
    <w:rsid w:val="002C3057"/>
    <w:rsid w:val="002C37BB"/>
    <w:rsid w:val="002C3A56"/>
    <w:rsid w:val="002C3A6A"/>
    <w:rsid w:val="002C3AFB"/>
    <w:rsid w:val="002C5096"/>
    <w:rsid w:val="002C5A57"/>
    <w:rsid w:val="002C60B7"/>
    <w:rsid w:val="002C67DE"/>
    <w:rsid w:val="002C697A"/>
    <w:rsid w:val="002C756C"/>
    <w:rsid w:val="002D130F"/>
    <w:rsid w:val="002D1C9F"/>
    <w:rsid w:val="002D1F47"/>
    <w:rsid w:val="002D2275"/>
    <w:rsid w:val="002D2332"/>
    <w:rsid w:val="002D2334"/>
    <w:rsid w:val="002D2420"/>
    <w:rsid w:val="002D2930"/>
    <w:rsid w:val="002D2D71"/>
    <w:rsid w:val="002D2F3F"/>
    <w:rsid w:val="002D3001"/>
    <w:rsid w:val="002D500D"/>
    <w:rsid w:val="002D545B"/>
    <w:rsid w:val="002D57E6"/>
    <w:rsid w:val="002D5960"/>
    <w:rsid w:val="002D64A9"/>
    <w:rsid w:val="002D6520"/>
    <w:rsid w:val="002D68B3"/>
    <w:rsid w:val="002D6C55"/>
    <w:rsid w:val="002D703E"/>
    <w:rsid w:val="002E0156"/>
    <w:rsid w:val="002E2112"/>
    <w:rsid w:val="002E26AA"/>
    <w:rsid w:val="002E2CFA"/>
    <w:rsid w:val="002E324A"/>
    <w:rsid w:val="002E35C4"/>
    <w:rsid w:val="002E4036"/>
    <w:rsid w:val="002E4148"/>
    <w:rsid w:val="002E4F47"/>
    <w:rsid w:val="002E5596"/>
    <w:rsid w:val="002E64CD"/>
    <w:rsid w:val="002E6C43"/>
    <w:rsid w:val="002E7475"/>
    <w:rsid w:val="002E7C5C"/>
    <w:rsid w:val="002F0514"/>
    <w:rsid w:val="002F13A7"/>
    <w:rsid w:val="002F15D4"/>
    <w:rsid w:val="002F1700"/>
    <w:rsid w:val="002F1885"/>
    <w:rsid w:val="002F1F21"/>
    <w:rsid w:val="002F36D2"/>
    <w:rsid w:val="002F3C81"/>
    <w:rsid w:val="002F447A"/>
    <w:rsid w:val="002F56D9"/>
    <w:rsid w:val="002F5A65"/>
    <w:rsid w:val="002F6B01"/>
    <w:rsid w:val="002F704B"/>
    <w:rsid w:val="002F7E15"/>
    <w:rsid w:val="00300044"/>
    <w:rsid w:val="00300485"/>
    <w:rsid w:val="00300B57"/>
    <w:rsid w:val="00300F6C"/>
    <w:rsid w:val="003033C5"/>
    <w:rsid w:val="003036F5"/>
    <w:rsid w:val="00303706"/>
    <w:rsid w:val="00304257"/>
    <w:rsid w:val="0030431C"/>
    <w:rsid w:val="003044AB"/>
    <w:rsid w:val="003056BF"/>
    <w:rsid w:val="00305C5A"/>
    <w:rsid w:val="0030611A"/>
    <w:rsid w:val="003067FC"/>
    <w:rsid w:val="003071C3"/>
    <w:rsid w:val="00307206"/>
    <w:rsid w:val="00310016"/>
    <w:rsid w:val="00310205"/>
    <w:rsid w:val="00312DA7"/>
    <w:rsid w:val="003136B2"/>
    <w:rsid w:val="003136FB"/>
    <w:rsid w:val="003140AA"/>
    <w:rsid w:val="00314338"/>
    <w:rsid w:val="0031573B"/>
    <w:rsid w:val="00315B9E"/>
    <w:rsid w:val="0031772A"/>
    <w:rsid w:val="003178D6"/>
    <w:rsid w:val="00317EE1"/>
    <w:rsid w:val="00320295"/>
    <w:rsid w:val="00320325"/>
    <w:rsid w:val="003206E7"/>
    <w:rsid w:val="00320B1C"/>
    <w:rsid w:val="003213FD"/>
    <w:rsid w:val="00321F2B"/>
    <w:rsid w:val="0032227D"/>
    <w:rsid w:val="003226DC"/>
    <w:rsid w:val="00322A2C"/>
    <w:rsid w:val="003233A9"/>
    <w:rsid w:val="00323B44"/>
    <w:rsid w:val="00326F68"/>
    <w:rsid w:val="0032721B"/>
    <w:rsid w:val="0032751F"/>
    <w:rsid w:val="00327919"/>
    <w:rsid w:val="003279D6"/>
    <w:rsid w:val="00330707"/>
    <w:rsid w:val="003314E3"/>
    <w:rsid w:val="00332AA6"/>
    <w:rsid w:val="003333BC"/>
    <w:rsid w:val="003334EE"/>
    <w:rsid w:val="00333BBA"/>
    <w:rsid w:val="00333D5A"/>
    <w:rsid w:val="00334308"/>
    <w:rsid w:val="0033486B"/>
    <w:rsid w:val="0033571A"/>
    <w:rsid w:val="0033574C"/>
    <w:rsid w:val="0033579B"/>
    <w:rsid w:val="003357CF"/>
    <w:rsid w:val="0033595E"/>
    <w:rsid w:val="0033675C"/>
    <w:rsid w:val="003369CF"/>
    <w:rsid w:val="00337B24"/>
    <w:rsid w:val="00337C10"/>
    <w:rsid w:val="0034078D"/>
    <w:rsid w:val="00340C49"/>
    <w:rsid w:val="003419B6"/>
    <w:rsid w:val="00341AF7"/>
    <w:rsid w:val="0034240F"/>
    <w:rsid w:val="00342520"/>
    <w:rsid w:val="00342828"/>
    <w:rsid w:val="003430AA"/>
    <w:rsid w:val="00343E8A"/>
    <w:rsid w:val="00343FFF"/>
    <w:rsid w:val="003441A8"/>
    <w:rsid w:val="00344A4C"/>
    <w:rsid w:val="0034515D"/>
    <w:rsid w:val="00346478"/>
    <w:rsid w:val="00346C12"/>
    <w:rsid w:val="00350DED"/>
    <w:rsid w:val="00351C1A"/>
    <w:rsid w:val="00351E79"/>
    <w:rsid w:val="00352524"/>
    <w:rsid w:val="0035264B"/>
    <w:rsid w:val="00352A4D"/>
    <w:rsid w:val="003532E4"/>
    <w:rsid w:val="00353D91"/>
    <w:rsid w:val="00353E2A"/>
    <w:rsid w:val="0035409C"/>
    <w:rsid w:val="00354759"/>
    <w:rsid w:val="00355AFD"/>
    <w:rsid w:val="0035679C"/>
    <w:rsid w:val="003571EA"/>
    <w:rsid w:val="0036108D"/>
    <w:rsid w:val="0036256F"/>
    <w:rsid w:val="003627FA"/>
    <w:rsid w:val="00362CDE"/>
    <w:rsid w:val="00362F14"/>
    <w:rsid w:val="003635E4"/>
    <w:rsid w:val="00364096"/>
    <w:rsid w:val="00364583"/>
    <w:rsid w:val="00364C21"/>
    <w:rsid w:val="00364FF4"/>
    <w:rsid w:val="0036617D"/>
    <w:rsid w:val="003674B1"/>
    <w:rsid w:val="0036765D"/>
    <w:rsid w:val="00367A10"/>
    <w:rsid w:val="00370B0A"/>
    <w:rsid w:val="00371B06"/>
    <w:rsid w:val="00372BCB"/>
    <w:rsid w:val="003730EA"/>
    <w:rsid w:val="003739A2"/>
    <w:rsid w:val="00373C8E"/>
    <w:rsid w:val="00373F8F"/>
    <w:rsid w:val="003742DC"/>
    <w:rsid w:val="00374D6A"/>
    <w:rsid w:val="00375DDC"/>
    <w:rsid w:val="00376073"/>
    <w:rsid w:val="0037609C"/>
    <w:rsid w:val="00376CF0"/>
    <w:rsid w:val="00377170"/>
    <w:rsid w:val="0037755C"/>
    <w:rsid w:val="003775CE"/>
    <w:rsid w:val="003778EE"/>
    <w:rsid w:val="003804E4"/>
    <w:rsid w:val="00380602"/>
    <w:rsid w:val="00381A2A"/>
    <w:rsid w:val="00382270"/>
    <w:rsid w:val="003825C6"/>
    <w:rsid w:val="00382DB1"/>
    <w:rsid w:val="00383190"/>
    <w:rsid w:val="003831E1"/>
    <w:rsid w:val="003838F3"/>
    <w:rsid w:val="003843F9"/>
    <w:rsid w:val="003851F1"/>
    <w:rsid w:val="003855C9"/>
    <w:rsid w:val="00385C72"/>
    <w:rsid w:val="0039088B"/>
    <w:rsid w:val="00390C02"/>
    <w:rsid w:val="00390F83"/>
    <w:rsid w:val="00391561"/>
    <w:rsid w:val="00391B7C"/>
    <w:rsid w:val="00391D0D"/>
    <w:rsid w:val="00391D70"/>
    <w:rsid w:val="00391FE2"/>
    <w:rsid w:val="0039218A"/>
    <w:rsid w:val="00392495"/>
    <w:rsid w:val="00392C1F"/>
    <w:rsid w:val="0039396A"/>
    <w:rsid w:val="00395596"/>
    <w:rsid w:val="003956BE"/>
    <w:rsid w:val="003956CB"/>
    <w:rsid w:val="003966D1"/>
    <w:rsid w:val="0039696A"/>
    <w:rsid w:val="00396B77"/>
    <w:rsid w:val="00396D14"/>
    <w:rsid w:val="00396F05"/>
    <w:rsid w:val="003970C9"/>
    <w:rsid w:val="00397905"/>
    <w:rsid w:val="003A0088"/>
    <w:rsid w:val="003A12F4"/>
    <w:rsid w:val="003A1660"/>
    <w:rsid w:val="003A2CC3"/>
    <w:rsid w:val="003A34EA"/>
    <w:rsid w:val="003A3FEE"/>
    <w:rsid w:val="003A4353"/>
    <w:rsid w:val="003A4C48"/>
    <w:rsid w:val="003A5035"/>
    <w:rsid w:val="003A58CE"/>
    <w:rsid w:val="003A6A37"/>
    <w:rsid w:val="003B045B"/>
    <w:rsid w:val="003B1B5C"/>
    <w:rsid w:val="003B21C2"/>
    <w:rsid w:val="003B2340"/>
    <w:rsid w:val="003B2B44"/>
    <w:rsid w:val="003B31F4"/>
    <w:rsid w:val="003B3629"/>
    <w:rsid w:val="003B3872"/>
    <w:rsid w:val="003B45BD"/>
    <w:rsid w:val="003B46CA"/>
    <w:rsid w:val="003B6D2C"/>
    <w:rsid w:val="003B6DC4"/>
    <w:rsid w:val="003B6F0F"/>
    <w:rsid w:val="003C02BF"/>
    <w:rsid w:val="003C186C"/>
    <w:rsid w:val="003C2151"/>
    <w:rsid w:val="003C2D3A"/>
    <w:rsid w:val="003C2D6D"/>
    <w:rsid w:val="003C30C3"/>
    <w:rsid w:val="003C3B03"/>
    <w:rsid w:val="003C436E"/>
    <w:rsid w:val="003C56D8"/>
    <w:rsid w:val="003C5D45"/>
    <w:rsid w:val="003C6092"/>
    <w:rsid w:val="003C70C7"/>
    <w:rsid w:val="003C72B6"/>
    <w:rsid w:val="003C7616"/>
    <w:rsid w:val="003C7660"/>
    <w:rsid w:val="003D08D9"/>
    <w:rsid w:val="003D0DDE"/>
    <w:rsid w:val="003D11E6"/>
    <w:rsid w:val="003D1538"/>
    <w:rsid w:val="003D175D"/>
    <w:rsid w:val="003D2069"/>
    <w:rsid w:val="003D25FD"/>
    <w:rsid w:val="003D2C70"/>
    <w:rsid w:val="003D2DBB"/>
    <w:rsid w:val="003D39E1"/>
    <w:rsid w:val="003D3DCD"/>
    <w:rsid w:val="003D4E74"/>
    <w:rsid w:val="003D5695"/>
    <w:rsid w:val="003D6DE9"/>
    <w:rsid w:val="003D783B"/>
    <w:rsid w:val="003D7D19"/>
    <w:rsid w:val="003E0833"/>
    <w:rsid w:val="003E0C7B"/>
    <w:rsid w:val="003E0CAE"/>
    <w:rsid w:val="003E0DA6"/>
    <w:rsid w:val="003E1BFF"/>
    <w:rsid w:val="003E1FF2"/>
    <w:rsid w:val="003E26E8"/>
    <w:rsid w:val="003E2C8D"/>
    <w:rsid w:val="003E359E"/>
    <w:rsid w:val="003E39CD"/>
    <w:rsid w:val="003E403A"/>
    <w:rsid w:val="003E6124"/>
    <w:rsid w:val="003E61C1"/>
    <w:rsid w:val="003E7588"/>
    <w:rsid w:val="003E76CB"/>
    <w:rsid w:val="003E7D68"/>
    <w:rsid w:val="003F1488"/>
    <w:rsid w:val="003F1724"/>
    <w:rsid w:val="003F1C46"/>
    <w:rsid w:val="003F2886"/>
    <w:rsid w:val="003F33C9"/>
    <w:rsid w:val="003F357D"/>
    <w:rsid w:val="003F43B0"/>
    <w:rsid w:val="003F5A11"/>
    <w:rsid w:val="003F6184"/>
    <w:rsid w:val="003F632A"/>
    <w:rsid w:val="003F65CA"/>
    <w:rsid w:val="003F791A"/>
    <w:rsid w:val="0040024B"/>
    <w:rsid w:val="004004F6"/>
    <w:rsid w:val="0040099D"/>
    <w:rsid w:val="00400D19"/>
    <w:rsid w:val="00401432"/>
    <w:rsid w:val="004018CD"/>
    <w:rsid w:val="004023DC"/>
    <w:rsid w:val="004029E5"/>
    <w:rsid w:val="00403A76"/>
    <w:rsid w:val="0040419E"/>
    <w:rsid w:val="00404214"/>
    <w:rsid w:val="004046B9"/>
    <w:rsid w:val="00404A4D"/>
    <w:rsid w:val="00405010"/>
    <w:rsid w:val="00405DF8"/>
    <w:rsid w:val="0040640F"/>
    <w:rsid w:val="00406631"/>
    <w:rsid w:val="00406CF9"/>
    <w:rsid w:val="004109FB"/>
    <w:rsid w:val="00410BB9"/>
    <w:rsid w:val="004114BE"/>
    <w:rsid w:val="004114FC"/>
    <w:rsid w:val="00411CC2"/>
    <w:rsid w:val="00411E66"/>
    <w:rsid w:val="004125F3"/>
    <w:rsid w:val="004127A4"/>
    <w:rsid w:val="00412BEF"/>
    <w:rsid w:val="0041332F"/>
    <w:rsid w:val="0041354E"/>
    <w:rsid w:val="00413F59"/>
    <w:rsid w:val="004142AE"/>
    <w:rsid w:val="00414680"/>
    <w:rsid w:val="00414BB3"/>
    <w:rsid w:val="00416FA8"/>
    <w:rsid w:val="00417126"/>
    <w:rsid w:val="00417B90"/>
    <w:rsid w:val="00420474"/>
    <w:rsid w:val="00420971"/>
    <w:rsid w:val="004219F1"/>
    <w:rsid w:val="00421E82"/>
    <w:rsid w:val="00422375"/>
    <w:rsid w:val="00422460"/>
    <w:rsid w:val="00423B5A"/>
    <w:rsid w:val="0042410D"/>
    <w:rsid w:val="00425058"/>
    <w:rsid w:val="004251B3"/>
    <w:rsid w:val="004253D6"/>
    <w:rsid w:val="004255F0"/>
    <w:rsid w:val="00425E89"/>
    <w:rsid w:val="00425F77"/>
    <w:rsid w:val="0042696A"/>
    <w:rsid w:val="00426B53"/>
    <w:rsid w:val="00426BC0"/>
    <w:rsid w:val="00426BEE"/>
    <w:rsid w:val="00426C19"/>
    <w:rsid w:val="00427602"/>
    <w:rsid w:val="00427EC0"/>
    <w:rsid w:val="00430247"/>
    <w:rsid w:val="00430CDC"/>
    <w:rsid w:val="0043129A"/>
    <w:rsid w:val="00431BB0"/>
    <w:rsid w:val="00432343"/>
    <w:rsid w:val="00433AA2"/>
    <w:rsid w:val="0043494B"/>
    <w:rsid w:val="00434E72"/>
    <w:rsid w:val="004352E6"/>
    <w:rsid w:val="004365BA"/>
    <w:rsid w:val="00440042"/>
    <w:rsid w:val="00440838"/>
    <w:rsid w:val="00440DA3"/>
    <w:rsid w:val="00441933"/>
    <w:rsid w:val="0044197E"/>
    <w:rsid w:val="00441C92"/>
    <w:rsid w:val="004438AF"/>
    <w:rsid w:val="00443CF8"/>
    <w:rsid w:val="0044502F"/>
    <w:rsid w:val="0044558A"/>
    <w:rsid w:val="00445EF9"/>
    <w:rsid w:val="004460D0"/>
    <w:rsid w:val="00446288"/>
    <w:rsid w:val="004462A9"/>
    <w:rsid w:val="00446E82"/>
    <w:rsid w:val="00447BC4"/>
    <w:rsid w:val="00447F8F"/>
    <w:rsid w:val="004501AF"/>
    <w:rsid w:val="00450A16"/>
    <w:rsid w:val="00450E12"/>
    <w:rsid w:val="00451A4B"/>
    <w:rsid w:val="00451BCA"/>
    <w:rsid w:val="00452E9F"/>
    <w:rsid w:val="00453519"/>
    <w:rsid w:val="00453894"/>
    <w:rsid w:val="00453B4E"/>
    <w:rsid w:val="00455CB3"/>
    <w:rsid w:val="00456149"/>
    <w:rsid w:val="0045699D"/>
    <w:rsid w:val="00457481"/>
    <w:rsid w:val="00457AC2"/>
    <w:rsid w:val="00460358"/>
    <w:rsid w:val="00460738"/>
    <w:rsid w:val="004609D4"/>
    <w:rsid w:val="004618FE"/>
    <w:rsid w:val="004622DA"/>
    <w:rsid w:val="004626A1"/>
    <w:rsid w:val="00463077"/>
    <w:rsid w:val="004631AA"/>
    <w:rsid w:val="004633CF"/>
    <w:rsid w:val="00464353"/>
    <w:rsid w:val="004644AC"/>
    <w:rsid w:val="00464BD8"/>
    <w:rsid w:val="00465983"/>
    <w:rsid w:val="004664EF"/>
    <w:rsid w:val="00467BEC"/>
    <w:rsid w:val="0047044D"/>
    <w:rsid w:val="00470DA6"/>
    <w:rsid w:val="00472FE4"/>
    <w:rsid w:val="00473024"/>
    <w:rsid w:val="00473D36"/>
    <w:rsid w:val="00474B99"/>
    <w:rsid w:val="00474D7B"/>
    <w:rsid w:val="00474DA8"/>
    <w:rsid w:val="00475D91"/>
    <w:rsid w:val="00476B15"/>
    <w:rsid w:val="00476BE2"/>
    <w:rsid w:val="00477AED"/>
    <w:rsid w:val="00477BAB"/>
    <w:rsid w:val="00477F74"/>
    <w:rsid w:val="004806C3"/>
    <w:rsid w:val="00480BFF"/>
    <w:rsid w:val="00480F38"/>
    <w:rsid w:val="00482199"/>
    <w:rsid w:val="00483284"/>
    <w:rsid w:val="00483621"/>
    <w:rsid w:val="00484131"/>
    <w:rsid w:val="00484E58"/>
    <w:rsid w:val="00485A95"/>
    <w:rsid w:val="00485D70"/>
    <w:rsid w:val="00487A5C"/>
    <w:rsid w:val="0049226E"/>
    <w:rsid w:val="004924C5"/>
    <w:rsid w:val="0049316C"/>
    <w:rsid w:val="0049349D"/>
    <w:rsid w:val="00494136"/>
    <w:rsid w:val="00494B41"/>
    <w:rsid w:val="00494BC5"/>
    <w:rsid w:val="004956A8"/>
    <w:rsid w:val="00495C91"/>
    <w:rsid w:val="00496495"/>
    <w:rsid w:val="00497AAF"/>
    <w:rsid w:val="004A0417"/>
    <w:rsid w:val="004A0888"/>
    <w:rsid w:val="004A1E4E"/>
    <w:rsid w:val="004A20C3"/>
    <w:rsid w:val="004A2619"/>
    <w:rsid w:val="004A2C3D"/>
    <w:rsid w:val="004A2CFA"/>
    <w:rsid w:val="004A3CE4"/>
    <w:rsid w:val="004A415A"/>
    <w:rsid w:val="004A4495"/>
    <w:rsid w:val="004A4A97"/>
    <w:rsid w:val="004A5103"/>
    <w:rsid w:val="004A5990"/>
    <w:rsid w:val="004A5DEF"/>
    <w:rsid w:val="004A68D5"/>
    <w:rsid w:val="004A76E1"/>
    <w:rsid w:val="004A799F"/>
    <w:rsid w:val="004A7A9A"/>
    <w:rsid w:val="004B02CB"/>
    <w:rsid w:val="004B05CB"/>
    <w:rsid w:val="004B0614"/>
    <w:rsid w:val="004B07C0"/>
    <w:rsid w:val="004B07F5"/>
    <w:rsid w:val="004B0AD6"/>
    <w:rsid w:val="004B140B"/>
    <w:rsid w:val="004B15B5"/>
    <w:rsid w:val="004B1FDD"/>
    <w:rsid w:val="004B372B"/>
    <w:rsid w:val="004B3E85"/>
    <w:rsid w:val="004B3EBC"/>
    <w:rsid w:val="004B4729"/>
    <w:rsid w:val="004B4A04"/>
    <w:rsid w:val="004B4CD2"/>
    <w:rsid w:val="004B5142"/>
    <w:rsid w:val="004B51D9"/>
    <w:rsid w:val="004B51FA"/>
    <w:rsid w:val="004B5234"/>
    <w:rsid w:val="004B555F"/>
    <w:rsid w:val="004B5790"/>
    <w:rsid w:val="004B5CA2"/>
    <w:rsid w:val="004B693A"/>
    <w:rsid w:val="004B69A1"/>
    <w:rsid w:val="004B78C5"/>
    <w:rsid w:val="004B7A09"/>
    <w:rsid w:val="004B7FB0"/>
    <w:rsid w:val="004C09BE"/>
    <w:rsid w:val="004C0A1E"/>
    <w:rsid w:val="004C11D5"/>
    <w:rsid w:val="004C1238"/>
    <w:rsid w:val="004C1555"/>
    <w:rsid w:val="004C1683"/>
    <w:rsid w:val="004C1BDF"/>
    <w:rsid w:val="004C3680"/>
    <w:rsid w:val="004C3A75"/>
    <w:rsid w:val="004C3C07"/>
    <w:rsid w:val="004C3CE5"/>
    <w:rsid w:val="004C4287"/>
    <w:rsid w:val="004C4A3A"/>
    <w:rsid w:val="004C4F7F"/>
    <w:rsid w:val="004C582C"/>
    <w:rsid w:val="004C62DC"/>
    <w:rsid w:val="004C71F2"/>
    <w:rsid w:val="004C7343"/>
    <w:rsid w:val="004C7403"/>
    <w:rsid w:val="004C7422"/>
    <w:rsid w:val="004D045B"/>
    <w:rsid w:val="004D142A"/>
    <w:rsid w:val="004D1DA3"/>
    <w:rsid w:val="004D20B8"/>
    <w:rsid w:val="004D21E9"/>
    <w:rsid w:val="004D30CA"/>
    <w:rsid w:val="004D344B"/>
    <w:rsid w:val="004D3F84"/>
    <w:rsid w:val="004D41AF"/>
    <w:rsid w:val="004D484D"/>
    <w:rsid w:val="004D490F"/>
    <w:rsid w:val="004D4D36"/>
    <w:rsid w:val="004D510C"/>
    <w:rsid w:val="004D53E9"/>
    <w:rsid w:val="004D5A60"/>
    <w:rsid w:val="004D610A"/>
    <w:rsid w:val="004D68BE"/>
    <w:rsid w:val="004D6937"/>
    <w:rsid w:val="004E056A"/>
    <w:rsid w:val="004E06F6"/>
    <w:rsid w:val="004E133B"/>
    <w:rsid w:val="004E1623"/>
    <w:rsid w:val="004E1F7D"/>
    <w:rsid w:val="004E280D"/>
    <w:rsid w:val="004E2CCA"/>
    <w:rsid w:val="004E3F3A"/>
    <w:rsid w:val="004E4045"/>
    <w:rsid w:val="004E40CB"/>
    <w:rsid w:val="004E470B"/>
    <w:rsid w:val="004E49C3"/>
    <w:rsid w:val="004E5B60"/>
    <w:rsid w:val="004E5D17"/>
    <w:rsid w:val="004E6271"/>
    <w:rsid w:val="004E74EB"/>
    <w:rsid w:val="004E76F4"/>
    <w:rsid w:val="004F1302"/>
    <w:rsid w:val="004F1D12"/>
    <w:rsid w:val="004F29CE"/>
    <w:rsid w:val="004F2FB0"/>
    <w:rsid w:val="004F32D2"/>
    <w:rsid w:val="004F413C"/>
    <w:rsid w:val="004F44A7"/>
    <w:rsid w:val="004F48F4"/>
    <w:rsid w:val="004F5453"/>
    <w:rsid w:val="004F5C5F"/>
    <w:rsid w:val="004F67E6"/>
    <w:rsid w:val="005002BF"/>
    <w:rsid w:val="0050201E"/>
    <w:rsid w:val="005020DE"/>
    <w:rsid w:val="00502517"/>
    <w:rsid w:val="00502565"/>
    <w:rsid w:val="0050297B"/>
    <w:rsid w:val="00502CE5"/>
    <w:rsid w:val="00502D01"/>
    <w:rsid w:val="00502FB4"/>
    <w:rsid w:val="00503262"/>
    <w:rsid w:val="0050387F"/>
    <w:rsid w:val="00503B59"/>
    <w:rsid w:val="0050466D"/>
    <w:rsid w:val="00504EF9"/>
    <w:rsid w:val="005057AE"/>
    <w:rsid w:val="00505D9D"/>
    <w:rsid w:val="0050737D"/>
    <w:rsid w:val="00507FCD"/>
    <w:rsid w:val="0051115D"/>
    <w:rsid w:val="005126BD"/>
    <w:rsid w:val="005128DA"/>
    <w:rsid w:val="00512FC3"/>
    <w:rsid w:val="00513084"/>
    <w:rsid w:val="00513D42"/>
    <w:rsid w:val="0051411A"/>
    <w:rsid w:val="005144E3"/>
    <w:rsid w:val="00514827"/>
    <w:rsid w:val="00515040"/>
    <w:rsid w:val="00516DF4"/>
    <w:rsid w:val="00516FA8"/>
    <w:rsid w:val="005179B6"/>
    <w:rsid w:val="005216CA"/>
    <w:rsid w:val="00521999"/>
    <w:rsid w:val="005219AC"/>
    <w:rsid w:val="00522BA3"/>
    <w:rsid w:val="00522F49"/>
    <w:rsid w:val="00523AD5"/>
    <w:rsid w:val="00524014"/>
    <w:rsid w:val="0052426D"/>
    <w:rsid w:val="00524E1D"/>
    <w:rsid w:val="005259BC"/>
    <w:rsid w:val="00526FFD"/>
    <w:rsid w:val="00527478"/>
    <w:rsid w:val="00527B6F"/>
    <w:rsid w:val="005301FC"/>
    <w:rsid w:val="005321E1"/>
    <w:rsid w:val="0053235A"/>
    <w:rsid w:val="00532393"/>
    <w:rsid w:val="00532A89"/>
    <w:rsid w:val="005339EE"/>
    <w:rsid w:val="00534090"/>
    <w:rsid w:val="00534783"/>
    <w:rsid w:val="005347A1"/>
    <w:rsid w:val="005347BD"/>
    <w:rsid w:val="0053560F"/>
    <w:rsid w:val="00535B4B"/>
    <w:rsid w:val="00536213"/>
    <w:rsid w:val="005368AD"/>
    <w:rsid w:val="005372FE"/>
    <w:rsid w:val="005373A8"/>
    <w:rsid w:val="0053790A"/>
    <w:rsid w:val="00537D39"/>
    <w:rsid w:val="005405AA"/>
    <w:rsid w:val="00540B01"/>
    <w:rsid w:val="00540D0A"/>
    <w:rsid w:val="00541A17"/>
    <w:rsid w:val="00541B67"/>
    <w:rsid w:val="00541D70"/>
    <w:rsid w:val="005423DB"/>
    <w:rsid w:val="005425B8"/>
    <w:rsid w:val="005429E2"/>
    <w:rsid w:val="00544228"/>
    <w:rsid w:val="00544472"/>
    <w:rsid w:val="00544C4C"/>
    <w:rsid w:val="00545AA6"/>
    <w:rsid w:val="00546401"/>
    <w:rsid w:val="005477AF"/>
    <w:rsid w:val="00547802"/>
    <w:rsid w:val="00547C2B"/>
    <w:rsid w:val="00550B29"/>
    <w:rsid w:val="00550FE1"/>
    <w:rsid w:val="0055192A"/>
    <w:rsid w:val="00552AA2"/>
    <w:rsid w:val="00552ABF"/>
    <w:rsid w:val="00552B74"/>
    <w:rsid w:val="00552BCB"/>
    <w:rsid w:val="00552DD4"/>
    <w:rsid w:val="00553786"/>
    <w:rsid w:val="005539CE"/>
    <w:rsid w:val="00553C72"/>
    <w:rsid w:val="00553DBB"/>
    <w:rsid w:val="00554A4D"/>
    <w:rsid w:val="00554D46"/>
    <w:rsid w:val="0055508C"/>
    <w:rsid w:val="005559D8"/>
    <w:rsid w:val="00555AB8"/>
    <w:rsid w:val="00555B66"/>
    <w:rsid w:val="00557384"/>
    <w:rsid w:val="00557688"/>
    <w:rsid w:val="005576E1"/>
    <w:rsid w:val="00557E1D"/>
    <w:rsid w:val="00560445"/>
    <w:rsid w:val="00560E0E"/>
    <w:rsid w:val="00562032"/>
    <w:rsid w:val="005625FA"/>
    <w:rsid w:val="005626BB"/>
    <w:rsid w:val="005629C2"/>
    <w:rsid w:val="00563332"/>
    <w:rsid w:val="00564826"/>
    <w:rsid w:val="0056517D"/>
    <w:rsid w:val="00565BE7"/>
    <w:rsid w:val="00565D4D"/>
    <w:rsid w:val="00566A9E"/>
    <w:rsid w:val="005670F8"/>
    <w:rsid w:val="00567100"/>
    <w:rsid w:val="005672FB"/>
    <w:rsid w:val="005701DA"/>
    <w:rsid w:val="00570AFD"/>
    <w:rsid w:val="00570E37"/>
    <w:rsid w:val="00570FF2"/>
    <w:rsid w:val="00571884"/>
    <w:rsid w:val="005723C3"/>
    <w:rsid w:val="00572A73"/>
    <w:rsid w:val="00572BC7"/>
    <w:rsid w:val="00572EC7"/>
    <w:rsid w:val="005733A1"/>
    <w:rsid w:val="00573493"/>
    <w:rsid w:val="00574860"/>
    <w:rsid w:val="00574D96"/>
    <w:rsid w:val="00576C1D"/>
    <w:rsid w:val="00577401"/>
    <w:rsid w:val="00577BE2"/>
    <w:rsid w:val="00577E17"/>
    <w:rsid w:val="00580440"/>
    <w:rsid w:val="00581461"/>
    <w:rsid w:val="00581748"/>
    <w:rsid w:val="0058256F"/>
    <w:rsid w:val="0058284D"/>
    <w:rsid w:val="00582976"/>
    <w:rsid w:val="005844B6"/>
    <w:rsid w:val="00584553"/>
    <w:rsid w:val="00584AEB"/>
    <w:rsid w:val="00585809"/>
    <w:rsid w:val="00585849"/>
    <w:rsid w:val="00585FEA"/>
    <w:rsid w:val="00586048"/>
    <w:rsid w:val="00586130"/>
    <w:rsid w:val="00586A7E"/>
    <w:rsid w:val="00586D0E"/>
    <w:rsid w:val="00590242"/>
    <w:rsid w:val="005908CC"/>
    <w:rsid w:val="0059115B"/>
    <w:rsid w:val="00592212"/>
    <w:rsid w:val="0059227A"/>
    <w:rsid w:val="00592833"/>
    <w:rsid w:val="00592BEC"/>
    <w:rsid w:val="005931C1"/>
    <w:rsid w:val="005936DB"/>
    <w:rsid w:val="00593A31"/>
    <w:rsid w:val="005949EB"/>
    <w:rsid w:val="0059581C"/>
    <w:rsid w:val="00595FA2"/>
    <w:rsid w:val="00596684"/>
    <w:rsid w:val="00596956"/>
    <w:rsid w:val="00596FDF"/>
    <w:rsid w:val="00597390"/>
    <w:rsid w:val="00597EF3"/>
    <w:rsid w:val="005A1471"/>
    <w:rsid w:val="005A1A60"/>
    <w:rsid w:val="005A1E8B"/>
    <w:rsid w:val="005A2BDC"/>
    <w:rsid w:val="005A329D"/>
    <w:rsid w:val="005A351F"/>
    <w:rsid w:val="005A3556"/>
    <w:rsid w:val="005A3D39"/>
    <w:rsid w:val="005A4215"/>
    <w:rsid w:val="005A4BD7"/>
    <w:rsid w:val="005A4E3B"/>
    <w:rsid w:val="005A5254"/>
    <w:rsid w:val="005A5B75"/>
    <w:rsid w:val="005A5D65"/>
    <w:rsid w:val="005A63E8"/>
    <w:rsid w:val="005A65DB"/>
    <w:rsid w:val="005A714C"/>
    <w:rsid w:val="005A71EB"/>
    <w:rsid w:val="005A7A9D"/>
    <w:rsid w:val="005A7B7D"/>
    <w:rsid w:val="005A7C95"/>
    <w:rsid w:val="005B039A"/>
    <w:rsid w:val="005B0874"/>
    <w:rsid w:val="005B0950"/>
    <w:rsid w:val="005B0FF2"/>
    <w:rsid w:val="005B1093"/>
    <w:rsid w:val="005B1094"/>
    <w:rsid w:val="005B1BC6"/>
    <w:rsid w:val="005B1CF1"/>
    <w:rsid w:val="005B22D2"/>
    <w:rsid w:val="005B2F9D"/>
    <w:rsid w:val="005B4179"/>
    <w:rsid w:val="005B5190"/>
    <w:rsid w:val="005B605F"/>
    <w:rsid w:val="005B6907"/>
    <w:rsid w:val="005C0E93"/>
    <w:rsid w:val="005C219D"/>
    <w:rsid w:val="005C3470"/>
    <w:rsid w:val="005C359C"/>
    <w:rsid w:val="005C38FB"/>
    <w:rsid w:val="005C391F"/>
    <w:rsid w:val="005C3B86"/>
    <w:rsid w:val="005C481A"/>
    <w:rsid w:val="005C516C"/>
    <w:rsid w:val="005C5679"/>
    <w:rsid w:val="005C6317"/>
    <w:rsid w:val="005C63F8"/>
    <w:rsid w:val="005C64D2"/>
    <w:rsid w:val="005C6DEC"/>
    <w:rsid w:val="005C6EB9"/>
    <w:rsid w:val="005C743E"/>
    <w:rsid w:val="005D0A09"/>
    <w:rsid w:val="005D255B"/>
    <w:rsid w:val="005D2D9A"/>
    <w:rsid w:val="005D2FE6"/>
    <w:rsid w:val="005D33E0"/>
    <w:rsid w:val="005D4BDD"/>
    <w:rsid w:val="005D5E8E"/>
    <w:rsid w:val="005D6C3B"/>
    <w:rsid w:val="005D6C6D"/>
    <w:rsid w:val="005D7AEE"/>
    <w:rsid w:val="005D7E3B"/>
    <w:rsid w:val="005E0542"/>
    <w:rsid w:val="005E1261"/>
    <w:rsid w:val="005E1632"/>
    <w:rsid w:val="005E1867"/>
    <w:rsid w:val="005E1B42"/>
    <w:rsid w:val="005E20C3"/>
    <w:rsid w:val="005E28A3"/>
    <w:rsid w:val="005E2F61"/>
    <w:rsid w:val="005E30C5"/>
    <w:rsid w:val="005E4EF7"/>
    <w:rsid w:val="005E504C"/>
    <w:rsid w:val="005E6204"/>
    <w:rsid w:val="005E6357"/>
    <w:rsid w:val="005E680B"/>
    <w:rsid w:val="005E6A9F"/>
    <w:rsid w:val="005E7433"/>
    <w:rsid w:val="005F1924"/>
    <w:rsid w:val="005F2393"/>
    <w:rsid w:val="005F2991"/>
    <w:rsid w:val="005F2A7B"/>
    <w:rsid w:val="005F2D10"/>
    <w:rsid w:val="005F2DEA"/>
    <w:rsid w:val="005F3341"/>
    <w:rsid w:val="005F3677"/>
    <w:rsid w:val="005F5257"/>
    <w:rsid w:val="005F56AE"/>
    <w:rsid w:val="005F58F7"/>
    <w:rsid w:val="005F5960"/>
    <w:rsid w:val="005F6C0F"/>
    <w:rsid w:val="005F77ED"/>
    <w:rsid w:val="0060018F"/>
    <w:rsid w:val="00601746"/>
    <w:rsid w:val="00601BDE"/>
    <w:rsid w:val="00601E1A"/>
    <w:rsid w:val="00601F47"/>
    <w:rsid w:val="00602561"/>
    <w:rsid w:val="006028E4"/>
    <w:rsid w:val="00603529"/>
    <w:rsid w:val="00605AA6"/>
    <w:rsid w:val="0060611D"/>
    <w:rsid w:val="006069A1"/>
    <w:rsid w:val="00606C2C"/>
    <w:rsid w:val="00607002"/>
    <w:rsid w:val="00607983"/>
    <w:rsid w:val="00607F0A"/>
    <w:rsid w:val="006103C1"/>
    <w:rsid w:val="00610AAD"/>
    <w:rsid w:val="00610B6E"/>
    <w:rsid w:val="00610EA2"/>
    <w:rsid w:val="00610EC7"/>
    <w:rsid w:val="0061115C"/>
    <w:rsid w:val="00612493"/>
    <w:rsid w:val="00612ADF"/>
    <w:rsid w:val="00612C04"/>
    <w:rsid w:val="00613324"/>
    <w:rsid w:val="006134C6"/>
    <w:rsid w:val="00613589"/>
    <w:rsid w:val="00613835"/>
    <w:rsid w:val="006140E2"/>
    <w:rsid w:val="00615095"/>
    <w:rsid w:val="00615CE4"/>
    <w:rsid w:val="00615D5A"/>
    <w:rsid w:val="00615D71"/>
    <w:rsid w:val="00615E99"/>
    <w:rsid w:val="00617636"/>
    <w:rsid w:val="00617A80"/>
    <w:rsid w:val="00617B81"/>
    <w:rsid w:val="00617D72"/>
    <w:rsid w:val="00620592"/>
    <w:rsid w:val="006213DE"/>
    <w:rsid w:val="00621E15"/>
    <w:rsid w:val="00622D1E"/>
    <w:rsid w:val="00622DF5"/>
    <w:rsid w:val="0062375F"/>
    <w:rsid w:val="0062390F"/>
    <w:rsid w:val="00623FD0"/>
    <w:rsid w:val="006240D2"/>
    <w:rsid w:val="00625106"/>
    <w:rsid w:val="006254DF"/>
    <w:rsid w:val="0062591B"/>
    <w:rsid w:val="00625945"/>
    <w:rsid w:val="00625D2B"/>
    <w:rsid w:val="00626FDC"/>
    <w:rsid w:val="00627080"/>
    <w:rsid w:val="00630509"/>
    <w:rsid w:val="00630AB7"/>
    <w:rsid w:val="006316D4"/>
    <w:rsid w:val="006317B5"/>
    <w:rsid w:val="00631F8A"/>
    <w:rsid w:val="00631FCF"/>
    <w:rsid w:val="00632395"/>
    <w:rsid w:val="00632759"/>
    <w:rsid w:val="0063287E"/>
    <w:rsid w:val="006328F9"/>
    <w:rsid w:val="00632B23"/>
    <w:rsid w:val="00633A54"/>
    <w:rsid w:val="00633EA3"/>
    <w:rsid w:val="0063449E"/>
    <w:rsid w:val="00634EE0"/>
    <w:rsid w:val="00635FD9"/>
    <w:rsid w:val="00636D47"/>
    <w:rsid w:val="00636EF0"/>
    <w:rsid w:val="006370C8"/>
    <w:rsid w:val="00640BCA"/>
    <w:rsid w:val="00640E68"/>
    <w:rsid w:val="006410E2"/>
    <w:rsid w:val="00641920"/>
    <w:rsid w:val="00642622"/>
    <w:rsid w:val="00643A03"/>
    <w:rsid w:val="00643AEE"/>
    <w:rsid w:val="00644AC6"/>
    <w:rsid w:val="0064580F"/>
    <w:rsid w:val="00647770"/>
    <w:rsid w:val="00647EBC"/>
    <w:rsid w:val="006506CE"/>
    <w:rsid w:val="00651AF9"/>
    <w:rsid w:val="00651B85"/>
    <w:rsid w:val="00651D7E"/>
    <w:rsid w:val="00652212"/>
    <w:rsid w:val="00652B15"/>
    <w:rsid w:val="00652DA5"/>
    <w:rsid w:val="0065366C"/>
    <w:rsid w:val="006539D8"/>
    <w:rsid w:val="00653A23"/>
    <w:rsid w:val="00653D1C"/>
    <w:rsid w:val="00654A1E"/>
    <w:rsid w:val="006556F4"/>
    <w:rsid w:val="0065597C"/>
    <w:rsid w:val="00656208"/>
    <w:rsid w:val="0065623E"/>
    <w:rsid w:val="006565E4"/>
    <w:rsid w:val="006576D1"/>
    <w:rsid w:val="00657BA5"/>
    <w:rsid w:val="0066058E"/>
    <w:rsid w:val="0066082F"/>
    <w:rsid w:val="00660A3D"/>
    <w:rsid w:val="00660CF2"/>
    <w:rsid w:val="00661297"/>
    <w:rsid w:val="006618C1"/>
    <w:rsid w:val="00662658"/>
    <w:rsid w:val="00662B24"/>
    <w:rsid w:val="0066393F"/>
    <w:rsid w:val="00663C45"/>
    <w:rsid w:val="00663FDD"/>
    <w:rsid w:val="006651F8"/>
    <w:rsid w:val="006654CF"/>
    <w:rsid w:val="006655B5"/>
    <w:rsid w:val="00665AFA"/>
    <w:rsid w:val="00665BF1"/>
    <w:rsid w:val="00665C43"/>
    <w:rsid w:val="006670B4"/>
    <w:rsid w:val="00667376"/>
    <w:rsid w:val="00670162"/>
    <w:rsid w:val="00670463"/>
    <w:rsid w:val="0067065F"/>
    <w:rsid w:val="00671AED"/>
    <w:rsid w:val="00671D8E"/>
    <w:rsid w:val="00672728"/>
    <w:rsid w:val="00672D9A"/>
    <w:rsid w:val="0067363C"/>
    <w:rsid w:val="00673CEF"/>
    <w:rsid w:val="006757B3"/>
    <w:rsid w:val="00676DEA"/>
    <w:rsid w:val="006772DF"/>
    <w:rsid w:val="006779AC"/>
    <w:rsid w:val="006804F3"/>
    <w:rsid w:val="00680EA8"/>
    <w:rsid w:val="006811A3"/>
    <w:rsid w:val="00681B7B"/>
    <w:rsid w:val="00681DBC"/>
    <w:rsid w:val="006822C7"/>
    <w:rsid w:val="00682355"/>
    <w:rsid w:val="0068241D"/>
    <w:rsid w:val="00682A71"/>
    <w:rsid w:val="0068335D"/>
    <w:rsid w:val="0068422F"/>
    <w:rsid w:val="00684801"/>
    <w:rsid w:val="00684B02"/>
    <w:rsid w:val="00684C71"/>
    <w:rsid w:val="00685334"/>
    <w:rsid w:val="00685D7A"/>
    <w:rsid w:val="00685DE7"/>
    <w:rsid w:val="0068674A"/>
    <w:rsid w:val="00686D10"/>
    <w:rsid w:val="006879C0"/>
    <w:rsid w:val="00690D5E"/>
    <w:rsid w:val="00693CFB"/>
    <w:rsid w:val="00693F58"/>
    <w:rsid w:val="00694668"/>
    <w:rsid w:val="006956E4"/>
    <w:rsid w:val="00695FA9"/>
    <w:rsid w:val="00696802"/>
    <w:rsid w:val="0069726A"/>
    <w:rsid w:val="00697491"/>
    <w:rsid w:val="006A07A3"/>
    <w:rsid w:val="006A0F64"/>
    <w:rsid w:val="006A1047"/>
    <w:rsid w:val="006A1185"/>
    <w:rsid w:val="006A1315"/>
    <w:rsid w:val="006A13C9"/>
    <w:rsid w:val="006A1737"/>
    <w:rsid w:val="006A17B5"/>
    <w:rsid w:val="006A20AC"/>
    <w:rsid w:val="006A21FF"/>
    <w:rsid w:val="006A251C"/>
    <w:rsid w:val="006A25A4"/>
    <w:rsid w:val="006A25CF"/>
    <w:rsid w:val="006A35A9"/>
    <w:rsid w:val="006A35DA"/>
    <w:rsid w:val="006A3A29"/>
    <w:rsid w:val="006A4046"/>
    <w:rsid w:val="006A4DA0"/>
    <w:rsid w:val="006A5379"/>
    <w:rsid w:val="006A5996"/>
    <w:rsid w:val="006A5BD4"/>
    <w:rsid w:val="006A5E19"/>
    <w:rsid w:val="006A6B17"/>
    <w:rsid w:val="006A79E1"/>
    <w:rsid w:val="006B03CC"/>
    <w:rsid w:val="006B097E"/>
    <w:rsid w:val="006B0BC4"/>
    <w:rsid w:val="006B174F"/>
    <w:rsid w:val="006B20AF"/>
    <w:rsid w:val="006B2150"/>
    <w:rsid w:val="006B216E"/>
    <w:rsid w:val="006B26AE"/>
    <w:rsid w:val="006B2D4E"/>
    <w:rsid w:val="006B332A"/>
    <w:rsid w:val="006B3356"/>
    <w:rsid w:val="006B453F"/>
    <w:rsid w:val="006B4A6D"/>
    <w:rsid w:val="006B4AE2"/>
    <w:rsid w:val="006B592C"/>
    <w:rsid w:val="006B5B61"/>
    <w:rsid w:val="006B6C0D"/>
    <w:rsid w:val="006C073F"/>
    <w:rsid w:val="006C0DF8"/>
    <w:rsid w:val="006C1485"/>
    <w:rsid w:val="006C1A18"/>
    <w:rsid w:val="006C2BDD"/>
    <w:rsid w:val="006C309F"/>
    <w:rsid w:val="006C327E"/>
    <w:rsid w:val="006C3AD0"/>
    <w:rsid w:val="006C3C5F"/>
    <w:rsid w:val="006C60A4"/>
    <w:rsid w:val="006C67FF"/>
    <w:rsid w:val="006C68C7"/>
    <w:rsid w:val="006C7AEE"/>
    <w:rsid w:val="006D076E"/>
    <w:rsid w:val="006D0D2B"/>
    <w:rsid w:val="006D12E9"/>
    <w:rsid w:val="006D20B6"/>
    <w:rsid w:val="006D262F"/>
    <w:rsid w:val="006D3130"/>
    <w:rsid w:val="006D44E5"/>
    <w:rsid w:val="006D4E1A"/>
    <w:rsid w:val="006D5454"/>
    <w:rsid w:val="006D5C7E"/>
    <w:rsid w:val="006D6D3C"/>
    <w:rsid w:val="006D7E41"/>
    <w:rsid w:val="006E011D"/>
    <w:rsid w:val="006E0391"/>
    <w:rsid w:val="006E0609"/>
    <w:rsid w:val="006E0B19"/>
    <w:rsid w:val="006E0DF0"/>
    <w:rsid w:val="006E1FFA"/>
    <w:rsid w:val="006E24D5"/>
    <w:rsid w:val="006E3DDD"/>
    <w:rsid w:val="006E439D"/>
    <w:rsid w:val="006E4472"/>
    <w:rsid w:val="006E4B90"/>
    <w:rsid w:val="006E5357"/>
    <w:rsid w:val="006E5564"/>
    <w:rsid w:val="006E5F61"/>
    <w:rsid w:val="006E62E7"/>
    <w:rsid w:val="006E7290"/>
    <w:rsid w:val="006E795F"/>
    <w:rsid w:val="006F063D"/>
    <w:rsid w:val="006F1359"/>
    <w:rsid w:val="006F1A16"/>
    <w:rsid w:val="006F213A"/>
    <w:rsid w:val="006F2E02"/>
    <w:rsid w:val="006F3886"/>
    <w:rsid w:val="006F3B70"/>
    <w:rsid w:val="006F3F45"/>
    <w:rsid w:val="006F45BB"/>
    <w:rsid w:val="006F60D7"/>
    <w:rsid w:val="006F651A"/>
    <w:rsid w:val="006F684D"/>
    <w:rsid w:val="006F6D0C"/>
    <w:rsid w:val="006F7453"/>
    <w:rsid w:val="006F75F0"/>
    <w:rsid w:val="0070064F"/>
    <w:rsid w:val="0070093D"/>
    <w:rsid w:val="00701501"/>
    <w:rsid w:val="0070234D"/>
    <w:rsid w:val="00703CB6"/>
    <w:rsid w:val="0070423D"/>
    <w:rsid w:val="0070505B"/>
    <w:rsid w:val="007066A9"/>
    <w:rsid w:val="00707899"/>
    <w:rsid w:val="00713C58"/>
    <w:rsid w:val="00713D1C"/>
    <w:rsid w:val="00714FB9"/>
    <w:rsid w:val="00715369"/>
    <w:rsid w:val="0071703E"/>
    <w:rsid w:val="00717075"/>
    <w:rsid w:val="00717660"/>
    <w:rsid w:val="00717A49"/>
    <w:rsid w:val="0072029F"/>
    <w:rsid w:val="00720899"/>
    <w:rsid w:val="00720CBC"/>
    <w:rsid w:val="0072149D"/>
    <w:rsid w:val="00721B4B"/>
    <w:rsid w:val="00722E6A"/>
    <w:rsid w:val="007233E7"/>
    <w:rsid w:val="00723425"/>
    <w:rsid w:val="007242E8"/>
    <w:rsid w:val="0072475B"/>
    <w:rsid w:val="00724895"/>
    <w:rsid w:val="007266C8"/>
    <w:rsid w:val="00726DAA"/>
    <w:rsid w:val="00730869"/>
    <w:rsid w:val="00730F51"/>
    <w:rsid w:val="00731EC6"/>
    <w:rsid w:val="007321E1"/>
    <w:rsid w:val="007325B7"/>
    <w:rsid w:val="0073300C"/>
    <w:rsid w:val="0073376C"/>
    <w:rsid w:val="0073385E"/>
    <w:rsid w:val="007339BC"/>
    <w:rsid w:val="00733C39"/>
    <w:rsid w:val="00733E86"/>
    <w:rsid w:val="00734597"/>
    <w:rsid w:val="00734CE8"/>
    <w:rsid w:val="007351C6"/>
    <w:rsid w:val="0073659A"/>
    <w:rsid w:val="0073684D"/>
    <w:rsid w:val="00736A00"/>
    <w:rsid w:val="00737F5C"/>
    <w:rsid w:val="00740D6A"/>
    <w:rsid w:val="00741C62"/>
    <w:rsid w:val="007422DA"/>
    <w:rsid w:val="00742970"/>
    <w:rsid w:val="007432A3"/>
    <w:rsid w:val="00743B2A"/>
    <w:rsid w:val="00745491"/>
    <w:rsid w:val="007457E8"/>
    <w:rsid w:val="007458D0"/>
    <w:rsid w:val="00745B7D"/>
    <w:rsid w:val="00746B9A"/>
    <w:rsid w:val="00746DD6"/>
    <w:rsid w:val="0074726C"/>
    <w:rsid w:val="007502AD"/>
    <w:rsid w:val="0075037D"/>
    <w:rsid w:val="00751686"/>
    <w:rsid w:val="00751FF3"/>
    <w:rsid w:val="00752027"/>
    <w:rsid w:val="007530BC"/>
    <w:rsid w:val="007530BD"/>
    <w:rsid w:val="00753B9F"/>
    <w:rsid w:val="00753D10"/>
    <w:rsid w:val="00754D54"/>
    <w:rsid w:val="00755627"/>
    <w:rsid w:val="00756450"/>
    <w:rsid w:val="00756E7D"/>
    <w:rsid w:val="007571C8"/>
    <w:rsid w:val="00757325"/>
    <w:rsid w:val="00757AA0"/>
    <w:rsid w:val="007600FA"/>
    <w:rsid w:val="007605BF"/>
    <w:rsid w:val="007608DE"/>
    <w:rsid w:val="0076109C"/>
    <w:rsid w:val="00761DAE"/>
    <w:rsid w:val="00761F81"/>
    <w:rsid w:val="007624DA"/>
    <w:rsid w:val="0076265A"/>
    <w:rsid w:val="00762749"/>
    <w:rsid w:val="00763A6C"/>
    <w:rsid w:val="00763B98"/>
    <w:rsid w:val="007648AB"/>
    <w:rsid w:val="007649C4"/>
    <w:rsid w:val="00764AEC"/>
    <w:rsid w:val="00765E28"/>
    <w:rsid w:val="00765E41"/>
    <w:rsid w:val="00767347"/>
    <w:rsid w:val="00767A7E"/>
    <w:rsid w:val="00767D76"/>
    <w:rsid w:val="0077034C"/>
    <w:rsid w:val="007704E4"/>
    <w:rsid w:val="007708C2"/>
    <w:rsid w:val="00771C87"/>
    <w:rsid w:val="0077263F"/>
    <w:rsid w:val="00772879"/>
    <w:rsid w:val="007732A2"/>
    <w:rsid w:val="0077371D"/>
    <w:rsid w:val="00774B90"/>
    <w:rsid w:val="00775546"/>
    <w:rsid w:val="00775595"/>
    <w:rsid w:val="00775879"/>
    <w:rsid w:val="00775BE8"/>
    <w:rsid w:val="00776556"/>
    <w:rsid w:val="00776E10"/>
    <w:rsid w:val="00777E4F"/>
    <w:rsid w:val="00780965"/>
    <w:rsid w:val="007809DB"/>
    <w:rsid w:val="00780C38"/>
    <w:rsid w:val="00781E13"/>
    <w:rsid w:val="007827DE"/>
    <w:rsid w:val="00782DE7"/>
    <w:rsid w:val="0078375E"/>
    <w:rsid w:val="00783A5F"/>
    <w:rsid w:val="00783CBF"/>
    <w:rsid w:val="00784D52"/>
    <w:rsid w:val="007852B7"/>
    <w:rsid w:val="00785B1C"/>
    <w:rsid w:val="0078635E"/>
    <w:rsid w:val="007864F1"/>
    <w:rsid w:val="007866CF"/>
    <w:rsid w:val="00786972"/>
    <w:rsid w:val="00786B5C"/>
    <w:rsid w:val="00786DE9"/>
    <w:rsid w:val="007877D4"/>
    <w:rsid w:val="00787F5A"/>
    <w:rsid w:val="007902B5"/>
    <w:rsid w:val="00791CFB"/>
    <w:rsid w:val="007922B3"/>
    <w:rsid w:val="007930B5"/>
    <w:rsid w:val="00793BA0"/>
    <w:rsid w:val="00793BFC"/>
    <w:rsid w:val="00793C28"/>
    <w:rsid w:val="0079423C"/>
    <w:rsid w:val="007944FC"/>
    <w:rsid w:val="00794B39"/>
    <w:rsid w:val="00795087"/>
    <w:rsid w:val="00795448"/>
    <w:rsid w:val="007957A8"/>
    <w:rsid w:val="0079595F"/>
    <w:rsid w:val="00795C60"/>
    <w:rsid w:val="00795DDA"/>
    <w:rsid w:val="00795F40"/>
    <w:rsid w:val="007962B4"/>
    <w:rsid w:val="007973E6"/>
    <w:rsid w:val="007A1755"/>
    <w:rsid w:val="007A233D"/>
    <w:rsid w:val="007A2375"/>
    <w:rsid w:val="007A2637"/>
    <w:rsid w:val="007A284B"/>
    <w:rsid w:val="007A293F"/>
    <w:rsid w:val="007A31C2"/>
    <w:rsid w:val="007A3563"/>
    <w:rsid w:val="007A3C60"/>
    <w:rsid w:val="007A3FA0"/>
    <w:rsid w:val="007A403C"/>
    <w:rsid w:val="007A513A"/>
    <w:rsid w:val="007A5394"/>
    <w:rsid w:val="007A54FF"/>
    <w:rsid w:val="007A5D21"/>
    <w:rsid w:val="007A6200"/>
    <w:rsid w:val="007A623D"/>
    <w:rsid w:val="007A7BC7"/>
    <w:rsid w:val="007A7BD5"/>
    <w:rsid w:val="007B00F9"/>
    <w:rsid w:val="007B010A"/>
    <w:rsid w:val="007B1B38"/>
    <w:rsid w:val="007B29EF"/>
    <w:rsid w:val="007B2DAA"/>
    <w:rsid w:val="007B3A84"/>
    <w:rsid w:val="007B414F"/>
    <w:rsid w:val="007B4931"/>
    <w:rsid w:val="007B4FFC"/>
    <w:rsid w:val="007B5E46"/>
    <w:rsid w:val="007B6200"/>
    <w:rsid w:val="007B64FF"/>
    <w:rsid w:val="007B77C2"/>
    <w:rsid w:val="007B7C04"/>
    <w:rsid w:val="007C0EFC"/>
    <w:rsid w:val="007C1385"/>
    <w:rsid w:val="007C1403"/>
    <w:rsid w:val="007C1A3E"/>
    <w:rsid w:val="007C27F7"/>
    <w:rsid w:val="007C2971"/>
    <w:rsid w:val="007C29E5"/>
    <w:rsid w:val="007C2B0B"/>
    <w:rsid w:val="007C2E12"/>
    <w:rsid w:val="007C346F"/>
    <w:rsid w:val="007C3FB7"/>
    <w:rsid w:val="007C464B"/>
    <w:rsid w:val="007C482D"/>
    <w:rsid w:val="007C5326"/>
    <w:rsid w:val="007C57DE"/>
    <w:rsid w:val="007C5DDC"/>
    <w:rsid w:val="007C5E34"/>
    <w:rsid w:val="007C5F71"/>
    <w:rsid w:val="007C77AC"/>
    <w:rsid w:val="007D17AA"/>
    <w:rsid w:val="007D2B33"/>
    <w:rsid w:val="007D3D6A"/>
    <w:rsid w:val="007D42B6"/>
    <w:rsid w:val="007D449D"/>
    <w:rsid w:val="007D4583"/>
    <w:rsid w:val="007D4E33"/>
    <w:rsid w:val="007D4E49"/>
    <w:rsid w:val="007D53AD"/>
    <w:rsid w:val="007D53EA"/>
    <w:rsid w:val="007D593F"/>
    <w:rsid w:val="007D6645"/>
    <w:rsid w:val="007D6AB3"/>
    <w:rsid w:val="007D6E2B"/>
    <w:rsid w:val="007D78AA"/>
    <w:rsid w:val="007E01D5"/>
    <w:rsid w:val="007E1F77"/>
    <w:rsid w:val="007E21B3"/>
    <w:rsid w:val="007E236D"/>
    <w:rsid w:val="007E24E3"/>
    <w:rsid w:val="007E2AD4"/>
    <w:rsid w:val="007E2B05"/>
    <w:rsid w:val="007E39DA"/>
    <w:rsid w:val="007E3CF6"/>
    <w:rsid w:val="007E4161"/>
    <w:rsid w:val="007E47B0"/>
    <w:rsid w:val="007E4924"/>
    <w:rsid w:val="007E4EA9"/>
    <w:rsid w:val="007E5606"/>
    <w:rsid w:val="007E5AEF"/>
    <w:rsid w:val="007E5DF1"/>
    <w:rsid w:val="007E6069"/>
    <w:rsid w:val="007E65EF"/>
    <w:rsid w:val="007E665F"/>
    <w:rsid w:val="007E773B"/>
    <w:rsid w:val="007F15C2"/>
    <w:rsid w:val="007F19AE"/>
    <w:rsid w:val="007F1E8D"/>
    <w:rsid w:val="007F21D5"/>
    <w:rsid w:val="007F3310"/>
    <w:rsid w:val="007F392F"/>
    <w:rsid w:val="007F3A08"/>
    <w:rsid w:val="007F3CCA"/>
    <w:rsid w:val="007F3CF7"/>
    <w:rsid w:val="007F6308"/>
    <w:rsid w:val="007F6C6F"/>
    <w:rsid w:val="007F6CAA"/>
    <w:rsid w:val="007F6FDD"/>
    <w:rsid w:val="007F7264"/>
    <w:rsid w:val="00800136"/>
    <w:rsid w:val="00800FC2"/>
    <w:rsid w:val="00801339"/>
    <w:rsid w:val="008016DF"/>
    <w:rsid w:val="0080224B"/>
    <w:rsid w:val="00802A5D"/>
    <w:rsid w:val="00802F84"/>
    <w:rsid w:val="008039A0"/>
    <w:rsid w:val="00803C97"/>
    <w:rsid w:val="00803E8E"/>
    <w:rsid w:val="00804099"/>
    <w:rsid w:val="008044AF"/>
    <w:rsid w:val="0080487E"/>
    <w:rsid w:val="008049DF"/>
    <w:rsid w:val="00804C38"/>
    <w:rsid w:val="0080548D"/>
    <w:rsid w:val="0080618B"/>
    <w:rsid w:val="00806DB7"/>
    <w:rsid w:val="00807345"/>
    <w:rsid w:val="008073AC"/>
    <w:rsid w:val="00807AB8"/>
    <w:rsid w:val="00807F1C"/>
    <w:rsid w:val="008106D0"/>
    <w:rsid w:val="008108BD"/>
    <w:rsid w:val="00810D4A"/>
    <w:rsid w:val="00811A4E"/>
    <w:rsid w:val="00812081"/>
    <w:rsid w:val="008127F8"/>
    <w:rsid w:val="00812F77"/>
    <w:rsid w:val="00813B69"/>
    <w:rsid w:val="00813E96"/>
    <w:rsid w:val="008146D4"/>
    <w:rsid w:val="0081532B"/>
    <w:rsid w:val="0081621E"/>
    <w:rsid w:val="0081676B"/>
    <w:rsid w:val="00816C22"/>
    <w:rsid w:val="00816EDB"/>
    <w:rsid w:val="00816FFE"/>
    <w:rsid w:val="00817772"/>
    <w:rsid w:val="008200D4"/>
    <w:rsid w:val="0082034C"/>
    <w:rsid w:val="00820624"/>
    <w:rsid w:val="00820870"/>
    <w:rsid w:val="008208C6"/>
    <w:rsid w:val="00820AB0"/>
    <w:rsid w:val="0082148A"/>
    <w:rsid w:val="00822320"/>
    <w:rsid w:val="00822701"/>
    <w:rsid w:val="00822C14"/>
    <w:rsid w:val="00823491"/>
    <w:rsid w:val="008260ED"/>
    <w:rsid w:val="00827001"/>
    <w:rsid w:val="008270A3"/>
    <w:rsid w:val="008274B8"/>
    <w:rsid w:val="0083054C"/>
    <w:rsid w:val="00831D71"/>
    <w:rsid w:val="00831F5C"/>
    <w:rsid w:val="00832E36"/>
    <w:rsid w:val="00832F01"/>
    <w:rsid w:val="00833D61"/>
    <w:rsid w:val="008340FB"/>
    <w:rsid w:val="0083421D"/>
    <w:rsid w:val="008349CC"/>
    <w:rsid w:val="00834BB5"/>
    <w:rsid w:val="008355B2"/>
    <w:rsid w:val="008355F7"/>
    <w:rsid w:val="008363CE"/>
    <w:rsid w:val="008405B7"/>
    <w:rsid w:val="008412F0"/>
    <w:rsid w:val="008419F6"/>
    <w:rsid w:val="00842135"/>
    <w:rsid w:val="008428CE"/>
    <w:rsid w:val="00842F0B"/>
    <w:rsid w:val="008434E8"/>
    <w:rsid w:val="0084607A"/>
    <w:rsid w:val="008465A1"/>
    <w:rsid w:val="00846670"/>
    <w:rsid w:val="00846CC9"/>
    <w:rsid w:val="00847710"/>
    <w:rsid w:val="00847B45"/>
    <w:rsid w:val="00853DA3"/>
    <w:rsid w:val="00853F8C"/>
    <w:rsid w:val="008549EA"/>
    <w:rsid w:val="00854C6D"/>
    <w:rsid w:val="008553C9"/>
    <w:rsid w:val="008553CF"/>
    <w:rsid w:val="0085571F"/>
    <w:rsid w:val="00855F88"/>
    <w:rsid w:val="00856964"/>
    <w:rsid w:val="008569C3"/>
    <w:rsid w:val="00856BA7"/>
    <w:rsid w:val="00856C8A"/>
    <w:rsid w:val="0085752D"/>
    <w:rsid w:val="00857D7F"/>
    <w:rsid w:val="00860361"/>
    <w:rsid w:val="008603A3"/>
    <w:rsid w:val="00860589"/>
    <w:rsid w:val="00860895"/>
    <w:rsid w:val="008609BC"/>
    <w:rsid w:val="00860E0E"/>
    <w:rsid w:val="0086198B"/>
    <w:rsid w:val="00861A98"/>
    <w:rsid w:val="008620B5"/>
    <w:rsid w:val="008638F7"/>
    <w:rsid w:val="008645BF"/>
    <w:rsid w:val="008658FB"/>
    <w:rsid w:val="00866289"/>
    <w:rsid w:val="0086718D"/>
    <w:rsid w:val="00870A0D"/>
    <w:rsid w:val="0087188F"/>
    <w:rsid w:val="008724B8"/>
    <w:rsid w:val="008727E2"/>
    <w:rsid w:val="0087312D"/>
    <w:rsid w:val="008737EA"/>
    <w:rsid w:val="00874239"/>
    <w:rsid w:val="00875AE7"/>
    <w:rsid w:val="00876810"/>
    <w:rsid w:val="00876DCE"/>
    <w:rsid w:val="0087747E"/>
    <w:rsid w:val="00880545"/>
    <w:rsid w:val="00880CF3"/>
    <w:rsid w:val="008811F2"/>
    <w:rsid w:val="008812F8"/>
    <w:rsid w:val="00882241"/>
    <w:rsid w:val="00883578"/>
    <w:rsid w:val="008841FC"/>
    <w:rsid w:val="00884FBC"/>
    <w:rsid w:val="0088591A"/>
    <w:rsid w:val="00885BE2"/>
    <w:rsid w:val="00886420"/>
    <w:rsid w:val="00886879"/>
    <w:rsid w:val="00886A9A"/>
    <w:rsid w:val="00886E1C"/>
    <w:rsid w:val="00886FB7"/>
    <w:rsid w:val="00887313"/>
    <w:rsid w:val="0089020E"/>
    <w:rsid w:val="008916ED"/>
    <w:rsid w:val="0089189F"/>
    <w:rsid w:val="00892C88"/>
    <w:rsid w:val="00892E74"/>
    <w:rsid w:val="008931D7"/>
    <w:rsid w:val="008933C7"/>
    <w:rsid w:val="00893A95"/>
    <w:rsid w:val="00893C7B"/>
    <w:rsid w:val="0089532C"/>
    <w:rsid w:val="00895505"/>
    <w:rsid w:val="00897850"/>
    <w:rsid w:val="00897FCB"/>
    <w:rsid w:val="008A00DF"/>
    <w:rsid w:val="008A0154"/>
    <w:rsid w:val="008A01A0"/>
    <w:rsid w:val="008A0E37"/>
    <w:rsid w:val="008A1C89"/>
    <w:rsid w:val="008A1EBD"/>
    <w:rsid w:val="008A202A"/>
    <w:rsid w:val="008A2315"/>
    <w:rsid w:val="008A27C5"/>
    <w:rsid w:val="008A28F6"/>
    <w:rsid w:val="008A2E12"/>
    <w:rsid w:val="008A2E40"/>
    <w:rsid w:val="008A3C5B"/>
    <w:rsid w:val="008A3C65"/>
    <w:rsid w:val="008A44E5"/>
    <w:rsid w:val="008A5A85"/>
    <w:rsid w:val="008A5C1A"/>
    <w:rsid w:val="008A61E0"/>
    <w:rsid w:val="008A6823"/>
    <w:rsid w:val="008A69BC"/>
    <w:rsid w:val="008A7127"/>
    <w:rsid w:val="008B00E9"/>
    <w:rsid w:val="008B077C"/>
    <w:rsid w:val="008B2424"/>
    <w:rsid w:val="008B279C"/>
    <w:rsid w:val="008B2EC1"/>
    <w:rsid w:val="008B2F63"/>
    <w:rsid w:val="008B2F87"/>
    <w:rsid w:val="008B592D"/>
    <w:rsid w:val="008B6079"/>
    <w:rsid w:val="008B66C4"/>
    <w:rsid w:val="008B7786"/>
    <w:rsid w:val="008B79D7"/>
    <w:rsid w:val="008C0858"/>
    <w:rsid w:val="008C259C"/>
    <w:rsid w:val="008C2A48"/>
    <w:rsid w:val="008C2D06"/>
    <w:rsid w:val="008C2D14"/>
    <w:rsid w:val="008C31CD"/>
    <w:rsid w:val="008C369D"/>
    <w:rsid w:val="008C3873"/>
    <w:rsid w:val="008C3D4F"/>
    <w:rsid w:val="008C4B9D"/>
    <w:rsid w:val="008C4E0C"/>
    <w:rsid w:val="008C5436"/>
    <w:rsid w:val="008C5997"/>
    <w:rsid w:val="008C6A06"/>
    <w:rsid w:val="008C6BCD"/>
    <w:rsid w:val="008C7026"/>
    <w:rsid w:val="008C7088"/>
    <w:rsid w:val="008C7E7A"/>
    <w:rsid w:val="008D1876"/>
    <w:rsid w:val="008D1A7D"/>
    <w:rsid w:val="008D1F64"/>
    <w:rsid w:val="008D202A"/>
    <w:rsid w:val="008D211F"/>
    <w:rsid w:val="008D2184"/>
    <w:rsid w:val="008D3033"/>
    <w:rsid w:val="008D3F6D"/>
    <w:rsid w:val="008D4C07"/>
    <w:rsid w:val="008D57C4"/>
    <w:rsid w:val="008D6006"/>
    <w:rsid w:val="008D63C9"/>
    <w:rsid w:val="008D6676"/>
    <w:rsid w:val="008D68F5"/>
    <w:rsid w:val="008E020A"/>
    <w:rsid w:val="008E0E68"/>
    <w:rsid w:val="008E224C"/>
    <w:rsid w:val="008E2847"/>
    <w:rsid w:val="008E37F1"/>
    <w:rsid w:val="008E4FAC"/>
    <w:rsid w:val="008E5730"/>
    <w:rsid w:val="008E62D4"/>
    <w:rsid w:val="008E64F7"/>
    <w:rsid w:val="008E65E8"/>
    <w:rsid w:val="008E6870"/>
    <w:rsid w:val="008E7421"/>
    <w:rsid w:val="008E7E1A"/>
    <w:rsid w:val="008F03A4"/>
    <w:rsid w:val="008F2D2C"/>
    <w:rsid w:val="008F49B7"/>
    <w:rsid w:val="008F5B22"/>
    <w:rsid w:val="008F6433"/>
    <w:rsid w:val="008F66FF"/>
    <w:rsid w:val="008F6821"/>
    <w:rsid w:val="008F6972"/>
    <w:rsid w:val="008F6DE4"/>
    <w:rsid w:val="008F7052"/>
    <w:rsid w:val="008F79F7"/>
    <w:rsid w:val="00900394"/>
    <w:rsid w:val="00900613"/>
    <w:rsid w:val="00901D16"/>
    <w:rsid w:val="00902013"/>
    <w:rsid w:val="009020E0"/>
    <w:rsid w:val="00902333"/>
    <w:rsid w:val="00903853"/>
    <w:rsid w:val="009049CB"/>
    <w:rsid w:val="00904B83"/>
    <w:rsid w:val="00904C18"/>
    <w:rsid w:val="00904D11"/>
    <w:rsid w:val="00905DD0"/>
    <w:rsid w:val="00905E68"/>
    <w:rsid w:val="00906F5B"/>
    <w:rsid w:val="00907B4F"/>
    <w:rsid w:val="00907B5F"/>
    <w:rsid w:val="0091099E"/>
    <w:rsid w:val="009113A7"/>
    <w:rsid w:val="0091173F"/>
    <w:rsid w:val="0091204F"/>
    <w:rsid w:val="00912B43"/>
    <w:rsid w:val="00912C0D"/>
    <w:rsid w:val="00913D51"/>
    <w:rsid w:val="00913F7B"/>
    <w:rsid w:val="00914B6C"/>
    <w:rsid w:val="00915545"/>
    <w:rsid w:val="009160CC"/>
    <w:rsid w:val="00916B15"/>
    <w:rsid w:val="009170F3"/>
    <w:rsid w:val="00917557"/>
    <w:rsid w:val="0091792D"/>
    <w:rsid w:val="00921072"/>
    <w:rsid w:val="009216A0"/>
    <w:rsid w:val="009216C2"/>
    <w:rsid w:val="009217EC"/>
    <w:rsid w:val="00921B16"/>
    <w:rsid w:val="00921C55"/>
    <w:rsid w:val="00921CC6"/>
    <w:rsid w:val="009223BE"/>
    <w:rsid w:val="00923783"/>
    <w:rsid w:val="00923892"/>
    <w:rsid w:val="00923B49"/>
    <w:rsid w:val="00924005"/>
    <w:rsid w:val="00924AEC"/>
    <w:rsid w:val="00924EA1"/>
    <w:rsid w:val="0092509A"/>
    <w:rsid w:val="0092612D"/>
    <w:rsid w:val="00926656"/>
    <w:rsid w:val="009267AC"/>
    <w:rsid w:val="009268C2"/>
    <w:rsid w:val="00926A2D"/>
    <w:rsid w:val="00926F6D"/>
    <w:rsid w:val="00927164"/>
    <w:rsid w:val="009273F2"/>
    <w:rsid w:val="00927C62"/>
    <w:rsid w:val="00931996"/>
    <w:rsid w:val="00931F6E"/>
    <w:rsid w:val="009328FC"/>
    <w:rsid w:val="00932FC7"/>
    <w:rsid w:val="00934554"/>
    <w:rsid w:val="009346BB"/>
    <w:rsid w:val="009367F3"/>
    <w:rsid w:val="0093709B"/>
    <w:rsid w:val="009370E3"/>
    <w:rsid w:val="009370FF"/>
    <w:rsid w:val="00937516"/>
    <w:rsid w:val="00937641"/>
    <w:rsid w:val="00937868"/>
    <w:rsid w:val="009406E0"/>
    <w:rsid w:val="00940D29"/>
    <w:rsid w:val="00942185"/>
    <w:rsid w:val="009424F3"/>
    <w:rsid w:val="00942754"/>
    <w:rsid w:val="00943735"/>
    <w:rsid w:val="00943EDB"/>
    <w:rsid w:val="0094461C"/>
    <w:rsid w:val="0094495E"/>
    <w:rsid w:val="00945071"/>
    <w:rsid w:val="00945AF6"/>
    <w:rsid w:val="00945CBD"/>
    <w:rsid w:val="00945CFD"/>
    <w:rsid w:val="009460BE"/>
    <w:rsid w:val="00946629"/>
    <w:rsid w:val="00946DE6"/>
    <w:rsid w:val="009475B2"/>
    <w:rsid w:val="00947CB3"/>
    <w:rsid w:val="00950A63"/>
    <w:rsid w:val="00950A85"/>
    <w:rsid w:val="00950CD9"/>
    <w:rsid w:val="0095119D"/>
    <w:rsid w:val="00951337"/>
    <w:rsid w:val="009517D9"/>
    <w:rsid w:val="00951846"/>
    <w:rsid w:val="00951ADD"/>
    <w:rsid w:val="009531C7"/>
    <w:rsid w:val="00953395"/>
    <w:rsid w:val="009533FB"/>
    <w:rsid w:val="0095350A"/>
    <w:rsid w:val="00953C95"/>
    <w:rsid w:val="0095430E"/>
    <w:rsid w:val="00954F9A"/>
    <w:rsid w:val="00955BDE"/>
    <w:rsid w:val="00955DCC"/>
    <w:rsid w:val="00955E64"/>
    <w:rsid w:val="00956059"/>
    <w:rsid w:val="0095650E"/>
    <w:rsid w:val="00956798"/>
    <w:rsid w:val="00956C9D"/>
    <w:rsid w:val="009570AE"/>
    <w:rsid w:val="00957715"/>
    <w:rsid w:val="009601D3"/>
    <w:rsid w:val="0096054A"/>
    <w:rsid w:val="00960B8C"/>
    <w:rsid w:val="00960DF3"/>
    <w:rsid w:val="00963A27"/>
    <w:rsid w:val="00963E68"/>
    <w:rsid w:val="00964BD6"/>
    <w:rsid w:val="00964E40"/>
    <w:rsid w:val="00965034"/>
    <w:rsid w:val="00965070"/>
    <w:rsid w:val="00965644"/>
    <w:rsid w:val="00965EB1"/>
    <w:rsid w:val="00967C8A"/>
    <w:rsid w:val="00970158"/>
    <w:rsid w:val="009704EF"/>
    <w:rsid w:val="00971D8F"/>
    <w:rsid w:val="00971E19"/>
    <w:rsid w:val="009728FC"/>
    <w:rsid w:val="00972E2C"/>
    <w:rsid w:val="00973498"/>
    <w:rsid w:val="00973ABD"/>
    <w:rsid w:val="0097430D"/>
    <w:rsid w:val="00974358"/>
    <w:rsid w:val="00974374"/>
    <w:rsid w:val="00974994"/>
    <w:rsid w:val="009749EF"/>
    <w:rsid w:val="00974C49"/>
    <w:rsid w:val="00974EF0"/>
    <w:rsid w:val="0097553C"/>
    <w:rsid w:val="00975C9E"/>
    <w:rsid w:val="00976C4B"/>
    <w:rsid w:val="00976CDE"/>
    <w:rsid w:val="00977A00"/>
    <w:rsid w:val="00977BC9"/>
    <w:rsid w:val="00977E67"/>
    <w:rsid w:val="00980A6D"/>
    <w:rsid w:val="00980C47"/>
    <w:rsid w:val="009815C5"/>
    <w:rsid w:val="00981853"/>
    <w:rsid w:val="00981905"/>
    <w:rsid w:val="00981AC7"/>
    <w:rsid w:val="00981DA1"/>
    <w:rsid w:val="00982525"/>
    <w:rsid w:val="009830CC"/>
    <w:rsid w:val="00983A53"/>
    <w:rsid w:val="00984F40"/>
    <w:rsid w:val="00984FF6"/>
    <w:rsid w:val="009855E7"/>
    <w:rsid w:val="009864C9"/>
    <w:rsid w:val="00986CBA"/>
    <w:rsid w:val="0098752D"/>
    <w:rsid w:val="00987582"/>
    <w:rsid w:val="00990068"/>
    <w:rsid w:val="00990362"/>
    <w:rsid w:val="00990524"/>
    <w:rsid w:val="009908CB"/>
    <w:rsid w:val="00990C49"/>
    <w:rsid w:val="00991A4A"/>
    <w:rsid w:val="00992BAE"/>
    <w:rsid w:val="00992C9F"/>
    <w:rsid w:val="0099353C"/>
    <w:rsid w:val="00993659"/>
    <w:rsid w:val="0099383F"/>
    <w:rsid w:val="00993E86"/>
    <w:rsid w:val="00994C57"/>
    <w:rsid w:val="00994EA3"/>
    <w:rsid w:val="00995DDA"/>
    <w:rsid w:val="00997227"/>
    <w:rsid w:val="009A04B2"/>
    <w:rsid w:val="009A050D"/>
    <w:rsid w:val="009A0C5E"/>
    <w:rsid w:val="009A0C87"/>
    <w:rsid w:val="009A0E1C"/>
    <w:rsid w:val="009A0E6E"/>
    <w:rsid w:val="009A13A0"/>
    <w:rsid w:val="009A1D3E"/>
    <w:rsid w:val="009A1D95"/>
    <w:rsid w:val="009A211B"/>
    <w:rsid w:val="009A2716"/>
    <w:rsid w:val="009A4C2D"/>
    <w:rsid w:val="009A51B0"/>
    <w:rsid w:val="009A5393"/>
    <w:rsid w:val="009A54DF"/>
    <w:rsid w:val="009A62D2"/>
    <w:rsid w:val="009A662B"/>
    <w:rsid w:val="009A67CD"/>
    <w:rsid w:val="009A6998"/>
    <w:rsid w:val="009A7C3C"/>
    <w:rsid w:val="009B0325"/>
    <w:rsid w:val="009B0398"/>
    <w:rsid w:val="009B10FC"/>
    <w:rsid w:val="009B1859"/>
    <w:rsid w:val="009B193F"/>
    <w:rsid w:val="009B1CD2"/>
    <w:rsid w:val="009B201B"/>
    <w:rsid w:val="009B205C"/>
    <w:rsid w:val="009B2336"/>
    <w:rsid w:val="009B336C"/>
    <w:rsid w:val="009B4044"/>
    <w:rsid w:val="009B4BBD"/>
    <w:rsid w:val="009B5CDC"/>
    <w:rsid w:val="009B601B"/>
    <w:rsid w:val="009B6C00"/>
    <w:rsid w:val="009C07FB"/>
    <w:rsid w:val="009C10D1"/>
    <w:rsid w:val="009C1AE1"/>
    <w:rsid w:val="009C1FD1"/>
    <w:rsid w:val="009C2D0C"/>
    <w:rsid w:val="009C3862"/>
    <w:rsid w:val="009C3A3A"/>
    <w:rsid w:val="009C3A8F"/>
    <w:rsid w:val="009C3EB7"/>
    <w:rsid w:val="009C3EF4"/>
    <w:rsid w:val="009C4BBD"/>
    <w:rsid w:val="009C545B"/>
    <w:rsid w:val="009C65AE"/>
    <w:rsid w:val="009C6A6F"/>
    <w:rsid w:val="009C6E4E"/>
    <w:rsid w:val="009C6F7C"/>
    <w:rsid w:val="009C73EF"/>
    <w:rsid w:val="009D0754"/>
    <w:rsid w:val="009D0A6E"/>
    <w:rsid w:val="009D16FB"/>
    <w:rsid w:val="009D32AE"/>
    <w:rsid w:val="009D3E88"/>
    <w:rsid w:val="009D4686"/>
    <w:rsid w:val="009D65C4"/>
    <w:rsid w:val="009D675B"/>
    <w:rsid w:val="009D750D"/>
    <w:rsid w:val="009D7CED"/>
    <w:rsid w:val="009E031B"/>
    <w:rsid w:val="009E0714"/>
    <w:rsid w:val="009E1154"/>
    <w:rsid w:val="009E129D"/>
    <w:rsid w:val="009E3A1D"/>
    <w:rsid w:val="009E3F6C"/>
    <w:rsid w:val="009E451E"/>
    <w:rsid w:val="009E4C19"/>
    <w:rsid w:val="009E5960"/>
    <w:rsid w:val="009E633A"/>
    <w:rsid w:val="009E7AA4"/>
    <w:rsid w:val="009F0158"/>
    <w:rsid w:val="009F03E6"/>
    <w:rsid w:val="009F0FD7"/>
    <w:rsid w:val="009F10A4"/>
    <w:rsid w:val="009F11C2"/>
    <w:rsid w:val="009F120A"/>
    <w:rsid w:val="009F1C10"/>
    <w:rsid w:val="009F350E"/>
    <w:rsid w:val="009F3950"/>
    <w:rsid w:val="009F39E4"/>
    <w:rsid w:val="009F4C8F"/>
    <w:rsid w:val="009F5CBA"/>
    <w:rsid w:val="009F6232"/>
    <w:rsid w:val="009F6AA8"/>
    <w:rsid w:val="009F6EA8"/>
    <w:rsid w:val="009F7E7D"/>
    <w:rsid w:val="00A00655"/>
    <w:rsid w:val="00A00970"/>
    <w:rsid w:val="00A00D25"/>
    <w:rsid w:val="00A00E52"/>
    <w:rsid w:val="00A016E0"/>
    <w:rsid w:val="00A01BA7"/>
    <w:rsid w:val="00A02024"/>
    <w:rsid w:val="00A0226F"/>
    <w:rsid w:val="00A02D3F"/>
    <w:rsid w:val="00A03301"/>
    <w:rsid w:val="00A0369D"/>
    <w:rsid w:val="00A03ED0"/>
    <w:rsid w:val="00A048E4"/>
    <w:rsid w:val="00A0553D"/>
    <w:rsid w:val="00A056F9"/>
    <w:rsid w:val="00A05C19"/>
    <w:rsid w:val="00A06A18"/>
    <w:rsid w:val="00A06B40"/>
    <w:rsid w:val="00A07829"/>
    <w:rsid w:val="00A07D0F"/>
    <w:rsid w:val="00A10B52"/>
    <w:rsid w:val="00A10FCE"/>
    <w:rsid w:val="00A11AB0"/>
    <w:rsid w:val="00A11EA4"/>
    <w:rsid w:val="00A12ADA"/>
    <w:rsid w:val="00A13426"/>
    <w:rsid w:val="00A13B6B"/>
    <w:rsid w:val="00A1482C"/>
    <w:rsid w:val="00A154C6"/>
    <w:rsid w:val="00A16C18"/>
    <w:rsid w:val="00A16C7A"/>
    <w:rsid w:val="00A17EEC"/>
    <w:rsid w:val="00A20058"/>
    <w:rsid w:val="00A210D7"/>
    <w:rsid w:val="00A21254"/>
    <w:rsid w:val="00A2162A"/>
    <w:rsid w:val="00A21B6E"/>
    <w:rsid w:val="00A222A3"/>
    <w:rsid w:val="00A2286F"/>
    <w:rsid w:val="00A22B70"/>
    <w:rsid w:val="00A22DB4"/>
    <w:rsid w:val="00A22F2F"/>
    <w:rsid w:val="00A22FCE"/>
    <w:rsid w:val="00A254C8"/>
    <w:rsid w:val="00A25788"/>
    <w:rsid w:val="00A25992"/>
    <w:rsid w:val="00A25CC2"/>
    <w:rsid w:val="00A27AC9"/>
    <w:rsid w:val="00A3110D"/>
    <w:rsid w:val="00A315CA"/>
    <w:rsid w:val="00A320D4"/>
    <w:rsid w:val="00A32D23"/>
    <w:rsid w:val="00A32F43"/>
    <w:rsid w:val="00A33106"/>
    <w:rsid w:val="00A331FC"/>
    <w:rsid w:val="00A33AD1"/>
    <w:rsid w:val="00A3448B"/>
    <w:rsid w:val="00A36349"/>
    <w:rsid w:val="00A434B9"/>
    <w:rsid w:val="00A450BD"/>
    <w:rsid w:val="00A45CBF"/>
    <w:rsid w:val="00A45DB7"/>
    <w:rsid w:val="00A46408"/>
    <w:rsid w:val="00A46F0F"/>
    <w:rsid w:val="00A47918"/>
    <w:rsid w:val="00A50029"/>
    <w:rsid w:val="00A50AD4"/>
    <w:rsid w:val="00A512C2"/>
    <w:rsid w:val="00A51FA0"/>
    <w:rsid w:val="00A52636"/>
    <w:rsid w:val="00A53572"/>
    <w:rsid w:val="00A53A9C"/>
    <w:rsid w:val="00A53C2B"/>
    <w:rsid w:val="00A53FBB"/>
    <w:rsid w:val="00A54174"/>
    <w:rsid w:val="00A554D1"/>
    <w:rsid w:val="00A554F1"/>
    <w:rsid w:val="00A5570A"/>
    <w:rsid w:val="00A557BA"/>
    <w:rsid w:val="00A56226"/>
    <w:rsid w:val="00A564CE"/>
    <w:rsid w:val="00A57DD0"/>
    <w:rsid w:val="00A61AA6"/>
    <w:rsid w:val="00A62063"/>
    <w:rsid w:val="00A624B3"/>
    <w:rsid w:val="00A6250D"/>
    <w:rsid w:val="00A631F6"/>
    <w:rsid w:val="00A64C15"/>
    <w:rsid w:val="00A6513E"/>
    <w:rsid w:val="00A65817"/>
    <w:rsid w:val="00A65DAF"/>
    <w:rsid w:val="00A661C2"/>
    <w:rsid w:val="00A673AC"/>
    <w:rsid w:val="00A67A22"/>
    <w:rsid w:val="00A67A4E"/>
    <w:rsid w:val="00A70445"/>
    <w:rsid w:val="00A7044A"/>
    <w:rsid w:val="00A71024"/>
    <w:rsid w:val="00A71851"/>
    <w:rsid w:val="00A71FBC"/>
    <w:rsid w:val="00A72717"/>
    <w:rsid w:val="00A7385A"/>
    <w:rsid w:val="00A738EA"/>
    <w:rsid w:val="00A743D7"/>
    <w:rsid w:val="00A74F74"/>
    <w:rsid w:val="00A75180"/>
    <w:rsid w:val="00A75410"/>
    <w:rsid w:val="00A766B6"/>
    <w:rsid w:val="00A77AD1"/>
    <w:rsid w:val="00A77DCA"/>
    <w:rsid w:val="00A77FFB"/>
    <w:rsid w:val="00A80588"/>
    <w:rsid w:val="00A80C31"/>
    <w:rsid w:val="00A81E84"/>
    <w:rsid w:val="00A82A9C"/>
    <w:rsid w:val="00A83536"/>
    <w:rsid w:val="00A83D63"/>
    <w:rsid w:val="00A83DE4"/>
    <w:rsid w:val="00A84505"/>
    <w:rsid w:val="00A84E8A"/>
    <w:rsid w:val="00A84F01"/>
    <w:rsid w:val="00A853FD"/>
    <w:rsid w:val="00A86179"/>
    <w:rsid w:val="00A86737"/>
    <w:rsid w:val="00A90914"/>
    <w:rsid w:val="00A91107"/>
    <w:rsid w:val="00A9135F"/>
    <w:rsid w:val="00A91EF4"/>
    <w:rsid w:val="00A92526"/>
    <w:rsid w:val="00A9254A"/>
    <w:rsid w:val="00A9287A"/>
    <w:rsid w:val="00A93218"/>
    <w:rsid w:val="00A93501"/>
    <w:rsid w:val="00A937D8"/>
    <w:rsid w:val="00A93B6D"/>
    <w:rsid w:val="00A94435"/>
    <w:rsid w:val="00A9567E"/>
    <w:rsid w:val="00A966D7"/>
    <w:rsid w:val="00A97206"/>
    <w:rsid w:val="00A97258"/>
    <w:rsid w:val="00A97499"/>
    <w:rsid w:val="00A976F1"/>
    <w:rsid w:val="00A97E9E"/>
    <w:rsid w:val="00AA0BB2"/>
    <w:rsid w:val="00AA0F08"/>
    <w:rsid w:val="00AA0F3F"/>
    <w:rsid w:val="00AA157F"/>
    <w:rsid w:val="00AA224C"/>
    <w:rsid w:val="00AA2C47"/>
    <w:rsid w:val="00AA377A"/>
    <w:rsid w:val="00AA3EF7"/>
    <w:rsid w:val="00AA489D"/>
    <w:rsid w:val="00AA49EF"/>
    <w:rsid w:val="00AA5406"/>
    <w:rsid w:val="00AA55D2"/>
    <w:rsid w:val="00AA5D55"/>
    <w:rsid w:val="00AA620F"/>
    <w:rsid w:val="00AA692A"/>
    <w:rsid w:val="00AA6BDD"/>
    <w:rsid w:val="00AA7622"/>
    <w:rsid w:val="00AA7E40"/>
    <w:rsid w:val="00AB0223"/>
    <w:rsid w:val="00AB0684"/>
    <w:rsid w:val="00AB0964"/>
    <w:rsid w:val="00AB0C9F"/>
    <w:rsid w:val="00AB1B86"/>
    <w:rsid w:val="00AB1CF9"/>
    <w:rsid w:val="00AB1EBD"/>
    <w:rsid w:val="00AB2395"/>
    <w:rsid w:val="00AB23C6"/>
    <w:rsid w:val="00AB4A24"/>
    <w:rsid w:val="00AB511B"/>
    <w:rsid w:val="00AB5159"/>
    <w:rsid w:val="00AB5A6B"/>
    <w:rsid w:val="00AB5B42"/>
    <w:rsid w:val="00AB5B6B"/>
    <w:rsid w:val="00AB6331"/>
    <w:rsid w:val="00AB68BB"/>
    <w:rsid w:val="00AB68E7"/>
    <w:rsid w:val="00AB740E"/>
    <w:rsid w:val="00AB761B"/>
    <w:rsid w:val="00AC1616"/>
    <w:rsid w:val="00AC1B42"/>
    <w:rsid w:val="00AC1DFD"/>
    <w:rsid w:val="00AC2EE8"/>
    <w:rsid w:val="00AC30DC"/>
    <w:rsid w:val="00AC3342"/>
    <w:rsid w:val="00AC43BB"/>
    <w:rsid w:val="00AC4BD8"/>
    <w:rsid w:val="00AC4D0C"/>
    <w:rsid w:val="00AC4E15"/>
    <w:rsid w:val="00AC5285"/>
    <w:rsid w:val="00AC620C"/>
    <w:rsid w:val="00AC6366"/>
    <w:rsid w:val="00AC6E61"/>
    <w:rsid w:val="00AD009E"/>
    <w:rsid w:val="00AD00AE"/>
    <w:rsid w:val="00AD1077"/>
    <w:rsid w:val="00AD2E4B"/>
    <w:rsid w:val="00AD32B2"/>
    <w:rsid w:val="00AD348B"/>
    <w:rsid w:val="00AD3930"/>
    <w:rsid w:val="00AD3966"/>
    <w:rsid w:val="00AD3DF1"/>
    <w:rsid w:val="00AD40F5"/>
    <w:rsid w:val="00AD42DE"/>
    <w:rsid w:val="00AD473A"/>
    <w:rsid w:val="00AD5028"/>
    <w:rsid w:val="00AD57AB"/>
    <w:rsid w:val="00AD58CA"/>
    <w:rsid w:val="00AD5E58"/>
    <w:rsid w:val="00AD61AB"/>
    <w:rsid w:val="00AD69DC"/>
    <w:rsid w:val="00AD7519"/>
    <w:rsid w:val="00AE0BE9"/>
    <w:rsid w:val="00AE1CD1"/>
    <w:rsid w:val="00AE2272"/>
    <w:rsid w:val="00AE266F"/>
    <w:rsid w:val="00AE3EC9"/>
    <w:rsid w:val="00AE4086"/>
    <w:rsid w:val="00AE4957"/>
    <w:rsid w:val="00AE5C44"/>
    <w:rsid w:val="00AE60CF"/>
    <w:rsid w:val="00AE762E"/>
    <w:rsid w:val="00AE7744"/>
    <w:rsid w:val="00AE78BD"/>
    <w:rsid w:val="00AF00F4"/>
    <w:rsid w:val="00AF020A"/>
    <w:rsid w:val="00AF03E3"/>
    <w:rsid w:val="00AF0467"/>
    <w:rsid w:val="00AF04E4"/>
    <w:rsid w:val="00AF0704"/>
    <w:rsid w:val="00AF0BE2"/>
    <w:rsid w:val="00AF121B"/>
    <w:rsid w:val="00AF1353"/>
    <w:rsid w:val="00AF17A9"/>
    <w:rsid w:val="00AF2478"/>
    <w:rsid w:val="00AF2486"/>
    <w:rsid w:val="00AF35F2"/>
    <w:rsid w:val="00AF41EC"/>
    <w:rsid w:val="00AF48F3"/>
    <w:rsid w:val="00AF4D9F"/>
    <w:rsid w:val="00AF5F68"/>
    <w:rsid w:val="00AF6CBC"/>
    <w:rsid w:val="00AF6DC4"/>
    <w:rsid w:val="00AF6EF1"/>
    <w:rsid w:val="00AF7BC0"/>
    <w:rsid w:val="00B00DD9"/>
    <w:rsid w:val="00B00FDA"/>
    <w:rsid w:val="00B015F3"/>
    <w:rsid w:val="00B01660"/>
    <w:rsid w:val="00B016E0"/>
    <w:rsid w:val="00B020C4"/>
    <w:rsid w:val="00B02432"/>
    <w:rsid w:val="00B03485"/>
    <w:rsid w:val="00B03AA3"/>
    <w:rsid w:val="00B051FF"/>
    <w:rsid w:val="00B05336"/>
    <w:rsid w:val="00B05EE0"/>
    <w:rsid w:val="00B065DF"/>
    <w:rsid w:val="00B068E6"/>
    <w:rsid w:val="00B06B43"/>
    <w:rsid w:val="00B06BD7"/>
    <w:rsid w:val="00B07231"/>
    <w:rsid w:val="00B07913"/>
    <w:rsid w:val="00B07B2E"/>
    <w:rsid w:val="00B10150"/>
    <w:rsid w:val="00B10BAD"/>
    <w:rsid w:val="00B1185E"/>
    <w:rsid w:val="00B12DA2"/>
    <w:rsid w:val="00B13B14"/>
    <w:rsid w:val="00B14022"/>
    <w:rsid w:val="00B14649"/>
    <w:rsid w:val="00B14D0D"/>
    <w:rsid w:val="00B15286"/>
    <w:rsid w:val="00B15546"/>
    <w:rsid w:val="00B1560F"/>
    <w:rsid w:val="00B156EB"/>
    <w:rsid w:val="00B15904"/>
    <w:rsid w:val="00B159C3"/>
    <w:rsid w:val="00B15C03"/>
    <w:rsid w:val="00B16313"/>
    <w:rsid w:val="00B1685C"/>
    <w:rsid w:val="00B17070"/>
    <w:rsid w:val="00B174F9"/>
    <w:rsid w:val="00B17610"/>
    <w:rsid w:val="00B17626"/>
    <w:rsid w:val="00B21A31"/>
    <w:rsid w:val="00B22835"/>
    <w:rsid w:val="00B22960"/>
    <w:rsid w:val="00B22E35"/>
    <w:rsid w:val="00B2334F"/>
    <w:rsid w:val="00B23EEF"/>
    <w:rsid w:val="00B23FCE"/>
    <w:rsid w:val="00B24449"/>
    <w:rsid w:val="00B24597"/>
    <w:rsid w:val="00B24854"/>
    <w:rsid w:val="00B24EE4"/>
    <w:rsid w:val="00B25CC7"/>
    <w:rsid w:val="00B2615A"/>
    <w:rsid w:val="00B262D2"/>
    <w:rsid w:val="00B26AD5"/>
    <w:rsid w:val="00B26BD2"/>
    <w:rsid w:val="00B2746C"/>
    <w:rsid w:val="00B27AF8"/>
    <w:rsid w:val="00B309D2"/>
    <w:rsid w:val="00B313A2"/>
    <w:rsid w:val="00B31E5F"/>
    <w:rsid w:val="00B3214D"/>
    <w:rsid w:val="00B34688"/>
    <w:rsid w:val="00B349EF"/>
    <w:rsid w:val="00B34D91"/>
    <w:rsid w:val="00B34F72"/>
    <w:rsid w:val="00B364E1"/>
    <w:rsid w:val="00B3708B"/>
    <w:rsid w:val="00B374A3"/>
    <w:rsid w:val="00B40070"/>
    <w:rsid w:val="00B40BB9"/>
    <w:rsid w:val="00B40CF1"/>
    <w:rsid w:val="00B4153D"/>
    <w:rsid w:val="00B41C31"/>
    <w:rsid w:val="00B426D7"/>
    <w:rsid w:val="00B42760"/>
    <w:rsid w:val="00B42A49"/>
    <w:rsid w:val="00B42B8B"/>
    <w:rsid w:val="00B433A7"/>
    <w:rsid w:val="00B43567"/>
    <w:rsid w:val="00B4396C"/>
    <w:rsid w:val="00B43EDC"/>
    <w:rsid w:val="00B43F83"/>
    <w:rsid w:val="00B45666"/>
    <w:rsid w:val="00B4581F"/>
    <w:rsid w:val="00B463AF"/>
    <w:rsid w:val="00B46473"/>
    <w:rsid w:val="00B47184"/>
    <w:rsid w:val="00B500B6"/>
    <w:rsid w:val="00B50C8A"/>
    <w:rsid w:val="00B5164A"/>
    <w:rsid w:val="00B527F8"/>
    <w:rsid w:val="00B529D4"/>
    <w:rsid w:val="00B5319D"/>
    <w:rsid w:val="00B55B34"/>
    <w:rsid w:val="00B55C3E"/>
    <w:rsid w:val="00B5686F"/>
    <w:rsid w:val="00B571F9"/>
    <w:rsid w:val="00B607C2"/>
    <w:rsid w:val="00B615BE"/>
    <w:rsid w:val="00B61C0C"/>
    <w:rsid w:val="00B61F37"/>
    <w:rsid w:val="00B623DB"/>
    <w:rsid w:val="00B633C4"/>
    <w:rsid w:val="00B634FC"/>
    <w:rsid w:val="00B6457F"/>
    <w:rsid w:val="00B6475E"/>
    <w:rsid w:val="00B660C4"/>
    <w:rsid w:val="00B67445"/>
    <w:rsid w:val="00B67D30"/>
    <w:rsid w:val="00B67FB6"/>
    <w:rsid w:val="00B70269"/>
    <w:rsid w:val="00B7065E"/>
    <w:rsid w:val="00B708FA"/>
    <w:rsid w:val="00B70DBC"/>
    <w:rsid w:val="00B710F0"/>
    <w:rsid w:val="00B718B5"/>
    <w:rsid w:val="00B7230C"/>
    <w:rsid w:val="00B727A7"/>
    <w:rsid w:val="00B72A14"/>
    <w:rsid w:val="00B72FD3"/>
    <w:rsid w:val="00B73908"/>
    <w:rsid w:val="00B73965"/>
    <w:rsid w:val="00B7398B"/>
    <w:rsid w:val="00B73D53"/>
    <w:rsid w:val="00B749E9"/>
    <w:rsid w:val="00B75E51"/>
    <w:rsid w:val="00B76B13"/>
    <w:rsid w:val="00B76E71"/>
    <w:rsid w:val="00B77794"/>
    <w:rsid w:val="00B77C38"/>
    <w:rsid w:val="00B80078"/>
    <w:rsid w:val="00B80302"/>
    <w:rsid w:val="00B807E8"/>
    <w:rsid w:val="00B80E5A"/>
    <w:rsid w:val="00B80FCE"/>
    <w:rsid w:val="00B811EB"/>
    <w:rsid w:val="00B813A4"/>
    <w:rsid w:val="00B818E4"/>
    <w:rsid w:val="00B83946"/>
    <w:rsid w:val="00B83DF4"/>
    <w:rsid w:val="00B84C32"/>
    <w:rsid w:val="00B84CFC"/>
    <w:rsid w:val="00B84E49"/>
    <w:rsid w:val="00B84E6C"/>
    <w:rsid w:val="00B85446"/>
    <w:rsid w:val="00B859FA"/>
    <w:rsid w:val="00B85B8D"/>
    <w:rsid w:val="00B86033"/>
    <w:rsid w:val="00B86688"/>
    <w:rsid w:val="00B86C8F"/>
    <w:rsid w:val="00B86D95"/>
    <w:rsid w:val="00B90904"/>
    <w:rsid w:val="00B91768"/>
    <w:rsid w:val="00B927F3"/>
    <w:rsid w:val="00B92CB4"/>
    <w:rsid w:val="00B9313F"/>
    <w:rsid w:val="00B93508"/>
    <w:rsid w:val="00B93E72"/>
    <w:rsid w:val="00B93FA7"/>
    <w:rsid w:val="00B952E2"/>
    <w:rsid w:val="00B955F2"/>
    <w:rsid w:val="00B95678"/>
    <w:rsid w:val="00B95DF0"/>
    <w:rsid w:val="00B96A46"/>
    <w:rsid w:val="00B96FE2"/>
    <w:rsid w:val="00BA0264"/>
    <w:rsid w:val="00BA0309"/>
    <w:rsid w:val="00BA031A"/>
    <w:rsid w:val="00BA04CB"/>
    <w:rsid w:val="00BA1417"/>
    <w:rsid w:val="00BA167C"/>
    <w:rsid w:val="00BA347D"/>
    <w:rsid w:val="00BA3CEE"/>
    <w:rsid w:val="00BA4495"/>
    <w:rsid w:val="00BA492F"/>
    <w:rsid w:val="00BA5CED"/>
    <w:rsid w:val="00BA655E"/>
    <w:rsid w:val="00BA6772"/>
    <w:rsid w:val="00BA6F98"/>
    <w:rsid w:val="00BA749E"/>
    <w:rsid w:val="00BA7F65"/>
    <w:rsid w:val="00BB046A"/>
    <w:rsid w:val="00BB0BF9"/>
    <w:rsid w:val="00BB238F"/>
    <w:rsid w:val="00BB2486"/>
    <w:rsid w:val="00BB2762"/>
    <w:rsid w:val="00BB3BBA"/>
    <w:rsid w:val="00BB3F08"/>
    <w:rsid w:val="00BB434B"/>
    <w:rsid w:val="00BB460E"/>
    <w:rsid w:val="00BB47A7"/>
    <w:rsid w:val="00BB48EE"/>
    <w:rsid w:val="00BB5207"/>
    <w:rsid w:val="00BB6C77"/>
    <w:rsid w:val="00BB73BC"/>
    <w:rsid w:val="00BB77E5"/>
    <w:rsid w:val="00BB796A"/>
    <w:rsid w:val="00BB7B14"/>
    <w:rsid w:val="00BC062C"/>
    <w:rsid w:val="00BC2CBB"/>
    <w:rsid w:val="00BC3154"/>
    <w:rsid w:val="00BC3B87"/>
    <w:rsid w:val="00BC501D"/>
    <w:rsid w:val="00BC76BD"/>
    <w:rsid w:val="00BD0546"/>
    <w:rsid w:val="00BD0869"/>
    <w:rsid w:val="00BD2F78"/>
    <w:rsid w:val="00BD3B78"/>
    <w:rsid w:val="00BD4296"/>
    <w:rsid w:val="00BD42E3"/>
    <w:rsid w:val="00BD496F"/>
    <w:rsid w:val="00BD510D"/>
    <w:rsid w:val="00BD53DE"/>
    <w:rsid w:val="00BD5FE2"/>
    <w:rsid w:val="00BD6472"/>
    <w:rsid w:val="00BD69AC"/>
    <w:rsid w:val="00BD6AA6"/>
    <w:rsid w:val="00BD7021"/>
    <w:rsid w:val="00BD73D7"/>
    <w:rsid w:val="00BD7E6E"/>
    <w:rsid w:val="00BE0484"/>
    <w:rsid w:val="00BE06E6"/>
    <w:rsid w:val="00BE0D6E"/>
    <w:rsid w:val="00BE1C65"/>
    <w:rsid w:val="00BE1F7C"/>
    <w:rsid w:val="00BE260D"/>
    <w:rsid w:val="00BE28E0"/>
    <w:rsid w:val="00BE3A23"/>
    <w:rsid w:val="00BE413A"/>
    <w:rsid w:val="00BE43BF"/>
    <w:rsid w:val="00BE4648"/>
    <w:rsid w:val="00BE4B7A"/>
    <w:rsid w:val="00BE4DFD"/>
    <w:rsid w:val="00BE5358"/>
    <w:rsid w:val="00BE5850"/>
    <w:rsid w:val="00BE6DA8"/>
    <w:rsid w:val="00BE7619"/>
    <w:rsid w:val="00BF068C"/>
    <w:rsid w:val="00BF15F3"/>
    <w:rsid w:val="00BF465B"/>
    <w:rsid w:val="00BF5068"/>
    <w:rsid w:val="00BF5649"/>
    <w:rsid w:val="00BF5808"/>
    <w:rsid w:val="00BF5BB2"/>
    <w:rsid w:val="00BF5F24"/>
    <w:rsid w:val="00BF60AB"/>
    <w:rsid w:val="00BF7054"/>
    <w:rsid w:val="00BF7674"/>
    <w:rsid w:val="00C00CDA"/>
    <w:rsid w:val="00C010BE"/>
    <w:rsid w:val="00C01384"/>
    <w:rsid w:val="00C03CF5"/>
    <w:rsid w:val="00C03F9F"/>
    <w:rsid w:val="00C047AB"/>
    <w:rsid w:val="00C04865"/>
    <w:rsid w:val="00C05893"/>
    <w:rsid w:val="00C06A0E"/>
    <w:rsid w:val="00C06B42"/>
    <w:rsid w:val="00C10039"/>
    <w:rsid w:val="00C10E3F"/>
    <w:rsid w:val="00C111BF"/>
    <w:rsid w:val="00C11C04"/>
    <w:rsid w:val="00C12656"/>
    <w:rsid w:val="00C14920"/>
    <w:rsid w:val="00C14D7B"/>
    <w:rsid w:val="00C15AD7"/>
    <w:rsid w:val="00C169EE"/>
    <w:rsid w:val="00C17138"/>
    <w:rsid w:val="00C17A96"/>
    <w:rsid w:val="00C203BA"/>
    <w:rsid w:val="00C21883"/>
    <w:rsid w:val="00C219F7"/>
    <w:rsid w:val="00C2241C"/>
    <w:rsid w:val="00C228AC"/>
    <w:rsid w:val="00C2372C"/>
    <w:rsid w:val="00C24EF1"/>
    <w:rsid w:val="00C25B97"/>
    <w:rsid w:val="00C2662F"/>
    <w:rsid w:val="00C26C50"/>
    <w:rsid w:val="00C26F51"/>
    <w:rsid w:val="00C275E7"/>
    <w:rsid w:val="00C27E21"/>
    <w:rsid w:val="00C27FD7"/>
    <w:rsid w:val="00C315E4"/>
    <w:rsid w:val="00C3175F"/>
    <w:rsid w:val="00C3185B"/>
    <w:rsid w:val="00C31C39"/>
    <w:rsid w:val="00C32A54"/>
    <w:rsid w:val="00C33888"/>
    <w:rsid w:val="00C33F8B"/>
    <w:rsid w:val="00C34381"/>
    <w:rsid w:val="00C34A6A"/>
    <w:rsid w:val="00C34C7A"/>
    <w:rsid w:val="00C34E72"/>
    <w:rsid w:val="00C35452"/>
    <w:rsid w:val="00C3578B"/>
    <w:rsid w:val="00C35A65"/>
    <w:rsid w:val="00C35FC0"/>
    <w:rsid w:val="00C36842"/>
    <w:rsid w:val="00C3769C"/>
    <w:rsid w:val="00C37968"/>
    <w:rsid w:val="00C41337"/>
    <w:rsid w:val="00C4154B"/>
    <w:rsid w:val="00C41B58"/>
    <w:rsid w:val="00C42955"/>
    <w:rsid w:val="00C432E5"/>
    <w:rsid w:val="00C43584"/>
    <w:rsid w:val="00C44A12"/>
    <w:rsid w:val="00C44B30"/>
    <w:rsid w:val="00C45282"/>
    <w:rsid w:val="00C455C2"/>
    <w:rsid w:val="00C45A80"/>
    <w:rsid w:val="00C46E10"/>
    <w:rsid w:val="00C477FB"/>
    <w:rsid w:val="00C503EC"/>
    <w:rsid w:val="00C50DDE"/>
    <w:rsid w:val="00C5165C"/>
    <w:rsid w:val="00C520E7"/>
    <w:rsid w:val="00C52BE0"/>
    <w:rsid w:val="00C52F4E"/>
    <w:rsid w:val="00C536E5"/>
    <w:rsid w:val="00C53B26"/>
    <w:rsid w:val="00C559F9"/>
    <w:rsid w:val="00C55AE1"/>
    <w:rsid w:val="00C55BC3"/>
    <w:rsid w:val="00C56384"/>
    <w:rsid w:val="00C56D9A"/>
    <w:rsid w:val="00C56FE3"/>
    <w:rsid w:val="00C57360"/>
    <w:rsid w:val="00C5763A"/>
    <w:rsid w:val="00C606E8"/>
    <w:rsid w:val="00C60AFB"/>
    <w:rsid w:val="00C60E89"/>
    <w:rsid w:val="00C62ABE"/>
    <w:rsid w:val="00C65EE5"/>
    <w:rsid w:val="00C667AC"/>
    <w:rsid w:val="00C667DD"/>
    <w:rsid w:val="00C6780C"/>
    <w:rsid w:val="00C678EC"/>
    <w:rsid w:val="00C70B74"/>
    <w:rsid w:val="00C7165D"/>
    <w:rsid w:val="00C71BC0"/>
    <w:rsid w:val="00C722FF"/>
    <w:rsid w:val="00C7231F"/>
    <w:rsid w:val="00C72C7A"/>
    <w:rsid w:val="00C7402A"/>
    <w:rsid w:val="00C75CAD"/>
    <w:rsid w:val="00C75E36"/>
    <w:rsid w:val="00C76818"/>
    <w:rsid w:val="00C76F67"/>
    <w:rsid w:val="00C77521"/>
    <w:rsid w:val="00C77CDB"/>
    <w:rsid w:val="00C77CF3"/>
    <w:rsid w:val="00C77E43"/>
    <w:rsid w:val="00C80F13"/>
    <w:rsid w:val="00C81301"/>
    <w:rsid w:val="00C8197F"/>
    <w:rsid w:val="00C81A0F"/>
    <w:rsid w:val="00C81A89"/>
    <w:rsid w:val="00C82456"/>
    <w:rsid w:val="00C82537"/>
    <w:rsid w:val="00C82DE3"/>
    <w:rsid w:val="00C8382B"/>
    <w:rsid w:val="00C83E6D"/>
    <w:rsid w:val="00C85BE3"/>
    <w:rsid w:val="00C86CB8"/>
    <w:rsid w:val="00C86EE3"/>
    <w:rsid w:val="00C87ACD"/>
    <w:rsid w:val="00C87AEE"/>
    <w:rsid w:val="00C90AD2"/>
    <w:rsid w:val="00C910D0"/>
    <w:rsid w:val="00C91645"/>
    <w:rsid w:val="00C91D35"/>
    <w:rsid w:val="00C91EB9"/>
    <w:rsid w:val="00C91F1E"/>
    <w:rsid w:val="00C91FA4"/>
    <w:rsid w:val="00C92017"/>
    <w:rsid w:val="00C92751"/>
    <w:rsid w:val="00C92F67"/>
    <w:rsid w:val="00C94654"/>
    <w:rsid w:val="00C94C2C"/>
    <w:rsid w:val="00C94D67"/>
    <w:rsid w:val="00C95176"/>
    <w:rsid w:val="00C96524"/>
    <w:rsid w:val="00CA0A03"/>
    <w:rsid w:val="00CA11D5"/>
    <w:rsid w:val="00CA1B5E"/>
    <w:rsid w:val="00CA2727"/>
    <w:rsid w:val="00CA28F6"/>
    <w:rsid w:val="00CA2DC8"/>
    <w:rsid w:val="00CA316B"/>
    <w:rsid w:val="00CA32F9"/>
    <w:rsid w:val="00CA32FD"/>
    <w:rsid w:val="00CA3647"/>
    <w:rsid w:val="00CA3DDA"/>
    <w:rsid w:val="00CA4F30"/>
    <w:rsid w:val="00CA5C2C"/>
    <w:rsid w:val="00CA5C43"/>
    <w:rsid w:val="00CA6088"/>
    <w:rsid w:val="00CA6AB4"/>
    <w:rsid w:val="00CA6E28"/>
    <w:rsid w:val="00CA7223"/>
    <w:rsid w:val="00CA7CD4"/>
    <w:rsid w:val="00CA7CDD"/>
    <w:rsid w:val="00CB04A7"/>
    <w:rsid w:val="00CB074D"/>
    <w:rsid w:val="00CB0B44"/>
    <w:rsid w:val="00CB10A2"/>
    <w:rsid w:val="00CB1124"/>
    <w:rsid w:val="00CB1D61"/>
    <w:rsid w:val="00CB2012"/>
    <w:rsid w:val="00CB2432"/>
    <w:rsid w:val="00CB24E5"/>
    <w:rsid w:val="00CB298C"/>
    <w:rsid w:val="00CB3567"/>
    <w:rsid w:val="00CB36E9"/>
    <w:rsid w:val="00CB3C49"/>
    <w:rsid w:val="00CB4354"/>
    <w:rsid w:val="00CB5749"/>
    <w:rsid w:val="00CB5D4F"/>
    <w:rsid w:val="00CB5F1C"/>
    <w:rsid w:val="00CB643D"/>
    <w:rsid w:val="00CB689C"/>
    <w:rsid w:val="00CB6A8E"/>
    <w:rsid w:val="00CC04E6"/>
    <w:rsid w:val="00CC055E"/>
    <w:rsid w:val="00CC11D4"/>
    <w:rsid w:val="00CC2942"/>
    <w:rsid w:val="00CC3A44"/>
    <w:rsid w:val="00CC49C6"/>
    <w:rsid w:val="00CC63A7"/>
    <w:rsid w:val="00CC68F7"/>
    <w:rsid w:val="00CC6D8A"/>
    <w:rsid w:val="00CC7265"/>
    <w:rsid w:val="00CC7900"/>
    <w:rsid w:val="00CD0464"/>
    <w:rsid w:val="00CD0DF0"/>
    <w:rsid w:val="00CD0FD4"/>
    <w:rsid w:val="00CD135E"/>
    <w:rsid w:val="00CD1599"/>
    <w:rsid w:val="00CD1D69"/>
    <w:rsid w:val="00CD28D4"/>
    <w:rsid w:val="00CD2DBD"/>
    <w:rsid w:val="00CD3D1C"/>
    <w:rsid w:val="00CD3F80"/>
    <w:rsid w:val="00CD4367"/>
    <w:rsid w:val="00CD5E7B"/>
    <w:rsid w:val="00CD6202"/>
    <w:rsid w:val="00CD710B"/>
    <w:rsid w:val="00CD71A2"/>
    <w:rsid w:val="00CD776F"/>
    <w:rsid w:val="00CE0024"/>
    <w:rsid w:val="00CE0957"/>
    <w:rsid w:val="00CE0D8F"/>
    <w:rsid w:val="00CE0D91"/>
    <w:rsid w:val="00CE20C9"/>
    <w:rsid w:val="00CE4492"/>
    <w:rsid w:val="00CE5702"/>
    <w:rsid w:val="00CE635D"/>
    <w:rsid w:val="00CE6D47"/>
    <w:rsid w:val="00CE7006"/>
    <w:rsid w:val="00CE729E"/>
    <w:rsid w:val="00CE7667"/>
    <w:rsid w:val="00CE7E19"/>
    <w:rsid w:val="00CE7FA2"/>
    <w:rsid w:val="00CF02A5"/>
    <w:rsid w:val="00CF0744"/>
    <w:rsid w:val="00CF19D9"/>
    <w:rsid w:val="00CF1B26"/>
    <w:rsid w:val="00CF22B9"/>
    <w:rsid w:val="00CF29A1"/>
    <w:rsid w:val="00CF2B4D"/>
    <w:rsid w:val="00CF2D2F"/>
    <w:rsid w:val="00CF4A4F"/>
    <w:rsid w:val="00CF4C88"/>
    <w:rsid w:val="00CF5363"/>
    <w:rsid w:val="00CF558A"/>
    <w:rsid w:val="00CF5CCB"/>
    <w:rsid w:val="00CF6041"/>
    <w:rsid w:val="00CF65F3"/>
    <w:rsid w:val="00CF680F"/>
    <w:rsid w:val="00CF7D4B"/>
    <w:rsid w:val="00D00C17"/>
    <w:rsid w:val="00D0100E"/>
    <w:rsid w:val="00D02631"/>
    <w:rsid w:val="00D02D15"/>
    <w:rsid w:val="00D0331E"/>
    <w:rsid w:val="00D0379D"/>
    <w:rsid w:val="00D038FF"/>
    <w:rsid w:val="00D040EB"/>
    <w:rsid w:val="00D04C43"/>
    <w:rsid w:val="00D051C5"/>
    <w:rsid w:val="00D0718A"/>
    <w:rsid w:val="00D07324"/>
    <w:rsid w:val="00D07E2B"/>
    <w:rsid w:val="00D07FF2"/>
    <w:rsid w:val="00D10269"/>
    <w:rsid w:val="00D10348"/>
    <w:rsid w:val="00D10E5B"/>
    <w:rsid w:val="00D1191F"/>
    <w:rsid w:val="00D122B7"/>
    <w:rsid w:val="00D124CF"/>
    <w:rsid w:val="00D131AD"/>
    <w:rsid w:val="00D1411E"/>
    <w:rsid w:val="00D1445F"/>
    <w:rsid w:val="00D14B86"/>
    <w:rsid w:val="00D14D82"/>
    <w:rsid w:val="00D152B8"/>
    <w:rsid w:val="00D17A02"/>
    <w:rsid w:val="00D17DA7"/>
    <w:rsid w:val="00D2029A"/>
    <w:rsid w:val="00D20EEF"/>
    <w:rsid w:val="00D21AD9"/>
    <w:rsid w:val="00D221CA"/>
    <w:rsid w:val="00D236D9"/>
    <w:rsid w:val="00D24624"/>
    <w:rsid w:val="00D24A06"/>
    <w:rsid w:val="00D26505"/>
    <w:rsid w:val="00D26D05"/>
    <w:rsid w:val="00D271CF"/>
    <w:rsid w:val="00D27628"/>
    <w:rsid w:val="00D3038A"/>
    <w:rsid w:val="00D304B0"/>
    <w:rsid w:val="00D30B02"/>
    <w:rsid w:val="00D30DA9"/>
    <w:rsid w:val="00D32D01"/>
    <w:rsid w:val="00D32E5D"/>
    <w:rsid w:val="00D330B0"/>
    <w:rsid w:val="00D330D7"/>
    <w:rsid w:val="00D33450"/>
    <w:rsid w:val="00D33468"/>
    <w:rsid w:val="00D33490"/>
    <w:rsid w:val="00D3489E"/>
    <w:rsid w:val="00D36160"/>
    <w:rsid w:val="00D367E4"/>
    <w:rsid w:val="00D36A6E"/>
    <w:rsid w:val="00D37078"/>
    <w:rsid w:val="00D371E0"/>
    <w:rsid w:val="00D376F8"/>
    <w:rsid w:val="00D4097D"/>
    <w:rsid w:val="00D41C73"/>
    <w:rsid w:val="00D42130"/>
    <w:rsid w:val="00D42E83"/>
    <w:rsid w:val="00D434C1"/>
    <w:rsid w:val="00D43A19"/>
    <w:rsid w:val="00D43BCD"/>
    <w:rsid w:val="00D4416F"/>
    <w:rsid w:val="00D44462"/>
    <w:rsid w:val="00D45DDC"/>
    <w:rsid w:val="00D46321"/>
    <w:rsid w:val="00D4651B"/>
    <w:rsid w:val="00D47C2D"/>
    <w:rsid w:val="00D47FAC"/>
    <w:rsid w:val="00D507C0"/>
    <w:rsid w:val="00D509A4"/>
    <w:rsid w:val="00D50D24"/>
    <w:rsid w:val="00D512C9"/>
    <w:rsid w:val="00D51364"/>
    <w:rsid w:val="00D51DD4"/>
    <w:rsid w:val="00D51FE5"/>
    <w:rsid w:val="00D52232"/>
    <w:rsid w:val="00D52EF8"/>
    <w:rsid w:val="00D538EF"/>
    <w:rsid w:val="00D5391E"/>
    <w:rsid w:val="00D53A76"/>
    <w:rsid w:val="00D54171"/>
    <w:rsid w:val="00D5427F"/>
    <w:rsid w:val="00D54679"/>
    <w:rsid w:val="00D5520B"/>
    <w:rsid w:val="00D55433"/>
    <w:rsid w:val="00D55C92"/>
    <w:rsid w:val="00D57947"/>
    <w:rsid w:val="00D60D1A"/>
    <w:rsid w:val="00D60D9F"/>
    <w:rsid w:val="00D615B4"/>
    <w:rsid w:val="00D61869"/>
    <w:rsid w:val="00D62FCC"/>
    <w:rsid w:val="00D63ACA"/>
    <w:rsid w:val="00D6429B"/>
    <w:rsid w:val="00D64D54"/>
    <w:rsid w:val="00D658FB"/>
    <w:rsid w:val="00D65FA5"/>
    <w:rsid w:val="00D662A7"/>
    <w:rsid w:val="00D6632E"/>
    <w:rsid w:val="00D664B7"/>
    <w:rsid w:val="00D66A34"/>
    <w:rsid w:val="00D66B61"/>
    <w:rsid w:val="00D66B9C"/>
    <w:rsid w:val="00D67696"/>
    <w:rsid w:val="00D67996"/>
    <w:rsid w:val="00D67B5F"/>
    <w:rsid w:val="00D7028A"/>
    <w:rsid w:val="00D70412"/>
    <w:rsid w:val="00D70497"/>
    <w:rsid w:val="00D70788"/>
    <w:rsid w:val="00D709F7"/>
    <w:rsid w:val="00D71085"/>
    <w:rsid w:val="00D722B3"/>
    <w:rsid w:val="00D72539"/>
    <w:rsid w:val="00D725AF"/>
    <w:rsid w:val="00D726A8"/>
    <w:rsid w:val="00D728A6"/>
    <w:rsid w:val="00D738F0"/>
    <w:rsid w:val="00D74094"/>
    <w:rsid w:val="00D7513D"/>
    <w:rsid w:val="00D75297"/>
    <w:rsid w:val="00D76213"/>
    <w:rsid w:val="00D76538"/>
    <w:rsid w:val="00D76DF3"/>
    <w:rsid w:val="00D7714F"/>
    <w:rsid w:val="00D77311"/>
    <w:rsid w:val="00D818A7"/>
    <w:rsid w:val="00D818E3"/>
    <w:rsid w:val="00D81E46"/>
    <w:rsid w:val="00D82070"/>
    <w:rsid w:val="00D82BBD"/>
    <w:rsid w:val="00D83959"/>
    <w:rsid w:val="00D8500F"/>
    <w:rsid w:val="00D869FC"/>
    <w:rsid w:val="00D8716A"/>
    <w:rsid w:val="00D87834"/>
    <w:rsid w:val="00D90B5F"/>
    <w:rsid w:val="00D915C9"/>
    <w:rsid w:val="00D917E3"/>
    <w:rsid w:val="00D91D58"/>
    <w:rsid w:val="00D923AA"/>
    <w:rsid w:val="00D925B9"/>
    <w:rsid w:val="00D92927"/>
    <w:rsid w:val="00D93EBF"/>
    <w:rsid w:val="00D94A9B"/>
    <w:rsid w:val="00D95266"/>
    <w:rsid w:val="00D9666E"/>
    <w:rsid w:val="00D967BC"/>
    <w:rsid w:val="00D96E5C"/>
    <w:rsid w:val="00D97722"/>
    <w:rsid w:val="00D97A2E"/>
    <w:rsid w:val="00DA05E0"/>
    <w:rsid w:val="00DA1006"/>
    <w:rsid w:val="00DA193D"/>
    <w:rsid w:val="00DA1CBD"/>
    <w:rsid w:val="00DA24DD"/>
    <w:rsid w:val="00DA26E9"/>
    <w:rsid w:val="00DA2BAB"/>
    <w:rsid w:val="00DA3071"/>
    <w:rsid w:val="00DA3A47"/>
    <w:rsid w:val="00DA3CED"/>
    <w:rsid w:val="00DA3E7B"/>
    <w:rsid w:val="00DA4A2F"/>
    <w:rsid w:val="00DA4E7F"/>
    <w:rsid w:val="00DA743B"/>
    <w:rsid w:val="00DB01CF"/>
    <w:rsid w:val="00DB0281"/>
    <w:rsid w:val="00DB06C1"/>
    <w:rsid w:val="00DB0827"/>
    <w:rsid w:val="00DB0B35"/>
    <w:rsid w:val="00DB1CC1"/>
    <w:rsid w:val="00DB2313"/>
    <w:rsid w:val="00DB3644"/>
    <w:rsid w:val="00DB3A52"/>
    <w:rsid w:val="00DB3D5B"/>
    <w:rsid w:val="00DB402B"/>
    <w:rsid w:val="00DB5260"/>
    <w:rsid w:val="00DB59ED"/>
    <w:rsid w:val="00DB671A"/>
    <w:rsid w:val="00DB69A3"/>
    <w:rsid w:val="00DB7296"/>
    <w:rsid w:val="00DB73D6"/>
    <w:rsid w:val="00DB78DD"/>
    <w:rsid w:val="00DC03F2"/>
    <w:rsid w:val="00DC0D40"/>
    <w:rsid w:val="00DC28FF"/>
    <w:rsid w:val="00DC2A38"/>
    <w:rsid w:val="00DC2AEA"/>
    <w:rsid w:val="00DC2D02"/>
    <w:rsid w:val="00DC3900"/>
    <w:rsid w:val="00DC399B"/>
    <w:rsid w:val="00DC39FE"/>
    <w:rsid w:val="00DC4186"/>
    <w:rsid w:val="00DC5B44"/>
    <w:rsid w:val="00DC5BE5"/>
    <w:rsid w:val="00DC5E1B"/>
    <w:rsid w:val="00DC67B0"/>
    <w:rsid w:val="00DC6D3C"/>
    <w:rsid w:val="00DC6E35"/>
    <w:rsid w:val="00DC70C8"/>
    <w:rsid w:val="00DC7C3F"/>
    <w:rsid w:val="00DD075F"/>
    <w:rsid w:val="00DD0FDB"/>
    <w:rsid w:val="00DD1083"/>
    <w:rsid w:val="00DD142C"/>
    <w:rsid w:val="00DD1628"/>
    <w:rsid w:val="00DD198F"/>
    <w:rsid w:val="00DD29BA"/>
    <w:rsid w:val="00DD2B7A"/>
    <w:rsid w:val="00DD3483"/>
    <w:rsid w:val="00DD428F"/>
    <w:rsid w:val="00DD4CAB"/>
    <w:rsid w:val="00DD4F97"/>
    <w:rsid w:val="00DD53C3"/>
    <w:rsid w:val="00DD61AE"/>
    <w:rsid w:val="00DD71AB"/>
    <w:rsid w:val="00DD7B35"/>
    <w:rsid w:val="00DE07AC"/>
    <w:rsid w:val="00DE08B1"/>
    <w:rsid w:val="00DE09D2"/>
    <w:rsid w:val="00DE1220"/>
    <w:rsid w:val="00DE16DB"/>
    <w:rsid w:val="00DE1A10"/>
    <w:rsid w:val="00DE1DE7"/>
    <w:rsid w:val="00DE2ED3"/>
    <w:rsid w:val="00DE5E90"/>
    <w:rsid w:val="00DE621D"/>
    <w:rsid w:val="00DE6F59"/>
    <w:rsid w:val="00DE7CB4"/>
    <w:rsid w:val="00DE7D1B"/>
    <w:rsid w:val="00DF104B"/>
    <w:rsid w:val="00DF2386"/>
    <w:rsid w:val="00DF3325"/>
    <w:rsid w:val="00DF522C"/>
    <w:rsid w:val="00DF5B65"/>
    <w:rsid w:val="00DF5B93"/>
    <w:rsid w:val="00DF5C1E"/>
    <w:rsid w:val="00DF5FC4"/>
    <w:rsid w:val="00DF78DE"/>
    <w:rsid w:val="00E008CE"/>
    <w:rsid w:val="00E00914"/>
    <w:rsid w:val="00E00AEF"/>
    <w:rsid w:val="00E00DFF"/>
    <w:rsid w:val="00E01854"/>
    <w:rsid w:val="00E01FF9"/>
    <w:rsid w:val="00E021E2"/>
    <w:rsid w:val="00E0415F"/>
    <w:rsid w:val="00E05A00"/>
    <w:rsid w:val="00E05FF2"/>
    <w:rsid w:val="00E0712F"/>
    <w:rsid w:val="00E0783F"/>
    <w:rsid w:val="00E07A48"/>
    <w:rsid w:val="00E11283"/>
    <w:rsid w:val="00E11FA3"/>
    <w:rsid w:val="00E12183"/>
    <w:rsid w:val="00E1242B"/>
    <w:rsid w:val="00E130C0"/>
    <w:rsid w:val="00E13322"/>
    <w:rsid w:val="00E13650"/>
    <w:rsid w:val="00E13AE9"/>
    <w:rsid w:val="00E13B14"/>
    <w:rsid w:val="00E13B28"/>
    <w:rsid w:val="00E13DBB"/>
    <w:rsid w:val="00E14111"/>
    <w:rsid w:val="00E14251"/>
    <w:rsid w:val="00E14824"/>
    <w:rsid w:val="00E1527C"/>
    <w:rsid w:val="00E15C02"/>
    <w:rsid w:val="00E1608B"/>
    <w:rsid w:val="00E160C8"/>
    <w:rsid w:val="00E163F7"/>
    <w:rsid w:val="00E1655F"/>
    <w:rsid w:val="00E16B07"/>
    <w:rsid w:val="00E17347"/>
    <w:rsid w:val="00E17D1F"/>
    <w:rsid w:val="00E2016C"/>
    <w:rsid w:val="00E207B5"/>
    <w:rsid w:val="00E209FE"/>
    <w:rsid w:val="00E20E05"/>
    <w:rsid w:val="00E211F4"/>
    <w:rsid w:val="00E212DA"/>
    <w:rsid w:val="00E21CE4"/>
    <w:rsid w:val="00E21FBB"/>
    <w:rsid w:val="00E21FDE"/>
    <w:rsid w:val="00E22252"/>
    <w:rsid w:val="00E22716"/>
    <w:rsid w:val="00E22EDA"/>
    <w:rsid w:val="00E240CC"/>
    <w:rsid w:val="00E2434A"/>
    <w:rsid w:val="00E24BA5"/>
    <w:rsid w:val="00E25085"/>
    <w:rsid w:val="00E26159"/>
    <w:rsid w:val="00E26690"/>
    <w:rsid w:val="00E27A08"/>
    <w:rsid w:val="00E27CE4"/>
    <w:rsid w:val="00E3005A"/>
    <w:rsid w:val="00E301B9"/>
    <w:rsid w:val="00E30A3D"/>
    <w:rsid w:val="00E30C86"/>
    <w:rsid w:val="00E31C1D"/>
    <w:rsid w:val="00E3203A"/>
    <w:rsid w:val="00E325C1"/>
    <w:rsid w:val="00E32DC3"/>
    <w:rsid w:val="00E3340B"/>
    <w:rsid w:val="00E33F2B"/>
    <w:rsid w:val="00E33FAC"/>
    <w:rsid w:val="00E3523C"/>
    <w:rsid w:val="00E35241"/>
    <w:rsid w:val="00E35761"/>
    <w:rsid w:val="00E37D25"/>
    <w:rsid w:val="00E37EA1"/>
    <w:rsid w:val="00E37EEB"/>
    <w:rsid w:val="00E40004"/>
    <w:rsid w:val="00E40299"/>
    <w:rsid w:val="00E41105"/>
    <w:rsid w:val="00E417E0"/>
    <w:rsid w:val="00E4262F"/>
    <w:rsid w:val="00E42AD4"/>
    <w:rsid w:val="00E42B4A"/>
    <w:rsid w:val="00E42ECC"/>
    <w:rsid w:val="00E4472B"/>
    <w:rsid w:val="00E44C43"/>
    <w:rsid w:val="00E44DBB"/>
    <w:rsid w:val="00E458C2"/>
    <w:rsid w:val="00E45DFF"/>
    <w:rsid w:val="00E46839"/>
    <w:rsid w:val="00E469C7"/>
    <w:rsid w:val="00E469F9"/>
    <w:rsid w:val="00E479B7"/>
    <w:rsid w:val="00E5022A"/>
    <w:rsid w:val="00E511E1"/>
    <w:rsid w:val="00E520B7"/>
    <w:rsid w:val="00E52223"/>
    <w:rsid w:val="00E5291E"/>
    <w:rsid w:val="00E533BB"/>
    <w:rsid w:val="00E54483"/>
    <w:rsid w:val="00E5477F"/>
    <w:rsid w:val="00E54D8B"/>
    <w:rsid w:val="00E55E20"/>
    <w:rsid w:val="00E562EE"/>
    <w:rsid w:val="00E563F0"/>
    <w:rsid w:val="00E56D74"/>
    <w:rsid w:val="00E577D7"/>
    <w:rsid w:val="00E5798F"/>
    <w:rsid w:val="00E60768"/>
    <w:rsid w:val="00E6280A"/>
    <w:rsid w:val="00E63EFC"/>
    <w:rsid w:val="00E64403"/>
    <w:rsid w:val="00E64717"/>
    <w:rsid w:val="00E64C83"/>
    <w:rsid w:val="00E65CCC"/>
    <w:rsid w:val="00E667DC"/>
    <w:rsid w:val="00E66EA4"/>
    <w:rsid w:val="00E709DD"/>
    <w:rsid w:val="00E709F7"/>
    <w:rsid w:val="00E716AB"/>
    <w:rsid w:val="00E719B4"/>
    <w:rsid w:val="00E73172"/>
    <w:rsid w:val="00E73234"/>
    <w:rsid w:val="00E734C1"/>
    <w:rsid w:val="00E738CE"/>
    <w:rsid w:val="00E7406B"/>
    <w:rsid w:val="00E741DA"/>
    <w:rsid w:val="00E7493A"/>
    <w:rsid w:val="00E749FC"/>
    <w:rsid w:val="00E74E17"/>
    <w:rsid w:val="00E74EC0"/>
    <w:rsid w:val="00E7518B"/>
    <w:rsid w:val="00E7677A"/>
    <w:rsid w:val="00E76A0A"/>
    <w:rsid w:val="00E76BF3"/>
    <w:rsid w:val="00E77432"/>
    <w:rsid w:val="00E7788F"/>
    <w:rsid w:val="00E77DDE"/>
    <w:rsid w:val="00E80B5E"/>
    <w:rsid w:val="00E80D7D"/>
    <w:rsid w:val="00E8157C"/>
    <w:rsid w:val="00E81DB9"/>
    <w:rsid w:val="00E81E9C"/>
    <w:rsid w:val="00E81FA7"/>
    <w:rsid w:val="00E831FB"/>
    <w:rsid w:val="00E837EE"/>
    <w:rsid w:val="00E83C13"/>
    <w:rsid w:val="00E83EBF"/>
    <w:rsid w:val="00E85146"/>
    <w:rsid w:val="00E852D5"/>
    <w:rsid w:val="00E859AC"/>
    <w:rsid w:val="00E85ED0"/>
    <w:rsid w:val="00E85F82"/>
    <w:rsid w:val="00E86842"/>
    <w:rsid w:val="00E86AEE"/>
    <w:rsid w:val="00E86D81"/>
    <w:rsid w:val="00E8726E"/>
    <w:rsid w:val="00E8769A"/>
    <w:rsid w:val="00E87CC7"/>
    <w:rsid w:val="00E901DC"/>
    <w:rsid w:val="00E903FD"/>
    <w:rsid w:val="00E907B1"/>
    <w:rsid w:val="00E90BAB"/>
    <w:rsid w:val="00E90DCD"/>
    <w:rsid w:val="00E91851"/>
    <w:rsid w:val="00E926FF"/>
    <w:rsid w:val="00E929D3"/>
    <w:rsid w:val="00E93473"/>
    <w:rsid w:val="00E94849"/>
    <w:rsid w:val="00E948DE"/>
    <w:rsid w:val="00E96106"/>
    <w:rsid w:val="00E96B7C"/>
    <w:rsid w:val="00E96DA7"/>
    <w:rsid w:val="00E9781C"/>
    <w:rsid w:val="00E97EF6"/>
    <w:rsid w:val="00EA0A4E"/>
    <w:rsid w:val="00EA0B40"/>
    <w:rsid w:val="00EA0F20"/>
    <w:rsid w:val="00EA1430"/>
    <w:rsid w:val="00EA1900"/>
    <w:rsid w:val="00EA199B"/>
    <w:rsid w:val="00EA373F"/>
    <w:rsid w:val="00EA3B7C"/>
    <w:rsid w:val="00EA3F63"/>
    <w:rsid w:val="00EA4222"/>
    <w:rsid w:val="00EA445A"/>
    <w:rsid w:val="00EA5298"/>
    <w:rsid w:val="00EA61BA"/>
    <w:rsid w:val="00EA62A4"/>
    <w:rsid w:val="00EA7938"/>
    <w:rsid w:val="00EA7942"/>
    <w:rsid w:val="00EA7B04"/>
    <w:rsid w:val="00EB0B27"/>
    <w:rsid w:val="00EB118F"/>
    <w:rsid w:val="00EB1492"/>
    <w:rsid w:val="00EB1C9A"/>
    <w:rsid w:val="00EB1D27"/>
    <w:rsid w:val="00EB24D9"/>
    <w:rsid w:val="00EB28DC"/>
    <w:rsid w:val="00EB2F8B"/>
    <w:rsid w:val="00EB32C9"/>
    <w:rsid w:val="00EB3434"/>
    <w:rsid w:val="00EB4F7F"/>
    <w:rsid w:val="00EB6872"/>
    <w:rsid w:val="00EB68D7"/>
    <w:rsid w:val="00EB799D"/>
    <w:rsid w:val="00EC04F5"/>
    <w:rsid w:val="00EC0899"/>
    <w:rsid w:val="00EC0A03"/>
    <w:rsid w:val="00EC0AC6"/>
    <w:rsid w:val="00EC1215"/>
    <w:rsid w:val="00EC1BD2"/>
    <w:rsid w:val="00EC1CFB"/>
    <w:rsid w:val="00EC2129"/>
    <w:rsid w:val="00EC2970"/>
    <w:rsid w:val="00EC2D33"/>
    <w:rsid w:val="00EC3A26"/>
    <w:rsid w:val="00EC404F"/>
    <w:rsid w:val="00EC4565"/>
    <w:rsid w:val="00EC495B"/>
    <w:rsid w:val="00EC5675"/>
    <w:rsid w:val="00EC58CD"/>
    <w:rsid w:val="00EC5E44"/>
    <w:rsid w:val="00EC6306"/>
    <w:rsid w:val="00EC65E1"/>
    <w:rsid w:val="00EC70F3"/>
    <w:rsid w:val="00EC7798"/>
    <w:rsid w:val="00EC7889"/>
    <w:rsid w:val="00EC7CAE"/>
    <w:rsid w:val="00ED04CC"/>
    <w:rsid w:val="00ED0AE2"/>
    <w:rsid w:val="00ED118C"/>
    <w:rsid w:val="00ED1D46"/>
    <w:rsid w:val="00ED210D"/>
    <w:rsid w:val="00ED2403"/>
    <w:rsid w:val="00ED27FE"/>
    <w:rsid w:val="00ED2B44"/>
    <w:rsid w:val="00ED34F8"/>
    <w:rsid w:val="00ED3509"/>
    <w:rsid w:val="00ED396C"/>
    <w:rsid w:val="00ED49F3"/>
    <w:rsid w:val="00ED5E7D"/>
    <w:rsid w:val="00ED6116"/>
    <w:rsid w:val="00ED7120"/>
    <w:rsid w:val="00EE02B8"/>
    <w:rsid w:val="00EE092C"/>
    <w:rsid w:val="00EE0C3A"/>
    <w:rsid w:val="00EE111A"/>
    <w:rsid w:val="00EE1289"/>
    <w:rsid w:val="00EE1E7E"/>
    <w:rsid w:val="00EE3313"/>
    <w:rsid w:val="00EE379D"/>
    <w:rsid w:val="00EE37EF"/>
    <w:rsid w:val="00EE3CFF"/>
    <w:rsid w:val="00EE5F59"/>
    <w:rsid w:val="00EE5FEC"/>
    <w:rsid w:val="00EE6346"/>
    <w:rsid w:val="00EE6583"/>
    <w:rsid w:val="00EE66CC"/>
    <w:rsid w:val="00EE6E25"/>
    <w:rsid w:val="00EE7424"/>
    <w:rsid w:val="00EE7FF4"/>
    <w:rsid w:val="00EF0C69"/>
    <w:rsid w:val="00EF110C"/>
    <w:rsid w:val="00EF1644"/>
    <w:rsid w:val="00EF1D8F"/>
    <w:rsid w:val="00EF1D98"/>
    <w:rsid w:val="00EF2020"/>
    <w:rsid w:val="00EF2261"/>
    <w:rsid w:val="00EF260D"/>
    <w:rsid w:val="00EF3157"/>
    <w:rsid w:val="00EF341C"/>
    <w:rsid w:val="00EF3495"/>
    <w:rsid w:val="00EF43BC"/>
    <w:rsid w:val="00EF47C0"/>
    <w:rsid w:val="00EF4C7E"/>
    <w:rsid w:val="00EF5320"/>
    <w:rsid w:val="00EF57F5"/>
    <w:rsid w:val="00EF5844"/>
    <w:rsid w:val="00EF6667"/>
    <w:rsid w:val="00EF6853"/>
    <w:rsid w:val="00EF6AEA"/>
    <w:rsid w:val="00EF7639"/>
    <w:rsid w:val="00EF7859"/>
    <w:rsid w:val="00EF7AE4"/>
    <w:rsid w:val="00F00728"/>
    <w:rsid w:val="00F0099C"/>
    <w:rsid w:val="00F00F30"/>
    <w:rsid w:val="00F01571"/>
    <w:rsid w:val="00F0157F"/>
    <w:rsid w:val="00F01784"/>
    <w:rsid w:val="00F023C5"/>
    <w:rsid w:val="00F02A69"/>
    <w:rsid w:val="00F03685"/>
    <w:rsid w:val="00F0379C"/>
    <w:rsid w:val="00F03958"/>
    <w:rsid w:val="00F039BA"/>
    <w:rsid w:val="00F039ED"/>
    <w:rsid w:val="00F03C6D"/>
    <w:rsid w:val="00F04620"/>
    <w:rsid w:val="00F04993"/>
    <w:rsid w:val="00F04E48"/>
    <w:rsid w:val="00F058E8"/>
    <w:rsid w:val="00F05C17"/>
    <w:rsid w:val="00F05D5C"/>
    <w:rsid w:val="00F06B66"/>
    <w:rsid w:val="00F07A42"/>
    <w:rsid w:val="00F10418"/>
    <w:rsid w:val="00F11149"/>
    <w:rsid w:val="00F118D8"/>
    <w:rsid w:val="00F11CEE"/>
    <w:rsid w:val="00F11DB7"/>
    <w:rsid w:val="00F12209"/>
    <w:rsid w:val="00F12558"/>
    <w:rsid w:val="00F130F4"/>
    <w:rsid w:val="00F14BB4"/>
    <w:rsid w:val="00F14EB2"/>
    <w:rsid w:val="00F14FA0"/>
    <w:rsid w:val="00F15866"/>
    <w:rsid w:val="00F163A8"/>
    <w:rsid w:val="00F16A9D"/>
    <w:rsid w:val="00F1788E"/>
    <w:rsid w:val="00F17D6C"/>
    <w:rsid w:val="00F17F6C"/>
    <w:rsid w:val="00F2049A"/>
    <w:rsid w:val="00F20F78"/>
    <w:rsid w:val="00F21F83"/>
    <w:rsid w:val="00F22611"/>
    <w:rsid w:val="00F22975"/>
    <w:rsid w:val="00F2345C"/>
    <w:rsid w:val="00F237B4"/>
    <w:rsid w:val="00F24237"/>
    <w:rsid w:val="00F2450F"/>
    <w:rsid w:val="00F248DF"/>
    <w:rsid w:val="00F2558B"/>
    <w:rsid w:val="00F25C2D"/>
    <w:rsid w:val="00F2631A"/>
    <w:rsid w:val="00F267A3"/>
    <w:rsid w:val="00F3027B"/>
    <w:rsid w:val="00F30523"/>
    <w:rsid w:val="00F31A99"/>
    <w:rsid w:val="00F31B02"/>
    <w:rsid w:val="00F33A3C"/>
    <w:rsid w:val="00F345D3"/>
    <w:rsid w:val="00F346FC"/>
    <w:rsid w:val="00F352AF"/>
    <w:rsid w:val="00F35A99"/>
    <w:rsid w:val="00F35E83"/>
    <w:rsid w:val="00F35EE1"/>
    <w:rsid w:val="00F35F94"/>
    <w:rsid w:val="00F363AE"/>
    <w:rsid w:val="00F367B4"/>
    <w:rsid w:val="00F37567"/>
    <w:rsid w:val="00F3798C"/>
    <w:rsid w:val="00F37EB0"/>
    <w:rsid w:val="00F40803"/>
    <w:rsid w:val="00F40B5F"/>
    <w:rsid w:val="00F4128D"/>
    <w:rsid w:val="00F413C0"/>
    <w:rsid w:val="00F413F4"/>
    <w:rsid w:val="00F416E6"/>
    <w:rsid w:val="00F41743"/>
    <w:rsid w:val="00F41917"/>
    <w:rsid w:val="00F4198D"/>
    <w:rsid w:val="00F41A5D"/>
    <w:rsid w:val="00F4282D"/>
    <w:rsid w:val="00F43229"/>
    <w:rsid w:val="00F437EE"/>
    <w:rsid w:val="00F446B9"/>
    <w:rsid w:val="00F4540F"/>
    <w:rsid w:val="00F45E31"/>
    <w:rsid w:val="00F4604C"/>
    <w:rsid w:val="00F46247"/>
    <w:rsid w:val="00F47308"/>
    <w:rsid w:val="00F47B15"/>
    <w:rsid w:val="00F50309"/>
    <w:rsid w:val="00F51E7C"/>
    <w:rsid w:val="00F51EA1"/>
    <w:rsid w:val="00F526CF"/>
    <w:rsid w:val="00F5289F"/>
    <w:rsid w:val="00F52C8E"/>
    <w:rsid w:val="00F538E2"/>
    <w:rsid w:val="00F53BBC"/>
    <w:rsid w:val="00F54223"/>
    <w:rsid w:val="00F54386"/>
    <w:rsid w:val="00F546C0"/>
    <w:rsid w:val="00F547F7"/>
    <w:rsid w:val="00F54A48"/>
    <w:rsid w:val="00F5555C"/>
    <w:rsid w:val="00F55B55"/>
    <w:rsid w:val="00F5635A"/>
    <w:rsid w:val="00F56918"/>
    <w:rsid w:val="00F56C9A"/>
    <w:rsid w:val="00F56F4B"/>
    <w:rsid w:val="00F57A63"/>
    <w:rsid w:val="00F60A20"/>
    <w:rsid w:val="00F60BE0"/>
    <w:rsid w:val="00F615C8"/>
    <w:rsid w:val="00F61CBF"/>
    <w:rsid w:val="00F6297A"/>
    <w:rsid w:val="00F62D3B"/>
    <w:rsid w:val="00F6316B"/>
    <w:rsid w:val="00F634E5"/>
    <w:rsid w:val="00F643DA"/>
    <w:rsid w:val="00F64670"/>
    <w:rsid w:val="00F66733"/>
    <w:rsid w:val="00F6683C"/>
    <w:rsid w:val="00F67214"/>
    <w:rsid w:val="00F70915"/>
    <w:rsid w:val="00F70F61"/>
    <w:rsid w:val="00F7134E"/>
    <w:rsid w:val="00F717FE"/>
    <w:rsid w:val="00F719D6"/>
    <w:rsid w:val="00F71FB0"/>
    <w:rsid w:val="00F721BF"/>
    <w:rsid w:val="00F73779"/>
    <w:rsid w:val="00F73D05"/>
    <w:rsid w:val="00F7422A"/>
    <w:rsid w:val="00F742C2"/>
    <w:rsid w:val="00F74620"/>
    <w:rsid w:val="00F7499B"/>
    <w:rsid w:val="00F750A2"/>
    <w:rsid w:val="00F75144"/>
    <w:rsid w:val="00F75425"/>
    <w:rsid w:val="00F754B5"/>
    <w:rsid w:val="00F7570D"/>
    <w:rsid w:val="00F75ACC"/>
    <w:rsid w:val="00F75B30"/>
    <w:rsid w:val="00F76752"/>
    <w:rsid w:val="00F77142"/>
    <w:rsid w:val="00F77162"/>
    <w:rsid w:val="00F77541"/>
    <w:rsid w:val="00F80484"/>
    <w:rsid w:val="00F80E65"/>
    <w:rsid w:val="00F81CBF"/>
    <w:rsid w:val="00F81D51"/>
    <w:rsid w:val="00F820DE"/>
    <w:rsid w:val="00F822DC"/>
    <w:rsid w:val="00F825A0"/>
    <w:rsid w:val="00F8279F"/>
    <w:rsid w:val="00F82F9D"/>
    <w:rsid w:val="00F8485B"/>
    <w:rsid w:val="00F8502D"/>
    <w:rsid w:val="00F860CC"/>
    <w:rsid w:val="00F861BD"/>
    <w:rsid w:val="00F87026"/>
    <w:rsid w:val="00F8744D"/>
    <w:rsid w:val="00F87841"/>
    <w:rsid w:val="00F87A35"/>
    <w:rsid w:val="00F87D16"/>
    <w:rsid w:val="00F87E2E"/>
    <w:rsid w:val="00F904A1"/>
    <w:rsid w:val="00F90B4D"/>
    <w:rsid w:val="00F90ED9"/>
    <w:rsid w:val="00F91701"/>
    <w:rsid w:val="00F91BA0"/>
    <w:rsid w:val="00F91D83"/>
    <w:rsid w:val="00F92727"/>
    <w:rsid w:val="00F932F7"/>
    <w:rsid w:val="00F94C4F"/>
    <w:rsid w:val="00F965EA"/>
    <w:rsid w:val="00F967AD"/>
    <w:rsid w:val="00F96A1C"/>
    <w:rsid w:val="00FA040F"/>
    <w:rsid w:val="00FA12F0"/>
    <w:rsid w:val="00FA164B"/>
    <w:rsid w:val="00FA1CE1"/>
    <w:rsid w:val="00FA1D26"/>
    <w:rsid w:val="00FA1E06"/>
    <w:rsid w:val="00FA247B"/>
    <w:rsid w:val="00FA2770"/>
    <w:rsid w:val="00FA2D7B"/>
    <w:rsid w:val="00FA302E"/>
    <w:rsid w:val="00FA34B0"/>
    <w:rsid w:val="00FA3D33"/>
    <w:rsid w:val="00FA4484"/>
    <w:rsid w:val="00FA4A73"/>
    <w:rsid w:val="00FA50F1"/>
    <w:rsid w:val="00FA5885"/>
    <w:rsid w:val="00FA6571"/>
    <w:rsid w:val="00FA7950"/>
    <w:rsid w:val="00FA7A0E"/>
    <w:rsid w:val="00FA7D70"/>
    <w:rsid w:val="00FA7DF1"/>
    <w:rsid w:val="00FB01F7"/>
    <w:rsid w:val="00FB0627"/>
    <w:rsid w:val="00FB1202"/>
    <w:rsid w:val="00FB1992"/>
    <w:rsid w:val="00FB1DB0"/>
    <w:rsid w:val="00FB2797"/>
    <w:rsid w:val="00FB37F2"/>
    <w:rsid w:val="00FB42B8"/>
    <w:rsid w:val="00FB460C"/>
    <w:rsid w:val="00FB463D"/>
    <w:rsid w:val="00FB466F"/>
    <w:rsid w:val="00FB4BEA"/>
    <w:rsid w:val="00FB6020"/>
    <w:rsid w:val="00FB7309"/>
    <w:rsid w:val="00FB7AB9"/>
    <w:rsid w:val="00FC0467"/>
    <w:rsid w:val="00FC0A75"/>
    <w:rsid w:val="00FC0D1F"/>
    <w:rsid w:val="00FC0EFA"/>
    <w:rsid w:val="00FC1059"/>
    <w:rsid w:val="00FC15F4"/>
    <w:rsid w:val="00FC1D94"/>
    <w:rsid w:val="00FC1EBF"/>
    <w:rsid w:val="00FC1FBE"/>
    <w:rsid w:val="00FC235A"/>
    <w:rsid w:val="00FC48E4"/>
    <w:rsid w:val="00FC4ADC"/>
    <w:rsid w:val="00FC5431"/>
    <w:rsid w:val="00FC5ECB"/>
    <w:rsid w:val="00FC6BD3"/>
    <w:rsid w:val="00FC6D8E"/>
    <w:rsid w:val="00FC7934"/>
    <w:rsid w:val="00FC7F9B"/>
    <w:rsid w:val="00FD04DD"/>
    <w:rsid w:val="00FD0D56"/>
    <w:rsid w:val="00FD136B"/>
    <w:rsid w:val="00FD180B"/>
    <w:rsid w:val="00FD1D7B"/>
    <w:rsid w:val="00FD3627"/>
    <w:rsid w:val="00FD3BD2"/>
    <w:rsid w:val="00FD3C75"/>
    <w:rsid w:val="00FD3EC7"/>
    <w:rsid w:val="00FD3F3F"/>
    <w:rsid w:val="00FD4986"/>
    <w:rsid w:val="00FD603B"/>
    <w:rsid w:val="00FD7038"/>
    <w:rsid w:val="00FD7403"/>
    <w:rsid w:val="00FD79E4"/>
    <w:rsid w:val="00FD7A96"/>
    <w:rsid w:val="00FE0876"/>
    <w:rsid w:val="00FE1F29"/>
    <w:rsid w:val="00FE3068"/>
    <w:rsid w:val="00FE384A"/>
    <w:rsid w:val="00FE3DA0"/>
    <w:rsid w:val="00FE3EA2"/>
    <w:rsid w:val="00FE400C"/>
    <w:rsid w:val="00FE4328"/>
    <w:rsid w:val="00FE46BC"/>
    <w:rsid w:val="00FE4CE5"/>
    <w:rsid w:val="00FE4E77"/>
    <w:rsid w:val="00FE5F7F"/>
    <w:rsid w:val="00FE7002"/>
    <w:rsid w:val="00FE709F"/>
    <w:rsid w:val="00FE738C"/>
    <w:rsid w:val="00FE7DAA"/>
    <w:rsid w:val="00FF05D2"/>
    <w:rsid w:val="00FF2404"/>
    <w:rsid w:val="00FF2D0B"/>
    <w:rsid w:val="00FF3000"/>
    <w:rsid w:val="00FF3078"/>
    <w:rsid w:val="00FF37B4"/>
    <w:rsid w:val="00FF42C2"/>
    <w:rsid w:val="00FF4414"/>
    <w:rsid w:val="00FF47D8"/>
    <w:rsid w:val="00FF484E"/>
    <w:rsid w:val="00FF4C0A"/>
    <w:rsid w:val="00FF529B"/>
    <w:rsid w:val="00FF530B"/>
    <w:rsid w:val="00FF5713"/>
    <w:rsid w:val="00FF5D1E"/>
    <w:rsid w:val="00FF74C2"/>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ECC83"/>
  <w15:docId w15:val="{26149DD9-DCA3-448D-BABC-53334408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DD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FA302E"/>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FA302E"/>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B13B14"/>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742970"/>
    <w:pPr>
      <w:spacing w:after="200" w:line="276" w:lineRule="auto"/>
      <w:ind w:left="720"/>
      <w:contextualSpacing/>
    </w:pPr>
    <w:rPr>
      <w:rFonts w:ascii="Calibri" w:eastAsia="Calibri" w:hAnsi="Calibri"/>
      <w:sz w:val="22"/>
      <w:szCs w:val="22"/>
      <w:lang w:val="en-US" w:eastAsia="en-US"/>
    </w:r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742970"/>
    <w:rPr>
      <w:rFonts w:ascii="Calibri" w:eastAsia="Calibri" w:hAnsi="Calibri" w:cs="Times New Roman"/>
    </w:rPr>
  </w:style>
  <w:style w:type="paragraph" w:styleId="FootnoteText">
    <w:name w:val="footnote text"/>
    <w:aliases w:val="-E Fußnotentext,Char Char Char Char Char Char Char Char Char Char Char Char,Footnote,Fußnote,Fußnotentext Ursprung,Vēres teksts Char Char Char,Vēres teksts Char Char Char Char Char,footnote tex,ft,ft Rakstz.,ft Rakstz. Rakstz.,single space"/>
    <w:basedOn w:val="Normal"/>
    <w:link w:val="FootnoteTextChar"/>
    <w:uiPriority w:val="99"/>
    <w:unhideWhenUsed/>
    <w:qFormat/>
    <w:rsid w:val="00742970"/>
    <w:rPr>
      <w:rFonts w:asciiTheme="minorHAnsi" w:eastAsiaTheme="minorHAnsi" w:hAnsiTheme="minorHAnsi" w:cstheme="minorBidi"/>
      <w:sz w:val="20"/>
      <w:szCs w:val="20"/>
      <w:lang w:eastAsia="en-US"/>
    </w:rPr>
  </w:style>
  <w:style w:type="character" w:customStyle="1" w:styleId="FootnoteTextChar">
    <w:name w:val="Footnote Text Char"/>
    <w:aliases w:val="-E Fußnotentext Char,Char Char Char Char Char Char Char Char Char Char Char Char Char,Footnote Char,Fußnote Char,Fußnotentext Ursprung Char,Vēres teksts Char Char Char Char,Vēres teksts Char Char Char Char Char Char,footnote tex Char"/>
    <w:basedOn w:val="DefaultParagraphFont"/>
    <w:link w:val="FootnoteText"/>
    <w:uiPriority w:val="99"/>
    <w:rsid w:val="00742970"/>
    <w:rPr>
      <w:sz w:val="20"/>
      <w:szCs w:val="20"/>
      <w:lang w:val="lv-LV"/>
    </w:rPr>
  </w:style>
  <w:style w:type="character" w:styleId="FootnoteReference">
    <w:name w:val="footnote reference"/>
    <w:aliases w:val="BVI fnr,EN Footnote Reference,Footnote Reference Number,Footnote Reference Superscript,Footnote Reference text,Footnote reference number,Footnote sign,Footnote symboFußnotenzeichen,Footnote symbol,Ref,Times 10 Point,fr,ftref,note TESI"/>
    <w:basedOn w:val="DefaultParagraphFont"/>
    <w:link w:val="Char2"/>
    <w:uiPriority w:val="99"/>
    <w:unhideWhenUsed/>
    <w:qFormat/>
    <w:rsid w:val="00742970"/>
    <w:rPr>
      <w:vertAlign w:val="superscript"/>
    </w:rPr>
  </w:style>
  <w:style w:type="paragraph" w:customStyle="1" w:styleId="Char2">
    <w:name w:val="Char2"/>
    <w:aliases w:val="Char Char Char Char"/>
    <w:basedOn w:val="Normal"/>
    <w:next w:val="Normal"/>
    <w:link w:val="FootnoteReference"/>
    <w:uiPriority w:val="99"/>
    <w:rsid w:val="00742970"/>
    <w:pPr>
      <w:spacing w:after="160" w:line="240" w:lineRule="exact"/>
      <w:jc w:val="both"/>
      <w:textAlignment w:val="baseline"/>
    </w:pPr>
    <w:rPr>
      <w:rFonts w:asciiTheme="minorHAnsi" w:eastAsiaTheme="minorHAnsi" w:hAnsiTheme="minorHAnsi" w:cstheme="minorBidi"/>
      <w:sz w:val="22"/>
      <w:szCs w:val="22"/>
      <w:vertAlign w:val="superscript"/>
      <w:lang w:val="en-US" w:eastAsia="en-US"/>
    </w:rPr>
  </w:style>
  <w:style w:type="paragraph" w:styleId="BalloonText">
    <w:name w:val="Balloon Text"/>
    <w:basedOn w:val="Normal"/>
    <w:link w:val="BalloonTextChar"/>
    <w:uiPriority w:val="99"/>
    <w:semiHidden/>
    <w:unhideWhenUsed/>
    <w:rsid w:val="0074297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742970"/>
    <w:rPr>
      <w:rFonts w:ascii="Tahoma" w:hAnsi="Tahoma" w:cs="Tahoma"/>
      <w:sz w:val="16"/>
      <w:szCs w:val="16"/>
      <w:lang w:val="lv-LV"/>
    </w:rPr>
  </w:style>
  <w:style w:type="paragraph" w:customStyle="1" w:styleId="tv2132">
    <w:name w:val="tv2132"/>
    <w:basedOn w:val="Normal"/>
    <w:rsid w:val="00245344"/>
    <w:pPr>
      <w:spacing w:line="360" w:lineRule="auto"/>
      <w:ind w:firstLine="300"/>
    </w:pPr>
    <w:rPr>
      <w:color w:val="414142"/>
      <w:sz w:val="20"/>
      <w:szCs w:val="20"/>
    </w:rPr>
  </w:style>
  <w:style w:type="table" w:styleId="TableGrid">
    <w:name w:val="Table Grid"/>
    <w:basedOn w:val="TableNormal"/>
    <w:uiPriority w:val="59"/>
    <w:rsid w:val="0024534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245344"/>
    <w:pPr>
      <w:spacing w:before="100" w:beforeAutospacing="1" w:after="100" w:afterAutospacing="1"/>
    </w:pPr>
    <w:rPr>
      <w:lang w:bidi="lo-LA"/>
    </w:rPr>
  </w:style>
  <w:style w:type="paragraph" w:styleId="Header">
    <w:name w:val="header"/>
    <w:basedOn w:val="Normal"/>
    <w:link w:val="HeaderChar"/>
    <w:uiPriority w:val="99"/>
    <w:unhideWhenUsed/>
    <w:rsid w:val="00ED240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ED2403"/>
    <w:rPr>
      <w:lang w:val="lv-LV"/>
    </w:rPr>
  </w:style>
  <w:style w:type="paragraph" w:styleId="Footer">
    <w:name w:val="footer"/>
    <w:basedOn w:val="Normal"/>
    <w:link w:val="FooterChar"/>
    <w:uiPriority w:val="99"/>
    <w:unhideWhenUsed/>
    <w:rsid w:val="00ED240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ED2403"/>
    <w:rPr>
      <w:lang w:val="lv-LV"/>
    </w:rPr>
  </w:style>
  <w:style w:type="character" w:styleId="CommentReference">
    <w:name w:val="annotation reference"/>
    <w:basedOn w:val="DefaultParagraphFont"/>
    <w:uiPriority w:val="99"/>
    <w:semiHidden/>
    <w:unhideWhenUsed/>
    <w:rsid w:val="00291D09"/>
    <w:rPr>
      <w:sz w:val="16"/>
      <w:szCs w:val="16"/>
    </w:rPr>
  </w:style>
  <w:style w:type="paragraph" w:styleId="CommentText">
    <w:name w:val="annotation text"/>
    <w:basedOn w:val="Normal"/>
    <w:link w:val="CommentTextChar"/>
    <w:uiPriority w:val="99"/>
    <w:semiHidden/>
    <w:unhideWhenUsed/>
    <w:rsid w:val="00291D09"/>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91D09"/>
    <w:rPr>
      <w:sz w:val="20"/>
      <w:szCs w:val="20"/>
      <w:lang w:val="lv-LV"/>
    </w:rPr>
  </w:style>
  <w:style w:type="paragraph" w:styleId="CommentSubject">
    <w:name w:val="annotation subject"/>
    <w:basedOn w:val="CommentText"/>
    <w:next w:val="CommentText"/>
    <w:link w:val="CommentSubjectChar"/>
    <w:uiPriority w:val="99"/>
    <w:semiHidden/>
    <w:unhideWhenUsed/>
    <w:rsid w:val="00291D09"/>
    <w:rPr>
      <w:b/>
      <w:bCs/>
    </w:rPr>
  </w:style>
  <w:style w:type="character" w:customStyle="1" w:styleId="CommentSubjectChar">
    <w:name w:val="Comment Subject Char"/>
    <w:basedOn w:val="CommentTextChar"/>
    <w:link w:val="CommentSubject"/>
    <w:uiPriority w:val="99"/>
    <w:semiHidden/>
    <w:rsid w:val="00291D09"/>
    <w:rPr>
      <w:b/>
      <w:bCs/>
      <w:sz w:val="20"/>
      <w:szCs w:val="20"/>
      <w:lang w:val="lv-LV"/>
    </w:rPr>
  </w:style>
  <w:style w:type="character" w:customStyle="1" w:styleId="Heading1Char">
    <w:name w:val="Heading 1 Char"/>
    <w:basedOn w:val="DefaultParagraphFont"/>
    <w:link w:val="Heading1"/>
    <w:uiPriority w:val="9"/>
    <w:rsid w:val="00FA302E"/>
    <w:rPr>
      <w:rFonts w:asciiTheme="majorHAnsi" w:eastAsiaTheme="majorEastAsia" w:hAnsiTheme="majorHAnsi" w:cstheme="majorBidi"/>
      <w:color w:val="365F91" w:themeColor="accent1" w:themeShade="BF"/>
      <w:sz w:val="32"/>
      <w:szCs w:val="32"/>
      <w:lang w:val="lv-LV"/>
    </w:rPr>
  </w:style>
  <w:style w:type="character" w:customStyle="1" w:styleId="Heading2Char">
    <w:name w:val="Heading 2 Char"/>
    <w:basedOn w:val="DefaultParagraphFont"/>
    <w:link w:val="Heading2"/>
    <w:uiPriority w:val="9"/>
    <w:rsid w:val="00FA302E"/>
    <w:rPr>
      <w:rFonts w:asciiTheme="majorHAnsi" w:eastAsiaTheme="majorEastAsia" w:hAnsiTheme="majorHAnsi" w:cstheme="majorBidi"/>
      <w:color w:val="365F91" w:themeColor="accent1" w:themeShade="BF"/>
      <w:sz w:val="26"/>
      <w:szCs w:val="26"/>
      <w:lang w:val="lv-LV"/>
    </w:rPr>
  </w:style>
  <w:style w:type="paragraph" w:styleId="NormalWeb">
    <w:name w:val="Normal (Web)"/>
    <w:basedOn w:val="Normal"/>
    <w:uiPriority w:val="99"/>
    <w:unhideWhenUsed/>
    <w:rsid w:val="007F392F"/>
    <w:pPr>
      <w:spacing w:before="100" w:beforeAutospacing="1" w:after="100" w:afterAutospacing="1"/>
    </w:pPr>
  </w:style>
  <w:style w:type="paragraph" w:customStyle="1" w:styleId="1pakapesvirsraksts">
    <w:name w:val="1. pakapes virsraksts"/>
    <w:basedOn w:val="Normal"/>
    <w:rsid w:val="00BD53DE"/>
    <w:pPr>
      <w:numPr>
        <w:numId w:val="3"/>
      </w:numPr>
      <w:spacing w:after="200" w:line="276" w:lineRule="auto"/>
    </w:pPr>
    <w:rPr>
      <w:rFonts w:asciiTheme="minorHAnsi" w:eastAsiaTheme="minorHAnsi" w:hAnsiTheme="minorHAnsi" w:cstheme="minorBidi"/>
      <w:sz w:val="22"/>
      <w:szCs w:val="22"/>
      <w:lang w:eastAsia="en-US"/>
    </w:rPr>
  </w:style>
  <w:style w:type="paragraph" w:customStyle="1" w:styleId="2pakapesvirsraksts">
    <w:name w:val="2. pakapes virsraksts"/>
    <w:basedOn w:val="Normal"/>
    <w:rsid w:val="00BD53DE"/>
    <w:pPr>
      <w:numPr>
        <w:ilvl w:val="1"/>
        <w:numId w:val="3"/>
      </w:numPr>
      <w:spacing w:after="200" w:line="276" w:lineRule="auto"/>
      <w:ind w:left="547"/>
    </w:pPr>
    <w:rPr>
      <w:rFonts w:asciiTheme="minorHAnsi" w:eastAsiaTheme="minorHAnsi" w:hAnsiTheme="minorHAnsi" w:cstheme="minorBidi"/>
      <w:sz w:val="22"/>
      <w:szCs w:val="22"/>
      <w:lang w:eastAsia="en-US"/>
    </w:rPr>
  </w:style>
  <w:style w:type="paragraph" w:customStyle="1" w:styleId="3pakapesvirsraksts">
    <w:name w:val="3. pakapes virsraksts"/>
    <w:basedOn w:val="Normal"/>
    <w:rsid w:val="00BD53DE"/>
    <w:pPr>
      <w:numPr>
        <w:ilvl w:val="2"/>
        <w:numId w:val="3"/>
      </w:numPr>
      <w:spacing w:after="200" w:line="276" w:lineRule="auto"/>
    </w:pPr>
    <w:rPr>
      <w:rFonts w:asciiTheme="minorHAnsi" w:eastAsiaTheme="minorHAnsi" w:hAnsiTheme="minorHAnsi" w:cstheme="minorBidi"/>
      <w:sz w:val="22"/>
      <w:szCs w:val="22"/>
      <w:lang w:eastAsia="en-US"/>
    </w:rPr>
  </w:style>
  <w:style w:type="paragraph" w:customStyle="1" w:styleId="4pakapesvirsraksts">
    <w:name w:val="4. pakapes virsraksts"/>
    <w:basedOn w:val="Normal"/>
    <w:rsid w:val="00BD53DE"/>
    <w:pPr>
      <w:numPr>
        <w:ilvl w:val="3"/>
        <w:numId w:val="3"/>
      </w:numPr>
      <w:spacing w:after="200" w:line="276" w:lineRule="auto"/>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050ED4"/>
  </w:style>
  <w:style w:type="character" w:styleId="Hyperlink">
    <w:name w:val="Hyperlink"/>
    <w:basedOn w:val="DefaultParagraphFont"/>
    <w:uiPriority w:val="99"/>
    <w:unhideWhenUsed/>
    <w:rsid w:val="00050ED4"/>
    <w:rPr>
      <w:color w:val="0000FF"/>
      <w:u w:val="single"/>
    </w:rPr>
  </w:style>
  <w:style w:type="paragraph" w:styleId="NoSpacing">
    <w:name w:val="No Spacing"/>
    <w:aliases w:val="No Spacing1,Normal1,Parastais"/>
    <w:link w:val="NoSpacingChar"/>
    <w:uiPriority w:val="1"/>
    <w:qFormat/>
    <w:rsid w:val="00050ED4"/>
    <w:pPr>
      <w:spacing w:after="0" w:line="240" w:lineRule="auto"/>
    </w:pPr>
    <w:rPr>
      <w:rFonts w:ascii="Calibri" w:eastAsia="Calibri" w:hAnsi="Calibri" w:cs="DokChampa"/>
      <w:lang w:val="lv-LV"/>
    </w:rPr>
  </w:style>
  <w:style w:type="character" w:customStyle="1" w:styleId="NoSpacingChar">
    <w:name w:val="No Spacing Char"/>
    <w:aliases w:val="No Spacing1 Char,Normal1 Char,Parastais Char"/>
    <w:link w:val="NoSpacing"/>
    <w:uiPriority w:val="1"/>
    <w:rsid w:val="00050ED4"/>
    <w:rPr>
      <w:rFonts w:ascii="Calibri" w:eastAsia="Calibri" w:hAnsi="Calibri" w:cs="DokChampa"/>
      <w:lang w:val="lv-LV"/>
    </w:rPr>
  </w:style>
  <w:style w:type="character" w:customStyle="1" w:styleId="Heading3Char">
    <w:name w:val="Heading 3 Char"/>
    <w:basedOn w:val="DefaultParagraphFont"/>
    <w:link w:val="Heading3"/>
    <w:uiPriority w:val="9"/>
    <w:rsid w:val="00B13B14"/>
    <w:rPr>
      <w:rFonts w:asciiTheme="majorHAnsi" w:eastAsiaTheme="majorEastAsia" w:hAnsiTheme="majorHAnsi" w:cstheme="majorBidi"/>
      <w:color w:val="243F60" w:themeColor="accent1" w:themeShade="7F"/>
      <w:sz w:val="24"/>
      <w:szCs w:val="24"/>
      <w:lang w:val="lv-LV"/>
    </w:rPr>
  </w:style>
  <w:style w:type="paragraph" w:customStyle="1" w:styleId="xmsonormal">
    <w:name w:val="x_msonormal"/>
    <w:basedOn w:val="Normal"/>
    <w:rsid w:val="006804F3"/>
    <w:pPr>
      <w:spacing w:before="100" w:beforeAutospacing="1" w:after="100" w:afterAutospacing="1"/>
    </w:pPr>
  </w:style>
  <w:style w:type="paragraph" w:styleId="Revision">
    <w:name w:val="Revision"/>
    <w:hidden/>
    <w:uiPriority w:val="99"/>
    <w:semiHidden/>
    <w:rsid w:val="00010A18"/>
    <w:pPr>
      <w:spacing w:after="0" w:line="240" w:lineRule="auto"/>
    </w:pPr>
    <w:rPr>
      <w:lang w:val="lv-LV"/>
    </w:rPr>
  </w:style>
  <w:style w:type="character" w:styleId="Strong">
    <w:name w:val="Strong"/>
    <w:basedOn w:val="DefaultParagraphFont"/>
    <w:uiPriority w:val="22"/>
    <w:qFormat/>
    <w:rsid w:val="004A2619"/>
    <w:rPr>
      <w:b/>
      <w:bCs/>
    </w:rPr>
  </w:style>
  <w:style w:type="paragraph" w:styleId="BodyText2">
    <w:name w:val="Body Text 2"/>
    <w:basedOn w:val="Normal"/>
    <w:link w:val="BodyText2Char"/>
    <w:uiPriority w:val="99"/>
    <w:unhideWhenUsed/>
    <w:rsid w:val="003F1488"/>
    <w:pPr>
      <w:spacing w:after="120" w:line="480" w:lineRule="auto"/>
    </w:pPr>
  </w:style>
  <w:style w:type="character" w:customStyle="1" w:styleId="BodyText2Char">
    <w:name w:val="Body Text 2 Char"/>
    <w:basedOn w:val="DefaultParagraphFont"/>
    <w:link w:val="BodyText2"/>
    <w:uiPriority w:val="99"/>
    <w:rsid w:val="003F1488"/>
    <w:rPr>
      <w:rFonts w:ascii="Times New Roman" w:eastAsia="Times New Roman" w:hAnsi="Times New Roman" w:cs="Times New Roman"/>
      <w:sz w:val="24"/>
      <w:szCs w:val="24"/>
      <w:lang w:val="lv-LV" w:eastAsia="lv-LV"/>
    </w:rPr>
  </w:style>
  <w:style w:type="paragraph" w:customStyle="1" w:styleId="justifyfull">
    <w:name w:val="justifyfull"/>
    <w:basedOn w:val="Normal"/>
    <w:rsid w:val="00315B9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5916">
      <w:bodyDiv w:val="1"/>
      <w:marLeft w:val="0"/>
      <w:marRight w:val="0"/>
      <w:marTop w:val="0"/>
      <w:marBottom w:val="0"/>
      <w:divBdr>
        <w:top w:val="none" w:sz="0" w:space="0" w:color="auto"/>
        <w:left w:val="none" w:sz="0" w:space="0" w:color="auto"/>
        <w:bottom w:val="none" w:sz="0" w:space="0" w:color="auto"/>
        <w:right w:val="none" w:sz="0" w:space="0" w:color="auto"/>
      </w:divBdr>
      <w:divsChild>
        <w:div w:id="898592738">
          <w:marLeft w:val="720"/>
          <w:marRight w:val="0"/>
          <w:marTop w:val="0"/>
          <w:marBottom w:val="0"/>
          <w:divBdr>
            <w:top w:val="none" w:sz="0" w:space="0" w:color="auto"/>
            <w:left w:val="none" w:sz="0" w:space="0" w:color="auto"/>
            <w:bottom w:val="none" w:sz="0" w:space="0" w:color="auto"/>
            <w:right w:val="none" w:sz="0" w:space="0" w:color="auto"/>
          </w:divBdr>
        </w:div>
        <w:div w:id="1372001566">
          <w:marLeft w:val="1440"/>
          <w:marRight w:val="0"/>
          <w:marTop w:val="0"/>
          <w:marBottom w:val="0"/>
          <w:divBdr>
            <w:top w:val="none" w:sz="0" w:space="0" w:color="auto"/>
            <w:left w:val="none" w:sz="0" w:space="0" w:color="auto"/>
            <w:bottom w:val="none" w:sz="0" w:space="0" w:color="auto"/>
            <w:right w:val="none" w:sz="0" w:space="0" w:color="auto"/>
          </w:divBdr>
        </w:div>
        <w:div w:id="690181465">
          <w:marLeft w:val="1440"/>
          <w:marRight w:val="0"/>
          <w:marTop w:val="0"/>
          <w:marBottom w:val="0"/>
          <w:divBdr>
            <w:top w:val="none" w:sz="0" w:space="0" w:color="auto"/>
            <w:left w:val="none" w:sz="0" w:space="0" w:color="auto"/>
            <w:bottom w:val="none" w:sz="0" w:space="0" w:color="auto"/>
            <w:right w:val="none" w:sz="0" w:space="0" w:color="auto"/>
          </w:divBdr>
        </w:div>
        <w:div w:id="1549761174">
          <w:marLeft w:val="1440"/>
          <w:marRight w:val="0"/>
          <w:marTop w:val="0"/>
          <w:marBottom w:val="0"/>
          <w:divBdr>
            <w:top w:val="none" w:sz="0" w:space="0" w:color="auto"/>
            <w:left w:val="none" w:sz="0" w:space="0" w:color="auto"/>
            <w:bottom w:val="none" w:sz="0" w:space="0" w:color="auto"/>
            <w:right w:val="none" w:sz="0" w:space="0" w:color="auto"/>
          </w:divBdr>
        </w:div>
      </w:divsChild>
    </w:div>
    <w:div w:id="176239289">
      <w:bodyDiv w:val="1"/>
      <w:marLeft w:val="0"/>
      <w:marRight w:val="0"/>
      <w:marTop w:val="0"/>
      <w:marBottom w:val="0"/>
      <w:divBdr>
        <w:top w:val="none" w:sz="0" w:space="0" w:color="auto"/>
        <w:left w:val="none" w:sz="0" w:space="0" w:color="auto"/>
        <w:bottom w:val="none" w:sz="0" w:space="0" w:color="auto"/>
        <w:right w:val="none" w:sz="0" w:space="0" w:color="auto"/>
      </w:divBdr>
    </w:div>
    <w:div w:id="176846845">
      <w:bodyDiv w:val="1"/>
      <w:marLeft w:val="0"/>
      <w:marRight w:val="0"/>
      <w:marTop w:val="0"/>
      <w:marBottom w:val="0"/>
      <w:divBdr>
        <w:top w:val="none" w:sz="0" w:space="0" w:color="auto"/>
        <w:left w:val="none" w:sz="0" w:space="0" w:color="auto"/>
        <w:bottom w:val="none" w:sz="0" w:space="0" w:color="auto"/>
        <w:right w:val="none" w:sz="0" w:space="0" w:color="auto"/>
      </w:divBdr>
    </w:div>
    <w:div w:id="213275324">
      <w:bodyDiv w:val="1"/>
      <w:marLeft w:val="0"/>
      <w:marRight w:val="0"/>
      <w:marTop w:val="0"/>
      <w:marBottom w:val="0"/>
      <w:divBdr>
        <w:top w:val="none" w:sz="0" w:space="0" w:color="auto"/>
        <w:left w:val="none" w:sz="0" w:space="0" w:color="auto"/>
        <w:bottom w:val="none" w:sz="0" w:space="0" w:color="auto"/>
        <w:right w:val="none" w:sz="0" w:space="0" w:color="auto"/>
      </w:divBdr>
      <w:divsChild>
        <w:div w:id="1908105688">
          <w:marLeft w:val="720"/>
          <w:marRight w:val="0"/>
          <w:marTop w:val="0"/>
          <w:marBottom w:val="0"/>
          <w:divBdr>
            <w:top w:val="none" w:sz="0" w:space="0" w:color="auto"/>
            <w:left w:val="none" w:sz="0" w:space="0" w:color="auto"/>
            <w:bottom w:val="none" w:sz="0" w:space="0" w:color="auto"/>
            <w:right w:val="none" w:sz="0" w:space="0" w:color="auto"/>
          </w:divBdr>
        </w:div>
        <w:div w:id="935091945">
          <w:marLeft w:val="1440"/>
          <w:marRight w:val="0"/>
          <w:marTop w:val="0"/>
          <w:marBottom w:val="0"/>
          <w:divBdr>
            <w:top w:val="none" w:sz="0" w:space="0" w:color="auto"/>
            <w:left w:val="none" w:sz="0" w:space="0" w:color="auto"/>
            <w:bottom w:val="none" w:sz="0" w:space="0" w:color="auto"/>
            <w:right w:val="none" w:sz="0" w:space="0" w:color="auto"/>
          </w:divBdr>
        </w:div>
        <w:div w:id="1082678275">
          <w:marLeft w:val="1440"/>
          <w:marRight w:val="0"/>
          <w:marTop w:val="0"/>
          <w:marBottom w:val="0"/>
          <w:divBdr>
            <w:top w:val="none" w:sz="0" w:space="0" w:color="auto"/>
            <w:left w:val="none" w:sz="0" w:space="0" w:color="auto"/>
            <w:bottom w:val="none" w:sz="0" w:space="0" w:color="auto"/>
            <w:right w:val="none" w:sz="0" w:space="0" w:color="auto"/>
          </w:divBdr>
        </w:div>
      </w:divsChild>
    </w:div>
    <w:div w:id="268854331">
      <w:bodyDiv w:val="1"/>
      <w:marLeft w:val="0"/>
      <w:marRight w:val="0"/>
      <w:marTop w:val="0"/>
      <w:marBottom w:val="0"/>
      <w:divBdr>
        <w:top w:val="none" w:sz="0" w:space="0" w:color="auto"/>
        <w:left w:val="none" w:sz="0" w:space="0" w:color="auto"/>
        <w:bottom w:val="none" w:sz="0" w:space="0" w:color="auto"/>
        <w:right w:val="none" w:sz="0" w:space="0" w:color="auto"/>
      </w:divBdr>
    </w:div>
    <w:div w:id="320084229">
      <w:bodyDiv w:val="1"/>
      <w:marLeft w:val="0"/>
      <w:marRight w:val="0"/>
      <w:marTop w:val="0"/>
      <w:marBottom w:val="0"/>
      <w:divBdr>
        <w:top w:val="none" w:sz="0" w:space="0" w:color="auto"/>
        <w:left w:val="none" w:sz="0" w:space="0" w:color="auto"/>
        <w:bottom w:val="none" w:sz="0" w:space="0" w:color="auto"/>
        <w:right w:val="none" w:sz="0" w:space="0" w:color="auto"/>
      </w:divBdr>
    </w:div>
    <w:div w:id="491146840">
      <w:bodyDiv w:val="1"/>
      <w:marLeft w:val="0"/>
      <w:marRight w:val="0"/>
      <w:marTop w:val="0"/>
      <w:marBottom w:val="0"/>
      <w:divBdr>
        <w:top w:val="none" w:sz="0" w:space="0" w:color="auto"/>
        <w:left w:val="none" w:sz="0" w:space="0" w:color="auto"/>
        <w:bottom w:val="none" w:sz="0" w:space="0" w:color="auto"/>
        <w:right w:val="none" w:sz="0" w:space="0" w:color="auto"/>
      </w:divBdr>
    </w:div>
    <w:div w:id="493105907">
      <w:bodyDiv w:val="1"/>
      <w:marLeft w:val="0"/>
      <w:marRight w:val="0"/>
      <w:marTop w:val="0"/>
      <w:marBottom w:val="0"/>
      <w:divBdr>
        <w:top w:val="none" w:sz="0" w:space="0" w:color="auto"/>
        <w:left w:val="none" w:sz="0" w:space="0" w:color="auto"/>
        <w:bottom w:val="none" w:sz="0" w:space="0" w:color="auto"/>
        <w:right w:val="none" w:sz="0" w:space="0" w:color="auto"/>
      </w:divBdr>
    </w:div>
    <w:div w:id="509178134">
      <w:bodyDiv w:val="1"/>
      <w:marLeft w:val="0"/>
      <w:marRight w:val="0"/>
      <w:marTop w:val="0"/>
      <w:marBottom w:val="0"/>
      <w:divBdr>
        <w:top w:val="none" w:sz="0" w:space="0" w:color="auto"/>
        <w:left w:val="none" w:sz="0" w:space="0" w:color="auto"/>
        <w:bottom w:val="none" w:sz="0" w:space="0" w:color="auto"/>
        <w:right w:val="none" w:sz="0" w:space="0" w:color="auto"/>
      </w:divBdr>
      <w:divsChild>
        <w:div w:id="1338002934">
          <w:marLeft w:val="0"/>
          <w:marRight w:val="0"/>
          <w:marTop w:val="0"/>
          <w:marBottom w:val="0"/>
          <w:divBdr>
            <w:top w:val="none" w:sz="0" w:space="0" w:color="auto"/>
            <w:left w:val="none" w:sz="0" w:space="0" w:color="auto"/>
            <w:bottom w:val="none" w:sz="0" w:space="0" w:color="auto"/>
            <w:right w:val="none" w:sz="0" w:space="0" w:color="auto"/>
          </w:divBdr>
        </w:div>
        <w:div w:id="1681397698">
          <w:marLeft w:val="0"/>
          <w:marRight w:val="0"/>
          <w:marTop w:val="0"/>
          <w:marBottom w:val="0"/>
          <w:divBdr>
            <w:top w:val="none" w:sz="0" w:space="0" w:color="auto"/>
            <w:left w:val="none" w:sz="0" w:space="0" w:color="auto"/>
            <w:bottom w:val="none" w:sz="0" w:space="0" w:color="auto"/>
            <w:right w:val="none" w:sz="0" w:space="0" w:color="auto"/>
          </w:divBdr>
        </w:div>
        <w:div w:id="2001081963">
          <w:marLeft w:val="0"/>
          <w:marRight w:val="0"/>
          <w:marTop w:val="0"/>
          <w:marBottom w:val="0"/>
          <w:divBdr>
            <w:top w:val="none" w:sz="0" w:space="0" w:color="auto"/>
            <w:left w:val="none" w:sz="0" w:space="0" w:color="auto"/>
            <w:bottom w:val="none" w:sz="0" w:space="0" w:color="auto"/>
            <w:right w:val="none" w:sz="0" w:space="0" w:color="auto"/>
          </w:divBdr>
        </w:div>
        <w:div w:id="535390029">
          <w:marLeft w:val="0"/>
          <w:marRight w:val="0"/>
          <w:marTop w:val="0"/>
          <w:marBottom w:val="0"/>
          <w:divBdr>
            <w:top w:val="none" w:sz="0" w:space="0" w:color="auto"/>
            <w:left w:val="none" w:sz="0" w:space="0" w:color="auto"/>
            <w:bottom w:val="none" w:sz="0" w:space="0" w:color="auto"/>
            <w:right w:val="none" w:sz="0" w:space="0" w:color="auto"/>
          </w:divBdr>
        </w:div>
      </w:divsChild>
    </w:div>
    <w:div w:id="552276949">
      <w:bodyDiv w:val="1"/>
      <w:marLeft w:val="0"/>
      <w:marRight w:val="0"/>
      <w:marTop w:val="0"/>
      <w:marBottom w:val="0"/>
      <w:divBdr>
        <w:top w:val="none" w:sz="0" w:space="0" w:color="auto"/>
        <w:left w:val="none" w:sz="0" w:space="0" w:color="auto"/>
        <w:bottom w:val="none" w:sz="0" w:space="0" w:color="auto"/>
        <w:right w:val="none" w:sz="0" w:space="0" w:color="auto"/>
      </w:divBdr>
    </w:div>
    <w:div w:id="569385151">
      <w:bodyDiv w:val="1"/>
      <w:marLeft w:val="0"/>
      <w:marRight w:val="0"/>
      <w:marTop w:val="0"/>
      <w:marBottom w:val="0"/>
      <w:divBdr>
        <w:top w:val="none" w:sz="0" w:space="0" w:color="auto"/>
        <w:left w:val="none" w:sz="0" w:space="0" w:color="auto"/>
        <w:bottom w:val="none" w:sz="0" w:space="0" w:color="auto"/>
        <w:right w:val="none" w:sz="0" w:space="0" w:color="auto"/>
      </w:divBdr>
    </w:div>
    <w:div w:id="608437316">
      <w:bodyDiv w:val="1"/>
      <w:marLeft w:val="0"/>
      <w:marRight w:val="0"/>
      <w:marTop w:val="0"/>
      <w:marBottom w:val="0"/>
      <w:divBdr>
        <w:top w:val="none" w:sz="0" w:space="0" w:color="auto"/>
        <w:left w:val="none" w:sz="0" w:space="0" w:color="auto"/>
        <w:bottom w:val="none" w:sz="0" w:space="0" w:color="auto"/>
        <w:right w:val="none" w:sz="0" w:space="0" w:color="auto"/>
      </w:divBdr>
    </w:div>
    <w:div w:id="617446618">
      <w:bodyDiv w:val="1"/>
      <w:marLeft w:val="0"/>
      <w:marRight w:val="0"/>
      <w:marTop w:val="0"/>
      <w:marBottom w:val="0"/>
      <w:divBdr>
        <w:top w:val="none" w:sz="0" w:space="0" w:color="auto"/>
        <w:left w:val="none" w:sz="0" w:space="0" w:color="auto"/>
        <w:bottom w:val="none" w:sz="0" w:space="0" w:color="auto"/>
        <w:right w:val="none" w:sz="0" w:space="0" w:color="auto"/>
      </w:divBdr>
    </w:div>
    <w:div w:id="631642929">
      <w:bodyDiv w:val="1"/>
      <w:marLeft w:val="0"/>
      <w:marRight w:val="0"/>
      <w:marTop w:val="0"/>
      <w:marBottom w:val="0"/>
      <w:divBdr>
        <w:top w:val="none" w:sz="0" w:space="0" w:color="auto"/>
        <w:left w:val="none" w:sz="0" w:space="0" w:color="auto"/>
        <w:bottom w:val="none" w:sz="0" w:space="0" w:color="auto"/>
        <w:right w:val="none" w:sz="0" w:space="0" w:color="auto"/>
      </w:divBdr>
    </w:div>
    <w:div w:id="747386410">
      <w:bodyDiv w:val="1"/>
      <w:marLeft w:val="0"/>
      <w:marRight w:val="0"/>
      <w:marTop w:val="0"/>
      <w:marBottom w:val="0"/>
      <w:divBdr>
        <w:top w:val="none" w:sz="0" w:space="0" w:color="auto"/>
        <w:left w:val="none" w:sz="0" w:space="0" w:color="auto"/>
        <w:bottom w:val="none" w:sz="0" w:space="0" w:color="auto"/>
        <w:right w:val="none" w:sz="0" w:space="0" w:color="auto"/>
      </w:divBdr>
    </w:div>
    <w:div w:id="798955866">
      <w:bodyDiv w:val="1"/>
      <w:marLeft w:val="0"/>
      <w:marRight w:val="0"/>
      <w:marTop w:val="0"/>
      <w:marBottom w:val="0"/>
      <w:divBdr>
        <w:top w:val="none" w:sz="0" w:space="0" w:color="auto"/>
        <w:left w:val="none" w:sz="0" w:space="0" w:color="auto"/>
        <w:bottom w:val="none" w:sz="0" w:space="0" w:color="auto"/>
        <w:right w:val="none" w:sz="0" w:space="0" w:color="auto"/>
      </w:divBdr>
    </w:div>
    <w:div w:id="834297552">
      <w:bodyDiv w:val="1"/>
      <w:marLeft w:val="0"/>
      <w:marRight w:val="0"/>
      <w:marTop w:val="0"/>
      <w:marBottom w:val="0"/>
      <w:divBdr>
        <w:top w:val="none" w:sz="0" w:space="0" w:color="auto"/>
        <w:left w:val="none" w:sz="0" w:space="0" w:color="auto"/>
        <w:bottom w:val="none" w:sz="0" w:space="0" w:color="auto"/>
        <w:right w:val="none" w:sz="0" w:space="0" w:color="auto"/>
      </w:divBdr>
    </w:div>
    <w:div w:id="862129938">
      <w:bodyDiv w:val="1"/>
      <w:marLeft w:val="0"/>
      <w:marRight w:val="0"/>
      <w:marTop w:val="0"/>
      <w:marBottom w:val="0"/>
      <w:divBdr>
        <w:top w:val="none" w:sz="0" w:space="0" w:color="auto"/>
        <w:left w:val="none" w:sz="0" w:space="0" w:color="auto"/>
        <w:bottom w:val="none" w:sz="0" w:space="0" w:color="auto"/>
        <w:right w:val="none" w:sz="0" w:space="0" w:color="auto"/>
      </w:divBdr>
    </w:div>
    <w:div w:id="920724229">
      <w:bodyDiv w:val="1"/>
      <w:marLeft w:val="0"/>
      <w:marRight w:val="0"/>
      <w:marTop w:val="0"/>
      <w:marBottom w:val="0"/>
      <w:divBdr>
        <w:top w:val="none" w:sz="0" w:space="0" w:color="auto"/>
        <w:left w:val="none" w:sz="0" w:space="0" w:color="auto"/>
        <w:bottom w:val="none" w:sz="0" w:space="0" w:color="auto"/>
        <w:right w:val="none" w:sz="0" w:space="0" w:color="auto"/>
      </w:divBdr>
      <w:divsChild>
        <w:div w:id="128207521">
          <w:marLeft w:val="0"/>
          <w:marRight w:val="0"/>
          <w:marTop w:val="0"/>
          <w:marBottom w:val="0"/>
          <w:divBdr>
            <w:top w:val="none" w:sz="0" w:space="0" w:color="auto"/>
            <w:left w:val="none" w:sz="0" w:space="0" w:color="auto"/>
            <w:bottom w:val="none" w:sz="0" w:space="0" w:color="auto"/>
            <w:right w:val="none" w:sz="0" w:space="0" w:color="auto"/>
          </w:divBdr>
        </w:div>
        <w:div w:id="752123477">
          <w:marLeft w:val="0"/>
          <w:marRight w:val="0"/>
          <w:marTop w:val="0"/>
          <w:marBottom w:val="0"/>
          <w:divBdr>
            <w:top w:val="none" w:sz="0" w:space="0" w:color="auto"/>
            <w:left w:val="none" w:sz="0" w:space="0" w:color="auto"/>
            <w:bottom w:val="none" w:sz="0" w:space="0" w:color="auto"/>
            <w:right w:val="none" w:sz="0" w:space="0" w:color="auto"/>
          </w:divBdr>
        </w:div>
      </w:divsChild>
    </w:div>
    <w:div w:id="1162506744">
      <w:bodyDiv w:val="1"/>
      <w:marLeft w:val="0"/>
      <w:marRight w:val="0"/>
      <w:marTop w:val="0"/>
      <w:marBottom w:val="0"/>
      <w:divBdr>
        <w:top w:val="none" w:sz="0" w:space="0" w:color="auto"/>
        <w:left w:val="none" w:sz="0" w:space="0" w:color="auto"/>
        <w:bottom w:val="none" w:sz="0" w:space="0" w:color="auto"/>
        <w:right w:val="none" w:sz="0" w:space="0" w:color="auto"/>
      </w:divBdr>
    </w:div>
    <w:div w:id="1195381817">
      <w:bodyDiv w:val="1"/>
      <w:marLeft w:val="0"/>
      <w:marRight w:val="0"/>
      <w:marTop w:val="0"/>
      <w:marBottom w:val="0"/>
      <w:divBdr>
        <w:top w:val="none" w:sz="0" w:space="0" w:color="auto"/>
        <w:left w:val="none" w:sz="0" w:space="0" w:color="auto"/>
        <w:bottom w:val="none" w:sz="0" w:space="0" w:color="auto"/>
        <w:right w:val="none" w:sz="0" w:space="0" w:color="auto"/>
      </w:divBdr>
    </w:div>
    <w:div w:id="1227909100">
      <w:bodyDiv w:val="1"/>
      <w:marLeft w:val="0"/>
      <w:marRight w:val="0"/>
      <w:marTop w:val="0"/>
      <w:marBottom w:val="0"/>
      <w:divBdr>
        <w:top w:val="none" w:sz="0" w:space="0" w:color="auto"/>
        <w:left w:val="none" w:sz="0" w:space="0" w:color="auto"/>
        <w:bottom w:val="none" w:sz="0" w:space="0" w:color="auto"/>
        <w:right w:val="none" w:sz="0" w:space="0" w:color="auto"/>
      </w:divBdr>
      <w:divsChild>
        <w:div w:id="1625233030">
          <w:marLeft w:val="0"/>
          <w:marRight w:val="0"/>
          <w:marTop w:val="0"/>
          <w:marBottom w:val="0"/>
          <w:divBdr>
            <w:top w:val="none" w:sz="0" w:space="0" w:color="auto"/>
            <w:left w:val="none" w:sz="0" w:space="0" w:color="auto"/>
            <w:bottom w:val="none" w:sz="0" w:space="0" w:color="auto"/>
            <w:right w:val="none" w:sz="0" w:space="0" w:color="auto"/>
          </w:divBdr>
        </w:div>
        <w:div w:id="1864397828">
          <w:marLeft w:val="0"/>
          <w:marRight w:val="0"/>
          <w:marTop w:val="0"/>
          <w:marBottom w:val="0"/>
          <w:divBdr>
            <w:top w:val="none" w:sz="0" w:space="0" w:color="auto"/>
            <w:left w:val="none" w:sz="0" w:space="0" w:color="auto"/>
            <w:bottom w:val="none" w:sz="0" w:space="0" w:color="auto"/>
            <w:right w:val="none" w:sz="0" w:space="0" w:color="auto"/>
          </w:divBdr>
        </w:div>
        <w:div w:id="1757314639">
          <w:marLeft w:val="720"/>
          <w:marRight w:val="0"/>
          <w:marTop w:val="0"/>
          <w:marBottom w:val="0"/>
          <w:divBdr>
            <w:top w:val="none" w:sz="0" w:space="0" w:color="auto"/>
            <w:left w:val="none" w:sz="0" w:space="0" w:color="auto"/>
            <w:bottom w:val="none" w:sz="0" w:space="0" w:color="auto"/>
            <w:right w:val="none" w:sz="0" w:space="0" w:color="auto"/>
          </w:divBdr>
        </w:div>
        <w:div w:id="1167210491">
          <w:marLeft w:val="720"/>
          <w:marRight w:val="0"/>
          <w:marTop w:val="0"/>
          <w:marBottom w:val="0"/>
          <w:divBdr>
            <w:top w:val="none" w:sz="0" w:space="0" w:color="auto"/>
            <w:left w:val="none" w:sz="0" w:space="0" w:color="auto"/>
            <w:bottom w:val="none" w:sz="0" w:space="0" w:color="auto"/>
            <w:right w:val="none" w:sz="0" w:space="0" w:color="auto"/>
          </w:divBdr>
        </w:div>
        <w:div w:id="529297094">
          <w:marLeft w:val="720"/>
          <w:marRight w:val="0"/>
          <w:marTop w:val="0"/>
          <w:marBottom w:val="0"/>
          <w:divBdr>
            <w:top w:val="none" w:sz="0" w:space="0" w:color="auto"/>
            <w:left w:val="none" w:sz="0" w:space="0" w:color="auto"/>
            <w:bottom w:val="none" w:sz="0" w:space="0" w:color="auto"/>
            <w:right w:val="none" w:sz="0" w:space="0" w:color="auto"/>
          </w:divBdr>
        </w:div>
        <w:div w:id="1518927987">
          <w:marLeft w:val="720"/>
          <w:marRight w:val="0"/>
          <w:marTop w:val="0"/>
          <w:marBottom w:val="0"/>
          <w:divBdr>
            <w:top w:val="none" w:sz="0" w:space="0" w:color="auto"/>
            <w:left w:val="none" w:sz="0" w:space="0" w:color="auto"/>
            <w:bottom w:val="none" w:sz="0" w:space="0" w:color="auto"/>
            <w:right w:val="none" w:sz="0" w:space="0" w:color="auto"/>
          </w:divBdr>
        </w:div>
      </w:divsChild>
    </w:div>
    <w:div w:id="1438525779">
      <w:bodyDiv w:val="1"/>
      <w:marLeft w:val="0"/>
      <w:marRight w:val="0"/>
      <w:marTop w:val="0"/>
      <w:marBottom w:val="0"/>
      <w:divBdr>
        <w:top w:val="none" w:sz="0" w:space="0" w:color="auto"/>
        <w:left w:val="none" w:sz="0" w:space="0" w:color="auto"/>
        <w:bottom w:val="none" w:sz="0" w:space="0" w:color="auto"/>
        <w:right w:val="none" w:sz="0" w:space="0" w:color="auto"/>
      </w:divBdr>
    </w:div>
    <w:div w:id="1560819097">
      <w:bodyDiv w:val="1"/>
      <w:marLeft w:val="0"/>
      <w:marRight w:val="0"/>
      <w:marTop w:val="0"/>
      <w:marBottom w:val="0"/>
      <w:divBdr>
        <w:top w:val="none" w:sz="0" w:space="0" w:color="auto"/>
        <w:left w:val="none" w:sz="0" w:space="0" w:color="auto"/>
        <w:bottom w:val="none" w:sz="0" w:space="0" w:color="auto"/>
        <w:right w:val="none" w:sz="0" w:space="0" w:color="auto"/>
      </w:divBdr>
    </w:div>
    <w:div w:id="1830367261">
      <w:bodyDiv w:val="1"/>
      <w:marLeft w:val="0"/>
      <w:marRight w:val="0"/>
      <w:marTop w:val="0"/>
      <w:marBottom w:val="0"/>
      <w:divBdr>
        <w:top w:val="none" w:sz="0" w:space="0" w:color="auto"/>
        <w:left w:val="none" w:sz="0" w:space="0" w:color="auto"/>
        <w:bottom w:val="none" w:sz="0" w:space="0" w:color="auto"/>
        <w:right w:val="none" w:sz="0" w:space="0" w:color="auto"/>
      </w:divBdr>
    </w:div>
    <w:div w:id="2026862637">
      <w:bodyDiv w:val="1"/>
      <w:marLeft w:val="0"/>
      <w:marRight w:val="0"/>
      <w:marTop w:val="0"/>
      <w:marBottom w:val="0"/>
      <w:divBdr>
        <w:top w:val="none" w:sz="0" w:space="0" w:color="auto"/>
        <w:left w:val="none" w:sz="0" w:space="0" w:color="auto"/>
        <w:bottom w:val="none" w:sz="0" w:space="0" w:color="auto"/>
        <w:right w:val="none" w:sz="0" w:space="0" w:color="auto"/>
      </w:divBdr>
      <w:divsChild>
        <w:div w:id="1597056222">
          <w:marLeft w:val="0"/>
          <w:marRight w:val="0"/>
          <w:marTop w:val="0"/>
          <w:marBottom w:val="0"/>
          <w:divBdr>
            <w:top w:val="none" w:sz="0" w:space="0" w:color="auto"/>
            <w:left w:val="none" w:sz="0" w:space="0" w:color="auto"/>
            <w:bottom w:val="none" w:sz="0" w:space="0" w:color="auto"/>
            <w:right w:val="none" w:sz="0" w:space="0" w:color="auto"/>
          </w:divBdr>
        </w:div>
        <w:div w:id="2116366860">
          <w:marLeft w:val="1434"/>
          <w:marRight w:val="0"/>
          <w:marTop w:val="0"/>
          <w:marBottom w:val="0"/>
          <w:divBdr>
            <w:top w:val="none" w:sz="0" w:space="0" w:color="auto"/>
            <w:left w:val="none" w:sz="0" w:space="0" w:color="auto"/>
            <w:bottom w:val="none" w:sz="0" w:space="0" w:color="auto"/>
            <w:right w:val="none" w:sz="0" w:space="0" w:color="auto"/>
          </w:divBdr>
        </w:div>
        <w:div w:id="594909">
          <w:marLeft w:val="1434"/>
          <w:marRight w:val="0"/>
          <w:marTop w:val="0"/>
          <w:marBottom w:val="0"/>
          <w:divBdr>
            <w:top w:val="none" w:sz="0" w:space="0" w:color="auto"/>
            <w:left w:val="none" w:sz="0" w:space="0" w:color="auto"/>
            <w:bottom w:val="none" w:sz="0" w:space="0" w:color="auto"/>
            <w:right w:val="none" w:sz="0" w:space="0" w:color="auto"/>
          </w:divBdr>
        </w:div>
        <w:div w:id="169804279">
          <w:marLeft w:val="1434"/>
          <w:marRight w:val="0"/>
          <w:marTop w:val="0"/>
          <w:marBottom w:val="0"/>
          <w:divBdr>
            <w:top w:val="none" w:sz="0" w:space="0" w:color="auto"/>
            <w:left w:val="none" w:sz="0" w:space="0" w:color="auto"/>
            <w:bottom w:val="none" w:sz="0" w:space="0" w:color="auto"/>
            <w:right w:val="none" w:sz="0" w:space="0" w:color="auto"/>
          </w:divBdr>
        </w:div>
        <w:div w:id="1901287658">
          <w:marLeft w:val="1434"/>
          <w:marRight w:val="0"/>
          <w:marTop w:val="0"/>
          <w:marBottom w:val="0"/>
          <w:divBdr>
            <w:top w:val="none" w:sz="0" w:space="0" w:color="auto"/>
            <w:left w:val="none" w:sz="0" w:space="0" w:color="auto"/>
            <w:bottom w:val="none" w:sz="0" w:space="0" w:color="auto"/>
            <w:right w:val="none" w:sz="0" w:space="0" w:color="auto"/>
          </w:divBdr>
        </w:div>
        <w:div w:id="466363801">
          <w:marLeft w:val="1434"/>
          <w:marRight w:val="0"/>
          <w:marTop w:val="0"/>
          <w:marBottom w:val="0"/>
          <w:divBdr>
            <w:top w:val="none" w:sz="0" w:space="0" w:color="auto"/>
            <w:left w:val="none" w:sz="0" w:space="0" w:color="auto"/>
            <w:bottom w:val="none" w:sz="0" w:space="0" w:color="auto"/>
            <w:right w:val="none" w:sz="0" w:space="0" w:color="auto"/>
          </w:divBdr>
        </w:div>
      </w:divsChild>
    </w:div>
    <w:div w:id="2095204231">
      <w:bodyDiv w:val="1"/>
      <w:marLeft w:val="0"/>
      <w:marRight w:val="0"/>
      <w:marTop w:val="0"/>
      <w:marBottom w:val="0"/>
      <w:divBdr>
        <w:top w:val="none" w:sz="0" w:space="0" w:color="auto"/>
        <w:left w:val="none" w:sz="0" w:space="0" w:color="auto"/>
        <w:bottom w:val="none" w:sz="0" w:space="0" w:color="auto"/>
        <w:right w:val="none" w:sz="0" w:space="0" w:color="auto"/>
      </w:divBdr>
      <w:divsChild>
        <w:div w:id="1661422794">
          <w:marLeft w:val="0"/>
          <w:marRight w:val="0"/>
          <w:marTop w:val="0"/>
          <w:marBottom w:val="0"/>
          <w:divBdr>
            <w:top w:val="none" w:sz="0" w:space="0" w:color="auto"/>
            <w:left w:val="none" w:sz="0" w:space="0" w:color="auto"/>
            <w:bottom w:val="none" w:sz="0" w:space="0" w:color="auto"/>
            <w:right w:val="none" w:sz="0" w:space="0" w:color="auto"/>
          </w:divBdr>
        </w:div>
        <w:div w:id="1935357451">
          <w:marLeft w:val="1434"/>
          <w:marRight w:val="0"/>
          <w:marTop w:val="0"/>
          <w:marBottom w:val="0"/>
          <w:divBdr>
            <w:top w:val="none" w:sz="0" w:space="0" w:color="auto"/>
            <w:left w:val="none" w:sz="0" w:space="0" w:color="auto"/>
            <w:bottom w:val="none" w:sz="0" w:space="0" w:color="auto"/>
            <w:right w:val="none" w:sz="0" w:space="0" w:color="auto"/>
          </w:divBdr>
        </w:div>
        <w:div w:id="1352879052">
          <w:marLeft w:val="1434"/>
          <w:marRight w:val="0"/>
          <w:marTop w:val="0"/>
          <w:marBottom w:val="0"/>
          <w:divBdr>
            <w:top w:val="none" w:sz="0" w:space="0" w:color="auto"/>
            <w:left w:val="none" w:sz="0" w:space="0" w:color="auto"/>
            <w:bottom w:val="none" w:sz="0" w:space="0" w:color="auto"/>
            <w:right w:val="none" w:sz="0" w:space="0" w:color="auto"/>
          </w:divBdr>
        </w:div>
        <w:div w:id="1808859793">
          <w:marLeft w:val="1440"/>
          <w:marRight w:val="0"/>
          <w:marTop w:val="0"/>
          <w:marBottom w:val="0"/>
          <w:divBdr>
            <w:top w:val="none" w:sz="0" w:space="0" w:color="auto"/>
            <w:left w:val="none" w:sz="0" w:space="0" w:color="auto"/>
            <w:bottom w:val="none" w:sz="0" w:space="0" w:color="auto"/>
            <w:right w:val="none" w:sz="0" w:space="0" w:color="auto"/>
          </w:divBdr>
        </w:div>
        <w:div w:id="1957246407">
          <w:marLeft w:val="1440"/>
          <w:marRight w:val="0"/>
          <w:marTop w:val="0"/>
          <w:marBottom w:val="0"/>
          <w:divBdr>
            <w:top w:val="none" w:sz="0" w:space="0" w:color="auto"/>
            <w:left w:val="none" w:sz="0" w:space="0" w:color="auto"/>
            <w:bottom w:val="none" w:sz="0" w:space="0" w:color="auto"/>
            <w:right w:val="none" w:sz="0" w:space="0" w:color="auto"/>
          </w:divBdr>
        </w:div>
        <w:div w:id="420222380">
          <w:marLeft w:val="143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pkc.gov.lv/upload/Arstniecibas%20personam/Metodiskie%20materiali/vadlinijas_augsta_riska_individu_atpazisan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004F-3282-46F3-A50E-8EA2CA5AE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51</Pages>
  <Words>106587</Words>
  <Characters>60755</Characters>
  <Application>Microsoft Office Word</Application>
  <DocSecurity>0</DocSecurity>
  <Lines>506</Lines>
  <Paragraphs>334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“Par veselības reformas pasākumu īstenošanas rezultātiem veselības aprūpē 2018.gada pirmajā1.pusgadā”</vt:lpstr>
      <vt:lpstr>Informatīvais ziņojums “Par veselības reformas pasākumu īstenošanas rezultātiem veselības aprūpē 2018.gada pirmajā1.pusgadā”</vt:lpstr>
    </vt:vector>
  </TitlesOfParts>
  <Company>Veselības ministrija</Company>
  <LinksUpToDate>false</LinksUpToDate>
  <CharactersWithSpaces>167008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veselības reformas pasākumu īstenošanas rezultātiem veselības aprūpē 2018.gada pirmajā1.pusgadā”</dc:title>
  <dc:subject>Informatīvais ziņojums</dc:subject>
  <dc:creator>Lāsma Zandberga</dc:creator>
  <dc:description/>
  <cp:lastModifiedBy>Daina Mūrmane-Umbraško</cp:lastModifiedBy>
  <cp:revision>40</cp:revision>
  <cp:lastPrinted>2019-03-18T07:32:00Z</cp:lastPrinted>
  <dcterms:created xsi:type="dcterms:W3CDTF">2019-03-25T11:22:00Z</dcterms:created>
  <dcterms:modified xsi:type="dcterms:W3CDTF">2019-04-03T10:58:00Z</dcterms:modified>
  <cp:category/>
</cp:coreProperties>
</file>