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86C05" w14:textId="77777777" w:rsidR="00FE6AB5" w:rsidRPr="00462F6E" w:rsidRDefault="00EC17D9" w:rsidP="00FE6AB5">
      <w:pPr>
        <w:jc w:val="center"/>
        <w:rPr>
          <w:b/>
          <w:lang w:val="lv-LV"/>
        </w:rPr>
      </w:pPr>
      <w:bookmarkStart w:id="0" w:name="_GoBack"/>
      <w:bookmarkEnd w:id="0"/>
      <w:r w:rsidRPr="00462F6E">
        <w:rPr>
          <w:b/>
          <w:sz w:val="24"/>
          <w:szCs w:val="24"/>
          <w:lang w:val="lv-LV"/>
        </w:rPr>
        <w:t xml:space="preserve">Uzziņa par tiesību akta projektu </w:t>
      </w:r>
      <w:r w:rsidR="00FE6AB5" w:rsidRPr="00462F6E">
        <w:rPr>
          <w:b/>
          <w:sz w:val="24"/>
          <w:szCs w:val="24"/>
          <w:lang w:val="lv-LV"/>
        </w:rPr>
        <w:t>Vadības komitejai</w:t>
      </w:r>
    </w:p>
    <w:p w14:paraId="3F54DF9F" w14:textId="77777777" w:rsidR="00EC17D9" w:rsidRDefault="0009178D" w:rsidP="00EC17D9">
      <w:pPr>
        <w:jc w:val="center"/>
        <w:rPr>
          <w:sz w:val="24"/>
          <w:szCs w:val="24"/>
          <w:lang w:val="lv-LV"/>
        </w:rPr>
      </w:pPr>
      <w:r>
        <w:rPr>
          <w:sz w:val="24"/>
          <w:szCs w:val="24"/>
          <w:lang w:val="lv-LV"/>
        </w:rPr>
        <w:t>08</w:t>
      </w:r>
      <w:r w:rsidR="006811DC">
        <w:rPr>
          <w:sz w:val="24"/>
          <w:szCs w:val="24"/>
          <w:lang w:val="lv-LV"/>
        </w:rPr>
        <w:t>.</w:t>
      </w:r>
      <w:r w:rsidR="008450B9">
        <w:rPr>
          <w:sz w:val="24"/>
          <w:szCs w:val="24"/>
          <w:lang w:val="lv-LV"/>
        </w:rPr>
        <w:t>0</w:t>
      </w:r>
      <w:r w:rsidR="006811DC">
        <w:rPr>
          <w:sz w:val="24"/>
          <w:szCs w:val="24"/>
          <w:lang w:val="lv-LV"/>
        </w:rPr>
        <w:t>3</w:t>
      </w:r>
      <w:r w:rsidR="00EC17D9" w:rsidRPr="00462F6E">
        <w:rPr>
          <w:sz w:val="24"/>
          <w:szCs w:val="24"/>
          <w:lang w:val="lv-LV"/>
        </w:rPr>
        <w:t>.20</w:t>
      </w:r>
      <w:r w:rsidR="008450B9">
        <w:rPr>
          <w:sz w:val="24"/>
          <w:szCs w:val="24"/>
          <w:lang w:val="lv-LV"/>
        </w:rPr>
        <w:t>2</w:t>
      </w:r>
      <w:r w:rsidR="006811DC">
        <w:rPr>
          <w:sz w:val="24"/>
          <w:szCs w:val="24"/>
          <w:lang w:val="lv-LV"/>
        </w:rPr>
        <w:t>1</w:t>
      </w:r>
      <w:r w:rsidR="00847535">
        <w:rPr>
          <w:sz w:val="24"/>
          <w:szCs w:val="24"/>
          <w:lang w:val="lv-LV"/>
        </w:rPr>
        <w:t>.</w:t>
      </w:r>
    </w:p>
    <w:p w14:paraId="3613AE81" w14:textId="77777777" w:rsidR="00B73BA1" w:rsidRPr="00334515" w:rsidRDefault="00B73BA1" w:rsidP="00EC17D9">
      <w:pPr>
        <w:jc w:val="center"/>
        <w:rPr>
          <w:sz w:val="16"/>
          <w:szCs w:val="16"/>
          <w:lang w:val="lv-LV"/>
        </w:rPr>
      </w:pP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977"/>
        <w:gridCol w:w="6520"/>
      </w:tblGrid>
      <w:tr w:rsidR="00FE6AB5" w:rsidRPr="004B3951" w14:paraId="491DE418" w14:textId="77777777" w:rsidTr="00334515">
        <w:tc>
          <w:tcPr>
            <w:tcW w:w="426" w:type="dxa"/>
            <w:vAlign w:val="center"/>
          </w:tcPr>
          <w:p w14:paraId="2C1A593D" w14:textId="77777777" w:rsidR="00FE6AB5" w:rsidRPr="004B3951" w:rsidRDefault="00BE6AD8" w:rsidP="00BE6AD8">
            <w:pPr>
              <w:jc w:val="both"/>
              <w:rPr>
                <w:sz w:val="22"/>
                <w:szCs w:val="22"/>
                <w:lang w:val="lv-LV"/>
              </w:rPr>
            </w:pPr>
            <w:r w:rsidRPr="00BE6AD8">
              <w:rPr>
                <w:rFonts w:eastAsia="Times New Roman"/>
                <w:sz w:val="24"/>
                <w:szCs w:val="24"/>
                <w:lang w:val="lv-LV"/>
              </w:rPr>
              <w:t>№</w:t>
            </w:r>
          </w:p>
        </w:tc>
        <w:tc>
          <w:tcPr>
            <w:tcW w:w="2977" w:type="dxa"/>
            <w:vAlign w:val="center"/>
          </w:tcPr>
          <w:p w14:paraId="09DE52DA" w14:textId="77777777" w:rsidR="00FE6AB5" w:rsidRPr="004B3951" w:rsidRDefault="00FE6AB5" w:rsidP="00C21CBC">
            <w:pPr>
              <w:jc w:val="center"/>
              <w:rPr>
                <w:sz w:val="24"/>
                <w:lang w:val="lv-LV"/>
              </w:rPr>
            </w:pPr>
            <w:r w:rsidRPr="004B3951">
              <w:rPr>
                <w:sz w:val="24"/>
                <w:lang w:val="lv-LV"/>
              </w:rPr>
              <w:t>Sniedzamā informācija</w:t>
            </w:r>
          </w:p>
        </w:tc>
        <w:tc>
          <w:tcPr>
            <w:tcW w:w="6520" w:type="dxa"/>
            <w:vAlign w:val="center"/>
          </w:tcPr>
          <w:p w14:paraId="311D38EF" w14:textId="77777777" w:rsidR="00FE6AB5" w:rsidRPr="004B3951" w:rsidRDefault="00FE6AB5" w:rsidP="00C21CBC">
            <w:pPr>
              <w:jc w:val="center"/>
              <w:rPr>
                <w:sz w:val="24"/>
                <w:lang w:val="lv-LV"/>
              </w:rPr>
            </w:pPr>
            <w:r w:rsidRPr="004B3951">
              <w:rPr>
                <w:sz w:val="24"/>
                <w:lang w:val="lv-LV"/>
              </w:rPr>
              <w:t>Informācija par projektu</w:t>
            </w:r>
          </w:p>
        </w:tc>
      </w:tr>
      <w:tr w:rsidR="00BE6AD8" w:rsidRPr="006811DC" w14:paraId="1E564632" w14:textId="77777777" w:rsidTr="00334515">
        <w:trPr>
          <w:trHeight w:val="573"/>
        </w:trPr>
        <w:tc>
          <w:tcPr>
            <w:tcW w:w="426" w:type="dxa"/>
            <w:vAlign w:val="center"/>
          </w:tcPr>
          <w:p w14:paraId="1AC43A32" w14:textId="77777777" w:rsidR="00BE6AD8" w:rsidRPr="004B3951" w:rsidRDefault="00BE6AD8" w:rsidP="00BE6AD8">
            <w:pPr>
              <w:jc w:val="both"/>
              <w:rPr>
                <w:b/>
                <w:sz w:val="24"/>
                <w:szCs w:val="24"/>
                <w:lang w:val="lv-LV"/>
              </w:rPr>
            </w:pPr>
          </w:p>
        </w:tc>
        <w:tc>
          <w:tcPr>
            <w:tcW w:w="9497" w:type="dxa"/>
            <w:gridSpan w:val="2"/>
            <w:vAlign w:val="center"/>
          </w:tcPr>
          <w:p w14:paraId="74F962F5" w14:textId="77777777" w:rsidR="00BE6AD8" w:rsidRPr="004B3951" w:rsidRDefault="00DC2461" w:rsidP="007B0107">
            <w:pPr>
              <w:jc w:val="center"/>
              <w:rPr>
                <w:b/>
                <w:sz w:val="24"/>
                <w:szCs w:val="24"/>
                <w:lang w:val="lv-LV"/>
              </w:rPr>
            </w:pPr>
            <w:r w:rsidRPr="00DC2461">
              <w:rPr>
                <w:b/>
                <w:sz w:val="24"/>
                <w:szCs w:val="24"/>
                <w:lang w:val="lv-LV"/>
              </w:rPr>
              <w:t>Ministr</w:t>
            </w:r>
            <w:r>
              <w:rPr>
                <w:b/>
                <w:sz w:val="24"/>
                <w:szCs w:val="24"/>
                <w:lang w:val="lv-LV"/>
              </w:rPr>
              <w:t>u kabineta instrukcijas projekts</w:t>
            </w:r>
            <w:r w:rsidRPr="00DC2461">
              <w:rPr>
                <w:b/>
                <w:sz w:val="24"/>
                <w:szCs w:val="24"/>
                <w:lang w:val="lv-LV"/>
              </w:rPr>
              <w:t xml:space="preserve"> "Grozījumi Ministru kabineta 2018.gada 10.aprīļa instrukcijā Nr.2 "Instrukcija par valsts budžeta izpildes analīzi""</w:t>
            </w:r>
          </w:p>
        </w:tc>
      </w:tr>
      <w:tr w:rsidR="00FE6AB5" w:rsidRPr="007C0BA0" w14:paraId="0A735020" w14:textId="77777777" w:rsidTr="00334515">
        <w:tc>
          <w:tcPr>
            <w:tcW w:w="426" w:type="dxa"/>
          </w:tcPr>
          <w:p w14:paraId="6ECFA2EF" w14:textId="77777777" w:rsidR="00FE6AB5" w:rsidRPr="004B3951" w:rsidRDefault="00FE6AB5" w:rsidP="00BE6AD8">
            <w:pPr>
              <w:pStyle w:val="ListParagraph"/>
              <w:numPr>
                <w:ilvl w:val="0"/>
                <w:numId w:val="1"/>
              </w:numPr>
              <w:ind w:left="34" w:right="176" w:firstLine="0"/>
              <w:rPr>
                <w:sz w:val="24"/>
                <w:lang w:val="lv-LV"/>
              </w:rPr>
            </w:pPr>
          </w:p>
        </w:tc>
        <w:tc>
          <w:tcPr>
            <w:tcW w:w="2977" w:type="dxa"/>
          </w:tcPr>
          <w:p w14:paraId="2EAAA290" w14:textId="77777777" w:rsidR="00FE6AB5" w:rsidRPr="004B3951" w:rsidRDefault="00FE6AB5" w:rsidP="00C21CBC">
            <w:pPr>
              <w:rPr>
                <w:sz w:val="24"/>
                <w:lang w:val="lv-LV"/>
              </w:rPr>
            </w:pPr>
            <w:r w:rsidRPr="004B3951">
              <w:rPr>
                <w:sz w:val="24"/>
                <w:lang w:val="lv-LV"/>
              </w:rPr>
              <w:t>Projekta izstrādes nepieciešamības pamatojums</w:t>
            </w:r>
          </w:p>
        </w:tc>
        <w:tc>
          <w:tcPr>
            <w:tcW w:w="6520" w:type="dxa"/>
          </w:tcPr>
          <w:p w14:paraId="632B2BFA" w14:textId="77777777" w:rsidR="00DC2461" w:rsidRDefault="00DC2461" w:rsidP="008450B9">
            <w:pPr>
              <w:jc w:val="both"/>
              <w:rPr>
                <w:sz w:val="24"/>
                <w:szCs w:val="24"/>
                <w:lang w:val="lv-LV"/>
              </w:rPr>
            </w:pPr>
            <w:r>
              <w:rPr>
                <w:sz w:val="24"/>
                <w:szCs w:val="24"/>
                <w:lang w:val="lv-LV"/>
              </w:rPr>
              <w:t>I</w:t>
            </w:r>
            <w:r w:rsidRPr="00DC2461">
              <w:rPr>
                <w:sz w:val="24"/>
                <w:szCs w:val="24"/>
                <w:lang w:val="lv-LV"/>
              </w:rPr>
              <w:t xml:space="preserve">nstrukcijas </w:t>
            </w:r>
            <w:r w:rsidR="00D567A2" w:rsidRPr="00D567A2">
              <w:rPr>
                <w:sz w:val="24"/>
                <w:szCs w:val="24"/>
                <w:lang w:val="lv-LV"/>
              </w:rPr>
              <w:t>projekts sagatavots</w:t>
            </w:r>
            <w:r>
              <w:rPr>
                <w:sz w:val="24"/>
                <w:szCs w:val="24"/>
                <w:lang w:val="lv-LV"/>
              </w:rPr>
              <w:t>:</w:t>
            </w:r>
          </w:p>
          <w:p w14:paraId="0A430278" w14:textId="77777777" w:rsidR="0092733A" w:rsidRDefault="00DC2461" w:rsidP="008450B9">
            <w:pPr>
              <w:jc w:val="both"/>
              <w:rPr>
                <w:sz w:val="24"/>
                <w:szCs w:val="24"/>
                <w:lang w:val="lv-LV"/>
              </w:rPr>
            </w:pPr>
            <w:r>
              <w:rPr>
                <w:sz w:val="24"/>
                <w:szCs w:val="24"/>
                <w:lang w:val="lv-LV"/>
              </w:rPr>
              <w:t>-</w:t>
            </w:r>
            <w:r w:rsidR="00D567A2" w:rsidRPr="00D567A2">
              <w:rPr>
                <w:sz w:val="24"/>
                <w:szCs w:val="24"/>
                <w:lang w:val="lv-LV"/>
              </w:rPr>
              <w:t xml:space="preserve"> pēc F</w:t>
            </w:r>
            <w:r>
              <w:rPr>
                <w:sz w:val="24"/>
                <w:szCs w:val="24"/>
                <w:lang w:val="lv-LV"/>
              </w:rPr>
              <w:t>inanšu ministrijas iniciatīvas;</w:t>
            </w:r>
          </w:p>
          <w:p w14:paraId="47C2779B" w14:textId="2F817124" w:rsidR="00DC2461" w:rsidRPr="004B3951" w:rsidRDefault="00DC2461" w:rsidP="00DC2461">
            <w:pPr>
              <w:jc w:val="both"/>
              <w:rPr>
                <w:sz w:val="24"/>
                <w:szCs w:val="24"/>
                <w:lang w:val="lv-LV"/>
              </w:rPr>
            </w:pPr>
            <w:r>
              <w:rPr>
                <w:sz w:val="24"/>
                <w:szCs w:val="24"/>
                <w:lang w:val="lv-LV"/>
              </w:rPr>
              <w:t xml:space="preserve">- </w:t>
            </w:r>
            <w:r w:rsidRPr="00DC2461">
              <w:rPr>
                <w:sz w:val="24"/>
                <w:szCs w:val="24"/>
                <w:lang w:val="lv-LV"/>
              </w:rPr>
              <w:t>Ministru kabineta 2020. gada 18. augusta sēdes protokola Nr. 49 46.§ "Informatīvais ziņojums "Par valsts budžeta izdevumu pārskatīšanas rezultātiem un priekšlikumi par šo rezultātu izmantošanu likumprojekta "Par vidēja termiņa budžeta ietvaru 2021., 2022. un 2023. gadam" un likumprojekta "Par valsts budžetu 2021. gadam" izstrādes procesā"" 15. punkts paredz "Finanšu ministrijai, ņemot vērā informatīvajā ziņojumā minēto, izvērtēt valsts budžeta izpildes analīzes pilnveidošanas iespējas un līdz 2021. gada 1.</w:t>
            </w:r>
            <w:r>
              <w:rPr>
                <w:sz w:val="24"/>
                <w:szCs w:val="24"/>
                <w:lang w:val="lv-LV"/>
              </w:rPr>
              <w:t> </w:t>
            </w:r>
            <w:r w:rsidRPr="00DC2461">
              <w:rPr>
                <w:sz w:val="24"/>
                <w:szCs w:val="24"/>
                <w:lang w:val="lv-LV"/>
              </w:rPr>
              <w:t xml:space="preserve">jūnijam sagatavot atbilstošus priekšlikumus grozījumiem Ministru kabineta 2018. </w:t>
            </w:r>
            <w:r>
              <w:rPr>
                <w:sz w:val="24"/>
                <w:szCs w:val="24"/>
                <w:lang w:val="lv-LV"/>
              </w:rPr>
              <w:t>gada 10. aprīļa instrukcijā Nr. </w:t>
            </w:r>
            <w:r w:rsidRPr="00DC2461">
              <w:rPr>
                <w:sz w:val="24"/>
                <w:szCs w:val="24"/>
                <w:lang w:val="lv-LV"/>
              </w:rPr>
              <w:t>2 "Instrukcija par valsts budžeta izpildes analīzi""</w:t>
            </w:r>
            <w:r w:rsidR="007C0BA0">
              <w:rPr>
                <w:sz w:val="24"/>
                <w:szCs w:val="24"/>
                <w:lang w:val="lv-LV"/>
              </w:rPr>
              <w:t>.</w:t>
            </w:r>
          </w:p>
        </w:tc>
      </w:tr>
      <w:tr w:rsidR="001036DB" w:rsidRPr="004B3951" w14:paraId="6B3B2684" w14:textId="77777777" w:rsidTr="00334515">
        <w:tc>
          <w:tcPr>
            <w:tcW w:w="426" w:type="dxa"/>
          </w:tcPr>
          <w:p w14:paraId="04D594CD" w14:textId="77777777" w:rsidR="001036DB" w:rsidRPr="004B3951" w:rsidRDefault="001036DB" w:rsidP="00BE6AD8">
            <w:pPr>
              <w:pStyle w:val="ListParagraph"/>
              <w:numPr>
                <w:ilvl w:val="0"/>
                <w:numId w:val="1"/>
              </w:numPr>
              <w:ind w:left="34" w:right="176" w:firstLine="0"/>
              <w:jc w:val="both"/>
              <w:rPr>
                <w:sz w:val="24"/>
                <w:lang w:val="lv-LV"/>
              </w:rPr>
            </w:pPr>
          </w:p>
        </w:tc>
        <w:tc>
          <w:tcPr>
            <w:tcW w:w="2977" w:type="dxa"/>
          </w:tcPr>
          <w:p w14:paraId="10BA204B" w14:textId="77777777" w:rsidR="001036DB" w:rsidRPr="004B3951" w:rsidRDefault="001036DB" w:rsidP="00334515">
            <w:pPr>
              <w:rPr>
                <w:sz w:val="24"/>
                <w:lang w:val="lv-LV"/>
              </w:rPr>
            </w:pPr>
            <w:r w:rsidRPr="004B3951">
              <w:rPr>
                <w:sz w:val="24"/>
                <w:lang w:val="lv-LV"/>
              </w:rPr>
              <w:t xml:space="preserve">Vadības darba plāna uzdevuma numurs un tā izpildes termiņš </w:t>
            </w:r>
          </w:p>
        </w:tc>
        <w:tc>
          <w:tcPr>
            <w:tcW w:w="6520" w:type="dxa"/>
          </w:tcPr>
          <w:p w14:paraId="4F7589FA" w14:textId="47DE97B2" w:rsidR="00DF1952" w:rsidRPr="00333127" w:rsidRDefault="00A542C6" w:rsidP="00DF1952">
            <w:pPr>
              <w:jc w:val="both"/>
              <w:rPr>
                <w:sz w:val="24"/>
                <w:szCs w:val="24"/>
                <w:lang w:val="lv-LV"/>
              </w:rPr>
            </w:pPr>
            <w:r>
              <w:rPr>
                <w:sz w:val="24"/>
                <w:lang w:val="lv-LV"/>
              </w:rPr>
              <w:t>Ministrijas darba plāna uzdevums Nr.</w:t>
            </w:r>
            <w:r w:rsidR="006737F1" w:rsidRPr="006737F1">
              <w:rPr>
                <w:sz w:val="24"/>
                <w:lang w:val="lv-LV"/>
              </w:rPr>
              <w:t>2021-DP-03/2</w:t>
            </w:r>
          </w:p>
        </w:tc>
      </w:tr>
      <w:tr w:rsidR="00FE6AB5" w:rsidRPr="007C0BA0" w14:paraId="0767704D" w14:textId="77777777" w:rsidTr="00334515">
        <w:trPr>
          <w:trHeight w:val="619"/>
        </w:trPr>
        <w:tc>
          <w:tcPr>
            <w:tcW w:w="426" w:type="dxa"/>
          </w:tcPr>
          <w:p w14:paraId="574188F8" w14:textId="77777777" w:rsidR="00FE6AB5" w:rsidRPr="004B3951" w:rsidRDefault="00FE6AB5" w:rsidP="00BE6AD8">
            <w:pPr>
              <w:pStyle w:val="ListParagraph"/>
              <w:numPr>
                <w:ilvl w:val="0"/>
                <w:numId w:val="1"/>
              </w:numPr>
              <w:ind w:left="34" w:right="176" w:firstLine="0"/>
              <w:jc w:val="both"/>
              <w:rPr>
                <w:sz w:val="24"/>
                <w:lang w:val="lv-LV"/>
              </w:rPr>
            </w:pPr>
          </w:p>
        </w:tc>
        <w:tc>
          <w:tcPr>
            <w:tcW w:w="2977" w:type="dxa"/>
          </w:tcPr>
          <w:p w14:paraId="0830650B" w14:textId="77777777" w:rsidR="00FE6AB5" w:rsidRPr="004B3951" w:rsidRDefault="00FE6AB5" w:rsidP="00C21CBC">
            <w:pPr>
              <w:rPr>
                <w:sz w:val="24"/>
                <w:lang w:val="lv-LV"/>
              </w:rPr>
            </w:pPr>
            <w:r w:rsidRPr="004B3951">
              <w:rPr>
                <w:sz w:val="24"/>
                <w:lang w:val="lv-LV"/>
              </w:rPr>
              <w:t>Projekta īss saturs</w:t>
            </w:r>
          </w:p>
        </w:tc>
        <w:tc>
          <w:tcPr>
            <w:tcW w:w="6520" w:type="dxa"/>
          </w:tcPr>
          <w:p w14:paraId="43A10D65" w14:textId="77777777" w:rsidR="008450B9" w:rsidRDefault="00DC2461" w:rsidP="00D567A2">
            <w:pPr>
              <w:jc w:val="both"/>
              <w:rPr>
                <w:rFonts w:eastAsia="Times New Roman"/>
                <w:sz w:val="24"/>
                <w:szCs w:val="24"/>
                <w:lang w:val="lv-LV" w:eastAsia="lv-LV"/>
              </w:rPr>
            </w:pPr>
            <w:r>
              <w:rPr>
                <w:sz w:val="24"/>
                <w:szCs w:val="24"/>
                <w:lang w:val="lv-LV"/>
              </w:rPr>
              <w:t>I</w:t>
            </w:r>
            <w:r w:rsidRPr="00DC2461">
              <w:rPr>
                <w:sz w:val="24"/>
                <w:szCs w:val="24"/>
                <w:lang w:val="lv-LV"/>
              </w:rPr>
              <w:t xml:space="preserve">nstrukcijas </w:t>
            </w:r>
            <w:r w:rsidR="008450B9" w:rsidRPr="008450B9">
              <w:rPr>
                <w:rFonts w:eastAsia="Times New Roman"/>
                <w:sz w:val="24"/>
                <w:szCs w:val="24"/>
                <w:lang w:val="lv-LV" w:eastAsia="lv-LV"/>
              </w:rPr>
              <w:t>projekta mērķis</w:t>
            </w:r>
            <w:r>
              <w:rPr>
                <w:rFonts w:eastAsia="Times New Roman"/>
                <w:sz w:val="24"/>
                <w:szCs w:val="24"/>
                <w:lang w:val="lv-LV" w:eastAsia="lv-LV"/>
              </w:rPr>
              <w:t xml:space="preserve"> </w:t>
            </w:r>
            <w:r w:rsidRPr="00DC2461">
              <w:rPr>
                <w:rFonts w:eastAsia="Times New Roman"/>
                <w:sz w:val="24"/>
                <w:szCs w:val="24"/>
                <w:lang w:val="lv-LV" w:eastAsia="lv-LV"/>
              </w:rPr>
              <w:t>ir turpināt pilnveidot un efektivizēt valsts budžeta izpildes analīzes procesu</w:t>
            </w:r>
            <w:r w:rsidR="008450B9" w:rsidRPr="008450B9">
              <w:rPr>
                <w:rFonts w:eastAsia="Times New Roman"/>
                <w:sz w:val="24"/>
                <w:szCs w:val="24"/>
                <w:lang w:val="lv-LV" w:eastAsia="lv-LV"/>
              </w:rPr>
              <w:t>.</w:t>
            </w:r>
          </w:p>
          <w:p w14:paraId="148BB097" w14:textId="77777777" w:rsidR="00D567A2" w:rsidRPr="00D567A2" w:rsidRDefault="00DC2461" w:rsidP="00D567A2">
            <w:pPr>
              <w:jc w:val="both"/>
              <w:rPr>
                <w:rFonts w:eastAsia="Times New Roman"/>
                <w:sz w:val="24"/>
                <w:szCs w:val="24"/>
                <w:lang w:val="lv-LV" w:eastAsia="lv-LV"/>
              </w:rPr>
            </w:pPr>
            <w:r>
              <w:rPr>
                <w:sz w:val="24"/>
                <w:szCs w:val="24"/>
                <w:lang w:val="lv-LV"/>
              </w:rPr>
              <w:t>I</w:t>
            </w:r>
            <w:r w:rsidRPr="00DC2461">
              <w:rPr>
                <w:sz w:val="24"/>
                <w:szCs w:val="24"/>
                <w:lang w:val="lv-LV"/>
              </w:rPr>
              <w:t xml:space="preserve">nstrukcijas </w:t>
            </w:r>
            <w:r w:rsidR="00D567A2" w:rsidRPr="00D567A2">
              <w:rPr>
                <w:rFonts w:eastAsia="Times New Roman"/>
                <w:sz w:val="24"/>
                <w:szCs w:val="24"/>
                <w:lang w:val="lv-LV" w:eastAsia="lv-LV"/>
              </w:rPr>
              <w:t>projekts paredz:</w:t>
            </w:r>
          </w:p>
          <w:p w14:paraId="4E023C9D" w14:textId="77777777" w:rsidR="00DC2461" w:rsidRDefault="00DC2461" w:rsidP="00DA3AEB">
            <w:pPr>
              <w:numPr>
                <w:ilvl w:val="0"/>
                <w:numId w:val="6"/>
              </w:numPr>
              <w:jc w:val="both"/>
              <w:rPr>
                <w:rFonts w:eastAsia="Times New Roman"/>
                <w:sz w:val="24"/>
                <w:szCs w:val="24"/>
                <w:lang w:val="lv-LV" w:eastAsia="lv-LV"/>
              </w:rPr>
            </w:pPr>
            <w:r w:rsidRPr="00DC2461">
              <w:rPr>
                <w:rFonts w:eastAsia="Times New Roman"/>
                <w:sz w:val="24"/>
                <w:szCs w:val="24"/>
                <w:lang w:val="lv-LV" w:eastAsia="lv-LV"/>
              </w:rPr>
              <w:t>atcelt informācijas sniegšanu par sešiem un deviņiem mēnešiem sadaļā "Izmaiņas", kur jānorāda pārskata perioda izpildes izmaiņas pret iepriekšējā gada atbi</w:t>
            </w:r>
            <w:r>
              <w:rPr>
                <w:rFonts w:eastAsia="Times New Roman"/>
                <w:sz w:val="24"/>
                <w:szCs w:val="24"/>
                <w:lang w:val="lv-LV" w:eastAsia="lv-LV"/>
              </w:rPr>
              <w:t>lstošā pārskata perioda izpildi</w:t>
            </w:r>
            <w:r w:rsidR="0011087E">
              <w:rPr>
                <w:rFonts w:eastAsia="Times New Roman"/>
                <w:sz w:val="24"/>
                <w:szCs w:val="24"/>
                <w:lang w:val="lv-LV" w:eastAsia="lv-LV"/>
              </w:rPr>
              <w:t xml:space="preserve"> - </w:t>
            </w:r>
            <w:r w:rsidR="0011087E" w:rsidRPr="0011087E">
              <w:rPr>
                <w:rFonts w:eastAsia="Times New Roman"/>
                <w:sz w:val="24"/>
                <w:szCs w:val="24"/>
                <w:lang w:val="lv-LV" w:eastAsia="lv-LV"/>
              </w:rPr>
              <w:t>turpmāk izmaiņas tiks analizētas tikai 12</w:t>
            </w:r>
            <w:r w:rsidR="00412344">
              <w:rPr>
                <w:rFonts w:eastAsia="Times New Roman"/>
                <w:sz w:val="24"/>
                <w:szCs w:val="24"/>
                <w:lang w:val="lv-LV" w:eastAsia="lv-LV"/>
              </w:rPr>
              <w:t> </w:t>
            </w:r>
            <w:r w:rsidR="0011087E" w:rsidRPr="0011087E">
              <w:rPr>
                <w:rFonts w:eastAsia="Times New Roman"/>
                <w:sz w:val="24"/>
                <w:szCs w:val="24"/>
                <w:lang w:val="lv-LV" w:eastAsia="lv-LV"/>
              </w:rPr>
              <w:t>mēnešu pārskata periodā pret iepriekšējā gada atbilstošo pārskata periodu</w:t>
            </w:r>
            <w:r>
              <w:rPr>
                <w:rFonts w:eastAsia="Times New Roman"/>
                <w:sz w:val="24"/>
                <w:szCs w:val="24"/>
                <w:lang w:val="lv-LV" w:eastAsia="lv-LV"/>
              </w:rPr>
              <w:t>;</w:t>
            </w:r>
          </w:p>
          <w:p w14:paraId="46DC2FDF" w14:textId="77777777" w:rsidR="00DC2461" w:rsidRDefault="00DC2461" w:rsidP="00DA3AEB">
            <w:pPr>
              <w:numPr>
                <w:ilvl w:val="0"/>
                <w:numId w:val="6"/>
              </w:numPr>
              <w:jc w:val="both"/>
              <w:rPr>
                <w:rFonts w:eastAsia="Times New Roman"/>
                <w:sz w:val="24"/>
                <w:szCs w:val="24"/>
                <w:lang w:val="lv-LV" w:eastAsia="lv-LV"/>
              </w:rPr>
            </w:pPr>
            <w:r w:rsidRPr="00DC2461">
              <w:rPr>
                <w:rFonts w:eastAsia="Times New Roman"/>
                <w:sz w:val="24"/>
                <w:szCs w:val="24"/>
                <w:lang w:val="lv-LV" w:eastAsia="lv-LV"/>
              </w:rPr>
              <w:t>samazināt detalizāciju sadaļā “Neizpilde” – turpmāk neskaidrojot neizpildes sadalījumu pa izdevumu ekonomiskās klasifikācijas kodiem, bet snie</w:t>
            </w:r>
            <w:r w:rsidR="00181008">
              <w:rPr>
                <w:rFonts w:eastAsia="Times New Roman"/>
                <w:sz w:val="24"/>
                <w:szCs w:val="24"/>
                <w:lang w:val="lv-LV" w:eastAsia="lv-LV"/>
              </w:rPr>
              <w:t>g</w:t>
            </w:r>
            <w:r w:rsidRPr="00DC2461">
              <w:rPr>
                <w:rFonts w:eastAsia="Times New Roman"/>
                <w:sz w:val="24"/>
                <w:szCs w:val="24"/>
                <w:lang w:val="lv-LV" w:eastAsia="lv-LV"/>
              </w:rPr>
              <w:t>t informāciju par neizpildes datiem par pasākumu/aktivitāti kopumā un norādot būtiskākos neizpildes iemeslus pasākumu/aktivitāšu griezumā, lai informācija nebūtu sadrumstalota, bet tiktu identificēti riski atsevišķos pasākumos</w:t>
            </w:r>
            <w:r w:rsidR="0011087E">
              <w:rPr>
                <w:rFonts w:eastAsia="Times New Roman"/>
                <w:sz w:val="24"/>
                <w:szCs w:val="24"/>
                <w:lang w:val="lv-LV" w:eastAsia="lv-LV"/>
              </w:rPr>
              <w:t>;</w:t>
            </w:r>
          </w:p>
          <w:p w14:paraId="082559E1" w14:textId="77777777" w:rsidR="0011087E" w:rsidRDefault="0011087E" w:rsidP="00DA3AEB">
            <w:pPr>
              <w:numPr>
                <w:ilvl w:val="0"/>
                <w:numId w:val="6"/>
              </w:numPr>
              <w:jc w:val="both"/>
              <w:rPr>
                <w:rFonts w:eastAsia="Times New Roman"/>
                <w:sz w:val="24"/>
                <w:szCs w:val="24"/>
                <w:lang w:val="lv-LV" w:eastAsia="lv-LV"/>
              </w:rPr>
            </w:pPr>
            <w:r w:rsidRPr="0011087E">
              <w:rPr>
                <w:rFonts w:eastAsia="Times New Roman"/>
                <w:sz w:val="24"/>
                <w:szCs w:val="24"/>
                <w:lang w:val="lv-LV" w:eastAsia="lv-LV"/>
              </w:rPr>
              <w:t>atcelt informācijas sniegšanu par Eiropas Savienības politiku instrumentu un pārējās ārvalstu finanšu palīdzības līdzfinansēto un finansēto projektu un pasākumu īstenošanas izpildi par sešiem un deviņiem mēnešiem</w:t>
            </w:r>
            <w:r>
              <w:rPr>
                <w:rFonts w:eastAsia="Times New Roman"/>
                <w:sz w:val="24"/>
                <w:szCs w:val="24"/>
                <w:lang w:val="lv-LV" w:eastAsia="lv-LV"/>
              </w:rPr>
              <w:t>, lai izslēgtu informācijas sniegšanas dublēšanos;</w:t>
            </w:r>
          </w:p>
          <w:p w14:paraId="1BF5B461" w14:textId="6E6738E2" w:rsidR="00181008" w:rsidRPr="00181008" w:rsidRDefault="00393B4F" w:rsidP="00DA3AEB">
            <w:pPr>
              <w:numPr>
                <w:ilvl w:val="0"/>
                <w:numId w:val="6"/>
              </w:numPr>
              <w:jc w:val="both"/>
              <w:rPr>
                <w:rFonts w:eastAsia="Times New Roman"/>
                <w:sz w:val="24"/>
                <w:szCs w:val="24"/>
                <w:lang w:val="lv-LV" w:eastAsia="lv-LV"/>
              </w:rPr>
            </w:pPr>
            <w:r>
              <w:rPr>
                <w:rFonts w:eastAsia="Times New Roman"/>
                <w:sz w:val="24"/>
                <w:szCs w:val="24"/>
                <w:lang w:val="lv-LV" w:eastAsia="lv-LV"/>
              </w:rPr>
              <w:t>papildināt izpildes analīzi</w:t>
            </w:r>
            <w:r w:rsidR="0011087E" w:rsidRPr="00181008">
              <w:rPr>
                <w:rFonts w:eastAsia="Times New Roman"/>
                <w:sz w:val="24"/>
                <w:szCs w:val="24"/>
                <w:lang w:val="lv-LV" w:eastAsia="lv-LV"/>
              </w:rPr>
              <w:t xml:space="preserve"> </w:t>
            </w:r>
            <w:r>
              <w:rPr>
                <w:rFonts w:eastAsia="Times New Roman"/>
                <w:sz w:val="24"/>
                <w:szCs w:val="24"/>
                <w:lang w:val="lv-LV" w:eastAsia="lv-LV"/>
              </w:rPr>
              <w:t xml:space="preserve">ar sadaļu </w:t>
            </w:r>
            <w:r w:rsidR="0011087E" w:rsidRPr="00181008">
              <w:rPr>
                <w:rFonts w:eastAsia="Times New Roman"/>
                <w:sz w:val="24"/>
                <w:szCs w:val="24"/>
                <w:lang w:val="lv-LV" w:eastAsia="lv-LV"/>
              </w:rPr>
              <w:t>"Prioritār</w:t>
            </w:r>
            <w:r w:rsidR="00412344">
              <w:rPr>
                <w:rFonts w:eastAsia="Times New Roman"/>
                <w:sz w:val="24"/>
                <w:szCs w:val="24"/>
                <w:lang w:val="lv-LV" w:eastAsia="lv-LV"/>
              </w:rPr>
              <w:t>o pasākumu izpildes analīze 20__</w:t>
            </w:r>
            <w:r w:rsidR="0011087E" w:rsidRPr="00181008">
              <w:rPr>
                <w:rFonts w:eastAsia="Times New Roman"/>
                <w:sz w:val="24"/>
                <w:szCs w:val="24"/>
                <w:lang w:val="lv-LV" w:eastAsia="lv-LV"/>
              </w:rPr>
              <w:t>.</w:t>
            </w:r>
            <w:r w:rsidR="00412344">
              <w:rPr>
                <w:rFonts w:eastAsia="Times New Roman"/>
                <w:sz w:val="24"/>
                <w:szCs w:val="24"/>
                <w:lang w:val="lv-LV" w:eastAsia="lv-LV"/>
              </w:rPr>
              <w:t> </w:t>
            </w:r>
            <w:r w:rsidR="0011087E" w:rsidRPr="00181008">
              <w:rPr>
                <w:rFonts w:eastAsia="Times New Roman"/>
                <w:sz w:val="24"/>
                <w:szCs w:val="24"/>
                <w:lang w:val="lv-LV" w:eastAsia="lv-LV"/>
              </w:rPr>
              <w:t>gadā", kurā tiks sniegta saturiski pilnīgāka informācija par prioritāro pasākumu (PP) mērķa sasniegšanu, papildinot jau pašreizējo detalizēti analītisko informācij</w:t>
            </w:r>
            <w:r>
              <w:rPr>
                <w:rFonts w:eastAsia="Times New Roman"/>
                <w:sz w:val="24"/>
                <w:szCs w:val="24"/>
                <w:lang w:val="lv-LV" w:eastAsia="lv-LV"/>
              </w:rPr>
              <w:t>u</w:t>
            </w:r>
            <w:r w:rsidR="0011087E" w:rsidRPr="00181008">
              <w:rPr>
                <w:rFonts w:eastAsia="Times New Roman"/>
                <w:sz w:val="24"/>
                <w:szCs w:val="24"/>
                <w:lang w:val="lv-LV" w:eastAsia="lv-LV"/>
              </w:rPr>
              <w:t xml:space="preserve"> par PP.</w:t>
            </w:r>
            <w:r w:rsidR="00181008" w:rsidRPr="00181008">
              <w:rPr>
                <w:rFonts w:eastAsia="Times New Roman"/>
                <w:sz w:val="24"/>
                <w:szCs w:val="24"/>
                <w:lang w:val="lv-LV" w:eastAsia="lv-LV"/>
              </w:rPr>
              <w:t xml:space="preserve"> </w:t>
            </w:r>
            <w:r w:rsidR="00334515" w:rsidRPr="00181008">
              <w:rPr>
                <w:rFonts w:eastAsia="Times New Roman"/>
                <w:sz w:val="24"/>
                <w:szCs w:val="24"/>
                <w:lang w:val="lv-LV" w:eastAsia="lv-LV"/>
              </w:rPr>
              <w:t>Tādējādi</w:t>
            </w:r>
            <w:r w:rsidR="00181008" w:rsidRPr="00181008">
              <w:rPr>
                <w:rFonts w:eastAsia="Times New Roman"/>
                <w:sz w:val="24"/>
                <w:szCs w:val="24"/>
                <w:lang w:val="lv-LV" w:eastAsia="lv-LV"/>
              </w:rPr>
              <w:t xml:space="preserve"> PP </w:t>
            </w:r>
            <w:r w:rsidR="00334515">
              <w:rPr>
                <w:rFonts w:eastAsia="Times New Roman"/>
                <w:sz w:val="24"/>
                <w:szCs w:val="24"/>
                <w:lang w:val="lv-LV" w:eastAsia="lv-LV"/>
              </w:rPr>
              <w:t xml:space="preserve">analīzes </w:t>
            </w:r>
            <w:r w:rsidR="00181008" w:rsidRPr="00181008">
              <w:rPr>
                <w:rFonts w:eastAsia="Times New Roman"/>
                <w:sz w:val="24"/>
                <w:szCs w:val="24"/>
                <w:lang w:val="lv-LV" w:eastAsia="lv-LV"/>
              </w:rPr>
              <w:t>ieguvumi:</w:t>
            </w:r>
          </w:p>
          <w:p w14:paraId="3C15A416" w14:textId="77777777" w:rsidR="00DA3AEB" w:rsidRDefault="00DA3AEB" w:rsidP="00DA3AEB">
            <w:pPr>
              <w:pStyle w:val="ListParagraph"/>
              <w:numPr>
                <w:ilvl w:val="0"/>
                <w:numId w:val="7"/>
              </w:numPr>
              <w:jc w:val="both"/>
              <w:rPr>
                <w:rFonts w:eastAsia="Times New Roman"/>
                <w:sz w:val="24"/>
                <w:szCs w:val="24"/>
                <w:lang w:val="lv-LV" w:eastAsia="lv-LV"/>
              </w:rPr>
            </w:pPr>
            <w:r>
              <w:rPr>
                <w:rFonts w:eastAsia="Times New Roman"/>
                <w:sz w:val="24"/>
                <w:szCs w:val="24"/>
                <w:lang w:val="lv-LV" w:eastAsia="lv-LV"/>
              </w:rPr>
              <w:t>k</w:t>
            </w:r>
            <w:r w:rsidR="00181008" w:rsidRPr="00DA3AEB">
              <w:rPr>
                <w:rFonts w:eastAsia="Times New Roman"/>
                <w:sz w:val="24"/>
                <w:szCs w:val="24"/>
                <w:lang w:val="lv-LV" w:eastAsia="lv-LV"/>
              </w:rPr>
              <w:t xml:space="preserve">ontrole un informētība pār PP īstenošanas gaitu un sasniegto mērķi; </w:t>
            </w:r>
          </w:p>
          <w:p w14:paraId="2544B856" w14:textId="77777777" w:rsidR="00DA3AEB" w:rsidRDefault="00181008" w:rsidP="00DA3AEB">
            <w:pPr>
              <w:pStyle w:val="ListParagraph"/>
              <w:numPr>
                <w:ilvl w:val="0"/>
                <w:numId w:val="7"/>
              </w:numPr>
              <w:jc w:val="both"/>
              <w:rPr>
                <w:rFonts w:eastAsia="Times New Roman"/>
                <w:sz w:val="24"/>
                <w:szCs w:val="24"/>
                <w:lang w:val="lv-LV" w:eastAsia="lv-LV"/>
              </w:rPr>
            </w:pPr>
            <w:r w:rsidRPr="00DA3AEB">
              <w:rPr>
                <w:rFonts w:eastAsia="Times New Roman"/>
                <w:sz w:val="24"/>
                <w:szCs w:val="24"/>
                <w:lang w:val="lv-LV" w:eastAsia="lv-LV"/>
              </w:rPr>
              <w:t>informācija varēs tikt izmantota</w:t>
            </w:r>
            <w:r w:rsidR="00393B4F">
              <w:rPr>
                <w:rFonts w:eastAsia="Times New Roman"/>
                <w:sz w:val="24"/>
                <w:szCs w:val="24"/>
                <w:lang w:val="lv-LV" w:eastAsia="lv-LV"/>
              </w:rPr>
              <w:t>,</w:t>
            </w:r>
            <w:r w:rsidRPr="00DA3AEB">
              <w:rPr>
                <w:rFonts w:eastAsia="Times New Roman"/>
                <w:sz w:val="24"/>
                <w:szCs w:val="24"/>
                <w:lang w:val="lv-LV" w:eastAsia="lv-LV"/>
              </w:rPr>
              <w:t xml:space="preserve"> vērtējot jaunu PP piešķīrumu pieprasījumus;  </w:t>
            </w:r>
          </w:p>
          <w:p w14:paraId="6FD00E8A" w14:textId="77777777" w:rsidR="00181008" w:rsidRDefault="00181008" w:rsidP="00393B4F">
            <w:pPr>
              <w:pStyle w:val="ListParagraph"/>
              <w:numPr>
                <w:ilvl w:val="0"/>
                <w:numId w:val="7"/>
              </w:numPr>
              <w:jc w:val="both"/>
              <w:rPr>
                <w:rFonts w:eastAsia="Times New Roman"/>
                <w:sz w:val="24"/>
                <w:szCs w:val="24"/>
                <w:lang w:val="lv-LV" w:eastAsia="lv-LV"/>
              </w:rPr>
            </w:pPr>
            <w:r w:rsidRPr="00DA3AEB">
              <w:rPr>
                <w:rFonts w:eastAsia="Times New Roman"/>
                <w:sz w:val="24"/>
                <w:szCs w:val="24"/>
                <w:lang w:val="lv-LV" w:eastAsia="lv-LV"/>
              </w:rPr>
              <w:t>analīzes informāciju, lai veicinātu valsts pārvaldes darbība</w:t>
            </w:r>
            <w:r w:rsidR="006422FD">
              <w:rPr>
                <w:rFonts w:eastAsia="Times New Roman"/>
                <w:sz w:val="24"/>
                <w:szCs w:val="24"/>
                <w:lang w:val="lv-LV" w:eastAsia="lv-LV"/>
              </w:rPr>
              <w:t>s</w:t>
            </w:r>
            <w:r w:rsidR="006422FD" w:rsidRPr="00DA3AEB">
              <w:rPr>
                <w:rFonts w:eastAsia="Times New Roman"/>
                <w:sz w:val="24"/>
                <w:szCs w:val="24"/>
                <w:lang w:val="lv-LV" w:eastAsia="lv-LV"/>
              </w:rPr>
              <w:t xml:space="preserve"> </w:t>
            </w:r>
            <w:r w:rsidR="00393B4F" w:rsidRPr="00DA3AEB">
              <w:rPr>
                <w:rFonts w:eastAsia="Times New Roman"/>
                <w:sz w:val="24"/>
                <w:szCs w:val="24"/>
                <w:lang w:val="lv-LV" w:eastAsia="lv-LV"/>
              </w:rPr>
              <w:t>caur</w:t>
            </w:r>
            <w:r w:rsidR="00393B4F">
              <w:rPr>
                <w:rFonts w:eastAsia="Times New Roman"/>
                <w:sz w:val="24"/>
                <w:szCs w:val="24"/>
                <w:lang w:val="lv-LV" w:eastAsia="lv-LV"/>
              </w:rPr>
              <w:t>redzamību</w:t>
            </w:r>
            <w:r w:rsidRPr="00DA3AEB">
              <w:rPr>
                <w:rFonts w:eastAsia="Times New Roman"/>
                <w:sz w:val="24"/>
                <w:szCs w:val="24"/>
                <w:lang w:val="lv-LV" w:eastAsia="lv-LV"/>
              </w:rPr>
              <w:t>, būs iespēja publicēt sabiedrības informēšanai par PP mērķa sasniegšanu.</w:t>
            </w:r>
          </w:p>
          <w:p w14:paraId="586074A3" w14:textId="7BD51F23" w:rsidR="007C0BA0" w:rsidRPr="007C0BA0" w:rsidRDefault="007C0BA0" w:rsidP="007C0BA0">
            <w:pPr>
              <w:jc w:val="both"/>
              <w:rPr>
                <w:rFonts w:eastAsia="Times New Roman"/>
                <w:sz w:val="24"/>
                <w:szCs w:val="24"/>
                <w:lang w:val="lv-LV" w:eastAsia="lv-LV"/>
              </w:rPr>
            </w:pPr>
            <w:r w:rsidRPr="007C0BA0">
              <w:rPr>
                <w:rFonts w:eastAsia="Times New Roman"/>
                <w:sz w:val="24"/>
                <w:szCs w:val="24"/>
                <w:lang w:val="lv-LV" w:eastAsia="lv-LV"/>
              </w:rPr>
              <w:lastRenderedPageBreak/>
              <w:t>Ņemot vērā, ka vairākās sadaļās tiek samazināta informācijas sniegšana, tad papildus informācijas sagatavošana par PP neradīs administratīvā sloga pieaugumu.</w:t>
            </w:r>
          </w:p>
        </w:tc>
      </w:tr>
      <w:tr w:rsidR="00FE6AB5" w:rsidRPr="004B3951" w14:paraId="50903AF5" w14:textId="77777777" w:rsidTr="00334515">
        <w:tc>
          <w:tcPr>
            <w:tcW w:w="426" w:type="dxa"/>
          </w:tcPr>
          <w:p w14:paraId="264C00B5" w14:textId="77777777" w:rsidR="00FE6AB5" w:rsidRPr="004B3951" w:rsidRDefault="00FE6AB5" w:rsidP="00BE6AD8">
            <w:pPr>
              <w:pStyle w:val="ListParagraph"/>
              <w:numPr>
                <w:ilvl w:val="0"/>
                <w:numId w:val="1"/>
              </w:numPr>
              <w:ind w:left="34" w:right="176" w:firstLine="0"/>
              <w:jc w:val="both"/>
              <w:rPr>
                <w:sz w:val="24"/>
                <w:lang w:val="lv-LV"/>
              </w:rPr>
            </w:pPr>
          </w:p>
        </w:tc>
        <w:tc>
          <w:tcPr>
            <w:tcW w:w="2977" w:type="dxa"/>
          </w:tcPr>
          <w:p w14:paraId="4CC3E536" w14:textId="77777777" w:rsidR="00FE6AB5" w:rsidRPr="004B3951" w:rsidRDefault="00FE6AB5" w:rsidP="00C21CBC">
            <w:pPr>
              <w:rPr>
                <w:sz w:val="24"/>
                <w:lang w:val="lv-LV"/>
              </w:rPr>
            </w:pPr>
            <w:r w:rsidRPr="004B3951">
              <w:rPr>
                <w:sz w:val="24"/>
                <w:lang w:val="lv-LV"/>
              </w:rPr>
              <w:t>Iespējamie risinājuma varianti</w:t>
            </w:r>
            <w:r w:rsidR="00BE6AD8">
              <w:rPr>
                <w:sz w:val="24"/>
                <w:lang w:val="lv-LV"/>
              </w:rPr>
              <w:t xml:space="preserve"> </w:t>
            </w:r>
            <w:r w:rsidR="00BE6AD8" w:rsidRPr="00BE6AD8">
              <w:rPr>
                <w:sz w:val="24"/>
                <w:lang w:val="lv-LV"/>
              </w:rPr>
              <w:t>(ja nepieciešams)</w:t>
            </w:r>
          </w:p>
        </w:tc>
        <w:tc>
          <w:tcPr>
            <w:tcW w:w="6520" w:type="dxa"/>
          </w:tcPr>
          <w:p w14:paraId="123D3112" w14:textId="77777777" w:rsidR="00FE6AB5" w:rsidRPr="004B3951" w:rsidRDefault="00FE6AB5" w:rsidP="00C21CBC">
            <w:pPr>
              <w:jc w:val="both"/>
              <w:rPr>
                <w:sz w:val="24"/>
                <w:szCs w:val="24"/>
                <w:lang w:val="lv-LV"/>
              </w:rPr>
            </w:pPr>
            <w:r w:rsidRPr="004B3951">
              <w:rPr>
                <w:sz w:val="24"/>
                <w:lang w:val="lv-LV"/>
              </w:rPr>
              <w:t>Papildu risinājuma varianti nav nepieciešami</w:t>
            </w:r>
            <w:r w:rsidR="00795DB0" w:rsidRPr="004B3951">
              <w:rPr>
                <w:sz w:val="24"/>
                <w:lang w:val="lv-LV"/>
              </w:rPr>
              <w:t>.</w:t>
            </w:r>
          </w:p>
        </w:tc>
      </w:tr>
      <w:tr w:rsidR="001036DB" w:rsidRPr="004B3951" w14:paraId="6BADBE13" w14:textId="77777777" w:rsidTr="00334515">
        <w:tc>
          <w:tcPr>
            <w:tcW w:w="426" w:type="dxa"/>
          </w:tcPr>
          <w:p w14:paraId="4832A46B" w14:textId="77777777" w:rsidR="001036DB" w:rsidRPr="004B3951" w:rsidRDefault="001036DB" w:rsidP="00BE6AD8">
            <w:pPr>
              <w:pStyle w:val="ListParagraph"/>
              <w:numPr>
                <w:ilvl w:val="0"/>
                <w:numId w:val="1"/>
              </w:numPr>
              <w:ind w:left="34" w:right="176" w:firstLine="0"/>
              <w:jc w:val="both"/>
              <w:rPr>
                <w:sz w:val="24"/>
                <w:lang w:val="lv-LV"/>
              </w:rPr>
            </w:pPr>
          </w:p>
        </w:tc>
        <w:tc>
          <w:tcPr>
            <w:tcW w:w="2977" w:type="dxa"/>
          </w:tcPr>
          <w:p w14:paraId="59DA676C" w14:textId="77777777" w:rsidR="001036DB" w:rsidRPr="004B3951" w:rsidRDefault="001036DB" w:rsidP="00F12047">
            <w:pPr>
              <w:rPr>
                <w:sz w:val="24"/>
                <w:lang w:val="lv-LV"/>
              </w:rPr>
            </w:pPr>
            <w:r w:rsidRPr="004B3951">
              <w:rPr>
                <w:sz w:val="24"/>
                <w:lang w:val="lv-LV"/>
              </w:rPr>
              <w:t>Par projektu nosakāmā atbildīgā amatpersona</w:t>
            </w:r>
          </w:p>
        </w:tc>
        <w:tc>
          <w:tcPr>
            <w:tcW w:w="6520" w:type="dxa"/>
          </w:tcPr>
          <w:p w14:paraId="2ABE902C" w14:textId="77777777" w:rsidR="001036DB" w:rsidRPr="004B3951" w:rsidRDefault="00E92C41" w:rsidP="00E92C41">
            <w:pPr>
              <w:jc w:val="both"/>
              <w:rPr>
                <w:sz w:val="24"/>
                <w:lang w:val="lv-LV"/>
              </w:rPr>
            </w:pPr>
            <w:r w:rsidRPr="004B3951">
              <w:rPr>
                <w:sz w:val="24"/>
                <w:lang w:val="lv-LV"/>
              </w:rPr>
              <w:t>L.</w:t>
            </w:r>
            <w:r w:rsidR="0065635D">
              <w:rPr>
                <w:sz w:val="24"/>
                <w:lang w:val="lv-LV"/>
              </w:rPr>
              <w:t> </w:t>
            </w:r>
            <w:r w:rsidRPr="004B3951">
              <w:rPr>
                <w:sz w:val="24"/>
                <w:lang w:val="lv-LV"/>
              </w:rPr>
              <w:t>Jevčuka</w:t>
            </w:r>
            <w:r w:rsidR="001036DB" w:rsidRPr="004B3951">
              <w:rPr>
                <w:sz w:val="24"/>
                <w:lang w:val="lv-LV"/>
              </w:rPr>
              <w:t xml:space="preserve">, </w:t>
            </w:r>
            <w:r w:rsidR="001D6110" w:rsidRPr="001D6110">
              <w:rPr>
                <w:sz w:val="24"/>
                <w:lang w:val="lv-LV"/>
              </w:rPr>
              <w:t>Budžeta p</w:t>
            </w:r>
            <w:r w:rsidR="001D6110">
              <w:rPr>
                <w:sz w:val="24"/>
                <w:lang w:val="lv-LV"/>
              </w:rPr>
              <w:t>olitikas attīstības departamenta</w:t>
            </w:r>
            <w:r w:rsidR="001D6110" w:rsidRPr="001D6110">
              <w:rPr>
                <w:sz w:val="24"/>
                <w:lang w:val="lv-LV"/>
              </w:rPr>
              <w:t xml:space="preserve"> </w:t>
            </w:r>
            <w:r w:rsidR="001036DB" w:rsidRPr="004B3951">
              <w:rPr>
                <w:sz w:val="24"/>
                <w:lang w:val="lv-LV"/>
              </w:rPr>
              <w:t xml:space="preserve">Budžeta metodoloģijas nodaļas </w:t>
            </w:r>
            <w:r w:rsidRPr="004B3951">
              <w:rPr>
                <w:sz w:val="24"/>
                <w:lang w:val="lv-LV"/>
              </w:rPr>
              <w:t>vadītāja</w:t>
            </w:r>
            <w:r w:rsidR="00795DB0" w:rsidRPr="004B3951">
              <w:rPr>
                <w:sz w:val="24"/>
                <w:lang w:val="lv-LV"/>
              </w:rPr>
              <w:t>.</w:t>
            </w:r>
          </w:p>
        </w:tc>
      </w:tr>
      <w:tr w:rsidR="00E92C41" w:rsidRPr="004B3951" w14:paraId="12A16083" w14:textId="77777777" w:rsidTr="00334515">
        <w:tc>
          <w:tcPr>
            <w:tcW w:w="426" w:type="dxa"/>
          </w:tcPr>
          <w:p w14:paraId="0361D3CB" w14:textId="77777777" w:rsidR="00E92C41" w:rsidRPr="004B3951" w:rsidRDefault="00E92C41" w:rsidP="00BE6AD8">
            <w:pPr>
              <w:pStyle w:val="ListParagraph"/>
              <w:numPr>
                <w:ilvl w:val="0"/>
                <w:numId w:val="1"/>
              </w:numPr>
              <w:ind w:left="34" w:right="176" w:firstLine="0"/>
              <w:jc w:val="both"/>
              <w:rPr>
                <w:sz w:val="24"/>
                <w:lang w:val="lv-LV"/>
              </w:rPr>
            </w:pPr>
          </w:p>
        </w:tc>
        <w:tc>
          <w:tcPr>
            <w:tcW w:w="2977" w:type="dxa"/>
          </w:tcPr>
          <w:p w14:paraId="5B06D402" w14:textId="77777777" w:rsidR="00E92C41" w:rsidRPr="004B3951" w:rsidRDefault="00E92C41" w:rsidP="00F12047">
            <w:pPr>
              <w:rPr>
                <w:sz w:val="24"/>
                <w:lang w:val="lv-LV"/>
              </w:rPr>
            </w:pPr>
            <w:r w:rsidRPr="004B3951">
              <w:rPr>
                <w:sz w:val="24"/>
                <w:lang w:val="lv-LV"/>
              </w:rPr>
              <w:t>Nosakāmais projekta sagatavotājs</w:t>
            </w:r>
            <w:r w:rsidR="00BE6AD8">
              <w:rPr>
                <w:sz w:val="24"/>
                <w:lang w:val="lv-LV"/>
              </w:rPr>
              <w:t xml:space="preserve"> </w:t>
            </w:r>
            <w:r w:rsidR="00BE6AD8" w:rsidRPr="00BE6AD8">
              <w:rPr>
                <w:sz w:val="24"/>
                <w:lang w:val="lv-LV"/>
              </w:rPr>
              <w:t>(ja nepieciešams)</w:t>
            </w:r>
          </w:p>
        </w:tc>
        <w:tc>
          <w:tcPr>
            <w:tcW w:w="6520" w:type="dxa"/>
          </w:tcPr>
          <w:p w14:paraId="30003296" w14:textId="77777777" w:rsidR="00E92C41" w:rsidRPr="004B3951" w:rsidRDefault="00977A9F" w:rsidP="005F37FB">
            <w:pPr>
              <w:jc w:val="both"/>
              <w:rPr>
                <w:sz w:val="24"/>
                <w:lang w:val="lv-LV"/>
              </w:rPr>
            </w:pPr>
            <w:r>
              <w:rPr>
                <w:sz w:val="24"/>
                <w:lang w:val="lv-LV"/>
              </w:rPr>
              <w:t>I.</w:t>
            </w:r>
            <w:r w:rsidR="0065635D">
              <w:rPr>
                <w:sz w:val="24"/>
                <w:lang w:val="lv-LV"/>
              </w:rPr>
              <w:t> </w:t>
            </w:r>
            <w:r>
              <w:rPr>
                <w:sz w:val="24"/>
                <w:lang w:val="lv-LV"/>
              </w:rPr>
              <w:t>Klinsone</w:t>
            </w:r>
            <w:r w:rsidR="00E92C41" w:rsidRPr="004B3951">
              <w:rPr>
                <w:sz w:val="24"/>
                <w:lang w:val="lv-LV"/>
              </w:rPr>
              <w:t xml:space="preserve">, </w:t>
            </w:r>
            <w:r w:rsidR="001D6110" w:rsidRPr="001D6110">
              <w:rPr>
                <w:sz w:val="24"/>
                <w:lang w:val="lv-LV"/>
              </w:rPr>
              <w:t>Budžeta p</w:t>
            </w:r>
            <w:r w:rsidR="001D6110">
              <w:rPr>
                <w:sz w:val="24"/>
                <w:lang w:val="lv-LV"/>
              </w:rPr>
              <w:t>olitikas attīstības departamenta</w:t>
            </w:r>
            <w:r w:rsidR="001D6110" w:rsidRPr="001D6110">
              <w:rPr>
                <w:sz w:val="24"/>
                <w:lang w:val="lv-LV"/>
              </w:rPr>
              <w:t xml:space="preserve"> </w:t>
            </w:r>
            <w:r w:rsidR="00E92C41" w:rsidRPr="004B3951">
              <w:rPr>
                <w:sz w:val="24"/>
                <w:lang w:val="lv-LV"/>
              </w:rPr>
              <w:t>Budžet</w:t>
            </w:r>
            <w:r>
              <w:rPr>
                <w:sz w:val="24"/>
                <w:lang w:val="lv-LV"/>
              </w:rPr>
              <w:t xml:space="preserve">a metodoloģijas nodaļas vecākā </w:t>
            </w:r>
            <w:r w:rsidR="005F37FB">
              <w:rPr>
                <w:sz w:val="24"/>
                <w:lang w:val="lv-LV"/>
              </w:rPr>
              <w:t>eksperte</w:t>
            </w:r>
            <w:r w:rsidR="00795DB0" w:rsidRPr="004B3951">
              <w:rPr>
                <w:sz w:val="24"/>
                <w:lang w:val="lv-LV"/>
              </w:rPr>
              <w:t>.</w:t>
            </w:r>
          </w:p>
        </w:tc>
      </w:tr>
      <w:tr w:rsidR="00E92C41" w:rsidRPr="004B3951" w14:paraId="6F11D03B" w14:textId="77777777" w:rsidTr="00334515">
        <w:tc>
          <w:tcPr>
            <w:tcW w:w="426" w:type="dxa"/>
          </w:tcPr>
          <w:p w14:paraId="54004806" w14:textId="77777777" w:rsidR="00E92C41" w:rsidRPr="004B3951" w:rsidRDefault="00E92C41" w:rsidP="00BE6AD8">
            <w:pPr>
              <w:pStyle w:val="ListParagraph"/>
              <w:numPr>
                <w:ilvl w:val="0"/>
                <w:numId w:val="1"/>
              </w:numPr>
              <w:ind w:left="34" w:right="176" w:firstLine="0"/>
              <w:jc w:val="both"/>
              <w:rPr>
                <w:sz w:val="24"/>
                <w:lang w:val="lv-LV"/>
              </w:rPr>
            </w:pPr>
          </w:p>
        </w:tc>
        <w:tc>
          <w:tcPr>
            <w:tcW w:w="2977" w:type="dxa"/>
          </w:tcPr>
          <w:p w14:paraId="29D7DE21" w14:textId="77777777" w:rsidR="00E92C41" w:rsidRPr="004B3951" w:rsidRDefault="00E92C41" w:rsidP="00F12047">
            <w:pPr>
              <w:rPr>
                <w:sz w:val="24"/>
                <w:lang w:val="lv-LV"/>
              </w:rPr>
            </w:pPr>
            <w:r w:rsidRPr="004B3951">
              <w:rPr>
                <w:sz w:val="24"/>
                <w:lang w:val="lv-LV"/>
              </w:rPr>
              <w:t>Darba grupas vadītājs un iespējamais sastāvs</w:t>
            </w:r>
            <w:r w:rsidR="00BE6AD8">
              <w:rPr>
                <w:sz w:val="24"/>
                <w:lang w:val="lv-LV"/>
              </w:rPr>
              <w:t xml:space="preserve"> </w:t>
            </w:r>
            <w:r w:rsidR="00BE6AD8" w:rsidRPr="00BE6AD8">
              <w:rPr>
                <w:sz w:val="24"/>
                <w:lang w:val="lv-LV"/>
              </w:rPr>
              <w:t>(ja nepieciešams)</w:t>
            </w:r>
            <w:r w:rsidR="00BE6AD8">
              <w:rPr>
                <w:sz w:val="24"/>
                <w:lang w:val="lv-LV"/>
              </w:rPr>
              <w:t xml:space="preserve"> </w:t>
            </w:r>
          </w:p>
        </w:tc>
        <w:tc>
          <w:tcPr>
            <w:tcW w:w="6520" w:type="dxa"/>
          </w:tcPr>
          <w:p w14:paraId="59716A8F" w14:textId="77777777" w:rsidR="00E92C41" w:rsidRPr="004B3951" w:rsidRDefault="00E92C41" w:rsidP="00F12047">
            <w:pPr>
              <w:jc w:val="both"/>
              <w:rPr>
                <w:sz w:val="24"/>
                <w:lang w:val="lv-LV"/>
              </w:rPr>
            </w:pPr>
            <w:r w:rsidRPr="004B3951">
              <w:rPr>
                <w:sz w:val="24"/>
                <w:lang w:val="lv-LV"/>
              </w:rPr>
              <w:t>Darba grupu veidot nav nepieciešams</w:t>
            </w:r>
            <w:r w:rsidR="00795DB0" w:rsidRPr="004B3951">
              <w:rPr>
                <w:sz w:val="24"/>
                <w:lang w:val="lv-LV"/>
              </w:rPr>
              <w:t>.</w:t>
            </w:r>
          </w:p>
        </w:tc>
      </w:tr>
      <w:tr w:rsidR="00BE6AD8" w:rsidRPr="007C0BA0" w14:paraId="3E52AC59" w14:textId="77777777" w:rsidTr="00334515">
        <w:tc>
          <w:tcPr>
            <w:tcW w:w="426" w:type="dxa"/>
          </w:tcPr>
          <w:p w14:paraId="196E50EF" w14:textId="77777777" w:rsidR="00BE6AD8" w:rsidRPr="004B3951" w:rsidRDefault="00BE6AD8" w:rsidP="00BE6AD8">
            <w:pPr>
              <w:pStyle w:val="ListParagraph"/>
              <w:numPr>
                <w:ilvl w:val="0"/>
                <w:numId w:val="1"/>
              </w:numPr>
              <w:ind w:left="34" w:right="176" w:firstLine="0"/>
              <w:jc w:val="both"/>
              <w:rPr>
                <w:sz w:val="24"/>
                <w:lang w:val="lv-LV"/>
              </w:rPr>
            </w:pPr>
          </w:p>
        </w:tc>
        <w:tc>
          <w:tcPr>
            <w:tcW w:w="2977" w:type="dxa"/>
          </w:tcPr>
          <w:p w14:paraId="3823B113" w14:textId="77777777" w:rsidR="00BE6AD8" w:rsidRPr="00BE6AD8" w:rsidRDefault="00BE6AD8" w:rsidP="00F12047">
            <w:pPr>
              <w:rPr>
                <w:sz w:val="24"/>
                <w:szCs w:val="24"/>
                <w:lang w:val="lv-LV"/>
              </w:rPr>
            </w:pPr>
            <w:r w:rsidRPr="00BE6AD8">
              <w:rPr>
                <w:rFonts w:eastAsia="Times New Roman"/>
                <w:sz w:val="24"/>
                <w:szCs w:val="24"/>
                <w:lang w:val="lv-LV"/>
              </w:rPr>
              <w:t>Sabiedrības līdzdalība</w:t>
            </w:r>
          </w:p>
        </w:tc>
        <w:tc>
          <w:tcPr>
            <w:tcW w:w="6520" w:type="dxa"/>
          </w:tcPr>
          <w:p w14:paraId="4C4CEDFC" w14:textId="77777777" w:rsidR="00BE6AD8" w:rsidRPr="004B3951" w:rsidRDefault="001D095C" w:rsidP="00CB3A6F">
            <w:pPr>
              <w:jc w:val="both"/>
              <w:rPr>
                <w:sz w:val="24"/>
                <w:lang w:val="lv-LV"/>
              </w:rPr>
            </w:pPr>
            <w:r w:rsidRPr="001D095C">
              <w:rPr>
                <w:sz w:val="24"/>
                <w:lang w:val="lv-LV"/>
              </w:rPr>
              <w:t>Uzziņa par projekta izstrādi tika publicēta Finanšu ministrijas mājas lapā sadaļā “Sabiedrības līdzdalība”</w:t>
            </w:r>
            <w:r>
              <w:rPr>
                <w:sz w:val="24"/>
                <w:lang w:val="lv-LV"/>
              </w:rPr>
              <w:t>.</w:t>
            </w:r>
          </w:p>
        </w:tc>
      </w:tr>
      <w:tr w:rsidR="00E92C41" w:rsidRPr="007C0BA0" w14:paraId="16EC4F14" w14:textId="77777777" w:rsidTr="00334515">
        <w:tc>
          <w:tcPr>
            <w:tcW w:w="426" w:type="dxa"/>
          </w:tcPr>
          <w:p w14:paraId="04AA96F8" w14:textId="77777777" w:rsidR="00E92C41" w:rsidRPr="004B3951" w:rsidRDefault="00E92C41" w:rsidP="00BE6AD8">
            <w:pPr>
              <w:pStyle w:val="ListParagraph"/>
              <w:numPr>
                <w:ilvl w:val="0"/>
                <w:numId w:val="1"/>
              </w:numPr>
              <w:ind w:left="34" w:right="176" w:firstLine="0"/>
              <w:jc w:val="both"/>
              <w:rPr>
                <w:sz w:val="24"/>
                <w:lang w:val="lv-LV"/>
              </w:rPr>
            </w:pPr>
          </w:p>
        </w:tc>
        <w:tc>
          <w:tcPr>
            <w:tcW w:w="2977" w:type="dxa"/>
          </w:tcPr>
          <w:p w14:paraId="1F6E6A42" w14:textId="77777777" w:rsidR="00E92C41" w:rsidRPr="004B3951" w:rsidRDefault="00E92C41" w:rsidP="00F12047">
            <w:pPr>
              <w:rPr>
                <w:sz w:val="24"/>
                <w:lang w:val="lv-LV"/>
              </w:rPr>
            </w:pPr>
            <w:r w:rsidRPr="004B3951">
              <w:rPr>
                <w:sz w:val="24"/>
                <w:lang w:val="lv-LV"/>
              </w:rPr>
              <w:t>Ministrijas struktūrvienības un padotības iestādēm ar kurām projekts jāsaskaņo</w:t>
            </w:r>
          </w:p>
        </w:tc>
        <w:tc>
          <w:tcPr>
            <w:tcW w:w="6520" w:type="dxa"/>
          </w:tcPr>
          <w:p w14:paraId="69EF285C" w14:textId="58CCA6B6" w:rsidR="00B66A3C" w:rsidRPr="004B3951" w:rsidRDefault="00460813" w:rsidP="00B66A3C">
            <w:pPr>
              <w:jc w:val="both"/>
              <w:rPr>
                <w:sz w:val="24"/>
                <w:lang w:val="lv-LV"/>
              </w:rPr>
            </w:pPr>
            <w:r>
              <w:rPr>
                <w:sz w:val="24"/>
                <w:lang w:val="lv-LV"/>
              </w:rPr>
              <w:t>Juridiskais</w:t>
            </w:r>
            <w:r w:rsidR="005D03F5" w:rsidRPr="004B3951">
              <w:rPr>
                <w:sz w:val="24"/>
                <w:lang w:val="lv-LV"/>
              </w:rPr>
              <w:t xml:space="preserve"> departaments, Budžeta departaments, </w:t>
            </w:r>
            <w:r w:rsidR="008450B9" w:rsidRPr="008450B9">
              <w:rPr>
                <w:sz w:val="24"/>
                <w:lang w:val="lv-LV"/>
              </w:rPr>
              <w:t>Pašvaldību finansiālās darbības uzraudzības un finansēšanas departaments</w:t>
            </w:r>
            <w:r w:rsidR="008450B9">
              <w:rPr>
                <w:sz w:val="24"/>
                <w:lang w:val="lv-LV"/>
              </w:rPr>
              <w:t>,</w:t>
            </w:r>
            <w:r w:rsidR="008450B9" w:rsidRPr="008450B9">
              <w:rPr>
                <w:sz w:val="24"/>
                <w:lang w:val="lv-LV"/>
              </w:rPr>
              <w:t xml:space="preserve"> </w:t>
            </w:r>
            <w:r w:rsidR="005D03F5">
              <w:rPr>
                <w:sz w:val="24"/>
                <w:lang w:val="lv-LV"/>
              </w:rPr>
              <w:t>Finanšu un darbī</w:t>
            </w:r>
            <w:r w:rsidR="00AD7B1D">
              <w:rPr>
                <w:sz w:val="24"/>
                <w:lang w:val="lv-LV"/>
              </w:rPr>
              <w:t>bas nodrošinājuma departaments</w:t>
            </w:r>
            <w:r w:rsidR="001F3134">
              <w:rPr>
                <w:sz w:val="24"/>
                <w:lang w:val="lv-LV"/>
              </w:rPr>
              <w:t xml:space="preserve">, </w:t>
            </w:r>
            <w:r w:rsidR="001F3134" w:rsidRPr="001F3134">
              <w:rPr>
                <w:sz w:val="24"/>
                <w:lang w:val="lv-LV"/>
              </w:rPr>
              <w:t>ES fondu investīciju pārvaldības departaments</w:t>
            </w:r>
            <w:r w:rsidR="00393B4F">
              <w:rPr>
                <w:sz w:val="24"/>
                <w:lang w:val="lv-LV"/>
              </w:rPr>
              <w:t>, Valsts kase</w:t>
            </w:r>
          </w:p>
        </w:tc>
      </w:tr>
      <w:tr w:rsidR="00E92C41" w:rsidRPr="007C0BA0" w14:paraId="0EBDCEC9" w14:textId="77777777" w:rsidTr="00334515">
        <w:tc>
          <w:tcPr>
            <w:tcW w:w="426" w:type="dxa"/>
          </w:tcPr>
          <w:p w14:paraId="02A27D33" w14:textId="77777777" w:rsidR="00E92C41" w:rsidRPr="004B3951" w:rsidRDefault="00E92C41" w:rsidP="00BE6AD8">
            <w:pPr>
              <w:pStyle w:val="ListParagraph"/>
              <w:numPr>
                <w:ilvl w:val="0"/>
                <w:numId w:val="1"/>
              </w:numPr>
              <w:ind w:left="34" w:right="176" w:firstLine="0"/>
              <w:jc w:val="both"/>
              <w:rPr>
                <w:sz w:val="24"/>
                <w:lang w:val="lv-LV"/>
              </w:rPr>
            </w:pPr>
          </w:p>
        </w:tc>
        <w:tc>
          <w:tcPr>
            <w:tcW w:w="2977" w:type="dxa"/>
          </w:tcPr>
          <w:p w14:paraId="2EA9B338" w14:textId="77777777" w:rsidR="00E92C41" w:rsidRPr="004B3951" w:rsidRDefault="00795DB0" w:rsidP="00F12047">
            <w:pPr>
              <w:rPr>
                <w:sz w:val="24"/>
                <w:lang w:val="lv-LV"/>
              </w:rPr>
            </w:pPr>
            <w:r w:rsidRPr="004B3951">
              <w:rPr>
                <w:sz w:val="24"/>
                <w:lang w:val="lv-LV"/>
              </w:rPr>
              <w:t>Saskaņošanas termiņš</w:t>
            </w:r>
          </w:p>
        </w:tc>
        <w:tc>
          <w:tcPr>
            <w:tcW w:w="6520" w:type="dxa"/>
          </w:tcPr>
          <w:p w14:paraId="3F4D2CD5" w14:textId="7A00BA1D" w:rsidR="00A2689C" w:rsidRPr="004B3951" w:rsidRDefault="00A2689C" w:rsidP="00412344">
            <w:pPr>
              <w:jc w:val="both"/>
              <w:rPr>
                <w:sz w:val="24"/>
                <w:lang w:val="lv-LV"/>
              </w:rPr>
            </w:pPr>
            <w:r w:rsidRPr="00A2689C">
              <w:rPr>
                <w:sz w:val="24"/>
                <w:lang w:val="lv-LV"/>
              </w:rPr>
              <w:t xml:space="preserve">Saskaņošanas termiņu lūdzam noteikt </w:t>
            </w:r>
            <w:r>
              <w:rPr>
                <w:sz w:val="24"/>
                <w:lang w:val="lv-LV"/>
              </w:rPr>
              <w:t>līdz 20</w:t>
            </w:r>
            <w:r w:rsidR="00C25BE4">
              <w:rPr>
                <w:sz w:val="24"/>
                <w:lang w:val="lv-LV"/>
              </w:rPr>
              <w:t>2</w:t>
            </w:r>
            <w:r w:rsidR="0011087E">
              <w:rPr>
                <w:sz w:val="24"/>
                <w:lang w:val="lv-LV"/>
              </w:rPr>
              <w:t>1</w:t>
            </w:r>
            <w:r w:rsidR="00152FD8">
              <w:rPr>
                <w:sz w:val="24"/>
                <w:lang w:val="lv-LV"/>
              </w:rPr>
              <w:t xml:space="preserve">.gada </w:t>
            </w:r>
            <w:r w:rsidR="007A69AD">
              <w:rPr>
                <w:sz w:val="24"/>
                <w:lang w:val="lv-LV"/>
              </w:rPr>
              <w:t>2</w:t>
            </w:r>
            <w:r w:rsidR="00412344">
              <w:rPr>
                <w:sz w:val="24"/>
                <w:lang w:val="lv-LV"/>
              </w:rPr>
              <w:t>2</w:t>
            </w:r>
            <w:r w:rsidRPr="00A2689C">
              <w:rPr>
                <w:sz w:val="24"/>
                <w:lang w:val="lv-LV"/>
              </w:rPr>
              <w:t>.</w:t>
            </w:r>
            <w:r w:rsidR="0011087E">
              <w:rPr>
                <w:sz w:val="24"/>
                <w:lang w:val="lv-LV"/>
              </w:rPr>
              <w:t xml:space="preserve">martam </w:t>
            </w:r>
            <w:r w:rsidR="0011087E" w:rsidRPr="0011087E">
              <w:rPr>
                <w:sz w:val="24"/>
                <w:lang w:val="lv-LV"/>
              </w:rPr>
              <w:t>(projektu plānots izsūtīt</w:t>
            </w:r>
            <w:r w:rsidR="0011087E">
              <w:rPr>
                <w:sz w:val="24"/>
                <w:lang w:val="lv-LV"/>
              </w:rPr>
              <w:t xml:space="preserve"> saskaņošanai struk</w:t>
            </w:r>
            <w:r w:rsidR="00412344">
              <w:rPr>
                <w:sz w:val="24"/>
                <w:lang w:val="lv-LV"/>
              </w:rPr>
              <w:t>tūrvienībām 08</w:t>
            </w:r>
            <w:r w:rsidR="0011087E" w:rsidRPr="0011087E">
              <w:rPr>
                <w:sz w:val="24"/>
                <w:lang w:val="lv-LV"/>
              </w:rPr>
              <w:t>.03.20</w:t>
            </w:r>
            <w:r w:rsidR="0011087E">
              <w:rPr>
                <w:sz w:val="24"/>
                <w:lang w:val="lv-LV"/>
              </w:rPr>
              <w:t>21</w:t>
            </w:r>
            <w:r w:rsidR="0011087E" w:rsidRPr="0011087E">
              <w:rPr>
                <w:sz w:val="24"/>
                <w:lang w:val="lv-LV"/>
              </w:rPr>
              <w:t>.)</w:t>
            </w:r>
            <w:r w:rsidR="009B6160">
              <w:rPr>
                <w:sz w:val="24"/>
                <w:lang w:val="lv-LV"/>
              </w:rPr>
              <w:t>.</w:t>
            </w:r>
          </w:p>
        </w:tc>
      </w:tr>
      <w:tr w:rsidR="003626EC" w:rsidRPr="004B3951" w14:paraId="34B4DB35" w14:textId="77777777" w:rsidTr="00334515">
        <w:tc>
          <w:tcPr>
            <w:tcW w:w="426" w:type="dxa"/>
          </w:tcPr>
          <w:p w14:paraId="22B29B9C" w14:textId="77777777" w:rsidR="003626EC" w:rsidRPr="004B3951" w:rsidRDefault="003626EC" w:rsidP="00BE6AD8">
            <w:pPr>
              <w:pStyle w:val="ListParagraph"/>
              <w:numPr>
                <w:ilvl w:val="0"/>
                <w:numId w:val="1"/>
              </w:numPr>
              <w:ind w:left="34" w:right="176" w:firstLine="0"/>
              <w:jc w:val="both"/>
              <w:rPr>
                <w:sz w:val="24"/>
                <w:lang w:val="lv-LV"/>
              </w:rPr>
            </w:pPr>
          </w:p>
        </w:tc>
        <w:tc>
          <w:tcPr>
            <w:tcW w:w="2977" w:type="dxa"/>
          </w:tcPr>
          <w:p w14:paraId="3908780E" w14:textId="77777777" w:rsidR="003626EC" w:rsidRPr="004B3951" w:rsidRDefault="003626EC" w:rsidP="00C21CBC">
            <w:pPr>
              <w:rPr>
                <w:sz w:val="24"/>
                <w:lang w:val="lv-LV"/>
              </w:rPr>
            </w:pPr>
            <w:r w:rsidRPr="004B3951">
              <w:rPr>
                <w:sz w:val="24"/>
                <w:lang w:val="lv-LV"/>
              </w:rPr>
              <w:t>Prognozējamā projekta finansiālā ietekme uz valsts budžetu</w:t>
            </w:r>
          </w:p>
        </w:tc>
        <w:tc>
          <w:tcPr>
            <w:tcW w:w="6520" w:type="dxa"/>
          </w:tcPr>
          <w:p w14:paraId="14F27666" w14:textId="77777777" w:rsidR="003626EC" w:rsidRPr="004B3951" w:rsidRDefault="006C2F69" w:rsidP="00E92C41">
            <w:pPr>
              <w:jc w:val="both"/>
              <w:rPr>
                <w:sz w:val="24"/>
                <w:lang w:val="lv-LV"/>
              </w:rPr>
            </w:pPr>
            <w:r>
              <w:rPr>
                <w:sz w:val="24"/>
                <w:szCs w:val="24"/>
                <w:lang w:val="lv-LV"/>
              </w:rPr>
              <w:t>N</w:t>
            </w:r>
            <w:r w:rsidR="003626EC" w:rsidRPr="004B3951">
              <w:rPr>
                <w:sz w:val="24"/>
                <w:szCs w:val="24"/>
                <w:lang w:val="lv-LV"/>
              </w:rPr>
              <w:t>oteikumu projekts finansiālo ietekmi uz valsts budžetu neradīs</w:t>
            </w:r>
            <w:r w:rsidR="00EC17D9" w:rsidRPr="004B3951">
              <w:rPr>
                <w:sz w:val="24"/>
                <w:szCs w:val="24"/>
                <w:lang w:val="lv-LV"/>
              </w:rPr>
              <w:t>.</w:t>
            </w:r>
          </w:p>
        </w:tc>
      </w:tr>
      <w:tr w:rsidR="003626EC" w:rsidRPr="007C0BA0" w14:paraId="154E7F12" w14:textId="77777777" w:rsidTr="00334515">
        <w:tc>
          <w:tcPr>
            <w:tcW w:w="426" w:type="dxa"/>
          </w:tcPr>
          <w:p w14:paraId="194A43EB" w14:textId="77777777" w:rsidR="003626EC" w:rsidRPr="004B3951" w:rsidRDefault="003626EC" w:rsidP="00BE6AD8">
            <w:pPr>
              <w:pStyle w:val="ListParagraph"/>
              <w:numPr>
                <w:ilvl w:val="0"/>
                <w:numId w:val="1"/>
              </w:numPr>
              <w:ind w:left="34" w:right="176" w:firstLine="0"/>
              <w:jc w:val="both"/>
              <w:rPr>
                <w:sz w:val="24"/>
                <w:lang w:val="lv-LV"/>
              </w:rPr>
            </w:pPr>
          </w:p>
        </w:tc>
        <w:tc>
          <w:tcPr>
            <w:tcW w:w="2977" w:type="dxa"/>
          </w:tcPr>
          <w:p w14:paraId="511C42AC" w14:textId="77777777" w:rsidR="003626EC" w:rsidRPr="004B3951" w:rsidRDefault="00EC17D9" w:rsidP="00C21CBC">
            <w:pPr>
              <w:rPr>
                <w:sz w:val="24"/>
                <w:lang w:val="lv-LV"/>
              </w:rPr>
            </w:pPr>
            <w:r w:rsidRPr="004B3951">
              <w:rPr>
                <w:sz w:val="24"/>
                <w:lang w:val="lv-LV"/>
              </w:rPr>
              <w:t>T</w:t>
            </w:r>
            <w:r w:rsidR="003626EC" w:rsidRPr="004B3951">
              <w:rPr>
                <w:sz w:val="24"/>
                <w:lang w:val="lv-LV"/>
              </w:rPr>
              <w:t>iesību akta ieviešanas kalendārais plāns</w:t>
            </w:r>
          </w:p>
        </w:tc>
        <w:tc>
          <w:tcPr>
            <w:tcW w:w="6520" w:type="dxa"/>
          </w:tcPr>
          <w:p w14:paraId="44369215" w14:textId="77777777" w:rsidR="00EE03BB" w:rsidRDefault="00EE03BB" w:rsidP="00EE03BB">
            <w:pPr>
              <w:jc w:val="both"/>
              <w:rPr>
                <w:sz w:val="24"/>
                <w:lang w:val="lv-LV"/>
              </w:rPr>
            </w:pPr>
            <w:r>
              <w:rPr>
                <w:sz w:val="24"/>
                <w:lang w:val="lv-LV"/>
              </w:rPr>
              <w:t xml:space="preserve">Izsludināts VSS </w:t>
            </w:r>
            <w:r w:rsidR="0009178D">
              <w:rPr>
                <w:sz w:val="24"/>
                <w:lang w:val="lv-LV"/>
              </w:rPr>
              <w:t>2</w:t>
            </w:r>
            <w:r w:rsidR="00857857">
              <w:rPr>
                <w:sz w:val="24"/>
                <w:lang w:val="lv-LV"/>
              </w:rPr>
              <w:t>2</w:t>
            </w:r>
            <w:r>
              <w:rPr>
                <w:sz w:val="24"/>
                <w:lang w:val="lv-LV"/>
              </w:rPr>
              <w:t>.</w:t>
            </w:r>
            <w:r w:rsidR="00857857">
              <w:rPr>
                <w:sz w:val="24"/>
                <w:lang w:val="lv-LV"/>
              </w:rPr>
              <w:t>04</w:t>
            </w:r>
            <w:r>
              <w:rPr>
                <w:sz w:val="24"/>
                <w:lang w:val="lv-LV"/>
              </w:rPr>
              <w:t>.202</w:t>
            </w:r>
            <w:r w:rsidR="00857857">
              <w:rPr>
                <w:sz w:val="24"/>
                <w:lang w:val="lv-LV"/>
              </w:rPr>
              <w:t>1</w:t>
            </w:r>
            <w:r>
              <w:rPr>
                <w:sz w:val="24"/>
                <w:lang w:val="lv-LV"/>
              </w:rPr>
              <w:t>.</w:t>
            </w:r>
          </w:p>
          <w:p w14:paraId="7C8F020C" w14:textId="77777777" w:rsidR="00EC17D9" w:rsidRPr="004B3951" w:rsidRDefault="00857857" w:rsidP="00857857">
            <w:pPr>
              <w:jc w:val="both"/>
              <w:rPr>
                <w:sz w:val="24"/>
                <w:lang w:val="lv-LV"/>
              </w:rPr>
            </w:pPr>
            <w:r>
              <w:rPr>
                <w:sz w:val="24"/>
                <w:lang w:val="lv-LV"/>
              </w:rPr>
              <w:t>Tiks iesniegts MK līdz 01</w:t>
            </w:r>
            <w:r w:rsidR="00EE03BB" w:rsidRPr="005F4A63">
              <w:rPr>
                <w:sz w:val="24"/>
                <w:lang w:val="lv-LV"/>
              </w:rPr>
              <w:t>.</w:t>
            </w:r>
            <w:r w:rsidR="00EE03BB">
              <w:rPr>
                <w:sz w:val="24"/>
                <w:lang w:val="lv-LV"/>
              </w:rPr>
              <w:t>0</w:t>
            </w:r>
            <w:r>
              <w:rPr>
                <w:sz w:val="24"/>
                <w:lang w:val="lv-LV"/>
              </w:rPr>
              <w:t>6</w:t>
            </w:r>
            <w:r w:rsidR="00EE03BB" w:rsidRPr="005F4A63">
              <w:rPr>
                <w:sz w:val="24"/>
                <w:lang w:val="lv-LV"/>
              </w:rPr>
              <w:t>.20</w:t>
            </w:r>
            <w:r w:rsidR="00EE03BB">
              <w:rPr>
                <w:sz w:val="24"/>
                <w:lang w:val="lv-LV"/>
              </w:rPr>
              <w:t>21</w:t>
            </w:r>
            <w:r w:rsidR="00EE03BB" w:rsidRPr="005F4A63">
              <w:rPr>
                <w:sz w:val="24"/>
                <w:lang w:val="lv-LV"/>
              </w:rPr>
              <w:t>.</w:t>
            </w:r>
          </w:p>
        </w:tc>
      </w:tr>
      <w:tr w:rsidR="008B4646" w:rsidRPr="004B3951" w14:paraId="2412094F" w14:textId="77777777" w:rsidTr="00334515">
        <w:tc>
          <w:tcPr>
            <w:tcW w:w="426" w:type="dxa"/>
          </w:tcPr>
          <w:p w14:paraId="7F6DA0FD" w14:textId="77777777" w:rsidR="008B4646" w:rsidRPr="004B3951" w:rsidRDefault="008B4646" w:rsidP="00BE6AD8">
            <w:pPr>
              <w:pStyle w:val="ListParagraph"/>
              <w:numPr>
                <w:ilvl w:val="0"/>
                <w:numId w:val="1"/>
              </w:numPr>
              <w:ind w:left="34" w:right="176" w:firstLine="0"/>
              <w:jc w:val="both"/>
              <w:rPr>
                <w:sz w:val="24"/>
                <w:lang w:val="lv-LV"/>
              </w:rPr>
            </w:pPr>
          </w:p>
        </w:tc>
        <w:tc>
          <w:tcPr>
            <w:tcW w:w="2977" w:type="dxa"/>
          </w:tcPr>
          <w:p w14:paraId="2BC606BE" w14:textId="77777777" w:rsidR="008B4646" w:rsidRPr="004B3951" w:rsidRDefault="008B4646" w:rsidP="00C21CBC">
            <w:pPr>
              <w:rPr>
                <w:sz w:val="24"/>
                <w:lang w:val="lv-LV"/>
              </w:rPr>
            </w:pPr>
            <w:r>
              <w:rPr>
                <w:sz w:val="24"/>
                <w:lang w:val="lv-LV"/>
              </w:rPr>
              <w:t>Politikas joma</w:t>
            </w:r>
          </w:p>
        </w:tc>
        <w:tc>
          <w:tcPr>
            <w:tcW w:w="6520" w:type="dxa"/>
          </w:tcPr>
          <w:p w14:paraId="66FD722D" w14:textId="77777777" w:rsidR="008B4646" w:rsidRPr="0031535E" w:rsidRDefault="008B4646" w:rsidP="003626EC">
            <w:pPr>
              <w:jc w:val="both"/>
              <w:rPr>
                <w:sz w:val="24"/>
                <w:lang w:val="lv-LV"/>
              </w:rPr>
            </w:pPr>
            <w:r w:rsidRPr="008B4646">
              <w:rPr>
                <w:sz w:val="24"/>
                <w:lang w:val="lv-LV"/>
              </w:rPr>
              <w:t>Budžeta un finanšu politikas joma.</w:t>
            </w:r>
          </w:p>
        </w:tc>
      </w:tr>
      <w:tr w:rsidR="00E92C41" w:rsidRPr="004B3951" w14:paraId="25995404" w14:textId="77777777" w:rsidTr="00334515">
        <w:tc>
          <w:tcPr>
            <w:tcW w:w="426" w:type="dxa"/>
            <w:tcBorders>
              <w:bottom w:val="single" w:sz="4" w:space="0" w:color="000000"/>
            </w:tcBorders>
          </w:tcPr>
          <w:p w14:paraId="62FBD0D2" w14:textId="77777777" w:rsidR="00E92C41" w:rsidRPr="004B3951" w:rsidRDefault="00E92C41" w:rsidP="00BE6AD8">
            <w:pPr>
              <w:pStyle w:val="ListParagraph"/>
              <w:numPr>
                <w:ilvl w:val="0"/>
                <w:numId w:val="1"/>
              </w:numPr>
              <w:ind w:left="34" w:right="176" w:firstLine="0"/>
              <w:jc w:val="both"/>
              <w:rPr>
                <w:sz w:val="24"/>
                <w:lang w:val="lv-LV"/>
              </w:rPr>
            </w:pPr>
          </w:p>
        </w:tc>
        <w:tc>
          <w:tcPr>
            <w:tcW w:w="2977" w:type="dxa"/>
            <w:tcBorders>
              <w:bottom w:val="single" w:sz="4" w:space="0" w:color="000000"/>
            </w:tcBorders>
          </w:tcPr>
          <w:p w14:paraId="7187002C" w14:textId="77777777" w:rsidR="00E92C41" w:rsidRPr="004B3951" w:rsidRDefault="00E92C41" w:rsidP="00C21CBC">
            <w:pPr>
              <w:rPr>
                <w:sz w:val="24"/>
                <w:lang w:val="lv-LV"/>
              </w:rPr>
            </w:pPr>
            <w:r w:rsidRPr="004B3951">
              <w:rPr>
                <w:sz w:val="24"/>
                <w:lang w:val="lv-LV"/>
              </w:rPr>
              <w:t>Uzziņas sagatavotājs</w:t>
            </w:r>
          </w:p>
        </w:tc>
        <w:tc>
          <w:tcPr>
            <w:tcW w:w="6520" w:type="dxa"/>
            <w:tcBorders>
              <w:bottom w:val="single" w:sz="4" w:space="0" w:color="000000"/>
            </w:tcBorders>
          </w:tcPr>
          <w:p w14:paraId="631E89CC" w14:textId="77777777" w:rsidR="00E92C41" w:rsidRPr="004B3951" w:rsidRDefault="00977A9F" w:rsidP="001D6110">
            <w:pPr>
              <w:jc w:val="both"/>
              <w:rPr>
                <w:sz w:val="24"/>
                <w:lang w:val="lv-LV"/>
              </w:rPr>
            </w:pPr>
            <w:r>
              <w:rPr>
                <w:sz w:val="24"/>
                <w:lang w:val="lv-LV"/>
              </w:rPr>
              <w:t>I.</w:t>
            </w:r>
            <w:r w:rsidR="00430A07">
              <w:rPr>
                <w:sz w:val="24"/>
                <w:lang w:val="lv-LV"/>
              </w:rPr>
              <w:t> </w:t>
            </w:r>
            <w:r>
              <w:rPr>
                <w:sz w:val="24"/>
                <w:lang w:val="lv-LV"/>
              </w:rPr>
              <w:t>Klinsone</w:t>
            </w:r>
            <w:r w:rsidR="00E92C41" w:rsidRPr="004B3951">
              <w:rPr>
                <w:sz w:val="24"/>
                <w:lang w:val="lv-LV"/>
              </w:rPr>
              <w:t xml:space="preserve">, </w:t>
            </w:r>
            <w:r w:rsidR="001D6110" w:rsidRPr="001D6110">
              <w:rPr>
                <w:sz w:val="24"/>
                <w:lang w:val="lv-LV"/>
              </w:rPr>
              <w:t>Budžeta politikas attīstības departament</w:t>
            </w:r>
            <w:r w:rsidR="001D6110">
              <w:rPr>
                <w:sz w:val="24"/>
                <w:lang w:val="lv-LV"/>
              </w:rPr>
              <w:t>a</w:t>
            </w:r>
            <w:r w:rsidR="001D6110" w:rsidRPr="001D6110">
              <w:rPr>
                <w:sz w:val="24"/>
                <w:lang w:val="lv-LV"/>
              </w:rPr>
              <w:t xml:space="preserve"> </w:t>
            </w:r>
            <w:r w:rsidR="00E92C41" w:rsidRPr="004B3951">
              <w:rPr>
                <w:sz w:val="24"/>
                <w:lang w:val="lv-LV"/>
              </w:rPr>
              <w:t>Budžet</w:t>
            </w:r>
            <w:r>
              <w:rPr>
                <w:sz w:val="24"/>
                <w:lang w:val="lv-LV"/>
              </w:rPr>
              <w:t xml:space="preserve">a metodoloģijas nodaļas vecākā </w:t>
            </w:r>
            <w:r w:rsidR="0053726E">
              <w:rPr>
                <w:sz w:val="24"/>
                <w:lang w:val="lv-LV"/>
              </w:rPr>
              <w:t>eksperte</w:t>
            </w:r>
            <w:r w:rsidR="00EC17D9" w:rsidRPr="004B3951">
              <w:rPr>
                <w:sz w:val="24"/>
                <w:lang w:val="lv-LV"/>
              </w:rPr>
              <w:t>.</w:t>
            </w:r>
          </w:p>
        </w:tc>
      </w:tr>
      <w:tr w:rsidR="00E92C41" w:rsidRPr="004B3951" w14:paraId="7F3D0A2E" w14:textId="77777777" w:rsidTr="00B77EE5">
        <w:tc>
          <w:tcPr>
            <w:tcW w:w="9923" w:type="dxa"/>
            <w:gridSpan w:val="3"/>
            <w:tcBorders>
              <w:left w:val="nil"/>
              <w:bottom w:val="nil"/>
              <w:right w:val="nil"/>
            </w:tcBorders>
          </w:tcPr>
          <w:p w14:paraId="0638EF6E" w14:textId="77777777" w:rsidR="00360FCE" w:rsidRDefault="00360FCE" w:rsidP="00BE6AD8">
            <w:pPr>
              <w:jc w:val="both"/>
              <w:rPr>
                <w:sz w:val="24"/>
                <w:lang w:val="lv-LV"/>
              </w:rPr>
            </w:pPr>
          </w:p>
          <w:p w14:paraId="5145F77F" w14:textId="77777777" w:rsidR="0065635D" w:rsidRDefault="0065635D" w:rsidP="00BE6AD8">
            <w:pPr>
              <w:jc w:val="both"/>
              <w:rPr>
                <w:sz w:val="24"/>
                <w:lang w:val="lv-LV"/>
              </w:rPr>
            </w:pPr>
          </w:p>
          <w:p w14:paraId="0434A73F" w14:textId="77777777" w:rsidR="006A6FFE" w:rsidRDefault="006A6FFE" w:rsidP="00BE6AD8">
            <w:pPr>
              <w:jc w:val="both"/>
              <w:rPr>
                <w:sz w:val="24"/>
                <w:lang w:val="lv-LV"/>
              </w:rPr>
            </w:pPr>
          </w:p>
          <w:p w14:paraId="7300C2C6" w14:textId="77777777" w:rsidR="00E92C41" w:rsidRPr="004B3951" w:rsidRDefault="00E92C41" w:rsidP="001D6110">
            <w:pPr>
              <w:jc w:val="both"/>
              <w:rPr>
                <w:sz w:val="24"/>
                <w:lang w:val="lv-LV"/>
              </w:rPr>
            </w:pPr>
            <w:r w:rsidRPr="004B3951">
              <w:rPr>
                <w:sz w:val="24"/>
                <w:lang w:val="lv-LV"/>
              </w:rPr>
              <w:t xml:space="preserve">Uzziņu iesniedza </w:t>
            </w:r>
            <w:r w:rsidR="001D6110">
              <w:rPr>
                <w:sz w:val="24"/>
                <w:u w:val="single"/>
                <w:lang w:val="lv-LV"/>
              </w:rPr>
              <w:t>K.Ketners</w:t>
            </w:r>
            <w:r w:rsidRPr="004B3951">
              <w:rPr>
                <w:sz w:val="24"/>
                <w:u w:val="single"/>
                <w:lang w:val="lv-LV"/>
              </w:rPr>
              <w:t xml:space="preserve">,  </w:t>
            </w:r>
            <w:r w:rsidR="001D6110" w:rsidRPr="001D6110">
              <w:rPr>
                <w:sz w:val="24"/>
                <w:u w:val="single"/>
                <w:lang w:val="lv-LV"/>
              </w:rPr>
              <w:t>Budžeta p</w:t>
            </w:r>
            <w:r w:rsidR="001D6110">
              <w:rPr>
                <w:sz w:val="24"/>
                <w:u w:val="single"/>
                <w:lang w:val="lv-LV"/>
              </w:rPr>
              <w:t>olitikas attīstības departamenta</w:t>
            </w:r>
            <w:r w:rsidR="001D6110" w:rsidRPr="001D6110">
              <w:rPr>
                <w:sz w:val="24"/>
                <w:u w:val="single"/>
                <w:lang w:val="lv-LV"/>
              </w:rPr>
              <w:t xml:space="preserve"> </w:t>
            </w:r>
            <w:r w:rsidRPr="004B3951">
              <w:rPr>
                <w:sz w:val="24"/>
                <w:u w:val="single"/>
                <w:lang w:val="lv-LV"/>
              </w:rPr>
              <w:t>direktor</w:t>
            </w:r>
            <w:r w:rsidR="001D6110">
              <w:rPr>
                <w:sz w:val="24"/>
                <w:u w:val="single"/>
                <w:lang w:val="lv-LV"/>
              </w:rPr>
              <w:t>s</w:t>
            </w:r>
          </w:p>
        </w:tc>
      </w:tr>
      <w:tr w:rsidR="00E92C41" w:rsidRPr="004B3951" w14:paraId="52CA0E2B" w14:textId="77777777" w:rsidTr="00B77EE5">
        <w:tc>
          <w:tcPr>
            <w:tcW w:w="9923" w:type="dxa"/>
            <w:gridSpan w:val="3"/>
            <w:tcBorders>
              <w:top w:val="nil"/>
              <w:left w:val="nil"/>
              <w:bottom w:val="nil"/>
              <w:right w:val="nil"/>
            </w:tcBorders>
          </w:tcPr>
          <w:p w14:paraId="63BC8869" w14:textId="77777777" w:rsidR="00E92C41" w:rsidRPr="004B3951" w:rsidRDefault="00E92C41" w:rsidP="001D6110">
            <w:pPr>
              <w:jc w:val="both"/>
              <w:rPr>
                <w:sz w:val="24"/>
                <w:lang w:val="lv-LV"/>
              </w:rPr>
            </w:pPr>
            <w:r w:rsidRPr="004B3951">
              <w:rPr>
                <w:sz w:val="24"/>
                <w:lang w:val="lv-LV"/>
              </w:rPr>
              <w:t xml:space="preserve">Tālrunis, e-pasts: </w:t>
            </w:r>
            <w:r w:rsidRPr="00430A07">
              <w:rPr>
                <w:sz w:val="24"/>
                <w:lang w:val="lv-LV"/>
              </w:rPr>
              <w:t>67</w:t>
            </w:r>
            <w:r w:rsidR="00487447" w:rsidRPr="00430A07">
              <w:rPr>
                <w:sz w:val="24"/>
                <w:lang w:val="lv-LV"/>
              </w:rPr>
              <w:t xml:space="preserve"> </w:t>
            </w:r>
            <w:r w:rsidRPr="00430A07">
              <w:rPr>
                <w:sz w:val="24"/>
                <w:lang w:val="lv-LV"/>
              </w:rPr>
              <w:t>095</w:t>
            </w:r>
            <w:r w:rsidR="00487447" w:rsidRPr="00430A07">
              <w:rPr>
                <w:sz w:val="24"/>
                <w:lang w:val="lv-LV"/>
              </w:rPr>
              <w:t xml:space="preserve"> </w:t>
            </w:r>
            <w:r w:rsidR="001D6110">
              <w:rPr>
                <w:sz w:val="24"/>
                <w:lang w:val="lv-LV"/>
              </w:rPr>
              <w:t>430</w:t>
            </w:r>
            <w:r w:rsidR="00487447" w:rsidRPr="00430A07">
              <w:rPr>
                <w:sz w:val="24"/>
                <w:lang w:val="lv-LV"/>
              </w:rPr>
              <w:t>,</w:t>
            </w:r>
            <w:r w:rsidRPr="00430A07">
              <w:rPr>
                <w:sz w:val="24"/>
                <w:lang w:val="lv-LV"/>
              </w:rPr>
              <w:t xml:space="preserve"> </w:t>
            </w:r>
            <w:r w:rsidR="001D6110" w:rsidRPr="001D6110">
              <w:rPr>
                <w:sz w:val="24"/>
                <w:lang w:val="lv-LV"/>
              </w:rPr>
              <w:t>Karlis.Ketners@fm.gov.lv</w:t>
            </w:r>
          </w:p>
        </w:tc>
      </w:tr>
      <w:tr w:rsidR="00E92C41" w:rsidRPr="00B068A0" w14:paraId="6D5D5C1D" w14:textId="77777777" w:rsidTr="00B77EE5">
        <w:tc>
          <w:tcPr>
            <w:tcW w:w="9923" w:type="dxa"/>
            <w:gridSpan w:val="3"/>
            <w:tcBorders>
              <w:top w:val="nil"/>
              <w:left w:val="nil"/>
              <w:bottom w:val="nil"/>
              <w:right w:val="nil"/>
            </w:tcBorders>
          </w:tcPr>
          <w:p w14:paraId="2C8E6249" w14:textId="77777777" w:rsidR="004B3951" w:rsidRPr="004B3951" w:rsidRDefault="00E92C41" w:rsidP="0009178D">
            <w:pPr>
              <w:jc w:val="both"/>
              <w:rPr>
                <w:sz w:val="24"/>
                <w:lang w:val="lv-LV"/>
              </w:rPr>
            </w:pPr>
            <w:r w:rsidRPr="004B3951">
              <w:rPr>
                <w:sz w:val="24"/>
                <w:lang w:val="lv-LV"/>
              </w:rPr>
              <w:t>Uzziņa iesniegta</w:t>
            </w:r>
            <w:r w:rsidR="00DE0B13">
              <w:rPr>
                <w:sz w:val="24"/>
                <w:lang w:val="lv-LV"/>
              </w:rPr>
              <w:t xml:space="preserve"> </w:t>
            </w:r>
            <w:r w:rsidR="0009178D">
              <w:rPr>
                <w:sz w:val="24"/>
                <w:lang w:val="lv-LV"/>
              </w:rPr>
              <w:t>04.</w:t>
            </w:r>
            <w:r w:rsidR="006A6FFE">
              <w:rPr>
                <w:sz w:val="24"/>
                <w:lang w:val="lv-LV"/>
              </w:rPr>
              <w:t>0</w:t>
            </w:r>
            <w:r w:rsidR="0009178D">
              <w:rPr>
                <w:sz w:val="24"/>
                <w:lang w:val="lv-LV"/>
              </w:rPr>
              <w:t>3</w:t>
            </w:r>
            <w:r w:rsidR="00834FAF">
              <w:rPr>
                <w:sz w:val="24"/>
                <w:lang w:val="lv-LV"/>
              </w:rPr>
              <w:t>.</w:t>
            </w:r>
            <w:r w:rsidR="00EC17D9" w:rsidRPr="004B3951">
              <w:rPr>
                <w:sz w:val="24"/>
                <w:lang w:val="lv-LV"/>
              </w:rPr>
              <w:t>20</w:t>
            </w:r>
            <w:r w:rsidR="006A6FFE">
              <w:rPr>
                <w:sz w:val="24"/>
                <w:lang w:val="lv-LV"/>
              </w:rPr>
              <w:t>2</w:t>
            </w:r>
            <w:r w:rsidR="0009178D">
              <w:rPr>
                <w:sz w:val="24"/>
                <w:lang w:val="lv-LV"/>
              </w:rPr>
              <w:t>1</w:t>
            </w:r>
            <w:r w:rsidR="00F556F7">
              <w:rPr>
                <w:sz w:val="24"/>
                <w:lang w:val="lv-LV"/>
              </w:rPr>
              <w:t>.</w:t>
            </w:r>
          </w:p>
        </w:tc>
      </w:tr>
    </w:tbl>
    <w:p w14:paraId="31A3BD52" w14:textId="77777777" w:rsidR="005E78C5" w:rsidRDefault="005E78C5" w:rsidP="004B3951"/>
    <w:sectPr w:rsidR="005E78C5" w:rsidSect="00334515">
      <w:headerReference w:type="default" r:id="rId11"/>
      <w:pgSz w:w="11906" w:h="16838" w:code="9"/>
      <w:pgMar w:top="567"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D1903" w14:textId="77777777" w:rsidR="007043B7" w:rsidRDefault="007043B7">
      <w:r>
        <w:separator/>
      </w:r>
    </w:p>
  </w:endnote>
  <w:endnote w:type="continuationSeparator" w:id="0">
    <w:p w14:paraId="7A0C6441" w14:textId="77777777" w:rsidR="007043B7" w:rsidRDefault="0070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1472F" w14:textId="77777777" w:rsidR="007043B7" w:rsidRDefault="007043B7">
      <w:r>
        <w:separator/>
      </w:r>
    </w:p>
  </w:footnote>
  <w:footnote w:type="continuationSeparator" w:id="0">
    <w:p w14:paraId="1D8B1E7E" w14:textId="77777777" w:rsidR="007043B7" w:rsidRDefault="0070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D5B92" w14:textId="6EB82427" w:rsidR="00C21CBC" w:rsidRDefault="00C21CBC">
    <w:pPr>
      <w:pStyle w:val="Header"/>
      <w:jc w:val="center"/>
    </w:pPr>
    <w:r>
      <w:fldChar w:fldCharType="begin"/>
    </w:r>
    <w:r>
      <w:instrText xml:space="preserve"> PAGE   \* MERGEFORMAT </w:instrText>
    </w:r>
    <w:r>
      <w:fldChar w:fldCharType="separate"/>
    </w:r>
    <w:r w:rsidR="00AB5B02">
      <w:rPr>
        <w:noProof/>
      </w:rPr>
      <w:t>2</w:t>
    </w:r>
    <w:r>
      <w:fldChar w:fldCharType="end"/>
    </w:r>
  </w:p>
  <w:p w14:paraId="36EED98A" w14:textId="77777777" w:rsidR="00C21CBC" w:rsidRDefault="00C21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C8D"/>
    <w:multiLevelType w:val="hybridMultilevel"/>
    <w:tmpl w:val="78840418"/>
    <w:lvl w:ilvl="0" w:tplc="0426000F">
      <w:start w:val="1"/>
      <w:numFmt w:val="decimal"/>
      <w:lvlText w:val="%1."/>
      <w:lvlJc w:val="left"/>
      <w:pPr>
        <w:ind w:left="720" w:hanging="360"/>
      </w:pPr>
    </w:lvl>
    <w:lvl w:ilvl="1" w:tplc="892A9D88">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C2B8F"/>
    <w:multiLevelType w:val="hybridMultilevel"/>
    <w:tmpl w:val="B3CACE40"/>
    <w:lvl w:ilvl="0" w:tplc="EEACF86A">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2E5F52"/>
    <w:multiLevelType w:val="hybridMultilevel"/>
    <w:tmpl w:val="5AACE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970727"/>
    <w:multiLevelType w:val="hybridMultilevel"/>
    <w:tmpl w:val="1BB684B6"/>
    <w:lvl w:ilvl="0" w:tplc="82CAE2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F076871"/>
    <w:multiLevelType w:val="hybridMultilevel"/>
    <w:tmpl w:val="F4E8182E"/>
    <w:lvl w:ilvl="0" w:tplc="546E53D2">
      <w:start w:val="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A4908B6"/>
    <w:multiLevelType w:val="hybridMultilevel"/>
    <w:tmpl w:val="C0B68CF2"/>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B5"/>
    <w:rsid w:val="000110F0"/>
    <w:rsid w:val="00020075"/>
    <w:rsid w:val="0002086F"/>
    <w:rsid w:val="000229AD"/>
    <w:rsid w:val="00032954"/>
    <w:rsid w:val="00040158"/>
    <w:rsid w:val="00045A57"/>
    <w:rsid w:val="0005092F"/>
    <w:rsid w:val="00055850"/>
    <w:rsid w:val="00083E13"/>
    <w:rsid w:val="00084DB8"/>
    <w:rsid w:val="0009178D"/>
    <w:rsid w:val="000A1DC8"/>
    <w:rsid w:val="000A704A"/>
    <w:rsid w:val="000B5107"/>
    <w:rsid w:val="000C56E9"/>
    <w:rsid w:val="000C7656"/>
    <w:rsid w:val="000D53AA"/>
    <w:rsid w:val="000E14CA"/>
    <w:rsid w:val="000E6402"/>
    <w:rsid w:val="001036DB"/>
    <w:rsid w:val="00106F43"/>
    <w:rsid w:val="0011087E"/>
    <w:rsid w:val="00110AD4"/>
    <w:rsid w:val="001156D9"/>
    <w:rsid w:val="001204C3"/>
    <w:rsid w:val="00124D76"/>
    <w:rsid w:val="0013427F"/>
    <w:rsid w:val="00150DB6"/>
    <w:rsid w:val="00152FD8"/>
    <w:rsid w:val="001655CD"/>
    <w:rsid w:val="00181008"/>
    <w:rsid w:val="001B0DB5"/>
    <w:rsid w:val="001C09E8"/>
    <w:rsid w:val="001D095C"/>
    <w:rsid w:val="001D244C"/>
    <w:rsid w:val="001D6110"/>
    <w:rsid w:val="001F3134"/>
    <w:rsid w:val="00236C6A"/>
    <w:rsid w:val="002525F5"/>
    <w:rsid w:val="00253D27"/>
    <w:rsid w:val="00267F87"/>
    <w:rsid w:val="00271671"/>
    <w:rsid w:val="002731ED"/>
    <w:rsid w:val="00285530"/>
    <w:rsid w:val="0029706A"/>
    <w:rsid w:val="002A7E73"/>
    <w:rsid w:val="002C1693"/>
    <w:rsid w:val="002C1C80"/>
    <w:rsid w:val="002D52F7"/>
    <w:rsid w:val="002D730C"/>
    <w:rsid w:val="002E4CD6"/>
    <w:rsid w:val="002E51DD"/>
    <w:rsid w:val="00302311"/>
    <w:rsid w:val="003104D6"/>
    <w:rsid w:val="0031535E"/>
    <w:rsid w:val="00333127"/>
    <w:rsid w:val="00334515"/>
    <w:rsid w:val="00343787"/>
    <w:rsid w:val="0035017B"/>
    <w:rsid w:val="00355119"/>
    <w:rsid w:val="003559F7"/>
    <w:rsid w:val="00360FCE"/>
    <w:rsid w:val="003626EC"/>
    <w:rsid w:val="003630F5"/>
    <w:rsid w:val="00390030"/>
    <w:rsid w:val="00393B4F"/>
    <w:rsid w:val="003A32C9"/>
    <w:rsid w:val="003A3769"/>
    <w:rsid w:val="003A44CD"/>
    <w:rsid w:val="003A4C37"/>
    <w:rsid w:val="003A687C"/>
    <w:rsid w:val="003A6C1B"/>
    <w:rsid w:val="003B0FCB"/>
    <w:rsid w:val="003B5434"/>
    <w:rsid w:val="003D21CE"/>
    <w:rsid w:val="003D2DDA"/>
    <w:rsid w:val="003F7FCC"/>
    <w:rsid w:val="00412344"/>
    <w:rsid w:val="00430A07"/>
    <w:rsid w:val="00443E19"/>
    <w:rsid w:val="00460813"/>
    <w:rsid w:val="00462F6E"/>
    <w:rsid w:val="0046536A"/>
    <w:rsid w:val="00472B9E"/>
    <w:rsid w:val="00487447"/>
    <w:rsid w:val="004B3951"/>
    <w:rsid w:val="004B7C7C"/>
    <w:rsid w:val="004E4969"/>
    <w:rsid w:val="004F5BB1"/>
    <w:rsid w:val="00500BC5"/>
    <w:rsid w:val="00500D85"/>
    <w:rsid w:val="005050F7"/>
    <w:rsid w:val="00511E97"/>
    <w:rsid w:val="00512644"/>
    <w:rsid w:val="0053726E"/>
    <w:rsid w:val="00540F5F"/>
    <w:rsid w:val="005434ED"/>
    <w:rsid w:val="00551A3A"/>
    <w:rsid w:val="00555FE8"/>
    <w:rsid w:val="00562CEA"/>
    <w:rsid w:val="005651BF"/>
    <w:rsid w:val="005728DF"/>
    <w:rsid w:val="005736BF"/>
    <w:rsid w:val="00582B4E"/>
    <w:rsid w:val="0058619E"/>
    <w:rsid w:val="005A0788"/>
    <w:rsid w:val="005A3874"/>
    <w:rsid w:val="005A4593"/>
    <w:rsid w:val="005A51A1"/>
    <w:rsid w:val="005C1712"/>
    <w:rsid w:val="005C26D6"/>
    <w:rsid w:val="005C5A08"/>
    <w:rsid w:val="005D03F5"/>
    <w:rsid w:val="005D07E1"/>
    <w:rsid w:val="005D54C5"/>
    <w:rsid w:val="005E6DFB"/>
    <w:rsid w:val="005E78C5"/>
    <w:rsid w:val="005F37FB"/>
    <w:rsid w:val="0063659E"/>
    <w:rsid w:val="0064131A"/>
    <w:rsid w:val="006422FD"/>
    <w:rsid w:val="00654276"/>
    <w:rsid w:val="00654852"/>
    <w:rsid w:val="006560A5"/>
    <w:rsid w:val="0065635D"/>
    <w:rsid w:val="00672E57"/>
    <w:rsid w:val="006737F1"/>
    <w:rsid w:val="006811DC"/>
    <w:rsid w:val="00682214"/>
    <w:rsid w:val="00682C3B"/>
    <w:rsid w:val="006912DA"/>
    <w:rsid w:val="006921C3"/>
    <w:rsid w:val="006A2F90"/>
    <w:rsid w:val="006A40C5"/>
    <w:rsid w:val="006A428F"/>
    <w:rsid w:val="006A6FFE"/>
    <w:rsid w:val="006C2F69"/>
    <w:rsid w:val="006D3D5D"/>
    <w:rsid w:val="006D6A2D"/>
    <w:rsid w:val="006F07CB"/>
    <w:rsid w:val="006F5E84"/>
    <w:rsid w:val="007043B7"/>
    <w:rsid w:val="00705323"/>
    <w:rsid w:val="007078C4"/>
    <w:rsid w:val="00727FEC"/>
    <w:rsid w:val="00735F55"/>
    <w:rsid w:val="007374E4"/>
    <w:rsid w:val="00742DF0"/>
    <w:rsid w:val="00747850"/>
    <w:rsid w:val="00785943"/>
    <w:rsid w:val="007877D4"/>
    <w:rsid w:val="00795DB0"/>
    <w:rsid w:val="007A69AD"/>
    <w:rsid w:val="007B0107"/>
    <w:rsid w:val="007C0BA0"/>
    <w:rsid w:val="007C3D83"/>
    <w:rsid w:val="007C7BB4"/>
    <w:rsid w:val="007E5F96"/>
    <w:rsid w:val="007F1B1C"/>
    <w:rsid w:val="008173A9"/>
    <w:rsid w:val="008203D3"/>
    <w:rsid w:val="00823697"/>
    <w:rsid w:val="008253DC"/>
    <w:rsid w:val="00830061"/>
    <w:rsid w:val="00833FAB"/>
    <w:rsid w:val="00834FAF"/>
    <w:rsid w:val="008450B9"/>
    <w:rsid w:val="0084729C"/>
    <w:rsid w:val="00847535"/>
    <w:rsid w:val="00851257"/>
    <w:rsid w:val="00857857"/>
    <w:rsid w:val="008659F6"/>
    <w:rsid w:val="008811D8"/>
    <w:rsid w:val="0088791C"/>
    <w:rsid w:val="00887C2D"/>
    <w:rsid w:val="0089328C"/>
    <w:rsid w:val="00895378"/>
    <w:rsid w:val="008B0697"/>
    <w:rsid w:val="008B22BA"/>
    <w:rsid w:val="008B32EF"/>
    <w:rsid w:val="008B4646"/>
    <w:rsid w:val="008B53B4"/>
    <w:rsid w:val="008C27C9"/>
    <w:rsid w:val="008E491A"/>
    <w:rsid w:val="008E54D6"/>
    <w:rsid w:val="008E5D86"/>
    <w:rsid w:val="008F1E74"/>
    <w:rsid w:val="008F5E29"/>
    <w:rsid w:val="008F7363"/>
    <w:rsid w:val="00901232"/>
    <w:rsid w:val="0091278C"/>
    <w:rsid w:val="00926521"/>
    <w:rsid w:val="0092733A"/>
    <w:rsid w:val="00943133"/>
    <w:rsid w:val="009451D0"/>
    <w:rsid w:val="0094750B"/>
    <w:rsid w:val="00951819"/>
    <w:rsid w:val="00952829"/>
    <w:rsid w:val="00977A9F"/>
    <w:rsid w:val="00996BDE"/>
    <w:rsid w:val="009A1E70"/>
    <w:rsid w:val="009B6160"/>
    <w:rsid w:val="009C1715"/>
    <w:rsid w:val="009C5364"/>
    <w:rsid w:val="009E379B"/>
    <w:rsid w:val="009E4A8D"/>
    <w:rsid w:val="00A06EBC"/>
    <w:rsid w:val="00A14316"/>
    <w:rsid w:val="00A23A9D"/>
    <w:rsid w:val="00A2689C"/>
    <w:rsid w:val="00A43A4A"/>
    <w:rsid w:val="00A542C6"/>
    <w:rsid w:val="00A74A4E"/>
    <w:rsid w:val="00A8211B"/>
    <w:rsid w:val="00A8546E"/>
    <w:rsid w:val="00A9298C"/>
    <w:rsid w:val="00AA398C"/>
    <w:rsid w:val="00AA3DD4"/>
    <w:rsid w:val="00AA44D3"/>
    <w:rsid w:val="00AB3252"/>
    <w:rsid w:val="00AB5B02"/>
    <w:rsid w:val="00AD6F0F"/>
    <w:rsid w:val="00AD7B1D"/>
    <w:rsid w:val="00AF2537"/>
    <w:rsid w:val="00AF2B65"/>
    <w:rsid w:val="00B10A07"/>
    <w:rsid w:val="00B23971"/>
    <w:rsid w:val="00B3260C"/>
    <w:rsid w:val="00B40A86"/>
    <w:rsid w:val="00B42DF9"/>
    <w:rsid w:val="00B66A3C"/>
    <w:rsid w:val="00B73BA1"/>
    <w:rsid w:val="00B77EE5"/>
    <w:rsid w:val="00BA3207"/>
    <w:rsid w:val="00BB344F"/>
    <w:rsid w:val="00BB3F79"/>
    <w:rsid w:val="00BC004D"/>
    <w:rsid w:val="00BD1A21"/>
    <w:rsid w:val="00BE545C"/>
    <w:rsid w:val="00BE6AD8"/>
    <w:rsid w:val="00C03109"/>
    <w:rsid w:val="00C05DFC"/>
    <w:rsid w:val="00C21CBC"/>
    <w:rsid w:val="00C25BE4"/>
    <w:rsid w:val="00C31C90"/>
    <w:rsid w:val="00C42D33"/>
    <w:rsid w:val="00C54082"/>
    <w:rsid w:val="00C65719"/>
    <w:rsid w:val="00C73F8E"/>
    <w:rsid w:val="00C77524"/>
    <w:rsid w:val="00C8197A"/>
    <w:rsid w:val="00C918B5"/>
    <w:rsid w:val="00C95FB2"/>
    <w:rsid w:val="00CB049A"/>
    <w:rsid w:val="00CB3A6F"/>
    <w:rsid w:val="00CB4432"/>
    <w:rsid w:val="00CC2DEA"/>
    <w:rsid w:val="00CD50D0"/>
    <w:rsid w:val="00CE5846"/>
    <w:rsid w:val="00CF2558"/>
    <w:rsid w:val="00D00A4E"/>
    <w:rsid w:val="00D14AB9"/>
    <w:rsid w:val="00D17C9E"/>
    <w:rsid w:val="00D2669B"/>
    <w:rsid w:val="00D30615"/>
    <w:rsid w:val="00D411FD"/>
    <w:rsid w:val="00D47EC9"/>
    <w:rsid w:val="00D567A2"/>
    <w:rsid w:val="00D82767"/>
    <w:rsid w:val="00D82E4B"/>
    <w:rsid w:val="00D83140"/>
    <w:rsid w:val="00D83E96"/>
    <w:rsid w:val="00DA256C"/>
    <w:rsid w:val="00DA3AEB"/>
    <w:rsid w:val="00DA3F6C"/>
    <w:rsid w:val="00DB0CFA"/>
    <w:rsid w:val="00DB6D6A"/>
    <w:rsid w:val="00DC01D4"/>
    <w:rsid w:val="00DC2461"/>
    <w:rsid w:val="00DC25DE"/>
    <w:rsid w:val="00DC3C69"/>
    <w:rsid w:val="00DE02A5"/>
    <w:rsid w:val="00DE0B13"/>
    <w:rsid w:val="00DE5E25"/>
    <w:rsid w:val="00DF16A3"/>
    <w:rsid w:val="00DF1952"/>
    <w:rsid w:val="00E02172"/>
    <w:rsid w:val="00E053A8"/>
    <w:rsid w:val="00E15EFD"/>
    <w:rsid w:val="00E766A3"/>
    <w:rsid w:val="00E86CAD"/>
    <w:rsid w:val="00E92C41"/>
    <w:rsid w:val="00EA62C8"/>
    <w:rsid w:val="00EB0B9D"/>
    <w:rsid w:val="00EB376E"/>
    <w:rsid w:val="00EB623F"/>
    <w:rsid w:val="00EB771A"/>
    <w:rsid w:val="00EC17D9"/>
    <w:rsid w:val="00EC6911"/>
    <w:rsid w:val="00ED030E"/>
    <w:rsid w:val="00ED0428"/>
    <w:rsid w:val="00EE03BB"/>
    <w:rsid w:val="00EF0BC0"/>
    <w:rsid w:val="00EF5A2E"/>
    <w:rsid w:val="00F11D96"/>
    <w:rsid w:val="00F12047"/>
    <w:rsid w:val="00F206C6"/>
    <w:rsid w:val="00F3282E"/>
    <w:rsid w:val="00F4437D"/>
    <w:rsid w:val="00F46A17"/>
    <w:rsid w:val="00F47901"/>
    <w:rsid w:val="00F5117D"/>
    <w:rsid w:val="00F556F7"/>
    <w:rsid w:val="00F60C07"/>
    <w:rsid w:val="00F631D5"/>
    <w:rsid w:val="00F91737"/>
    <w:rsid w:val="00F95F3C"/>
    <w:rsid w:val="00FC2A7E"/>
    <w:rsid w:val="00FC2ADA"/>
    <w:rsid w:val="00FC2C4C"/>
    <w:rsid w:val="00FD3250"/>
    <w:rsid w:val="00FE6A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7A83"/>
  <w15:chartTrackingRefBased/>
  <w15:docId w15:val="{A7E307C5-6C23-46E7-AD9B-CC418A71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B5"/>
    <w:rPr>
      <w:rFonts w:ascii="Times New Roman" w:hAnsi="Times New Roman"/>
      <w:sz w:val="28"/>
      <w:szCs w:val="28"/>
      <w:lang w:val="en-GB" w:eastAsia="en-US"/>
    </w:rPr>
  </w:style>
  <w:style w:type="paragraph" w:styleId="Heading1">
    <w:name w:val="heading 1"/>
    <w:basedOn w:val="Normal"/>
    <w:next w:val="Normal"/>
    <w:link w:val="Heading1Char"/>
    <w:qFormat/>
    <w:rsid w:val="006F07CB"/>
    <w:pPr>
      <w:keepNext/>
      <w:widowControl w:val="0"/>
      <w:adjustRightInd w:val="0"/>
      <w:spacing w:before="240" w:after="60" w:line="360" w:lineRule="atLeast"/>
      <w:jc w:val="both"/>
      <w:textAlignment w:val="baseline"/>
      <w:outlineLvl w:val="0"/>
    </w:pPr>
    <w:rPr>
      <w:rFonts w:ascii="Arial" w:eastAsia="Times New Roman" w:hAnsi="Arial" w:cs="Arial"/>
      <w:b/>
      <w:bCs/>
      <w:kern w:val="32"/>
      <w:sz w:val="32"/>
      <w:szCs w:val="32"/>
      <w:lang w:eastAsia="lv-LV"/>
    </w:rPr>
  </w:style>
  <w:style w:type="paragraph" w:styleId="Heading2">
    <w:name w:val="heading 2"/>
    <w:basedOn w:val="Normal"/>
    <w:next w:val="Normal"/>
    <w:link w:val="Heading2Char"/>
    <w:qFormat/>
    <w:rsid w:val="006F07CB"/>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qFormat/>
    <w:rsid w:val="006F07CB"/>
    <w:pPr>
      <w:keepNext/>
      <w:keepLines/>
      <w:spacing w:before="200"/>
      <w:outlineLvl w:val="2"/>
    </w:pPr>
    <w:rPr>
      <w:rFonts w:ascii="Cambria" w:eastAsia="Times New Roman" w:hAnsi="Cambria"/>
      <w:b/>
      <w:bCs/>
      <w:color w:val="4F81BD"/>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7CB"/>
    <w:rPr>
      <w:rFonts w:ascii="Arial" w:eastAsia="Times New Roman" w:hAnsi="Arial" w:cs="Arial"/>
      <w:b/>
      <w:bCs/>
      <w:kern w:val="32"/>
      <w:sz w:val="32"/>
      <w:szCs w:val="32"/>
    </w:rPr>
  </w:style>
  <w:style w:type="character" w:customStyle="1" w:styleId="Heading2Char">
    <w:name w:val="Heading 2 Char"/>
    <w:link w:val="Heading2"/>
    <w:rsid w:val="006F07CB"/>
    <w:rPr>
      <w:rFonts w:ascii="Arial" w:hAnsi="Arial" w:cs="Arial"/>
      <w:b/>
      <w:bCs/>
      <w:i/>
      <w:iCs/>
      <w:sz w:val="28"/>
      <w:szCs w:val="28"/>
      <w:lang w:eastAsia="en-US"/>
    </w:rPr>
  </w:style>
  <w:style w:type="character" w:customStyle="1" w:styleId="Heading3Char">
    <w:name w:val="Heading 3 Char"/>
    <w:link w:val="Heading3"/>
    <w:uiPriority w:val="9"/>
    <w:rsid w:val="006F07CB"/>
    <w:rPr>
      <w:rFonts w:ascii="Cambria" w:eastAsia="Times New Roman" w:hAnsi="Cambria" w:cs="Times New Roman"/>
      <w:b/>
      <w:bCs/>
      <w:color w:val="4F81BD"/>
    </w:rPr>
  </w:style>
  <w:style w:type="paragraph" w:styleId="ListParagraph">
    <w:name w:val="List Paragraph"/>
    <w:basedOn w:val="Normal"/>
    <w:uiPriority w:val="34"/>
    <w:qFormat/>
    <w:rsid w:val="00FE6AB5"/>
    <w:pPr>
      <w:ind w:left="720"/>
      <w:contextualSpacing/>
    </w:pPr>
  </w:style>
  <w:style w:type="paragraph" w:styleId="Header">
    <w:name w:val="header"/>
    <w:basedOn w:val="Normal"/>
    <w:link w:val="HeaderChar"/>
    <w:unhideWhenUsed/>
    <w:rsid w:val="00FE6AB5"/>
    <w:pPr>
      <w:tabs>
        <w:tab w:val="center" w:pos="4153"/>
        <w:tab w:val="right" w:pos="8306"/>
      </w:tabs>
    </w:pPr>
  </w:style>
  <w:style w:type="character" w:customStyle="1" w:styleId="HeaderChar">
    <w:name w:val="Header Char"/>
    <w:link w:val="Header"/>
    <w:rsid w:val="00FE6AB5"/>
    <w:rPr>
      <w:rFonts w:ascii="Times New Roman" w:hAnsi="Times New Roman"/>
      <w:sz w:val="28"/>
      <w:szCs w:val="28"/>
      <w:lang w:val="en-GB" w:eastAsia="en-US"/>
    </w:rPr>
  </w:style>
  <w:style w:type="character" w:styleId="Hyperlink">
    <w:name w:val="Hyperlink"/>
    <w:rsid w:val="00FE6AB5"/>
    <w:rPr>
      <w:color w:val="0000FF"/>
      <w:u w:val="single"/>
    </w:rPr>
  </w:style>
  <w:style w:type="paragraph" w:customStyle="1" w:styleId="naislab">
    <w:name w:val="naislab"/>
    <w:basedOn w:val="Normal"/>
    <w:rsid w:val="00110AD4"/>
    <w:pPr>
      <w:spacing w:before="100" w:beforeAutospacing="1" w:after="100" w:afterAutospacing="1"/>
    </w:pPr>
    <w:rPr>
      <w:rFonts w:eastAsia="Times New Roman"/>
      <w:sz w:val="24"/>
      <w:szCs w:val="24"/>
      <w:lang w:val="lv-LV" w:eastAsia="lv-LV"/>
    </w:rPr>
  </w:style>
  <w:style w:type="character" w:styleId="Strong">
    <w:name w:val="Strong"/>
    <w:qFormat/>
    <w:rsid w:val="006F5E84"/>
    <w:rPr>
      <w:b/>
      <w:bCs/>
    </w:rPr>
  </w:style>
  <w:style w:type="character" w:styleId="CommentReference">
    <w:name w:val="annotation reference"/>
    <w:uiPriority w:val="99"/>
    <w:semiHidden/>
    <w:unhideWhenUsed/>
    <w:rsid w:val="00795DB0"/>
    <w:rPr>
      <w:sz w:val="16"/>
      <w:szCs w:val="16"/>
    </w:rPr>
  </w:style>
  <w:style w:type="paragraph" w:styleId="CommentText">
    <w:name w:val="annotation text"/>
    <w:basedOn w:val="Normal"/>
    <w:link w:val="CommentTextChar"/>
    <w:uiPriority w:val="99"/>
    <w:semiHidden/>
    <w:unhideWhenUsed/>
    <w:rsid w:val="00795DB0"/>
    <w:rPr>
      <w:sz w:val="20"/>
      <w:szCs w:val="20"/>
    </w:rPr>
  </w:style>
  <w:style w:type="character" w:customStyle="1" w:styleId="CommentTextChar">
    <w:name w:val="Comment Text Char"/>
    <w:link w:val="CommentText"/>
    <w:uiPriority w:val="99"/>
    <w:semiHidden/>
    <w:rsid w:val="00795DB0"/>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95DB0"/>
    <w:rPr>
      <w:b/>
      <w:bCs/>
    </w:rPr>
  </w:style>
  <w:style w:type="character" w:customStyle="1" w:styleId="CommentSubjectChar">
    <w:name w:val="Comment Subject Char"/>
    <w:link w:val="CommentSubject"/>
    <w:uiPriority w:val="99"/>
    <w:semiHidden/>
    <w:rsid w:val="00795DB0"/>
    <w:rPr>
      <w:rFonts w:ascii="Times New Roman" w:hAnsi="Times New Roman"/>
      <w:b/>
      <w:bCs/>
      <w:lang w:val="en-GB" w:eastAsia="en-US"/>
    </w:rPr>
  </w:style>
  <w:style w:type="paragraph" w:styleId="BalloonText">
    <w:name w:val="Balloon Text"/>
    <w:basedOn w:val="Normal"/>
    <w:link w:val="BalloonTextChar"/>
    <w:uiPriority w:val="99"/>
    <w:semiHidden/>
    <w:unhideWhenUsed/>
    <w:rsid w:val="00795DB0"/>
    <w:rPr>
      <w:rFonts w:ascii="Tahoma" w:hAnsi="Tahoma" w:cs="Tahoma"/>
      <w:sz w:val="16"/>
      <w:szCs w:val="16"/>
    </w:rPr>
  </w:style>
  <w:style w:type="character" w:customStyle="1" w:styleId="BalloonTextChar">
    <w:name w:val="Balloon Text Char"/>
    <w:link w:val="BalloonText"/>
    <w:uiPriority w:val="99"/>
    <w:semiHidden/>
    <w:rsid w:val="00795DB0"/>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inotajs xmlns="076bee50-7a25-411a-a5a6-8097026bde27">K. Ketners (BPAD)</Zinotajs>
    <NPK xmlns="bf0a44d4-cc3b-414c-aa68-884178465e3a" xsi:nil="true"/>
    <VK_x0020_l_x0113_mums xmlns="bf0a44d4-cc3b-414c-aa68-884178465e3a">Nav</VK_x0020_l_x0113_mu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380A-704A-4E8F-8A6A-29467CE5A816}">
  <ds:schemaRefs>
    <ds:schemaRef ds:uri="http://purl.org/dc/dcmitype/"/>
    <ds:schemaRef ds:uri="bf0a44d4-cc3b-414c-aa68-884178465e3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076bee50-7a25-411a-a5a6-8097026bde27"/>
    <ds:schemaRef ds:uri="http://www.w3.org/XML/1998/namespace"/>
  </ds:schemaRefs>
</ds:datastoreItem>
</file>

<file path=customXml/itemProps2.xml><?xml version="1.0" encoding="utf-8"?>
<ds:datastoreItem xmlns:ds="http://schemas.openxmlformats.org/officeDocument/2006/customXml" ds:itemID="{B3668860-0FFB-4229-B1EE-E0DEC3C80B82}">
  <ds:schemaRefs>
    <ds:schemaRef ds:uri="http://schemas.microsoft.com/sharepoint/v3/contenttype/forms"/>
  </ds:schemaRefs>
</ds:datastoreItem>
</file>

<file path=customXml/itemProps3.xml><?xml version="1.0" encoding="utf-8"?>
<ds:datastoreItem xmlns:ds="http://schemas.openxmlformats.org/officeDocument/2006/customXml" ds:itemID="{72DD0D92-D7C3-4260-B444-C21BBE3E8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FDB62-E2DA-4B1B-B83A-A2BBC352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2996</Words>
  <Characters>1708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Uzziņa par Ministru kabineta instrukcijas projektu "Grozījumi Ministru kabineta 2018.gada 10.aprīļa instrukcijā Nr.2 "Instrukcija par valsts budžeta izpildes analīzi""</vt:lpstr>
      <vt:lpstr>uzzina</vt:lpstr>
    </vt:vector>
  </TitlesOfParts>
  <Company>Finanšu ministrija</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Ministru kabineta instrukcijas projektu "Grozījumi Ministru kabineta 2018.gada 10.aprīļa instrukcijā Nr.2 "Instrukcija par valsts budžeta izpildes analīzi""</dc:title>
  <dc:subject/>
  <dc:creator>ieva.klinsone@fm.gov.lv</dc:creator>
  <cp:keywords/>
  <dc:description>67095531, ieva.klinsone@fm.gov.lv</dc:description>
  <cp:lastModifiedBy>Inguna Dancīte</cp:lastModifiedBy>
  <cp:revision>2</cp:revision>
  <cp:lastPrinted>2020-09-22T11:16:00Z</cp:lastPrinted>
  <dcterms:created xsi:type="dcterms:W3CDTF">2021-03-05T06:23:00Z</dcterms:created>
  <dcterms:modified xsi:type="dcterms:W3CDTF">2021-03-05T06:23:00Z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