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2D" w:rsidRPr="00C2587E" w:rsidRDefault="001A422D" w:rsidP="001A422D">
      <w:pPr>
        <w:pStyle w:val="Application2"/>
      </w:pPr>
    </w:p>
    <w:p w:rsidR="001A422D" w:rsidRPr="00C2587E" w:rsidRDefault="001A422D" w:rsidP="001A422D">
      <w:pPr>
        <w:jc w:val="center"/>
        <w:rPr>
          <w:color w:val="000000"/>
        </w:rPr>
      </w:pPr>
      <w:r w:rsidRPr="00C2587E">
        <w:rPr>
          <w:b/>
          <w:color w:val="000000"/>
        </w:rPr>
        <w:t xml:space="preserve">TWINNING CONTRACT </w:t>
      </w:r>
    </w:p>
    <w:p w:rsidR="001A422D" w:rsidRPr="00C2587E" w:rsidRDefault="001A422D" w:rsidP="001A422D">
      <w:pPr>
        <w:jc w:val="center"/>
        <w:rPr>
          <w:color w:val="000000"/>
        </w:rPr>
      </w:pPr>
      <w:r w:rsidRPr="00C2587E">
        <w:rPr>
          <w:b/>
          <w:color w:val="000000"/>
        </w:rPr>
        <w:t> [</w:t>
      </w:r>
      <w:r w:rsidRPr="00C2587E">
        <w:rPr>
          <w:color w:val="000000"/>
        </w:rPr>
        <w:t>Twinning contract identification number</w:t>
      </w:r>
      <w:r w:rsidRPr="00C2587E">
        <w:rPr>
          <w:b/>
          <w:color w:val="000000"/>
        </w:rPr>
        <w:t>]</w:t>
      </w:r>
    </w:p>
    <w:p w:rsidR="001A422D" w:rsidRPr="00C2587E" w:rsidRDefault="001A422D" w:rsidP="001A422D">
      <w:pPr>
        <w:rPr>
          <w:color w:val="000000"/>
        </w:rPr>
      </w:pPr>
      <w:r w:rsidRPr="00C2587E">
        <w:rPr>
          <w:color w:val="000000"/>
          <w:sz w:val="22"/>
        </w:rPr>
        <w:t> </w:t>
      </w:r>
    </w:p>
    <w:p w:rsidR="001A422D" w:rsidRPr="00C2587E" w:rsidRDefault="001A422D" w:rsidP="001A422D">
      <w:pPr>
        <w:rPr>
          <w:color w:val="000000"/>
          <w:sz w:val="22"/>
        </w:rPr>
      </w:pPr>
      <w:r w:rsidRPr="00C2587E">
        <w:rPr>
          <w:color w:val="000000"/>
          <w:sz w:val="22"/>
        </w:rPr>
        <w:t> </w:t>
      </w:r>
    </w:p>
    <w:p w:rsidR="001A422D" w:rsidRPr="00C2587E" w:rsidRDefault="001A422D" w:rsidP="001A422D">
      <w:pPr>
        <w:rPr>
          <w:color w:val="000000"/>
        </w:rPr>
      </w:pPr>
      <w:r w:rsidRPr="00C2587E">
        <w:rPr>
          <w:color w:val="000000"/>
          <w:sz w:val="22"/>
        </w:rPr>
        <w:t xml:space="preserve">[The </w:t>
      </w:r>
      <w:r>
        <w:rPr>
          <w:color w:val="000000"/>
          <w:sz w:val="22"/>
        </w:rPr>
        <w:t>European Union</w:t>
      </w:r>
      <w:r w:rsidRPr="00C2587E">
        <w:rPr>
          <w:color w:val="000000"/>
          <w:sz w:val="22"/>
        </w:rPr>
        <w:t xml:space="preserve">, represented by the </w:t>
      </w:r>
      <w:r>
        <w:rPr>
          <w:color w:val="000000"/>
          <w:sz w:val="22"/>
        </w:rPr>
        <w:t>European Commission</w:t>
      </w:r>
      <w:r w:rsidRPr="00C2587E">
        <w:rPr>
          <w:color w:val="000000"/>
          <w:sz w:val="22"/>
        </w:rPr>
        <w:t xml:space="preserve">], or [full name and address of the Contracting Authority in the </w:t>
      </w:r>
      <w:r>
        <w:rPr>
          <w:color w:val="000000"/>
          <w:sz w:val="22"/>
        </w:rPr>
        <w:t>Beneficiary Country</w:t>
      </w:r>
      <w:r w:rsidRPr="00C2587E">
        <w:rPr>
          <w:color w:val="000000"/>
          <w:sz w:val="22"/>
        </w:rPr>
        <w:t>]</w:t>
      </w:r>
      <w:r>
        <w:rPr>
          <w:rStyle w:val="FootnoteReference"/>
          <w:color w:val="000000"/>
          <w:sz w:val="22"/>
        </w:rPr>
        <w:footnoteReference w:id="1"/>
      </w:r>
      <w:r w:rsidRPr="00C2587E">
        <w:rPr>
          <w:color w:val="000000"/>
          <w:sz w:val="22"/>
        </w:rPr>
        <w:t>, ("the Contracting Authority")</w:t>
      </w:r>
    </w:p>
    <w:p w:rsidR="001A422D" w:rsidRPr="00C2587E" w:rsidRDefault="001A422D" w:rsidP="001A422D">
      <w:pPr>
        <w:jc w:val="right"/>
        <w:rPr>
          <w:color w:val="000000"/>
        </w:rPr>
      </w:pPr>
      <w:r w:rsidRPr="00C2587E">
        <w:rPr>
          <w:color w:val="000000"/>
          <w:sz w:val="22"/>
        </w:rPr>
        <w:t>of the one part,</w:t>
      </w:r>
    </w:p>
    <w:p w:rsidR="001A422D" w:rsidRPr="00C2587E" w:rsidRDefault="001A422D" w:rsidP="001A422D">
      <w:pPr>
        <w:rPr>
          <w:color w:val="000000"/>
        </w:rPr>
      </w:pPr>
      <w:r w:rsidRPr="00C2587E">
        <w:rPr>
          <w:color w:val="000000"/>
          <w:sz w:val="22"/>
        </w:rPr>
        <w:t> </w:t>
      </w:r>
    </w:p>
    <w:p w:rsidR="001A422D" w:rsidRPr="00C2587E" w:rsidRDefault="001A422D" w:rsidP="001A422D">
      <w:pPr>
        <w:rPr>
          <w:color w:val="000000"/>
        </w:rPr>
      </w:pPr>
      <w:r w:rsidRPr="00C2587E">
        <w:rPr>
          <w:color w:val="000000"/>
          <w:sz w:val="22"/>
        </w:rPr>
        <w:t>and</w:t>
      </w:r>
    </w:p>
    <w:p w:rsidR="001A422D" w:rsidRPr="00C2587E" w:rsidRDefault="001A422D" w:rsidP="001A422D">
      <w:pPr>
        <w:rPr>
          <w:color w:val="000000"/>
        </w:rPr>
      </w:pPr>
      <w:r w:rsidRPr="00C2587E">
        <w:rPr>
          <w:color w:val="000000"/>
          <w:sz w:val="22"/>
        </w:rPr>
        <w:t> </w:t>
      </w:r>
    </w:p>
    <w:p w:rsidR="001A422D" w:rsidRDefault="001A422D" w:rsidP="001A422D">
      <w:pPr>
        <w:rPr>
          <w:i/>
          <w:color w:val="000000"/>
          <w:sz w:val="22"/>
        </w:rPr>
      </w:pPr>
      <w:r w:rsidRPr="00C2587E">
        <w:rPr>
          <w:i/>
          <w:color w:val="000000"/>
          <w:sz w:val="22"/>
        </w:rPr>
        <w:t xml:space="preserve">[Full </w:t>
      </w:r>
      <w:r>
        <w:rPr>
          <w:i/>
          <w:color w:val="000000"/>
          <w:sz w:val="22"/>
        </w:rPr>
        <w:t xml:space="preserve">official </w:t>
      </w:r>
      <w:r w:rsidRPr="00C2587E">
        <w:rPr>
          <w:i/>
          <w:color w:val="000000"/>
          <w:sz w:val="22"/>
        </w:rPr>
        <w:t xml:space="preserve">name of </w:t>
      </w:r>
      <w:r>
        <w:rPr>
          <w:i/>
          <w:color w:val="000000"/>
          <w:sz w:val="22"/>
        </w:rPr>
        <w:t>[Lead]</w:t>
      </w:r>
      <w:r>
        <w:rPr>
          <w:rStyle w:val="FootnoteReference"/>
          <w:i/>
          <w:color w:val="000000"/>
          <w:sz w:val="22"/>
        </w:rPr>
        <w:footnoteReference w:id="2"/>
      </w:r>
      <w:r>
        <w:rPr>
          <w:i/>
          <w:color w:val="000000"/>
          <w:sz w:val="22"/>
        </w:rPr>
        <w:t xml:space="preserve"> </w:t>
      </w:r>
      <w:r w:rsidRPr="00C2587E">
        <w:rPr>
          <w:i/>
          <w:color w:val="000000"/>
          <w:sz w:val="22"/>
        </w:rPr>
        <w:t xml:space="preserve">MS partner </w:t>
      </w:r>
      <w:r>
        <w:rPr>
          <w:i/>
          <w:color w:val="000000"/>
          <w:sz w:val="22"/>
        </w:rPr>
        <w:t xml:space="preserve">+ </w:t>
      </w:r>
      <w:r w:rsidRPr="00C2587E">
        <w:rPr>
          <w:i/>
          <w:color w:val="000000"/>
          <w:sz w:val="22"/>
        </w:rPr>
        <w:t>acronym where relevant]</w:t>
      </w:r>
      <w:r w:rsidRPr="00C2587E">
        <w:rPr>
          <w:color w:val="000000"/>
          <w:sz w:val="22"/>
        </w:rPr>
        <w:t xml:space="preserve"> with its office at </w:t>
      </w:r>
      <w:r w:rsidRPr="00C2587E">
        <w:rPr>
          <w:i/>
          <w:color w:val="000000"/>
          <w:sz w:val="22"/>
        </w:rPr>
        <w:t>[</w:t>
      </w:r>
      <w:r>
        <w:rPr>
          <w:i/>
          <w:color w:val="000000"/>
          <w:sz w:val="22"/>
        </w:rPr>
        <w:t xml:space="preserve">full official </w:t>
      </w:r>
      <w:r w:rsidRPr="00C2587E">
        <w:rPr>
          <w:i/>
          <w:color w:val="000000"/>
          <w:sz w:val="22"/>
        </w:rPr>
        <w:t>address]</w:t>
      </w:r>
      <w:r>
        <w:rPr>
          <w:rStyle w:val="FootnoteReference"/>
          <w:i/>
          <w:color w:val="000000"/>
          <w:sz w:val="22"/>
        </w:rPr>
        <w:footnoteReference w:id="3"/>
      </w:r>
    </w:p>
    <w:p w:rsidR="001A422D" w:rsidRDefault="001A422D" w:rsidP="001A422D">
      <w:pPr>
        <w:rPr>
          <w:i/>
          <w:color w:val="000000"/>
          <w:sz w:val="22"/>
        </w:rPr>
      </w:pPr>
      <w:r w:rsidRPr="00C2587E">
        <w:rPr>
          <w:color w:val="000000"/>
          <w:sz w:val="22"/>
        </w:rPr>
        <w:t xml:space="preserve"> </w:t>
      </w:r>
      <w:r>
        <w:rPr>
          <w:i/>
          <w:color w:val="000000"/>
          <w:sz w:val="22"/>
        </w:rPr>
        <w:t>[where relevant legal status, official registration name and VAT number]</w:t>
      </w:r>
    </w:p>
    <w:p w:rsidR="001A422D" w:rsidRPr="00C2587E" w:rsidRDefault="001A422D" w:rsidP="001A422D">
      <w:pPr>
        <w:rPr>
          <w:color w:val="000000"/>
        </w:rPr>
      </w:pPr>
      <w:r w:rsidRPr="00C2587E">
        <w:rPr>
          <w:color w:val="000000"/>
          <w:sz w:val="22"/>
        </w:rPr>
        <w:t xml:space="preserve">("the </w:t>
      </w:r>
      <w:r w:rsidRPr="00837928">
        <w:rPr>
          <w:color w:val="000000"/>
          <w:sz w:val="22"/>
        </w:rPr>
        <w:t>[Lead]</w:t>
      </w:r>
      <w:r w:rsidRPr="00862332">
        <w:rPr>
          <w:rStyle w:val="FootnoteReference"/>
          <w:i/>
          <w:color w:val="000000"/>
          <w:sz w:val="22"/>
        </w:rPr>
        <w:t xml:space="preserve"> </w:t>
      </w:r>
      <w:r w:rsidRPr="00F00A53">
        <w:rPr>
          <w:rStyle w:val="FootnoteReference"/>
          <w:color w:val="000000"/>
          <w:sz w:val="22"/>
        </w:rPr>
        <w:footnoteReference w:id="4"/>
      </w:r>
      <w:r w:rsidRPr="00837928">
        <w:rPr>
          <w:color w:val="000000"/>
          <w:sz w:val="22"/>
        </w:rPr>
        <w:t xml:space="preserve"> </w:t>
      </w:r>
      <w:r w:rsidRPr="00C2587E">
        <w:rPr>
          <w:color w:val="000000"/>
          <w:sz w:val="22"/>
        </w:rPr>
        <w:t>Member State Partner" - MSP),</w:t>
      </w:r>
    </w:p>
    <w:p w:rsidR="001A422D" w:rsidRDefault="001A422D" w:rsidP="001A422D">
      <w:pPr>
        <w:rPr>
          <w:color w:val="000000"/>
          <w:sz w:val="22"/>
        </w:rPr>
      </w:pPr>
      <w:r w:rsidRPr="00C2587E">
        <w:rPr>
          <w:color w:val="000000"/>
          <w:sz w:val="22"/>
        </w:rPr>
        <w:t> </w:t>
      </w:r>
    </w:p>
    <w:p w:rsidR="001A422D" w:rsidRDefault="001A422D" w:rsidP="001A422D">
      <w:pPr>
        <w:rPr>
          <w:color w:val="000000"/>
          <w:sz w:val="22"/>
        </w:rPr>
      </w:pPr>
    </w:p>
    <w:p w:rsidR="001A422D" w:rsidRPr="00155946" w:rsidRDefault="001A422D" w:rsidP="001A422D">
      <w:pPr>
        <w:rPr>
          <w:color w:val="000000"/>
          <w:sz w:val="22"/>
        </w:rPr>
      </w:pPr>
      <w:r w:rsidRPr="00F00A53">
        <w:rPr>
          <w:color w:val="000000"/>
          <w:sz w:val="22"/>
        </w:rPr>
        <w:t>[</w:t>
      </w:r>
      <w:r w:rsidRPr="00F00A53">
        <w:rPr>
          <w:color w:val="000000"/>
          <w:sz w:val="22"/>
          <w:highlight w:val="yellow"/>
        </w:rPr>
        <w:t>If a multi-</w:t>
      </w:r>
      <w:r w:rsidRPr="00E41EE9">
        <w:rPr>
          <w:color w:val="000000"/>
          <w:sz w:val="22"/>
          <w:highlight w:val="yellow"/>
        </w:rPr>
        <w:t>MSP</w:t>
      </w:r>
      <w:r w:rsidRPr="00F00A53">
        <w:rPr>
          <w:color w:val="000000"/>
          <w:sz w:val="22"/>
          <w:highlight w:val="yellow"/>
        </w:rPr>
        <w:t xml:space="preserve"> </w:t>
      </w:r>
      <w:r w:rsidRPr="00E41EE9">
        <w:rPr>
          <w:color w:val="000000"/>
          <w:sz w:val="22"/>
          <w:highlight w:val="yellow"/>
        </w:rPr>
        <w:t>twinning contract</w:t>
      </w:r>
      <w:r w:rsidRPr="00F00A53">
        <w:rPr>
          <w:color w:val="000000"/>
          <w:sz w:val="22"/>
          <w:highlight w:val="yellow"/>
        </w:rPr>
        <w:t>:</w:t>
      </w:r>
      <w:r w:rsidRPr="00863538">
        <w:rPr>
          <w:color w:val="000000"/>
          <w:sz w:val="22"/>
        </w:rPr>
        <w:t xml:space="preserve"> [hereinafter the “Lead Member State Partner</w:t>
      </w:r>
      <w:r w:rsidRPr="00E41EE9">
        <w:rPr>
          <w:color w:val="000000"/>
          <w:sz w:val="22"/>
        </w:rPr>
        <w:t>”]</w:t>
      </w:r>
    </w:p>
    <w:p w:rsidR="001A422D" w:rsidRDefault="001A422D" w:rsidP="001A422D">
      <w:pPr>
        <w:rPr>
          <w:color w:val="000000"/>
          <w:sz w:val="22"/>
        </w:rPr>
      </w:pPr>
    </w:p>
    <w:p w:rsidR="001A422D" w:rsidRPr="00764A85" w:rsidRDefault="001A422D" w:rsidP="001A422D">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 xml:space="preserve">and </w:t>
      </w:r>
    </w:p>
    <w:p w:rsidR="001A422D" w:rsidRDefault="001A422D" w:rsidP="001A422D">
      <w:pPr>
        <w:rPr>
          <w:color w:val="000000"/>
          <w:sz w:val="22"/>
        </w:rPr>
      </w:pPr>
    </w:p>
    <w:p w:rsidR="001A422D" w:rsidRDefault="001A422D" w:rsidP="001A422D">
      <w:pPr>
        <w:rPr>
          <w:color w:val="000000"/>
          <w:sz w:val="22"/>
        </w:rPr>
      </w:pPr>
      <w:r w:rsidRPr="00C2587E">
        <w:rPr>
          <w:i/>
          <w:color w:val="000000"/>
          <w:sz w:val="22"/>
        </w:rPr>
        <w:t xml:space="preserve">[Full </w:t>
      </w:r>
      <w:r>
        <w:rPr>
          <w:i/>
          <w:color w:val="000000"/>
          <w:sz w:val="22"/>
        </w:rPr>
        <w:t xml:space="preserve">official </w:t>
      </w:r>
      <w:r w:rsidRPr="00C2587E">
        <w:rPr>
          <w:i/>
          <w:color w:val="000000"/>
          <w:sz w:val="22"/>
        </w:rPr>
        <w:t xml:space="preserve">name of </w:t>
      </w:r>
      <w:r>
        <w:rPr>
          <w:i/>
          <w:color w:val="000000"/>
          <w:sz w:val="22"/>
        </w:rPr>
        <w:t xml:space="preserve">Junior </w:t>
      </w:r>
      <w:r w:rsidRPr="00C2587E">
        <w:rPr>
          <w:i/>
          <w:color w:val="000000"/>
          <w:sz w:val="22"/>
        </w:rPr>
        <w:t xml:space="preserve">MS partner </w:t>
      </w:r>
      <w:r>
        <w:rPr>
          <w:i/>
          <w:color w:val="000000"/>
          <w:sz w:val="22"/>
        </w:rPr>
        <w:t xml:space="preserve">+ </w:t>
      </w:r>
      <w:r w:rsidRPr="00C2587E">
        <w:rPr>
          <w:i/>
          <w:color w:val="000000"/>
          <w:sz w:val="22"/>
        </w:rPr>
        <w:t xml:space="preserve"> acronym where relevant]</w:t>
      </w:r>
      <w:r w:rsidRPr="00C2587E">
        <w:rPr>
          <w:color w:val="000000"/>
          <w:sz w:val="22"/>
        </w:rPr>
        <w:t xml:space="preserve"> with its office at </w:t>
      </w:r>
      <w:r w:rsidRPr="00C2587E">
        <w:rPr>
          <w:i/>
          <w:color w:val="000000"/>
          <w:sz w:val="22"/>
        </w:rPr>
        <w:t>[</w:t>
      </w:r>
      <w:r>
        <w:rPr>
          <w:i/>
          <w:color w:val="000000"/>
          <w:sz w:val="22"/>
        </w:rPr>
        <w:t xml:space="preserve">full official </w:t>
      </w:r>
      <w:r w:rsidRPr="00C2587E">
        <w:rPr>
          <w:i/>
          <w:color w:val="000000"/>
          <w:sz w:val="22"/>
        </w:rPr>
        <w:t>address],</w:t>
      </w:r>
    </w:p>
    <w:p w:rsidR="001A422D" w:rsidRDefault="001A422D" w:rsidP="001A422D">
      <w:pPr>
        <w:rPr>
          <w:i/>
          <w:color w:val="000000"/>
          <w:sz w:val="22"/>
        </w:rPr>
      </w:pPr>
      <w:r>
        <w:rPr>
          <w:i/>
          <w:color w:val="000000"/>
          <w:sz w:val="22"/>
        </w:rPr>
        <w:t>[where relevant legal status, official registration name and VAT number]</w:t>
      </w:r>
    </w:p>
    <w:p w:rsidR="001A422D" w:rsidRDefault="001A422D" w:rsidP="001A422D">
      <w:pPr>
        <w:rPr>
          <w:color w:val="000000"/>
          <w:sz w:val="22"/>
        </w:rPr>
      </w:pPr>
    </w:p>
    <w:p w:rsidR="001A422D" w:rsidRPr="00764A85" w:rsidRDefault="001A422D" w:rsidP="001A422D">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sidRPr="00764A85">
        <w:rPr>
          <w:sz w:val="22"/>
          <w:szCs w:val="22"/>
        </w:rPr>
        <w:t xml:space="preserve">who have conferred powers of attorney for the purposes of the signature of the agreement to the </w:t>
      </w:r>
      <w:r>
        <w:rPr>
          <w:sz w:val="22"/>
          <w:szCs w:val="22"/>
        </w:rPr>
        <w:t>Lead Member State Partner</w:t>
      </w:r>
      <w:r w:rsidRPr="00764A85">
        <w:rPr>
          <w:sz w:val="22"/>
          <w:szCs w:val="22"/>
        </w:rPr>
        <w:t xml:space="preserve"> </w:t>
      </w:r>
      <w:r>
        <w:rPr>
          <w:rStyle w:val="FootnoteReference"/>
          <w:sz w:val="22"/>
          <w:szCs w:val="22"/>
        </w:rPr>
        <w:footnoteReference w:id="5"/>
      </w:r>
    </w:p>
    <w:p w:rsidR="001A422D" w:rsidRDefault="001A422D" w:rsidP="001A422D">
      <w:pPr>
        <w:rPr>
          <w:color w:val="000000"/>
          <w:sz w:val="22"/>
        </w:rPr>
      </w:pPr>
    </w:p>
    <w:p w:rsidR="001A422D" w:rsidRPr="00764A85" w:rsidRDefault="001A422D" w:rsidP="001A422D">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sidRPr="00764A85">
        <w:rPr>
          <w:sz w:val="22"/>
          <w:szCs w:val="22"/>
        </w:rPr>
        <w:t>collectively referred to as “</w:t>
      </w:r>
      <w:r>
        <w:rPr>
          <w:sz w:val="22"/>
          <w:szCs w:val="22"/>
        </w:rPr>
        <w:t>Member State Parties</w:t>
      </w:r>
      <w:r w:rsidRPr="00764A85">
        <w:rPr>
          <w:sz w:val="22"/>
          <w:szCs w:val="22"/>
        </w:rPr>
        <w:t xml:space="preserve">” where a provision applies without distinction to the </w:t>
      </w:r>
      <w:r>
        <w:rPr>
          <w:sz w:val="22"/>
          <w:szCs w:val="22"/>
        </w:rPr>
        <w:t>Lead Member State Partner and the Junior Member State Partner(s)]</w:t>
      </w:r>
    </w:p>
    <w:p w:rsidR="001A422D" w:rsidRDefault="001A422D" w:rsidP="001A422D">
      <w:pPr>
        <w:rPr>
          <w:color w:val="000000"/>
          <w:sz w:val="22"/>
        </w:rPr>
      </w:pPr>
    </w:p>
    <w:p w:rsidR="001A422D" w:rsidRDefault="001A422D" w:rsidP="001A422D">
      <w:pPr>
        <w:rPr>
          <w:color w:val="000000"/>
          <w:sz w:val="22"/>
        </w:rPr>
      </w:pPr>
    </w:p>
    <w:p w:rsidR="001A422D" w:rsidRDefault="001A422D" w:rsidP="001A422D">
      <w:pPr>
        <w:rPr>
          <w:color w:val="000000"/>
          <w:sz w:val="22"/>
        </w:rPr>
      </w:pPr>
    </w:p>
    <w:p w:rsidR="001A422D" w:rsidRPr="00C2587E" w:rsidRDefault="001A422D" w:rsidP="001A422D">
      <w:pPr>
        <w:rPr>
          <w:color w:val="000000"/>
        </w:rPr>
      </w:pPr>
    </w:p>
    <w:p w:rsidR="001A422D" w:rsidRPr="00C2587E" w:rsidRDefault="001A422D" w:rsidP="001A422D">
      <w:pPr>
        <w:jc w:val="right"/>
        <w:rPr>
          <w:color w:val="000000"/>
        </w:rPr>
      </w:pPr>
      <w:r w:rsidRPr="00C2587E">
        <w:rPr>
          <w:color w:val="000000"/>
          <w:sz w:val="22"/>
        </w:rPr>
        <w:t>of the other part,</w:t>
      </w:r>
    </w:p>
    <w:p w:rsidR="001A422D" w:rsidRPr="00C2587E" w:rsidRDefault="001A422D" w:rsidP="001A422D">
      <w:pPr>
        <w:rPr>
          <w:color w:val="000000"/>
        </w:rPr>
      </w:pPr>
      <w:r w:rsidRPr="00C2587E">
        <w:rPr>
          <w:color w:val="000000"/>
          <w:sz w:val="22"/>
        </w:rPr>
        <w:t> </w:t>
      </w:r>
    </w:p>
    <w:p w:rsidR="001A422D" w:rsidRDefault="001A422D" w:rsidP="001A422D">
      <w:pPr>
        <w:rPr>
          <w:sz w:val="22"/>
        </w:rPr>
      </w:pPr>
      <w:r>
        <w:rPr>
          <w:sz w:val="22"/>
        </w:rPr>
        <w:t>(the "Parties")</w:t>
      </w:r>
    </w:p>
    <w:p w:rsidR="001A422D" w:rsidRDefault="001A422D" w:rsidP="001A422D">
      <w:pPr>
        <w:rPr>
          <w:color w:val="000000"/>
          <w:sz w:val="22"/>
        </w:rPr>
      </w:pPr>
    </w:p>
    <w:p w:rsidR="001A422D" w:rsidRPr="00C2587E" w:rsidRDefault="001A422D" w:rsidP="001A422D">
      <w:pPr>
        <w:rPr>
          <w:color w:val="000000"/>
        </w:rPr>
      </w:pPr>
      <w:r w:rsidRPr="00C2587E">
        <w:rPr>
          <w:color w:val="000000"/>
          <w:sz w:val="22"/>
        </w:rPr>
        <w:t>have agreed as follows:</w:t>
      </w:r>
    </w:p>
    <w:p w:rsidR="001A422D" w:rsidRPr="00C2587E" w:rsidRDefault="001A422D" w:rsidP="001A422D">
      <w:pPr>
        <w:rPr>
          <w:color w:val="000000"/>
        </w:rPr>
      </w:pPr>
      <w:r w:rsidRPr="00C2587E">
        <w:rPr>
          <w:color w:val="000000"/>
          <w:sz w:val="22"/>
        </w:rPr>
        <w:t>  </w:t>
      </w:r>
    </w:p>
    <w:p w:rsidR="001A422D" w:rsidRPr="00C2587E" w:rsidRDefault="001A422D" w:rsidP="001A422D">
      <w:pPr>
        <w:rPr>
          <w:color w:val="000000"/>
        </w:rPr>
      </w:pPr>
      <w:r w:rsidRPr="00C2587E">
        <w:rPr>
          <w:color w:val="000000"/>
          <w:sz w:val="22"/>
        </w:rPr>
        <w:t> </w:t>
      </w:r>
    </w:p>
    <w:p w:rsidR="001A422D" w:rsidRPr="00C2587E" w:rsidRDefault="001A422D" w:rsidP="001A422D">
      <w:pPr>
        <w:jc w:val="center"/>
        <w:rPr>
          <w:color w:val="000000"/>
        </w:rPr>
      </w:pPr>
      <w:r>
        <w:rPr>
          <w:b/>
          <w:color w:val="000000"/>
          <w:sz w:val="28"/>
        </w:rPr>
        <w:br w:type="page"/>
      </w:r>
      <w:r w:rsidRPr="00C2587E">
        <w:rPr>
          <w:b/>
          <w:color w:val="000000"/>
          <w:sz w:val="28"/>
        </w:rPr>
        <w:lastRenderedPageBreak/>
        <w:t>Special Conditions</w:t>
      </w:r>
    </w:p>
    <w:p w:rsidR="001A422D" w:rsidRPr="00C2587E" w:rsidRDefault="001A422D" w:rsidP="001A422D">
      <w:pPr>
        <w:rPr>
          <w:color w:val="000000"/>
        </w:rPr>
      </w:pPr>
    </w:p>
    <w:p w:rsidR="001A422D" w:rsidRPr="00C2587E" w:rsidRDefault="001A422D" w:rsidP="001A422D">
      <w:pPr>
        <w:rPr>
          <w:color w:val="000000"/>
        </w:rPr>
      </w:pPr>
    </w:p>
    <w:p w:rsidR="001A422D" w:rsidRPr="00F00A53" w:rsidRDefault="001A422D" w:rsidP="001A422D">
      <w:pPr>
        <w:ind w:left="567" w:hanging="567"/>
        <w:jc w:val="both"/>
        <w:rPr>
          <w:b/>
          <w:color w:val="000000"/>
        </w:rPr>
      </w:pPr>
      <w:r w:rsidRPr="00F00A53">
        <w:rPr>
          <w:b/>
          <w:color w:val="000000"/>
        </w:rPr>
        <w:t>Article 1 - Purpose</w:t>
      </w:r>
    </w:p>
    <w:p w:rsidR="001A422D" w:rsidRPr="00C2587E" w:rsidRDefault="001A422D" w:rsidP="001A422D">
      <w:pPr>
        <w:rPr>
          <w:color w:val="000000"/>
        </w:rPr>
      </w:pPr>
    </w:p>
    <w:p w:rsidR="001A422D" w:rsidRPr="00C2587E" w:rsidRDefault="001A422D" w:rsidP="001A422D">
      <w:pPr>
        <w:ind w:left="567" w:hanging="567"/>
        <w:jc w:val="both"/>
        <w:rPr>
          <w:color w:val="000000"/>
          <w:sz w:val="22"/>
        </w:rPr>
      </w:pPr>
      <w:r w:rsidRPr="00C2587E">
        <w:rPr>
          <w:color w:val="000000"/>
          <w:sz w:val="22"/>
        </w:rPr>
        <w:t>1.1</w:t>
      </w:r>
      <w:r>
        <w:rPr>
          <w:color w:val="000000"/>
          <w:sz w:val="22"/>
        </w:rPr>
        <w:tab/>
      </w:r>
      <w:r w:rsidRPr="00C2587E">
        <w:rPr>
          <w:color w:val="000000"/>
          <w:sz w:val="22"/>
        </w:rPr>
        <w:t xml:space="preserve">The purpose of this contract is the award of a </w:t>
      </w:r>
      <w:r>
        <w:rPr>
          <w:color w:val="000000"/>
          <w:sz w:val="22"/>
        </w:rPr>
        <w:t xml:space="preserve">Twinning </w:t>
      </w:r>
      <w:r w:rsidRPr="00C2587E">
        <w:rPr>
          <w:color w:val="000000"/>
          <w:sz w:val="22"/>
        </w:rPr>
        <w:t xml:space="preserve">grant, consisting of reimbursement of expenditures, by the Contracting Authority </w:t>
      </w:r>
      <w:r>
        <w:rPr>
          <w:color w:val="000000"/>
          <w:sz w:val="22"/>
        </w:rPr>
        <w:t>to finance</w:t>
      </w:r>
      <w:r w:rsidRPr="00C2587E">
        <w:rPr>
          <w:color w:val="000000"/>
          <w:sz w:val="22"/>
        </w:rPr>
        <w:t xml:space="preserve"> the implementation of the Action entitled: [</w:t>
      </w:r>
      <w:r w:rsidRPr="00C2587E">
        <w:rPr>
          <w:i/>
          <w:color w:val="000000"/>
          <w:sz w:val="22"/>
        </w:rPr>
        <w:t>title of Action</w:t>
      </w:r>
      <w:r w:rsidRPr="00C2587E">
        <w:rPr>
          <w:color w:val="000000"/>
          <w:sz w:val="22"/>
        </w:rPr>
        <w:t>] ("the Action")</w:t>
      </w:r>
      <w:r>
        <w:rPr>
          <w:color w:val="000000"/>
          <w:sz w:val="22"/>
        </w:rPr>
        <w:t xml:space="preserve"> described in annex A1</w:t>
      </w:r>
      <w:r w:rsidRPr="00C2587E">
        <w:rPr>
          <w:color w:val="000000"/>
          <w:sz w:val="22"/>
        </w:rPr>
        <w:t>.</w:t>
      </w:r>
    </w:p>
    <w:p w:rsidR="001A422D" w:rsidRPr="00C2587E" w:rsidRDefault="001A422D" w:rsidP="001A422D">
      <w:pPr>
        <w:ind w:left="567" w:hanging="567"/>
        <w:jc w:val="both"/>
        <w:rPr>
          <w:color w:val="000000"/>
        </w:rPr>
      </w:pPr>
    </w:p>
    <w:p w:rsidR="001A422D" w:rsidRPr="00C2587E" w:rsidRDefault="001A422D" w:rsidP="001A422D">
      <w:pPr>
        <w:ind w:left="567" w:hanging="567"/>
        <w:jc w:val="both"/>
        <w:rPr>
          <w:color w:val="000000"/>
        </w:rPr>
      </w:pPr>
      <w:r w:rsidRPr="00C2587E">
        <w:rPr>
          <w:color w:val="000000"/>
          <w:sz w:val="22"/>
        </w:rPr>
        <w:t>1.2</w:t>
      </w:r>
      <w:r>
        <w:rPr>
          <w:color w:val="000000"/>
          <w:sz w:val="22"/>
        </w:rPr>
        <w:tab/>
      </w:r>
      <w:r w:rsidRPr="00C2587E">
        <w:rPr>
          <w:color w:val="000000"/>
          <w:sz w:val="22"/>
        </w:rPr>
        <w:t>The Member State Partner</w:t>
      </w:r>
      <w:r>
        <w:rPr>
          <w:color w:val="000000"/>
          <w:sz w:val="22"/>
        </w:rPr>
        <w:t>(s)</w:t>
      </w:r>
      <w:r w:rsidRPr="00C2587E">
        <w:rPr>
          <w:color w:val="000000"/>
          <w:sz w:val="22"/>
        </w:rPr>
        <w:t xml:space="preserve"> </w:t>
      </w:r>
      <w:r>
        <w:rPr>
          <w:color w:val="000000"/>
          <w:sz w:val="22"/>
        </w:rPr>
        <w:t>shall</w:t>
      </w:r>
      <w:r w:rsidRPr="00C2587E">
        <w:rPr>
          <w:color w:val="000000"/>
          <w:sz w:val="22"/>
        </w:rPr>
        <w:t xml:space="preserve"> be awarded the </w:t>
      </w:r>
      <w:r>
        <w:rPr>
          <w:color w:val="000000"/>
          <w:sz w:val="22"/>
        </w:rPr>
        <w:t xml:space="preserve">Twinning </w:t>
      </w:r>
      <w:r w:rsidRPr="00C2587E">
        <w:rPr>
          <w:color w:val="000000"/>
          <w:sz w:val="22"/>
        </w:rPr>
        <w:t xml:space="preserve">grant on the terms and conditions set out in this </w:t>
      </w:r>
      <w:r>
        <w:rPr>
          <w:color w:val="000000"/>
          <w:sz w:val="22"/>
        </w:rPr>
        <w:t>C</w:t>
      </w:r>
      <w:r w:rsidRPr="00C2587E">
        <w:rPr>
          <w:color w:val="000000"/>
          <w:sz w:val="22"/>
        </w:rPr>
        <w:t xml:space="preserve">ontract, which consists of these special conditions ("Special Conditions") and the annexes, which the </w:t>
      </w:r>
      <w:r>
        <w:rPr>
          <w:color w:val="000000"/>
          <w:sz w:val="22"/>
        </w:rPr>
        <w:t>Member State Partner(s)</w:t>
      </w:r>
      <w:r w:rsidRPr="00C2587E">
        <w:rPr>
          <w:color w:val="000000"/>
          <w:sz w:val="22"/>
        </w:rPr>
        <w:t xml:space="preserve"> hereby declares it has noted and accepted.</w:t>
      </w:r>
    </w:p>
    <w:p w:rsidR="001A422D" w:rsidRPr="00C2587E" w:rsidRDefault="001A422D" w:rsidP="001A422D">
      <w:pPr>
        <w:ind w:left="567" w:hanging="567"/>
        <w:jc w:val="both"/>
        <w:rPr>
          <w:color w:val="000000"/>
        </w:rPr>
      </w:pPr>
    </w:p>
    <w:p w:rsidR="001A422D" w:rsidRPr="00C2587E" w:rsidRDefault="001A422D" w:rsidP="001A422D">
      <w:pPr>
        <w:ind w:left="567" w:hanging="567"/>
        <w:jc w:val="both"/>
        <w:rPr>
          <w:color w:val="000000"/>
          <w:sz w:val="22"/>
        </w:rPr>
      </w:pPr>
      <w:r w:rsidRPr="00C2587E">
        <w:rPr>
          <w:color w:val="000000"/>
          <w:sz w:val="22"/>
        </w:rPr>
        <w:t>1.3</w:t>
      </w:r>
      <w:r>
        <w:rPr>
          <w:color w:val="000000"/>
          <w:sz w:val="22"/>
        </w:rPr>
        <w:tab/>
      </w:r>
      <w:r w:rsidRPr="00C2587E">
        <w:rPr>
          <w:color w:val="000000"/>
          <w:sz w:val="22"/>
        </w:rPr>
        <w:t xml:space="preserve">The </w:t>
      </w:r>
      <w:r>
        <w:rPr>
          <w:color w:val="000000"/>
          <w:sz w:val="22"/>
        </w:rPr>
        <w:t>Member State Partner(s)</w:t>
      </w:r>
      <w:r w:rsidRPr="00C2587E">
        <w:rPr>
          <w:color w:val="000000"/>
          <w:sz w:val="22"/>
        </w:rPr>
        <w:t xml:space="preserve"> accepts the </w:t>
      </w:r>
      <w:r>
        <w:rPr>
          <w:color w:val="000000"/>
          <w:sz w:val="22"/>
        </w:rPr>
        <w:t xml:space="preserve">Twinning </w:t>
      </w:r>
      <w:r w:rsidRPr="00C2587E">
        <w:rPr>
          <w:color w:val="000000"/>
          <w:sz w:val="22"/>
        </w:rPr>
        <w:t xml:space="preserve">grant and undertakes to </w:t>
      </w:r>
      <w:r>
        <w:rPr>
          <w:color w:val="000000"/>
          <w:sz w:val="22"/>
        </w:rPr>
        <w:t xml:space="preserve">be responsible for </w:t>
      </w:r>
      <w:r w:rsidRPr="00C2587E">
        <w:rPr>
          <w:color w:val="000000"/>
          <w:sz w:val="22"/>
        </w:rPr>
        <w:t>carry</w:t>
      </w:r>
      <w:r>
        <w:rPr>
          <w:color w:val="000000"/>
          <w:sz w:val="22"/>
        </w:rPr>
        <w:t>ing</w:t>
      </w:r>
      <w:r w:rsidRPr="00C2587E">
        <w:rPr>
          <w:color w:val="000000"/>
          <w:sz w:val="22"/>
        </w:rPr>
        <w:t xml:space="preserve"> out the Action.</w:t>
      </w:r>
    </w:p>
    <w:p w:rsidR="001A422D" w:rsidRPr="00C2587E" w:rsidRDefault="001A422D" w:rsidP="001A422D">
      <w:pPr>
        <w:ind w:left="567" w:hanging="567"/>
        <w:jc w:val="both"/>
        <w:rPr>
          <w:color w:val="000000"/>
          <w:sz w:val="22"/>
        </w:rPr>
      </w:pPr>
    </w:p>
    <w:p w:rsidR="001A422D" w:rsidRPr="00C2587E" w:rsidRDefault="001A422D" w:rsidP="001A422D">
      <w:pPr>
        <w:ind w:left="567" w:hanging="567"/>
        <w:jc w:val="both"/>
        <w:rPr>
          <w:color w:val="000000"/>
        </w:rPr>
      </w:pPr>
      <w:r w:rsidRPr="00C2587E">
        <w:rPr>
          <w:color w:val="000000"/>
          <w:sz w:val="22"/>
        </w:rPr>
        <w:t>1.4</w:t>
      </w:r>
      <w:r>
        <w:rPr>
          <w:color w:val="000000"/>
          <w:sz w:val="22"/>
        </w:rPr>
        <w:tab/>
      </w:r>
      <w:r w:rsidRPr="00C2587E">
        <w:rPr>
          <w:color w:val="000000"/>
          <w:sz w:val="22"/>
        </w:rPr>
        <w:t xml:space="preserve">The </w:t>
      </w:r>
      <w:r>
        <w:rPr>
          <w:color w:val="000000"/>
          <w:sz w:val="22"/>
        </w:rPr>
        <w:t>F</w:t>
      </w:r>
      <w:r w:rsidRPr="00C2587E">
        <w:rPr>
          <w:color w:val="000000"/>
          <w:sz w:val="22"/>
        </w:rPr>
        <w:t xml:space="preserve">inal </w:t>
      </w:r>
      <w:r>
        <w:rPr>
          <w:color w:val="000000"/>
          <w:sz w:val="22"/>
        </w:rPr>
        <w:t>Recipient o</w:t>
      </w:r>
      <w:r w:rsidRPr="00C2587E">
        <w:rPr>
          <w:color w:val="000000"/>
          <w:sz w:val="22"/>
        </w:rPr>
        <w:t>f th</w:t>
      </w:r>
      <w:r>
        <w:rPr>
          <w:color w:val="000000"/>
          <w:sz w:val="22"/>
        </w:rPr>
        <w:t xml:space="preserve">e Action </w:t>
      </w:r>
      <w:r w:rsidRPr="00C2587E">
        <w:rPr>
          <w:color w:val="000000"/>
          <w:sz w:val="22"/>
        </w:rPr>
        <w:t>is:</w:t>
      </w:r>
      <w:r>
        <w:rPr>
          <w:color w:val="000000"/>
          <w:sz w:val="22"/>
        </w:rPr>
        <w:t xml:space="preserve"> </w:t>
      </w:r>
      <w:r w:rsidRPr="00C2587E">
        <w:rPr>
          <w:color w:val="000000"/>
          <w:sz w:val="22"/>
        </w:rPr>
        <w:sym w:font="Symbol" w:char="F05B"/>
      </w:r>
      <w:r w:rsidRPr="00C2587E">
        <w:rPr>
          <w:color w:val="000000"/>
          <w:sz w:val="22"/>
        </w:rPr>
        <w:t>……..]</w:t>
      </w:r>
      <w:r>
        <w:rPr>
          <w:rStyle w:val="FootnoteReference"/>
          <w:color w:val="000000"/>
          <w:sz w:val="22"/>
        </w:rPr>
        <w:footnoteReference w:id="6"/>
      </w:r>
    </w:p>
    <w:p w:rsidR="001A422D" w:rsidRPr="00C2587E" w:rsidRDefault="001A422D" w:rsidP="001A422D">
      <w:pPr>
        <w:ind w:left="567" w:hanging="567"/>
        <w:jc w:val="both"/>
        <w:rPr>
          <w:color w:val="000000"/>
        </w:rPr>
      </w:pPr>
      <w:r w:rsidRPr="00C2587E">
        <w:rPr>
          <w:color w:val="000000"/>
          <w:sz w:val="22"/>
        </w:rPr>
        <w:t> </w:t>
      </w:r>
    </w:p>
    <w:p w:rsidR="001A422D" w:rsidRPr="00C2587E" w:rsidRDefault="001A422D" w:rsidP="001A422D">
      <w:pPr>
        <w:jc w:val="both"/>
        <w:rPr>
          <w:color w:val="000000"/>
        </w:rPr>
      </w:pPr>
      <w:r w:rsidRPr="00C2587E">
        <w:rPr>
          <w:color w:val="000000"/>
          <w:sz w:val="22"/>
        </w:rPr>
        <w:t> </w:t>
      </w:r>
    </w:p>
    <w:p w:rsidR="001A422D" w:rsidRPr="00C2587E" w:rsidRDefault="001A422D" w:rsidP="001A422D">
      <w:pPr>
        <w:ind w:left="567" w:hanging="567"/>
        <w:jc w:val="both"/>
        <w:rPr>
          <w:color w:val="000000"/>
        </w:rPr>
      </w:pPr>
      <w:r w:rsidRPr="00C2587E">
        <w:rPr>
          <w:b/>
          <w:color w:val="000000"/>
        </w:rPr>
        <w:t xml:space="preserve">Article 2 – </w:t>
      </w:r>
      <w:r>
        <w:rPr>
          <w:b/>
          <w:color w:val="000000"/>
        </w:rPr>
        <w:t xml:space="preserve">Execution and </w:t>
      </w:r>
      <w:r w:rsidRPr="00C2587E">
        <w:rPr>
          <w:b/>
          <w:color w:val="000000"/>
        </w:rPr>
        <w:t xml:space="preserve">Implementation period of the Action </w:t>
      </w:r>
      <w:r>
        <w:rPr>
          <w:b/>
          <w:color w:val="000000"/>
        </w:rPr>
        <w:t>(legal and work plan duration)</w:t>
      </w:r>
    </w:p>
    <w:p w:rsidR="001A422D" w:rsidRPr="00C2587E" w:rsidRDefault="001A422D" w:rsidP="001A422D">
      <w:pPr>
        <w:ind w:left="567" w:hanging="567"/>
        <w:jc w:val="both"/>
        <w:rPr>
          <w:color w:val="000000"/>
        </w:rPr>
      </w:pPr>
    </w:p>
    <w:p w:rsidR="001A422D" w:rsidRDefault="001A422D" w:rsidP="001A422D">
      <w:pPr>
        <w:ind w:left="567" w:hanging="567"/>
        <w:jc w:val="both"/>
        <w:rPr>
          <w:snapToGrid w:val="0"/>
          <w:color w:val="000000"/>
          <w:sz w:val="22"/>
        </w:rPr>
      </w:pPr>
      <w:r w:rsidRPr="00C2587E">
        <w:rPr>
          <w:color w:val="000000"/>
          <w:sz w:val="22"/>
        </w:rPr>
        <w:t>2.1</w:t>
      </w:r>
      <w:r>
        <w:rPr>
          <w:color w:val="000000"/>
          <w:sz w:val="22"/>
        </w:rPr>
        <w:tab/>
      </w:r>
      <w:r w:rsidRPr="00C2587E">
        <w:rPr>
          <w:snapToGrid w:val="0"/>
          <w:color w:val="000000"/>
          <w:sz w:val="22"/>
        </w:rPr>
        <w:t>Th</w:t>
      </w:r>
      <w:r>
        <w:rPr>
          <w:snapToGrid w:val="0"/>
          <w:color w:val="000000"/>
          <w:sz w:val="22"/>
        </w:rPr>
        <w:t xml:space="preserve">e execution period of the contract (legal duration) </w:t>
      </w:r>
      <w:r w:rsidRPr="00C2587E">
        <w:rPr>
          <w:snapToGrid w:val="0"/>
          <w:color w:val="000000"/>
          <w:sz w:val="22"/>
        </w:rPr>
        <w:t>shall enter into force upon the date of notification by the Contracting Authority of the contract signed by all parties.</w:t>
      </w:r>
      <w:r>
        <w:rPr>
          <w:snapToGrid w:val="0"/>
          <w:color w:val="000000"/>
          <w:sz w:val="22"/>
        </w:rPr>
        <w:t xml:space="preserve"> The execution period of the contract shall end 3 months after the implementation period of the Action as stipulated in art 2.2.</w:t>
      </w:r>
    </w:p>
    <w:p w:rsidR="001A422D" w:rsidRPr="00C2587E" w:rsidRDefault="001A422D" w:rsidP="001A422D">
      <w:pPr>
        <w:ind w:left="567" w:hanging="567"/>
        <w:jc w:val="both"/>
        <w:rPr>
          <w:color w:val="000000"/>
        </w:rPr>
      </w:pPr>
    </w:p>
    <w:p w:rsidR="001A422D" w:rsidRDefault="001A422D" w:rsidP="001A422D">
      <w:pPr>
        <w:ind w:left="567" w:hanging="567"/>
        <w:jc w:val="both"/>
        <w:rPr>
          <w:color w:val="000000"/>
          <w:sz w:val="22"/>
        </w:rPr>
      </w:pPr>
      <w:r w:rsidRPr="00C2587E">
        <w:rPr>
          <w:color w:val="000000"/>
          <w:sz w:val="22"/>
        </w:rPr>
        <w:t>2.2</w:t>
      </w:r>
      <w:r>
        <w:rPr>
          <w:color w:val="000000"/>
          <w:sz w:val="22"/>
        </w:rPr>
        <w:tab/>
      </w:r>
      <w:r w:rsidRPr="00C2587E">
        <w:rPr>
          <w:color w:val="000000"/>
          <w:sz w:val="22"/>
        </w:rPr>
        <w:t xml:space="preserve">The implementation period of the Action </w:t>
      </w:r>
      <w:r>
        <w:rPr>
          <w:color w:val="000000"/>
          <w:sz w:val="22"/>
        </w:rPr>
        <w:t xml:space="preserve">shall take .........months and </w:t>
      </w:r>
      <w:r w:rsidRPr="00C2587E">
        <w:rPr>
          <w:color w:val="000000"/>
          <w:sz w:val="22"/>
        </w:rPr>
        <w:t xml:space="preserve">shall </w:t>
      </w:r>
      <w:r>
        <w:rPr>
          <w:color w:val="000000"/>
          <w:sz w:val="22"/>
        </w:rPr>
        <w:t>begin</w:t>
      </w:r>
      <w:r w:rsidRPr="00C2587E">
        <w:rPr>
          <w:color w:val="000000"/>
          <w:sz w:val="22"/>
        </w:rPr>
        <w:t xml:space="preserve"> on the date</w:t>
      </w:r>
      <w:r>
        <w:rPr>
          <w:color w:val="000000"/>
          <w:sz w:val="22"/>
        </w:rPr>
        <w:t xml:space="preserve"> of the arrival of the Resident Twinning Adviser (RTA).</w:t>
      </w:r>
      <w:r w:rsidRPr="00C2587E">
        <w:rPr>
          <w:color w:val="000000"/>
          <w:sz w:val="22"/>
        </w:rPr>
        <w:t xml:space="preserve"> </w:t>
      </w:r>
      <w:r>
        <w:rPr>
          <w:color w:val="000000"/>
          <w:sz w:val="22"/>
        </w:rPr>
        <w:t>His/her arrival has to take place at the latest within one month following the notification of the Twinning contract.</w:t>
      </w:r>
    </w:p>
    <w:p w:rsidR="001A422D" w:rsidRDefault="001A422D" w:rsidP="001A422D">
      <w:pPr>
        <w:ind w:left="567" w:hanging="567"/>
        <w:jc w:val="both"/>
        <w:rPr>
          <w:color w:val="000000"/>
          <w:sz w:val="22"/>
        </w:rPr>
      </w:pPr>
    </w:p>
    <w:p w:rsidR="001A422D" w:rsidRDefault="001A422D" w:rsidP="001A422D">
      <w:pPr>
        <w:ind w:left="567" w:hanging="567"/>
        <w:jc w:val="both"/>
        <w:rPr>
          <w:color w:val="000000"/>
          <w:sz w:val="22"/>
          <w:u w:val="single"/>
        </w:rPr>
      </w:pPr>
      <w:r>
        <w:rPr>
          <w:color w:val="000000"/>
          <w:sz w:val="22"/>
        </w:rPr>
        <w:tab/>
      </w:r>
      <w:r w:rsidRPr="003E2668">
        <w:rPr>
          <w:color w:val="000000"/>
          <w:sz w:val="22"/>
          <w:u w:val="single"/>
        </w:rPr>
        <w:t>Twinning Light:</w:t>
      </w:r>
    </w:p>
    <w:p w:rsidR="001A422D" w:rsidRPr="005C10E3" w:rsidRDefault="001A422D" w:rsidP="001A422D">
      <w:pPr>
        <w:ind w:left="567"/>
        <w:jc w:val="both"/>
        <w:rPr>
          <w:color w:val="000000"/>
          <w:sz w:val="22"/>
        </w:rPr>
      </w:pPr>
      <w:r w:rsidRPr="002C5A60">
        <w:rPr>
          <w:color w:val="000000"/>
          <w:sz w:val="22"/>
        </w:rPr>
        <w:t xml:space="preserve">The implementation period of the Action </w:t>
      </w:r>
      <w:r>
        <w:rPr>
          <w:color w:val="000000"/>
          <w:sz w:val="22"/>
        </w:rPr>
        <w:t>shall</w:t>
      </w:r>
      <w:r w:rsidRPr="002C5A60">
        <w:rPr>
          <w:color w:val="000000"/>
          <w:sz w:val="22"/>
        </w:rPr>
        <w:t xml:space="preserve"> take…..months and shall start on the date of the </w:t>
      </w:r>
      <w:r>
        <w:rPr>
          <w:color w:val="000000"/>
          <w:sz w:val="22"/>
        </w:rPr>
        <w:t>n</w:t>
      </w:r>
      <w:r w:rsidRPr="002C5A60">
        <w:rPr>
          <w:color w:val="000000"/>
          <w:sz w:val="22"/>
        </w:rPr>
        <w:t>otification of the Twinning Light contract.</w:t>
      </w:r>
    </w:p>
    <w:p w:rsidR="001A422D" w:rsidRPr="00C2587E" w:rsidRDefault="001A422D" w:rsidP="001A422D">
      <w:pPr>
        <w:ind w:left="567" w:hanging="567"/>
        <w:jc w:val="both"/>
        <w:rPr>
          <w:color w:val="000000"/>
          <w:sz w:val="22"/>
        </w:rPr>
      </w:pPr>
    </w:p>
    <w:p w:rsidR="001A422D" w:rsidRPr="00C2587E" w:rsidRDefault="001A422D" w:rsidP="001A422D">
      <w:pPr>
        <w:pStyle w:val="text1"/>
        <w:spacing w:after="0"/>
        <w:ind w:left="567" w:hanging="567"/>
        <w:jc w:val="both"/>
        <w:rPr>
          <w:color w:val="000000"/>
        </w:rPr>
      </w:pPr>
      <w:r w:rsidRPr="00C2587E">
        <w:rPr>
          <w:b/>
          <w:color w:val="000000"/>
        </w:rPr>
        <w:t>Article 3 - Financing the Action</w:t>
      </w:r>
    </w:p>
    <w:p w:rsidR="001A422D" w:rsidRPr="00C2587E" w:rsidRDefault="001A422D" w:rsidP="001A422D">
      <w:pPr>
        <w:ind w:left="567" w:hanging="567"/>
        <w:jc w:val="both"/>
        <w:rPr>
          <w:color w:val="000000"/>
        </w:rPr>
      </w:pPr>
      <w:r w:rsidRPr="00C2587E">
        <w:rPr>
          <w:color w:val="000000"/>
          <w:sz w:val="22"/>
        </w:rPr>
        <w:t> </w:t>
      </w:r>
    </w:p>
    <w:p w:rsidR="001A422D" w:rsidRPr="00C2587E" w:rsidRDefault="001A422D" w:rsidP="001A422D">
      <w:pPr>
        <w:ind w:left="567" w:hanging="567"/>
        <w:jc w:val="both"/>
        <w:rPr>
          <w:color w:val="000000"/>
          <w:sz w:val="22"/>
        </w:rPr>
      </w:pPr>
      <w:r w:rsidRPr="00C2587E">
        <w:rPr>
          <w:color w:val="000000"/>
          <w:sz w:val="22"/>
        </w:rPr>
        <w:t>3.1</w:t>
      </w:r>
      <w:r>
        <w:rPr>
          <w:color w:val="000000"/>
          <w:sz w:val="22"/>
        </w:rPr>
        <w:tab/>
      </w:r>
      <w:r w:rsidRPr="00C2587E">
        <w:rPr>
          <w:color w:val="000000"/>
          <w:sz w:val="22"/>
        </w:rPr>
        <w:t xml:space="preserve">The total cost of the Action eligible for financing by the Contracting Authority is estimated at </w:t>
      </w:r>
      <w:r>
        <w:rPr>
          <w:color w:val="000000"/>
          <w:sz w:val="22"/>
        </w:rPr>
        <w:t xml:space="preserve">EUR </w:t>
      </w:r>
      <w:r w:rsidRPr="00C2587E">
        <w:rPr>
          <w:color w:val="000000"/>
          <w:sz w:val="22"/>
        </w:rPr>
        <w:t>[........],</w:t>
      </w:r>
      <w:r>
        <w:rPr>
          <w:color w:val="000000"/>
          <w:sz w:val="22"/>
        </w:rPr>
        <w:t xml:space="preserve"> </w:t>
      </w:r>
      <w:r w:rsidRPr="00C2587E">
        <w:rPr>
          <w:color w:val="000000"/>
          <w:sz w:val="22"/>
        </w:rPr>
        <w:t xml:space="preserve">as set out in Annex A3. </w:t>
      </w:r>
    </w:p>
    <w:p w:rsidR="001A422D" w:rsidRPr="00C2587E" w:rsidRDefault="001A422D" w:rsidP="001A422D">
      <w:pPr>
        <w:ind w:left="567" w:hanging="567"/>
        <w:jc w:val="both"/>
        <w:rPr>
          <w:color w:val="000000"/>
        </w:rPr>
      </w:pPr>
    </w:p>
    <w:p w:rsidR="001A422D" w:rsidRDefault="001A422D" w:rsidP="001A422D">
      <w:pPr>
        <w:ind w:left="567" w:hanging="567"/>
        <w:jc w:val="both"/>
        <w:rPr>
          <w:color w:val="000000"/>
          <w:sz w:val="22"/>
        </w:rPr>
      </w:pPr>
      <w:r w:rsidRPr="00C2587E">
        <w:rPr>
          <w:color w:val="000000"/>
          <w:sz w:val="22"/>
        </w:rPr>
        <w:t>3.2</w:t>
      </w:r>
      <w:r>
        <w:rPr>
          <w:color w:val="000000"/>
          <w:sz w:val="22"/>
        </w:rPr>
        <w:tab/>
      </w:r>
      <w:r w:rsidRPr="00C2587E">
        <w:rPr>
          <w:color w:val="000000"/>
          <w:sz w:val="22"/>
        </w:rPr>
        <w:t xml:space="preserve">The Contracting Authority undertakes to finance a maximum </w:t>
      </w:r>
      <w:r>
        <w:rPr>
          <w:color w:val="000000"/>
          <w:sz w:val="22"/>
        </w:rPr>
        <w:t xml:space="preserve">amount </w:t>
      </w:r>
      <w:r w:rsidRPr="00C2587E">
        <w:rPr>
          <w:color w:val="000000"/>
          <w:sz w:val="22"/>
        </w:rPr>
        <w:t xml:space="preserve">of </w:t>
      </w:r>
      <w:r>
        <w:rPr>
          <w:color w:val="000000"/>
          <w:sz w:val="22"/>
        </w:rPr>
        <w:t>EUR</w:t>
      </w:r>
      <w:r w:rsidRPr="00C2587E">
        <w:rPr>
          <w:color w:val="000000"/>
          <w:sz w:val="22"/>
        </w:rPr>
        <w:t> [...].The final amount shall be established in accordance with Article 17 of Annex A2 except where annex A7 applies. The Action is co-financed as per Annex A3 by the Final Recipient of the Action.</w:t>
      </w:r>
      <w:r>
        <w:rPr>
          <w:color w:val="000000"/>
          <w:sz w:val="22"/>
        </w:rPr>
        <w:t xml:space="preserve"> </w:t>
      </w:r>
    </w:p>
    <w:p w:rsidR="001A422D" w:rsidRPr="00C2587E" w:rsidRDefault="001A422D" w:rsidP="001A422D">
      <w:pPr>
        <w:ind w:left="567" w:hanging="567"/>
        <w:jc w:val="both"/>
        <w:rPr>
          <w:color w:val="000000"/>
          <w:sz w:val="22"/>
        </w:rPr>
      </w:pPr>
    </w:p>
    <w:p w:rsidR="001A422D" w:rsidRPr="00C2587E" w:rsidRDefault="001A422D" w:rsidP="001A422D">
      <w:pPr>
        <w:jc w:val="both"/>
        <w:rPr>
          <w:b/>
          <w:color w:val="000000"/>
        </w:rPr>
      </w:pPr>
    </w:p>
    <w:p w:rsidR="001A422D" w:rsidRPr="00C2587E" w:rsidRDefault="001A422D" w:rsidP="001A422D">
      <w:pPr>
        <w:jc w:val="both"/>
        <w:rPr>
          <w:color w:val="000000"/>
        </w:rPr>
      </w:pPr>
      <w:r w:rsidRPr="00C2587E">
        <w:rPr>
          <w:b/>
          <w:color w:val="000000"/>
        </w:rPr>
        <w:t xml:space="preserve">Article 4 - Payment arrangements </w:t>
      </w:r>
      <w:r>
        <w:rPr>
          <w:b/>
          <w:color w:val="000000"/>
        </w:rPr>
        <w:t xml:space="preserve">and </w:t>
      </w:r>
      <w:r w:rsidRPr="00C2587E">
        <w:rPr>
          <w:b/>
          <w:color w:val="000000"/>
        </w:rPr>
        <w:t>technical and financial reporting</w:t>
      </w:r>
    </w:p>
    <w:p w:rsidR="001A422D" w:rsidRPr="00C2587E" w:rsidRDefault="001A422D" w:rsidP="001A422D">
      <w:pPr>
        <w:jc w:val="both"/>
        <w:rPr>
          <w:color w:val="000000"/>
        </w:rPr>
      </w:pPr>
    </w:p>
    <w:p w:rsidR="001A422D" w:rsidRPr="00C2587E" w:rsidRDefault="001A422D" w:rsidP="001A422D">
      <w:pPr>
        <w:ind w:left="567" w:hanging="567"/>
        <w:jc w:val="both"/>
        <w:rPr>
          <w:color w:val="000000"/>
        </w:rPr>
      </w:pPr>
      <w:r w:rsidRPr="00C2587E">
        <w:rPr>
          <w:color w:val="000000"/>
          <w:sz w:val="22"/>
        </w:rPr>
        <w:t>4.</w:t>
      </w:r>
      <w:r>
        <w:rPr>
          <w:color w:val="000000"/>
          <w:sz w:val="22"/>
        </w:rPr>
        <w:t>1</w:t>
      </w:r>
      <w:r>
        <w:rPr>
          <w:color w:val="000000"/>
          <w:sz w:val="22"/>
        </w:rPr>
        <w:tab/>
      </w:r>
      <w:r w:rsidRPr="00C2587E">
        <w:rPr>
          <w:color w:val="000000"/>
          <w:sz w:val="22"/>
        </w:rPr>
        <w:t xml:space="preserve">Payment </w:t>
      </w:r>
      <w:r>
        <w:rPr>
          <w:color w:val="000000"/>
          <w:sz w:val="22"/>
        </w:rPr>
        <w:t>shall</w:t>
      </w:r>
      <w:r w:rsidRPr="00C2587E">
        <w:rPr>
          <w:color w:val="000000"/>
          <w:sz w:val="22"/>
        </w:rPr>
        <w:t xml:space="preserve"> be made in accordance with Article 15 of Annex A2</w:t>
      </w:r>
      <w:r>
        <w:rPr>
          <w:color w:val="000000"/>
          <w:sz w:val="22"/>
        </w:rPr>
        <w:t xml:space="preserve"> option no. 2, as set out </w:t>
      </w:r>
      <w:r w:rsidRPr="00C2587E">
        <w:rPr>
          <w:color w:val="000000"/>
          <w:sz w:val="22"/>
        </w:rPr>
        <w:t>in Article 15.1</w:t>
      </w:r>
      <w:r>
        <w:rPr>
          <w:color w:val="000000"/>
          <w:sz w:val="22"/>
        </w:rPr>
        <w:t>.</w:t>
      </w:r>
    </w:p>
    <w:p w:rsidR="001A422D" w:rsidRPr="00C2587E" w:rsidRDefault="001A422D" w:rsidP="001A422D">
      <w:pPr>
        <w:pStyle w:val="text1"/>
        <w:spacing w:after="0"/>
        <w:ind w:left="567" w:hanging="567"/>
        <w:jc w:val="both"/>
        <w:rPr>
          <w:color w:val="000000"/>
        </w:rPr>
      </w:pPr>
    </w:p>
    <w:p w:rsidR="001A422D" w:rsidRPr="00C2587E" w:rsidRDefault="001A422D" w:rsidP="001A422D">
      <w:pPr>
        <w:ind w:left="567"/>
        <w:jc w:val="both"/>
        <w:rPr>
          <w:color w:val="000000"/>
        </w:rPr>
      </w:pPr>
      <w:r w:rsidRPr="00F00A53">
        <w:rPr>
          <w:color w:val="000000"/>
          <w:sz w:val="22"/>
        </w:rPr>
        <w:t>Initial</w:t>
      </w:r>
      <w:r w:rsidRPr="00C2587E">
        <w:rPr>
          <w:color w:val="000000"/>
          <w:sz w:val="22"/>
        </w:rPr>
        <w:t xml:space="preserve"> pre-financing </w:t>
      </w:r>
      <w:r>
        <w:rPr>
          <w:color w:val="000000"/>
          <w:sz w:val="22"/>
        </w:rPr>
        <w:t>payment:</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EUR </w:t>
      </w:r>
      <w:r w:rsidRPr="00C2587E">
        <w:rPr>
          <w:color w:val="000000"/>
          <w:sz w:val="22"/>
        </w:rPr>
        <w:t>[</w:t>
      </w:r>
      <w:r w:rsidR="00A11E30">
        <w:rPr>
          <w:color w:val="000000"/>
          <w:sz w:val="22"/>
        </w:rPr>
        <w:t>amount</w:t>
      </w:r>
      <w:r w:rsidRPr="00C2587E">
        <w:rPr>
          <w:color w:val="000000"/>
          <w:sz w:val="22"/>
        </w:rPr>
        <w:t xml:space="preserve">] </w:t>
      </w:r>
    </w:p>
    <w:p w:rsidR="001A422D" w:rsidRPr="00C2587E" w:rsidRDefault="001A422D" w:rsidP="001A422D">
      <w:pPr>
        <w:ind w:left="567" w:hanging="567"/>
        <w:jc w:val="both"/>
        <w:rPr>
          <w:color w:val="000000"/>
        </w:rPr>
      </w:pPr>
    </w:p>
    <w:p w:rsidR="001A422D" w:rsidRDefault="001A422D" w:rsidP="001A422D">
      <w:pPr>
        <w:ind w:left="567"/>
        <w:jc w:val="both"/>
        <w:rPr>
          <w:color w:val="000000"/>
          <w:sz w:val="22"/>
        </w:rPr>
      </w:pPr>
      <w:r>
        <w:rPr>
          <w:color w:val="000000"/>
          <w:sz w:val="22"/>
        </w:rPr>
        <w:t>F</w:t>
      </w:r>
      <w:r w:rsidRPr="00C2587E">
        <w:rPr>
          <w:color w:val="000000"/>
          <w:sz w:val="22"/>
        </w:rPr>
        <w:t>urther pre-financing</w:t>
      </w:r>
      <w:r>
        <w:rPr>
          <w:color w:val="000000"/>
          <w:sz w:val="22"/>
        </w:rPr>
        <w:t xml:space="preserve"> payment(s)</w:t>
      </w:r>
      <w:r w:rsidRPr="00C2587E">
        <w:rPr>
          <w:color w:val="000000"/>
          <w:sz w:val="22"/>
        </w:rPr>
        <w:t>:</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EUR </w:t>
      </w:r>
      <w:r w:rsidRPr="00C2587E">
        <w:rPr>
          <w:color w:val="000000"/>
          <w:sz w:val="22"/>
        </w:rPr>
        <w:t>[</w:t>
      </w:r>
      <w:r w:rsidR="00A11E30">
        <w:rPr>
          <w:color w:val="000000"/>
          <w:sz w:val="22"/>
        </w:rPr>
        <w:t>amount</w:t>
      </w:r>
      <w:r w:rsidRPr="00C2587E">
        <w:rPr>
          <w:color w:val="000000"/>
          <w:sz w:val="22"/>
        </w:rPr>
        <w:t>]</w:t>
      </w:r>
    </w:p>
    <w:p w:rsidR="001A422D" w:rsidRPr="00C2587E" w:rsidRDefault="001A422D" w:rsidP="001A422D">
      <w:pPr>
        <w:ind w:left="567"/>
        <w:jc w:val="both"/>
        <w:rPr>
          <w:color w:val="000000"/>
        </w:rPr>
      </w:pPr>
      <w:r>
        <w:rPr>
          <w:color w:val="000000"/>
          <w:sz w:val="22"/>
        </w:rPr>
        <w:t>(subject to the provisions of Annex A2)</w:t>
      </w:r>
      <w:r w:rsidRPr="00C2587E">
        <w:rPr>
          <w:color w:val="000000"/>
          <w:sz w:val="22"/>
        </w:rPr>
        <w:tab/>
      </w:r>
    </w:p>
    <w:p w:rsidR="001A422D" w:rsidRPr="00C2587E" w:rsidRDefault="001A422D" w:rsidP="001A422D">
      <w:pPr>
        <w:ind w:left="567"/>
        <w:jc w:val="both"/>
        <w:rPr>
          <w:color w:val="000000"/>
        </w:rPr>
      </w:pPr>
    </w:p>
    <w:p w:rsidR="001A422D" w:rsidRPr="00C2587E" w:rsidRDefault="001A422D" w:rsidP="001A422D">
      <w:pPr>
        <w:pStyle w:val="text1"/>
        <w:spacing w:after="0"/>
        <w:ind w:left="567"/>
        <w:jc w:val="both"/>
        <w:rPr>
          <w:color w:val="000000"/>
        </w:rPr>
      </w:pPr>
      <w:r>
        <w:rPr>
          <w:color w:val="000000"/>
          <w:sz w:val="22"/>
        </w:rPr>
        <w:t xml:space="preserve">Balance of the </w:t>
      </w:r>
      <w:r w:rsidRPr="00C2587E">
        <w:rPr>
          <w:color w:val="000000"/>
          <w:sz w:val="22"/>
        </w:rPr>
        <w:t xml:space="preserve">final </w:t>
      </w:r>
      <w:r>
        <w:rPr>
          <w:color w:val="000000"/>
          <w:sz w:val="22"/>
        </w:rPr>
        <w:t>amount of the Twinning contract</w:t>
      </w:r>
    </w:p>
    <w:p w:rsidR="001A422D" w:rsidRPr="00C2587E" w:rsidRDefault="001A422D" w:rsidP="001A422D">
      <w:pPr>
        <w:pStyle w:val="text1"/>
        <w:spacing w:after="0"/>
        <w:ind w:left="567"/>
        <w:jc w:val="both"/>
        <w:rPr>
          <w:color w:val="000000"/>
        </w:rPr>
      </w:pPr>
      <w:r>
        <w:rPr>
          <w:color w:val="000000"/>
          <w:sz w:val="22"/>
        </w:rPr>
        <w:t>(</w:t>
      </w:r>
      <w:r w:rsidRPr="00C2587E">
        <w:rPr>
          <w:color w:val="000000"/>
          <w:sz w:val="22"/>
        </w:rPr>
        <w:t xml:space="preserve">subject to the provisions of Annex </w:t>
      </w:r>
      <w:r>
        <w:rPr>
          <w:color w:val="000000"/>
          <w:sz w:val="22"/>
        </w:rPr>
        <w:t>A2</w:t>
      </w:r>
      <w:r w:rsidRPr="00C2587E">
        <w:rPr>
          <w:color w:val="000000"/>
          <w:sz w:val="22"/>
        </w:rPr>
        <w:t>):</w:t>
      </w:r>
      <w:r w:rsidRPr="00C2587E">
        <w:rPr>
          <w:color w:val="000000"/>
          <w:sz w:val="22"/>
        </w:rPr>
        <w:tab/>
      </w:r>
      <w:r w:rsidRPr="00C2587E">
        <w:rPr>
          <w:color w:val="000000"/>
          <w:sz w:val="22"/>
        </w:rPr>
        <w:tab/>
      </w:r>
      <w:r w:rsidRPr="00C2587E">
        <w:rPr>
          <w:color w:val="000000"/>
          <w:sz w:val="22"/>
        </w:rPr>
        <w:tab/>
      </w:r>
      <w:r>
        <w:rPr>
          <w:color w:val="000000"/>
          <w:sz w:val="22"/>
        </w:rPr>
        <w:tab/>
      </w:r>
      <w:r>
        <w:rPr>
          <w:color w:val="000000"/>
          <w:sz w:val="22"/>
        </w:rPr>
        <w:tab/>
        <w:t xml:space="preserve">EUR </w:t>
      </w:r>
      <w:r w:rsidR="00A11E30" w:rsidRPr="00C2587E">
        <w:rPr>
          <w:color w:val="000000"/>
          <w:sz w:val="22"/>
        </w:rPr>
        <w:t>[</w:t>
      </w:r>
      <w:r w:rsidR="00A11E30">
        <w:rPr>
          <w:color w:val="000000"/>
          <w:sz w:val="22"/>
        </w:rPr>
        <w:t>amount</w:t>
      </w:r>
      <w:r w:rsidR="00A11E30" w:rsidRPr="00C2587E">
        <w:rPr>
          <w:color w:val="000000"/>
          <w:sz w:val="22"/>
        </w:rPr>
        <w:t>]</w:t>
      </w:r>
    </w:p>
    <w:p w:rsidR="001A422D" w:rsidRDefault="001A422D" w:rsidP="001A422D">
      <w:pPr>
        <w:jc w:val="both"/>
        <w:rPr>
          <w:color w:val="000000"/>
        </w:rPr>
      </w:pPr>
    </w:p>
    <w:p w:rsidR="001A422D" w:rsidRDefault="001A422D" w:rsidP="001A422D">
      <w:pPr>
        <w:ind w:left="567" w:hanging="567"/>
        <w:jc w:val="both"/>
        <w:rPr>
          <w:color w:val="000000"/>
          <w:sz w:val="22"/>
        </w:rPr>
      </w:pPr>
      <w:r w:rsidRPr="008A4A9D">
        <w:rPr>
          <w:color w:val="000000"/>
          <w:sz w:val="22"/>
        </w:rPr>
        <w:t>4.2</w:t>
      </w:r>
      <w:r>
        <w:rPr>
          <w:color w:val="000000"/>
          <w:sz w:val="22"/>
        </w:rPr>
        <w:tab/>
      </w:r>
      <w:r w:rsidRPr="00F00A53">
        <w:rPr>
          <w:color w:val="000000"/>
          <w:sz w:val="22"/>
        </w:rPr>
        <w:t>Technical and financial reports shall be produced in compliance with Articles 2 and</w:t>
      </w:r>
      <w:r>
        <w:rPr>
          <w:color w:val="000000"/>
          <w:sz w:val="22"/>
        </w:rPr>
        <w:t>, 15.1 and</w:t>
      </w:r>
      <w:r w:rsidRPr="00F00A53">
        <w:rPr>
          <w:color w:val="000000"/>
          <w:sz w:val="22"/>
        </w:rPr>
        <w:t xml:space="preserve"> 15.</w:t>
      </w:r>
      <w:r>
        <w:rPr>
          <w:color w:val="000000"/>
          <w:sz w:val="22"/>
        </w:rPr>
        <w:t>3</w:t>
      </w:r>
      <w:r w:rsidRPr="00F00A53">
        <w:rPr>
          <w:color w:val="000000"/>
          <w:sz w:val="22"/>
        </w:rPr>
        <w:t xml:space="preserve"> of Annex A2, using the relevant twinning templates.</w:t>
      </w:r>
    </w:p>
    <w:p w:rsidR="001A422D" w:rsidRDefault="001A422D" w:rsidP="001A422D">
      <w:pPr>
        <w:ind w:left="567" w:hanging="567"/>
        <w:jc w:val="both"/>
        <w:rPr>
          <w:color w:val="000000"/>
          <w:sz w:val="22"/>
        </w:rPr>
      </w:pPr>
    </w:p>
    <w:p w:rsidR="001A422D" w:rsidRPr="008A4A9D" w:rsidRDefault="001A422D" w:rsidP="001A422D">
      <w:pPr>
        <w:ind w:left="567" w:hanging="567"/>
        <w:jc w:val="both"/>
        <w:rPr>
          <w:color w:val="000000"/>
          <w:sz w:val="22"/>
        </w:rPr>
      </w:pPr>
      <w:r>
        <w:rPr>
          <w:color w:val="000000"/>
          <w:sz w:val="22"/>
        </w:rPr>
        <w:tab/>
      </w:r>
      <w:r w:rsidR="003C53DA">
        <w:rPr>
          <w:color w:val="000000"/>
          <w:sz w:val="22"/>
        </w:rPr>
        <w:t>The f</w:t>
      </w:r>
      <w:r>
        <w:rPr>
          <w:color w:val="000000"/>
          <w:sz w:val="22"/>
        </w:rPr>
        <w:t xml:space="preserve">inancial section of these reports shall comply with the requirements defined in paragraphs 4, 5 and 6 of Article 15.7 of Annex </w:t>
      </w:r>
      <w:r w:rsidR="004E3568">
        <w:rPr>
          <w:color w:val="000000"/>
          <w:sz w:val="22"/>
        </w:rPr>
        <w:t>A</w:t>
      </w:r>
      <w:r>
        <w:rPr>
          <w:color w:val="000000"/>
          <w:sz w:val="22"/>
        </w:rPr>
        <w:t>2 (requirements for a detailed breakdown of expenditure).</w:t>
      </w:r>
    </w:p>
    <w:p w:rsidR="001A422D" w:rsidRPr="00C2587E" w:rsidRDefault="001A422D" w:rsidP="001A422D">
      <w:pPr>
        <w:ind w:left="567" w:hanging="567"/>
        <w:jc w:val="both"/>
        <w:rPr>
          <w:color w:val="000000"/>
          <w:sz w:val="22"/>
        </w:rPr>
      </w:pPr>
      <w:r w:rsidRPr="008B6E66">
        <w:rPr>
          <w:color w:val="000000"/>
          <w:sz w:val="22"/>
        </w:rPr>
        <w:br/>
      </w:r>
      <w:r w:rsidRPr="00F00A53">
        <w:rPr>
          <w:color w:val="000000"/>
          <w:sz w:val="22"/>
        </w:rPr>
        <w:t xml:space="preserve">In addition to these reports, the </w:t>
      </w:r>
      <w:r w:rsidRPr="008A4A9D">
        <w:rPr>
          <w:color w:val="000000"/>
          <w:sz w:val="22"/>
        </w:rPr>
        <w:t>[Lead]</w:t>
      </w:r>
      <w:r w:rsidRPr="00F00A53">
        <w:rPr>
          <w:rStyle w:val="FootnoteReference"/>
          <w:color w:val="000000"/>
          <w:sz w:val="22"/>
        </w:rPr>
        <w:footnoteReference w:id="7"/>
      </w:r>
      <w:r w:rsidRPr="008A4A9D">
        <w:rPr>
          <w:color w:val="000000"/>
          <w:sz w:val="22"/>
        </w:rPr>
        <w:t xml:space="preserve"> Member State Partner</w:t>
      </w:r>
      <w:r w:rsidRPr="00F00A53">
        <w:rPr>
          <w:color w:val="000000"/>
          <w:sz w:val="22"/>
        </w:rPr>
        <w:t xml:space="preserve"> shall send additional interim reports in compliance with article 2.1 of Annex A2 on a quarterly basis. The specific reporting procedure shall follow the provisions spelled out in Annex A7 to this contract.</w:t>
      </w:r>
    </w:p>
    <w:p w:rsidR="001A422D" w:rsidRDefault="001A422D" w:rsidP="001A422D">
      <w:pPr>
        <w:jc w:val="both"/>
        <w:rPr>
          <w:color w:val="000000"/>
        </w:rPr>
      </w:pPr>
    </w:p>
    <w:p w:rsidR="001A422D" w:rsidRPr="00C2587E" w:rsidRDefault="001A422D" w:rsidP="001A422D">
      <w:pPr>
        <w:pStyle w:val="text1"/>
        <w:spacing w:after="0"/>
        <w:ind w:left="567" w:hanging="567"/>
        <w:jc w:val="both"/>
        <w:rPr>
          <w:color w:val="000000"/>
        </w:rPr>
      </w:pPr>
      <w:r w:rsidRPr="00C2587E">
        <w:rPr>
          <w:b/>
          <w:color w:val="000000"/>
        </w:rPr>
        <w:t>Article 5 - Contact addresses</w:t>
      </w:r>
    </w:p>
    <w:p w:rsidR="001A422D" w:rsidRPr="00C2587E" w:rsidRDefault="001A422D" w:rsidP="001A422D">
      <w:pPr>
        <w:jc w:val="both"/>
        <w:rPr>
          <w:color w:val="000000"/>
        </w:rPr>
      </w:pPr>
    </w:p>
    <w:p w:rsidR="001A422D" w:rsidRPr="005C10E3" w:rsidRDefault="001A422D" w:rsidP="001A422D">
      <w:pPr>
        <w:ind w:left="567" w:hanging="567"/>
        <w:jc w:val="both"/>
        <w:rPr>
          <w:color w:val="000000"/>
          <w:sz w:val="22"/>
        </w:rPr>
      </w:pPr>
      <w:r>
        <w:rPr>
          <w:color w:val="000000"/>
          <w:sz w:val="22"/>
        </w:rPr>
        <w:t>5.1</w:t>
      </w:r>
      <w:r>
        <w:rPr>
          <w:color w:val="000000"/>
          <w:sz w:val="22"/>
        </w:rPr>
        <w:tab/>
      </w:r>
      <w:r w:rsidRPr="00C2587E">
        <w:rPr>
          <w:color w:val="000000"/>
          <w:sz w:val="22"/>
        </w:rPr>
        <w:t xml:space="preserve">Any communication relating to this </w:t>
      </w:r>
      <w:r>
        <w:rPr>
          <w:color w:val="000000"/>
          <w:sz w:val="22"/>
        </w:rPr>
        <w:t>C</w:t>
      </w:r>
      <w:r w:rsidRPr="00C2587E">
        <w:rPr>
          <w:color w:val="000000"/>
          <w:sz w:val="22"/>
        </w:rPr>
        <w:t xml:space="preserve">ontract </w:t>
      </w:r>
      <w:r>
        <w:rPr>
          <w:color w:val="000000"/>
          <w:sz w:val="22"/>
        </w:rPr>
        <w:t>shall</w:t>
      </w:r>
      <w:r w:rsidRPr="00C2587E">
        <w:rPr>
          <w:color w:val="000000"/>
          <w:sz w:val="22"/>
        </w:rPr>
        <w:t xml:space="preserve"> be in writing, state the number and title of the Action and be sent to the following addresses:</w:t>
      </w:r>
    </w:p>
    <w:p w:rsidR="001A422D" w:rsidRPr="005C10E3" w:rsidRDefault="001A422D" w:rsidP="001A422D">
      <w:pPr>
        <w:ind w:left="567" w:hanging="567"/>
        <w:jc w:val="both"/>
        <w:rPr>
          <w:color w:val="000000"/>
          <w:sz w:val="22"/>
        </w:rPr>
      </w:pPr>
    </w:p>
    <w:p w:rsidR="001A422D" w:rsidRPr="00C2587E" w:rsidRDefault="001A422D" w:rsidP="001A422D">
      <w:pPr>
        <w:ind w:left="852" w:hanging="426"/>
        <w:jc w:val="both"/>
        <w:rPr>
          <w:color w:val="000000"/>
        </w:rPr>
      </w:pPr>
      <w:r w:rsidRPr="00C2587E">
        <w:rPr>
          <w:color w:val="000000"/>
          <w:sz w:val="22"/>
          <w:u w:val="single"/>
        </w:rPr>
        <w:t>For the Contracting Authority</w:t>
      </w:r>
    </w:p>
    <w:p w:rsidR="001A422D" w:rsidRPr="00C2587E" w:rsidRDefault="001A422D" w:rsidP="001A422D">
      <w:pPr>
        <w:ind w:left="852" w:hanging="426"/>
        <w:jc w:val="both"/>
        <w:rPr>
          <w:color w:val="000000"/>
        </w:rPr>
      </w:pPr>
    </w:p>
    <w:p w:rsidR="001A422D" w:rsidRPr="00C2587E" w:rsidRDefault="001A422D" w:rsidP="001A422D">
      <w:pPr>
        <w:ind w:left="426"/>
        <w:jc w:val="both"/>
        <w:rPr>
          <w:b/>
          <w:color w:val="000000"/>
          <w:sz w:val="22"/>
        </w:rPr>
      </w:pPr>
      <w:r w:rsidRPr="00C2587E">
        <w:rPr>
          <w:b/>
          <w:color w:val="000000"/>
          <w:sz w:val="22"/>
        </w:rPr>
        <w:t>Option 1: where the Contracting Authority is not the European Commission (</w:t>
      </w:r>
      <w:r>
        <w:rPr>
          <w:b/>
          <w:color w:val="000000"/>
          <w:sz w:val="22"/>
        </w:rPr>
        <w:t>after conferral of management with or without ex-ante control)</w:t>
      </w:r>
      <w:r w:rsidRPr="00C2587E">
        <w:rPr>
          <w:b/>
          <w:color w:val="000000"/>
          <w:sz w:val="22"/>
        </w:rPr>
        <w:t>:</w:t>
      </w:r>
    </w:p>
    <w:p w:rsidR="001A422D" w:rsidRPr="00C2587E" w:rsidRDefault="001A422D" w:rsidP="001A422D">
      <w:pPr>
        <w:ind w:left="426"/>
        <w:jc w:val="both"/>
        <w:rPr>
          <w:color w:val="000000"/>
          <w:sz w:val="22"/>
        </w:rPr>
      </w:pPr>
    </w:p>
    <w:p w:rsidR="001A422D" w:rsidRDefault="001A422D" w:rsidP="001A422D">
      <w:pPr>
        <w:ind w:left="426"/>
        <w:jc w:val="both"/>
        <w:rPr>
          <w:color w:val="000000"/>
          <w:sz w:val="22"/>
        </w:rPr>
      </w:pPr>
      <w:r w:rsidRPr="00C2587E">
        <w:rPr>
          <w:color w:val="000000"/>
          <w:sz w:val="22"/>
        </w:rPr>
        <w:t xml:space="preserve">Payment requests and attached reports, including requests for changes to bank account arrangements </w:t>
      </w:r>
      <w:r>
        <w:rPr>
          <w:color w:val="000000"/>
          <w:sz w:val="22"/>
        </w:rPr>
        <w:t>shall</w:t>
      </w:r>
      <w:r w:rsidRPr="00C2587E">
        <w:rPr>
          <w:color w:val="000000"/>
          <w:sz w:val="22"/>
        </w:rPr>
        <w:t xml:space="preserve"> be sent to:</w:t>
      </w:r>
    </w:p>
    <w:p w:rsidR="001A422D" w:rsidRPr="00CA0374" w:rsidRDefault="001A422D" w:rsidP="001A422D">
      <w:pPr>
        <w:ind w:left="426"/>
        <w:jc w:val="both"/>
        <w:rPr>
          <w:color w:val="000000"/>
          <w:sz w:val="22"/>
          <w:szCs w:val="22"/>
        </w:rPr>
      </w:pPr>
    </w:p>
    <w:p w:rsidR="001A422D" w:rsidRPr="00C2587E" w:rsidRDefault="001A422D" w:rsidP="001A422D">
      <w:pPr>
        <w:ind w:left="426"/>
        <w:jc w:val="both"/>
        <w:rPr>
          <w:color w:val="000000"/>
          <w:sz w:val="22"/>
        </w:rPr>
      </w:pPr>
      <w:r w:rsidRPr="00C2587E">
        <w:rPr>
          <w:color w:val="000000"/>
          <w:sz w:val="22"/>
        </w:rPr>
        <w:t>[</w:t>
      </w:r>
      <w:r w:rsidRPr="00C2587E">
        <w:rPr>
          <w:i/>
          <w:color w:val="000000"/>
          <w:sz w:val="22"/>
        </w:rPr>
        <w:t>address of the Contracting Authority's management department</w:t>
      </w:r>
      <w:r w:rsidRPr="00C2587E">
        <w:rPr>
          <w:color w:val="000000"/>
          <w:sz w:val="22"/>
        </w:rPr>
        <w:t>]</w:t>
      </w:r>
    </w:p>
    <w:p w:rsidR="001A422D" w:rsidRPr="00C2587E" w:rsidRDefault="001A422D" w:rsidP="001A422D">
      <w:pPr>
        <w:ind w:left="426"/>
        <w:jc w:val="both"/>
        <w:rPr>
          <w:color w:val="000000"/>
        </w:rPr>
      </w:pPr>
    </w:p>
    <w:p w:rsidR="001A422D" w:rsidRDefault="001A422D" w:rsidP="001A422D">
      <w:pPr>
        <w:ind w:left="426"/>
        <w:jc w:val="both"/>
        <w:rPr>
          <w:i/>
          <w:color w:val="000000"/>
          <w:sz w:val="22"/>
        </w:rPr>
      </w:pPr>
      <w:r w:rsidRPr="00C2587E">
        <w:rPr>
          <w:color w:val="000000"/>
          <w:sz w:val="22"/>
        </w:rPr>
        <w:t>A copy of the reports referred to in Article 4.</w:t>
      </w:r>
      <w:r>
        <w:rPr>
          <w:color w:val="000000"/>
          <w:sz w:val="22"/>
        </w:rPr>
        <w:t>2</w:t>
      </w:r>
      <w:r w:rsidRPr="00C2587E">
        <w:rPr>
          <w:color w:val="000000"/>
          <w:sz w:val="22"/>
        </w:rPr>
        <w:t xml:space="preserve"> must be sent to the </w:t>
      </w:r>
      <w:r>
        <w:rPr>
          <w:color w:val="000000"/>
          <w:sz w:val="22"/>
        </w:rPr>
        <w:t xml:space="preserve">concerned service of the European Commission </w:t>
      </w:r>
      <w:r w:rsidRPr="00C2587E">
        <w:rPr>
          <w:color w:val="000000"/>
          <w:sz w:val="22"/>
        </w:rPr>
        <w:t>at the following address</w:t>
      </w:r>
      <w:r>
        <w:rPr>
          <w:color w:val="000000"/>
          <w:sz w:val="22"/>
        </w:rPr>
        <w:t>:</w:t>
      </w:r>
    </w:p>
    <w:p w:rsidR="001A422D" w:rsidRDefault="001A422D" w:rsidP="001A422D">
      <w:pPr>
        <w:ind w:left="426"/>
        <w:jc w:val="both"/>
        <w:rPr>
          <w:i/>
          <w:color w:val="000000"/>
          <w:sz w:val="22"/>
        </w:rPr>
      </w:pPr>
    </w:p>
    <w:p w:rsidR="004E3568" w:rsidRPr="00D15482" w:rsidRDefault="001A422D" w:rsidP="00D15482">
      <w:pPr>
        <w:ind w:left="426"/>
        <w:rPr>
          <w:i/>
          <w:color w:val="000000"/>
          <w:sz w:val="22"/>
        </w:rPr>
      </w:pPr>
      <w:r w:rsidRPr="00F00A53">
        <w:rPr>
          <w:color w:val="000000"/>
          <w:sz w:val="22"/>
        </w:rPr>
        <w:t>[</w:t>
      </w:r>
      <w:r w:rsidRPr="00C2587E">
        <w:rPr>
          <w:i/>
          <w:color w:val="000000"/>
          <w:sz w:val="22"/>
        </w:rPr>
        <w:t xml:space="preserve">address of the </w:t>
      </w:r>
      <w:r>
        <w:rPr>
          <w:i/>
          <w:color w:val="000000"/>
          <w:sz w:val="22"/>
        </w:rPr>
        <w:t xml:space="preserve">EU </w:t>
      </w:r>
      <w:r w:rsidRPr="00C2587E">
        <w:rPr>
          <w:i/>
          <w:color w:val="000000"/>
          <w:sz w:val="22"/>
        </w:rPr>
        <w:t xml:space="preserve">Delegation/ </w:t>
      </w:r>
      <w:r>
        <w:rPr>
          <w:i/>
          <w:color w:val="000000"/>
          <w:sz w:val="22"/>
        </w:rPr>
        <w:t>Directorate-General for</w:t>
      </w:r>
      <w:r w:rsidR="004E3568">
        <w:rPr>
          <w:i/>
          <w:color w:val="000000"/>
          <w:sz w:val="22"/>
        </w:rPr>
        <w:t xml:space="preserve"> </w:t>
      </w:r>
      <w:r w:rsidR="004E3568" w:rsidRPr="00D15482">
        <w:rPr>
          <w:i/>
          <w:color w:val="000000"/>
          <w:sz w:val="22"/>
        </w:rPr>
        <w:t>Neighbourhood and Enlargement Negotiations</w:t>
      </w:r>
    </w:p>
    <w:p w:rsidR="001A422D" w:rsidRPr="00C2587E" w:rsidRDefault="001A422D" w:rsidP="001A422D">
      <w:pPr>
        <w:ind w:left="426"/>
        <w:jc w:val="both"/>
        <w:rPr>
          <w:color w:val="000000"/>
          <w:sz w:val="22"/>
        </w:rPr>
      </w:pPr>
      <w:r w:rsidRPr="00C2587E">
        <w:rPr>
          <w:color w:val="000000"/>
          <w:sz w:val="22"/>
        </w:rPr>
        <w:t>]</w:t>
      </w:r>
    </w:p>
    <w:p w:rsidR="001A422D" w:rsidRPr="00C2587E" w:rsidRDefault="001A422D" w:rsidP="001A422D">
      <w:pPr>
        <w:ind w:left="426"/>
        <w:jc w:val="both"/>
        <w:rPr>
          <w:color w:val="000000"/>
          <w:sz w:val="22"/>
        </w:rPr>
      </w:pPr>
    </w:p>
    <w:p w:rsidR="001A422D" w:rsidRPr="00C2587E" w:rsidRDefault="001A422D" w:rsidP="001A422D">
      <w:pPr>
        <w:ind w:left="426"/>
        <w:jc w:val="both"/>
        <w:rPr>
          <w:color w:val="000000"/>
          <w:sz w:val="22"/>
          <w:u w:val="single"/>
        </w:rPr>
      </w:pPr>
    </w:p>
    <w:p w:rsidR="001A422D" w:rsidRPr="00C2587E" w:rsidRDefault="001A422D" w:rsidP="001A422D">
      <w:pPr>
        <w:ind w:left="426"/>
        <w:jc w:val="both"/>
        <w:rPr>
          <w:b/>
          <w:color w:val="000000"/>
          <w:sz w:val="22"/>
        </w:rPr>
      </w:pPr>
      <w:r w:rsidRPr="00C2587E">
        <w:rPr>
          <w:b/>
          <w:color w:val="000000"/>
          <w:sz w:val="22"/>
        </w:rPr>
        <w:t xml:space="preserve">Option 2: where the Contracting Authority is an </w:t>
      </w:r>
      <w:r>
        <w:rPr>
          <w:b/>
          <w:color w:val="000000"/>
          <w:sz w:val="22"/>
        </w:rPr>
        <w:t xml:space="preserve">EU </w:t>
      </w:r>
      <w:r w:rsidRPr="00C2587E">
        <w:rPr>
          <w:b/>
          <w:color w:val="000000"/>
          <w:sz w:val="22"/>
        </w:rPr>
        <w:t>Delegation:</w:t>
      </w:r>
    </w:p>
    <w:p w:rsidR="001A422D" w:rsidRPr="00C2587E" w:rsidRDefault="001A422D" w:rsidP="001A422D">
      <w:pPr>
        <w:ind w:left="426"/>
        <w:jc w:val="both"/>
        <w:rPr>
          <w:color w:val="000000"/>
          <w:sz w:val="22"/>
        </w:rPr>
      </w:pPr>
    </w:p>
    <w:p w:rsidR="001A422D" w:rsidRDefault="001A422D" w:rsidP="001A422D">
      <w:pPr>
        <w:ind w:left="426"/>
        <w:jc w:val="both"/>
        <w:rPr>
          <w:color w:val="000000"/>
          <w:sz w:val="22"/>
        </w:rPr>
      </w:pPr>
      <w:r w:rsidRPr="00C2587E">
        <w:rPr>
          <w:color w:val="000000"/>
          <w:sz w:val="22"/>
        </w:rPr>
        <w:t xml:space="preserve">Payment requests and attached reports, including requests for changes to bank account arrangements </w:t>
      </w:r>
      <w:r>
        <w:rPr>
          <w:color w:val="000000"/>
          <w:sz w:val="22"/>
        </w:rPr>
        <w:t>shall</w:t>
      </w:r>
      <w:r w:rsidRPr="00C2587E">
        <w:rPr>
          <w:color w:val="000000"/>
          <w:sz w:val="22"/>
        </w:rPr>
        <w:t xml:space="preserve"> be sent to:</w:t>
      </w:r>
    </w:p>
    <w:p w:rsidR="001A422D" w:rsidRPr="00CA0374" w:rsidRDefault="001A422D" w:rsidP="001A422D">
      <w:pPr>
        <w:ind w:left="426"/>
        <w:jc w:val="both"/>
        <w:rPr>
          <w:color w:val="000000"/>
          <w:sz w:val="22"/>
          <w:szCs w:val="22"/>
        </w:rPr>
      </w:pPr>
    </w:p>
    <w:p w:rsidR="001A422D" w:rsidRDefault="001A422D" w:rsidP="001A422D">
      <w:pPr>
        <w:ind w:left="426"/>
        <w:jc w:val="both"/>
        <w:rPr>
          <w:color w:val="000000"/>
          <w:sz w:val="22"/>
        </w:rPr>
      </w:pPr>
      <w:r w:rsidRPr="00C2587E">
        <w:rPr>
          <w:color w:val="000000"/>
          <w:sz w:val="22"/>
        </w:rPr>
        <w:t>[</w:t>
      </w:r>
      <w:r w:rsidRPr="00C2587E">
        <w:rPr>
          <w:i/>
          <w:color w:val="000000"/>
          <w:sz w:val="22"/>
        </w:rPr>
        <w:t xml:space="preserve">address of the </w:t>
      </w:r>
      <w:r>
        <w:rPr>
          <w:i/>
          <w:color w:val="000000"/>
          <w:sz w:val="22"/>
        </w:rPr>
        <w:t xml:space="preserve">finance section of the </w:t>
      </w:r>
      <w:r w:rsidRPr="00C2587E">
        <w:rPr>
          <w:i/>
          <w:color w:val="000000"/>
          <w:sz w:val="22"/>
        </w:rPr>
        <w:t>Delegation</w:t>
      </w:r>
      <w:r w:rsidRPr="00C2587E">
        <w:rPr>
          <w:color w:val="000000"/>
          <w:sz w:val="22"/>
        </w:rPr>
        <w:t>]</w:t>
      </w:r>
    </w:p>
    <w:p w:rsidR="001A422D" w:rsidRDefault="001A422D" w:rsidP="001A422D">
      <w:pPr>
        <w:ind w:left="426"/>
        <w:jc w:val="both"/>
        <w:rPr>
          <w:color w:val="000000"/>
          <w:sz w:val="22"/>
        </w:rPr>
      </w:pPr>
    </w:p>
    <w:p w:rsidR="001A422D" w:rsidRPr="00CA0374" w:rsidRDefault="001A422D" w:rsidP="001A422D">
      <w:pPr>
        <w:ind w:left="426"/>
        <w:jc w:val="both"/>
        <w:rPr>
          <w:color w:val="000000"/>
          <w:sz w:val="22"/>
        </w:rPr>
      </w:pPr>
      <w:r w:rsidRPr="00CA0374">
        <w:rPr>
          <w:color w:val="000000"/>
          <w:sz w:val="22"/>
        </w:rPr>
        <w:t xml:space="preserve">Copies of the documents referred to above, and correspondence of any other nature, </w:t>
      </w:r>
      <w:r>
        <w:rPr>
          <w:color w:val="000000"/>
          <w:sz w:val="22"/>
        </w:rPr>
        <w:t>shall</w:t>
      </w:r>
      <w:r w:rsidRPr="00CA0374">
        <w:rPr>
          <w:color w:val="000000"/>
          <w:sz w:val="22"/>
        </w:rPr>
        <w:t xml:space="preserve"> be sent to:</w:t>
      </w:r>
    </w:p>
    <w:p w:rsidR="001A422D" w:rsidRPr="00CA0374" w:rsidRDefault="001A422D" w:rsidP="001A422D">
      <w:pPr>
        <w:ind w:left="426"/>
        <w:jc w:val="both"/>
        <w:rPr>
          <w:color w:val="000000"/>
          <w:sz w:val="22"/>
        </w:rPr>
      </w:pPr>
    </w:p>
    <w:p w:rsidR="001A422D" w:rsidRDefault="001A422D" w:rsidP="001A422D">
      <w:pPr>
        <w:ind w:left="426"/>
        <w:jc w:val="both"/>
        <w:rPr>
          <w:color w:val="000000"/>
          <w:sz w:val="22"/>
        </w:rPr>
      </w:pPr>
      <w:r w:rsidRPr="00C2587E">
        <w:rPr>
          <w:color w:val="000000"/>
          <w:sz w:val="22"/>
        </w:rPr>
        <w:t>[</w:t>
      </w:r>
      <w:r w:rsidRPr="00C2587E">
        <w:rPr>
          <w:i/>
          <w:color w:val="000000"/>
          <w:sz w:val="22"/>
        </w:rPr>
        <w:t xml:space="preserve">address of the </w:t>
      </w:r>
      <w:r>
        <w:rPr>
          <w:i/>
          <w:color w:val="000000"/>
          <w:sz w:val="22"/>
        </w:rPr>
        <w:t xml:space="preserve">management section of the </w:t>
      </w:r>
      <w:r w:rsidRPr="00C2587E">
        <w:rPr>
          <w:i/>
          <w:color w:val="000000"/>
          <w:sz w:val="22"/>
        </w:rPr>
        <w:t>Delegation</w:t>
      </w:r>
      <w:r w:rsidRPr="00C2587E">
        <w:rPr>
          <w:color w:val="000000"/>
          <w:sz w:val="22"/>
        </w:rPr>
        <w:t>]</w:t>
      </w:r>
    </w:p>
    <w:p w:rsidR="001A422D" w:rsidRPr="00CA0374" w:rsidRDefault="001A422D" w:rsidP="001A422D">
      <w:pPr>
        <w:ind w:left="426"/>
        <w:jc w:val="both"/>
        <w:rPr>
          <w:color w:val="000000"/>
          <w:sz w:val="22"/>
        </w:rPr>
      </w:pPr>
    </w:p>
    <w:p w:rsidR="001A422D" w:rsidRPr="00F00A53" w:rsidRDefault="001A422D" w:rsidP="001A422D">
      <w:pPr>
        <w:ind w:left="426"/>
        <w:jc w:val="both"/>
        <w:rPr>
          <w:sz w:val="22"/>
          <w:szCs w:val="22"/>
        </w:rPr>
      </w:pPr>
      <w:r w:rsidRPr="00F00A53">
        <w:rPr>
          <w:sz w:val="22"/>
          <w:szCs w:val="22"/>
          <w:highlight w:val="yellow"/>
        </w:rPr>
        <w:t>Under ENI ONLY, add:</w:t>
      </w:r>
    </w:p>
    <w:p w:rsidR="001A422D" w:rsidRPr="00CA0374" w:rsidRDefault="001A422D" w:rsidP="001A422D">
      <w:pPr>
        <w:ind w:left="426"/>
        <w:jc w:val="both"/>
        <w:rPr>
          <w:i/>
          <w:sz w:val="20"/>
          <w:szCs w:val="20"/>
          <w:highlight w:val="yellow"/>
        </w:rPr>
      </w:pPr>
    </w:p>
    <w:p w:rsidR="001A422D" w:rsidRPr="00F00A53" w:rsidRDefault="001A422D" w:rsidP="001A422D">
      <w:pPr>
        <w:ind w:left="426"/>
        <w:jc w:val="both"/>
        <w:rPr>
          <w:color w:val="000000"/>
          <w:sz w:val="22"/>
        </w:rPr>
      </w:pPr>
      <w:r w:rsidRPr="00CA0374">
        <w:rPr>
          <w:i/>
          <w:color w:val="000000"/>
          <w:sz w:val="22"/>
        </w:rPr>
        <w:t>[address of the PAO]</w:t>
      </w:r>
    </w:p>
    <w:p w:rsidR="001A422D" w:rsidRDefault="001A422D" w:rsidP="001A422D">
      <w:pPr>
        <w:ind w:left="426"/>
        <w:jc w:val="both"/>
        <w:rPr>
          <w:sz w:val="22"/>
        </w:rPr>
      </w:pPr>
    </w:p>
    <w:p w:rsidR="001A422D" w:rsidRPr="002C5A60" w:rsidRDefault="001A422D" w:rsidP="001A422D">
      <w:pPr>
        <w:ind w:left="426"/>
        <w:jc w:val="both"/>
        <w:rPr>
          <w:sz w:val="22"/>
        </w:rPr>
      </w:pPr>
    </w:p>
    <w:p w:rsidR="001A422D" w:rsidRPr="00C2587E" w:rsidRDefault="001A422D" w:rsidP="001A422D">
      <w:pPr>
        <w:ind w:left="852" w:hanging="426"/>
        <w:jc w:val="both"/>
        <w:rPr>
          <w:b/>
          <w:color w:val="000000"/>
        </w:rPr>
      </w:pPr>
      <w:r w:rsidRPr="00C2587E">
        <w:rPr>
          <w:b/>
          <w:color w:val="000000"/>
          <w:sz w:val="22"/>
        </w:rPr>
        <w:t xml:space="preserve">Option 3: Where the Contracting Authority is the European Commission </w:t>
      </w:r>
      <w:r>
        <w:rPr>
          <w:b/>
          <w:color w:val="000000"/>
          <w:sz w:val="22"/>
        </w:rPr>
        <w:t>Headquarters</w:t>
      </w:r>
    </w:p>
    <w:p w:rsidR="001A422D" w:rsidRPr="00C2587E" w:rsidRDefault="001A422D" w:rsidP="001A422D">
      <w:pPr>
        <w:ind w:left="852" w:hanging="426"/>
        <w:jc w:val="both"/>
        <w:rPr>
          <w:color w:val="000000"/>
        </w:rPr>
      </w:pPr>
    </w:p>
    <w:p w:rsidR="001A422D" w:rsidRPr="00C2587E" w:rsidRDefault="001A422D" w:rsidP="001A422D">
      <w:pPr>
        <w:ind w:left="426"/>
        <w:jc w:val="both"/>
        <w:rPr>
          <w:color w:val="000000"/>
        </w:rPr>
      </w:pPr>
      <w:r w:rsidRPr="00C2587E">
        <w:rPr>
          <w:color w:val="000000"/>
          <w:sz w:val="22"/>
        </w:rPr>
        <w:t xml:space="preserve">Payment requests and attached reports, including requests for changes to bank account arrangements </w:t>
      </w:r>
      <w:r>
        <w:rPr>
          <w:color w:val="000000"/>
          <w:sz w:val="22"/>
        </w:rPr>
        <w:t>shall</w:t>
      </w:r>
      <w:r w:rsidRPr="00C2587E">
        <w:rPr>
          <w:color w:val="000000"/>
          <w:sz w:val="22"/>
        </w:rPr>
        <w:t xml:space="preserve"> be sent to:</w:t>
      </w:r>
    </w:p>
    <w:p w:rsidR="001A422D" w:rsidRPr="00C2587E" w:rsidRDefault="001A422D" w:rsidP="001A422D">
      <w:pPr>
        <w:ind w:left="852" w:hanging="426"/>
        <w:jc w:val="both"/>
        <w:rPr>
          <w:color w:val="000000"/>
        </w:rPr>
      </w:pPr>
    </w:p>
    <w:p w:rsidR="001A422D" w:rsidRPr="00C2587E" w:rsidRDefault="001A422D" w:rsidP="001A422D">
      <w:pPr>
        <w:ind w:left="426"/>
        <w:jc w:val="both"/>
        <w:rPr>
          <w:color w:val="000000"/>
          <w:sz w:val="22"/>
        </w:rPr>
      </w:pPr>
      <w:r w:rsidRPr="00C2587E">
        <w:rPr>
          <w:color w:val="000000"/>
          <w:sz w:val="22"/>
        </w:rPr>
        <w:t>European Commission</w:t>
      </w:r>
    </w:p>
    <w:p w:rsidR="004E3568" w:rsidRPr="00D15482" w:rsidRDefault="001A422D" w:rsidP="004E3568">
      <w:pPr>
        <w:ind w:left="426"/>
        <w:rPr>
          <w:color w:val="000000"/>
          <w:sz w:val="22"/>
        </w:rPr>
      </w:pPr>
      <w:r w:rsidRPr="00CA0374">
        <w:rPr>
          <w:color w:val="000000"/>
          <w:sz w:val="22"/>
        </w:rPr>
        <w:t xml:space="preserve">Directorate-General for </w:t>
      </w:r>
      <w:r w:rsidR="004E3568" w:rsidRPr="00D15482">
        <w:rPr>
          <w:color w:val="000000"/>
          <w:sz w:val="22"/>
        </w:rPr>
        <w:t>Neighbourhood and Enlargement Negotiations</w:t>
      </w:r>
    </w:p>
    <w:p w:rsidR="001A422D" w:rsidRPr="00C2587E" w:rsidRDefault="001A422D" w:rsidP="001A422D">
      <w:pPr>
        <w:ind w:left="426"/>
        <w:jc w:val="both"/>
        <w:rPr>
          <w:color w:val="000000"/>
          <w:sz w:val="22"/>
        </w:rPr>
      </w:pPr>
      <w:r w:rsidRPr="00C2587E">
        <w:rPr>
          <w:color w:val="000000"/>
          <w:sz w:val="22"/>
        </w:rPr>
        <w:t>For the attention of the finance unit [</w:t>
      </w:r>
      <w:r w:rsidRPr="00C2587E">
        <w:rPr>
          <w:i/>
          <w:color w:val="000000"/>
          <w:sz w:val="22"/>
        </w:rPr>
        <w:t>address of the finance unit</w:t>
      </w:r>
      <w:r w:rsidRPr="00C2587E">
        <w:rPr>
          <w:color w:val="000000"/>
          <w:sz w:val="22"/>
        </w:rPr>
        <w:t>]</w:t>
      </w:r>
    </w:p>
    <w:p w:rsidR="001A422D" w:rsidRPr="00C2587E" w:rsidRDefault="001A422D" w:rsidP="001A422D">
      <w:pPr>
        <w:ind w:left="426"/>
        <w:jc w:val="both"/>
        <w:rPr>
          <w:color w:val="000000"/>
          <w:sz w:val="22"/>
        </w:rPr>
      </w:pPr>
    </w:p>
    <w:p w:rsidR="001A422D" w:rsidRPr="00C2587E" w:rsidRDefault="001A422D" w:rsidP="001A422D">
      <w:pPr>
        <w:ind w:left="426"/>
        <w:jc w:val="both"/>
        <w:rPr>
          <w:color w:val="000000"/>
        </w:rPr>
      </w:pPr>
      <w:r w:rsidRPr="00C2587E">
        <w:rPr>
          <w:color w:val="000000"/>
          <w:sz w:val="22"/>
        </w:rPr>
        <w:t xml:space="preserve">Copies of the documents referred to above, and correspondence of any other nature, </w:t>
      </w:r>
      <w:r>
        <w:rPr>
          <w:color w:val="000000"/>
          <w:sz w:val="22"/>
        </w:rPr>
        <w:t>shall</w:t>
      </w:r>
      <w:r w:rsidRPr="00C2587E">
        <w:rPr>
          <w:color w:val="000000"/>
          <w:sz w:val="22"/>
        </w:rPr>
        <w:t xml:space="preserve"> be sent to:</w:t>
      </w:r>
    </w:p>
    <w:p w:rsidR="001A422D" w:rsidRPr="00C2587E" w:rsidRDefault="001A422D" w:rsidP="001A422D">
      <w:pPr>
        <w:ind w:left="852" w:hanging="426"/>
        <w:jc w:val="both"/>
        <w:rPr>
          <w:color w:val="000000"/>
        </w:rPr>
      </w:pPr>
    </w:p>
    <w:p w:rsidR="001A422D" w:rsidRPr="00C2587E" w:rsidRDefault="001A422D" w:rsidP="001A422D">
      <w:pPr>
        <w:ind w:left="426"/>
        <w:jc w:val="both"/>
        <w:rPr>
          <w:color w:val="000000"/>
          <w:sz w:val="22"/>
        </w:rPr>
      </w:pPr>
      <w:r w:rsidRPr="00C2587E">
        <w:rPr>
          <w:color w:val="000000"/>
          <w:sz w:val="22"/>
        </w:rPr>
        <w:t>European Commission</w:t>
      </w:r>
    </w:p>
    <w:p w:rsidR="004E3568" w:rsidRDefault="001A422D" w:rsidP="001A422D">
      <w:pPr>
        <w:ind w:left="426"/>
        <w:jc w:val="both"/>
        <w:rPr>
          <w:color w:val="000000"/>
          <w:sz w:val="22"/>
        </w:rPr>
      </w:pPr>
      <w:r w:rsidRPr="00CA0374">
        <w:rPr>
          <w:color w:val="000000"/>
          <w:sz w:val="22"/>
        </w:rPr>
        <w:t xml:space="preserve">Directorate-General for </w:t>
      </w:r>
      <w:r w:rsidR="004E3568" w:rsidRPr="00D15482">
        <w:rPr>
          <w:color w:val="000000"/>
          <w:sz w:val="22"/>
        </w:rPr>
        <w:t>Neighbourhood and Enlargement Negotiations</w:t>
      </w:r>
      <w:r w:rsidR="004E3568" w:rsidRPr="00CA0374" w:rsidDel="004E3568">
        <w:rPr>
          <w:color w:val="000000"/>
          <w:sz w:val="22"/>
        </w:rPr>
        <w:t xml:space="preserve"> </w:t>
      </w:r>
    </w:p>
    <w:p w:rsidR="001A422D" w:rsidRPr="00C2587E" w:rsidRDefault="001A422D" w:rsidP="001A422D">
      <w:pPr>
        <w:ind w:left="426"/>
        <w:jc w:val="both"/>
        <w:rPr>
          <w:color w:val="000000"/>
        </w:rPr>
      </w:pPr>
      <w:r w:rsidRPr="00C2587E">
        <w:rPr>
          <w:color w:val="000000"/>
          <w:sz w:val="22"/>
        </w:rPr>
        <w:t>For the attention of the management unit [</w:t>
      </w:r>
      <w:r w:rsidRPr="00C2587E">
        <w:rPr>
          <w:i/>
          <w:color w:val="000000"/>
          <w:sz w:val="22"/>
        </w:rPr>
        <w:t>address of the management unit</w:t>
      </w:r>
      <w:r w:rsidRPr="00C2587E">
        <w:rPr>
          <w:color w:val="000000"/>
          <w:sz w:val="22"/>
        </w:rPr>
        <w:t>]</w:t>
      </w:r>
    </w:p>
    <w:p w:rsidR="001A422D" w:rsidRPr="00C2587E" w:rsidRDefault="001A422D" w:rsidP="001A422D">
      <w:pPr>
        <w:ind w:left="426"/>
        <w:jc w:val="both"/>
        <w:rPr>
          <w:color w:val="000000"/>
        </w:rPr>
      </w:pPr>
    </w:p>
    <w:p w:rsidR="001A422D" w:rsidRDefault="001A422D" w:rsidP="001A422D">
      <w:pPr>
        <w:ind w:left="426"/>
        <w:jc w:val="both"/>
        <w:rPr>
          <w:color w:val="000000"/>
          <w:sz w:val="22"/>
        </w:rPr>
      </w:pPr>
      <w:r w:rsidRPr="00C2587E">
        <w:rPr>
          <w:color w:val="000000"/>
          <w:sz w:val="22"/>
        </w:rPr>
        <w:t>A copy of the reports referred to in Article 4.</w:t>
      </w:r>
      <w:r>
        <w:rPr>
          <w:color w:val="000000"/>
          <w:sz w:val="22"/>
        </w:rPr>
        <w:t>2</w:t>
      </w:r>
      <w:r w:rsidRPr="00C2587E">
        <w:rPr>
          <w:color w:val="000000"/>
          <w:sz w:val="22"/>
        </w:rPr>
        <w:t xml:space="preserve"> must be sent to the </w:t>
      </w:r>
      <w:r>
        <w:rPr>
          <w:color w:val="000000"/>
          <w:sz w:val="22"/>
        </w:rPr>
        <w:t>EU</w:t>
      </w:r>
      <w:r w:rsidRPr="00C2587E">
        <w:rPr>
          <w:color w:val="000000"/>
          <w:sz w:val="22"/>
        </w:rPr>
        <w:t xml:space="preserve"> Delegation in charge of monitoring the Action, at the following address</w:t>
      </w:r>
      <w:r w:rsidRPr="00C2587E">
        <w:rPr>
          <w:i/>
          <w:color w:val="000000"/>
          <w:sz w:val="22"/>
        </w:rPr>
        <w:t>: [address of the Delegation</w:t>
      </w:r>
      <w:r w:rsidRPr="00C2587E">
        <w:rPr>
          <w:color w:val="000000"/>
          <w:sz w:val="22"/>
        </w:rPr>
        <w:t>]</w:t>
      </w:r>
    </w:p>
    <w:p w:rsidR="001A422D" w:rsidRDefault="001A422D" w:rsidP="001A422D">
      <w:pPr>
        <w:ind w:left="426"/>
        <w:jc w:val="both"/>
        <w:rPr>
          <w:color w:val="000000"/>
          <w:sz w:val="22"/>
        </w:rPr>
      </w:pPr>
    </w:p>
    <w:p w:rsidR="001A422D" w:rsidRPr="00F00A53" w:rsidRDefault="001A422D" w:rsidP="001A422D">
      <w:pPr>
        <w:ind w:left="426"/>
        <w:jc w:val="both"/>
        <w:rPr>
          <w:i/>
          <w:color w:val="000000"/>
          <w:sz w:val="22"/>
        </w:rPr>
      </w:pPr>
      <w:r w:rsidRPr="00F00A53">
        <w:rPr>
          <w:i/>
          <w:color w:val="000000"/>
          <w:sz w:val="22"/>
        </w:rPr>
        <w:t>With reference to the three options:</w:t>
      </w:r>
    </w:p>
    <w:p w:rsidR="001A422D" w:rsidRPr="00CA0374" w:rsidRDefault="001A422D" w:rsidP="001A422D">
      <w:pPr>
        <w:ind w:left="426"/>
        <w:jc w:val="both"/>
        <w:rPr>
          <w:color w:val="000000"/>
          <w:sz w:val="22"/>
          <w:szCs w:val="22"/>
        </w:rPr>
      </w:pPr>
    </w:p>
    <w:p w:rsidR="001A422D" w:rsidRPr="00CA0374" w:rsidRDefault="001A422D" w:rsidP="001A422D">
      <w:pPr>
        <w:ind w:left="426"/>
        <w:jc w:val="both"/>
        <w:rPr>
          <w:color w:val="000000"/>
          <w:sz w:val="22"/>
          <w:szCs w:val="22"/>
        </w:rPr>
      </w:pPr>
      <w:r w:rsidRPr="00CA0374">
        <w:rPr>
          <w:color w:val="000000"/>
          <w:sz w:val="22"/>
          <w:szCs w:val="22"/>
          <w:u w:val="single"/>
        </w:rPr>
        <w:t xml:space="preserve">For </w:t>
      </w:r>
      <w:r w:rsidRPr="00E41EE9">
        <w:rPr>
          <w:color w:val="000000"/>
          <w:sz w:val="22"/>
          <w:szCs w:val="22"/>
          <w:u w:val="single"/>
        </w:rPr>
        <w:t xml:space="preserve">the </w:t>
      </w:r>
      <w:r w:rsidRPr="00F00A53">
        <w:rPr>
          <w:color w:val="000000"/>
          <w:sz w:val="22"/>
          <w:u w:val="single"/>
        </w:rPr>
        <w:t>[Lead]</w:t>
      </w:r>
      <w:r w:rsidRPr="00F00A53">
        <w:rPr>
          <w:rStyle w:val="FootnoteReference"/>
          <w:color w:val="000000"/>
          <w:sz w:val="22"/>
          <w:u w:val="single"/>
        </w:rPr>
        <w:footnoteReference w:id="8"/>
      </w:r>
      <w:r w:rsidRPr="00F00A53">
        <w:rPr>
          <w:color w:val="000000"/>
          <w:sz w:val="22"/>
          <w:u w:val="single"/>
        </w:rPr>
        <w:t xml:space="preserve"> </w:t>
      </w:r>
      <w:r w:rsidRPr="00E41EE9">
        <w:rPr>
          <w:color w:val="000000"/>
          <w:sz w:val="22"/>
          <w:szCs w:val="22"/>
          <w:u w:val="single"/>
        </w:rPr>
        <w:t>Member</w:t>
      </w:r>
      <w:r w:rsidRPr="00CA0374">
        <w:rPr>
          <w:color w:val="000000"/>
          <w:sz w:val="22"/>
          <w:szCs w:val="22"/>
          <w:u w:val="single"/>
        </w:rPr>
        <w:t xml:space="preserve"> State Partner</w:t>
      </w:r>
    </w:p>
    <w:p w:rsidR="001A422D" w:rsidRPr="00CA0374" w:rsidRDefault="001A422D" w:rsidP="001A422D">
      <w:pPr>
        <w:ind w:left="426"/>
        <w:jc w:val="both"/>
        <w:rPr>
          <w:color w:val="000000"/>
          <w:sz w:val="22"/>
          <w:szCs w:val="22"/>
        </w:rPr>
      </w:pPr>
    </w:p>
    <w:p w:rsidR="001A422D" w:rsidRPr="00CA0374" w:rsidRDefault="001A422D" w:rsidP="001A422D">
      <w:pPr>
        <w:ind w:left="426"/>
        <w:jc w:val="both"/>
        <w:rPr>
          <w:color w:val="000000"/>
          <w:sz w:val="22"/>
          <w:szCs w:val="22"/>
        </w:rPr>
      </w:pPr>
      <w:r w:rsidRPr="00CA0374">
        <w:rPr>
          <w:color w:val="000000"/>
          <w:sz w:val="22"/>
          <w:szCs w:val="22"/>
        </w:rPr>
        <w:t>[</w:t>
      </w:r>
      <w:r w:rsidRPr="00CA0374">
        <w:rPr>
          <w:i/>
          <w:color w:val="000000"/>
          <w:sz w:val="22"/>
          <w:szCs w:val="22"/>
        </w:rPr>
        <w:t xml:space="preserve">address of the </w:t>
      </w:r>
      <w:r>
        <w:rPr>
          <w:i/>
          <w:color w:val="000000"/>
          <w:sz w:val="22"/>
          <w:szCs w:val="22"/>
        </w:rPr>
        <w:t>[Lead]</w:t>
      </w:r>
      <w:r>
        <w:rPr>
          <w:rStyle w:val="FootnoteReference"/>
          <w:i/>
          <w:color w:val="000000"/>
          <w:sz w:val="22"/>
          <w:szCs w:val="22"/>
        </w:rPr>
        <w:footnoteReference w:id="9"/>
      </w:r>
      <w:r>
        <w:rPr>
          <w:i/>
          <w:color w:val="000000"/>
          <w:sz w:val="22"/>
          <w:szCs w:val="22"/>
        </w:rPr>
        <w:t xml:space="preserve"> </w:t>
      </w:r>
      <w:r w:rsidRPr="00CA0374">
        <w:rPr>
          <w:i/>
          <w:color w:val="000000"/>
          <w:sz w:val="22"/>
          <w:szCs w:val="22"/>
        </w:rPr>
        <w:t>MSP for correspondence</w:t>
      </w:r>
      <w:r w:rsidRPr="00CA0374">
        <w:rPr>
          <w:color w:val="000000"/>
          <w:sz w:val="22"/>
          <w:szCs w:val="22"/>
        </w:rPr>
        <w:t>]</w:t>
      </w:r>
    </w:p>
    <w:p w:rsidR="001A422D" w:rsidRPr="00CA0374" w:rsidRDefault="001A422D" w:rsidP="001A422D">
      <w:pPr>
        <w:ind w:left="426"/>
        <w:jc w:val="both"/>
        <w:rPr>
          <w:color w:val="000000"/>
          <w:sz w:val="22"/>
          <w:szCs w:val="22"/>
        </w:rPr>
      </w:pPr>
    </w:p>
    <w:p w:rsidR="001A422D" w:rsidRPr="00CA0374" w:rsidRDefault="001A422D" w:rsidP="001A422D">
      <w:pPr>
        <w:ind w:left="426"/>
        <w:jc w:val="both"/>
        <w:rPr>
          <w:color w:val="000000"/>
          <w:sz w:val="22"/>
          <w:szCs w:val="22"/>
        </w:rPr>
      </w:pPr>
    </w:p>
    <w:p w:rsidR="001A422D" w:rsidRPr="00CA0374" w:rsidRDefault="001A422D" w:rsidP="001A422D">
      <w:pPr>
        <w:ind w:left="426"/>
        <w:jc w:val="both"/>
        <w:rPr>
          <w:color w:val="000000"/>
          <w:sz w:val="22"/>
          <w:szCs w:val="22"/>
        </w:rPr>
      </w:pPr>
      <w:r w:rsidRPr="00CA0374">
        <w:rPr>
          <w:color w:val="000000"/>
          <w:sz w:val="22"/>
          <w:szCs w:val="22"/>
          <w:u w:val="single"/>
        </w:rPr>
        <w:t>For the Final Recipient of the Action</w:t>
      </w:r>
    </w:p>
    <w:p w:rsidR="001A422D" w:rsidRPr="00CA0374" w:rsidRDefault="001A422D" w:rsidP="001A422D">
      <w:pPr>
        <w:ind w:left="426"/>
        <w:jc w:val="both"/>
        <w:rPr>
          <w:color w:val="000000"/>
          <w:sz w:val="22"/>
          <w:szCs w:val="22"/>
        </w:rPr>
      </w:pPr>
    </w:p>
    <w:p w:rsidR="001A422D" w:rsidRPr="00CA0374" w:rsidRDefault="001A422D" w:rsidP="001A422D">
      <w:pPr>
        <w:ind w:left="426"/>
        <w:jc w:val="both"/>
        <w:rPr>
          <w:color w:val="000000"/>
          <w:sz w:val="22"/>
          <w:szCs w:val="22"/>
        </w:rPr>
      </w:pPr>
      <w:r w:rsidRPr="00CA0374">
        <w:rPr>
          <w:color w:val="000000"/>
          <w:sz w:val="22"/>
          <w:szCs w:val="22"/>
        </w:rPr>
        <w:t>[</w:t>
      </w:r>
      <w:r w:rsidRPr="00CA0374">
        <w:rPr>
          <w:i/>
          <w:color w:val="000000"/>
          <w:sz w:val="22"/>
          <w:szCs w:val="22"/>
        </w:rPr>
        <w:t>address of the Final Recipient of the Action</w:t>
      </w:r>
      <w:r w:rsidRPr="00CA0374">
        <w:rPr>
          <w:color w:val="000000"/>
          <w:sz w:val="22"/>
          <w:szCs w:val="22"/>
        </w:rPr>
        <w:t>]</w:t>
      </w:r>
    </w:p>
    <w:p w:rsidR="001A422D" w:rsidRPr="00CA0374" w:rsidRDefault="001A422D" w:rsidP="001A422D">
      <w:pPr>
        <w:jc w:val="both"/>
        <w:rPr>
          <w:color w:val="000000"/>
          <w:sz w:val="22"/>
          <w:szCs w:val="22"/>
        </w:rPr>
      </w:pPr>
    </w:p>
    <w:p w:rsidR="001A422D" w:rsidRPr="00AC13EF" w:rsidRDefault="001A422D" w:rsidP="001A422D">
      <w:pPr>
        <w:ind w:left="567" w:hanging="567"/>
        <w:jc w:val="both"/>
        <w:rPr>
          <w:color w:val="000000"/>
          <w:sz w:val="22"/>
        </w:rPr>
      </w:pPr>
      <w:r w:rsidRPr="00AC13EF">
        <w:rPr>
          <w:color w:val="000000"/>
          <w:sz w:val="22"/>
        </w:rPr>
        <w:t>5.2</w:t>
      </w:r>
      <w:r w:rsidRPr="00AC13EF">
        <w:rPr>
          <w:color w:val="000000"/>
          <w:sz w:val="22"/>
        </w:rPr>
        <w:tab/>
        <w:t>The expenditure verification referred to in Article 15.7 of Annex A2 will be carried out by [</w:t>
      </w:r>
      <w:r w:rsidRPr="00AC13EF">
        <w:rPr>
          <w:i/>
          <w:color w:val="000000"/>
          <w:sz w:val="22"/>
        </w:rPr>
        <w:t>name, address, telephone and fax numbers of selected audit firm</w:t>
      </w:r>
      <w:r w:rsidRPr="00AC13EF">
        <w:rPr>
          <w:color w:val="000000"/>
          <w:sz w:val="22"/>
        </w:rPr>
        <w:t>].</w:t>
      </w:r>
    </w:p>
    <w:p w:rsidR="001A422D" w:rsidRDefault="001A422D" w:rsidP="001A422D">
      <w:pPr>
        <w:pStyle w:val="text1"/>
        <w:spacing w:after="0"/>
        <w:ind w:left="567" w:hanging="567"/>
        <w:jc w:val="both"/>
        <w:rPr>
          <w:color w:val="000000"/>
          <w:sz w:val="22"/>
          <w:szCs w:val="24"/>
        </w:rPr>
      </w:pPr>
    </w:p>
    <w:p w:rsidR="001A422D" w:rsidRPr="00C2587E" w:rsidRDefault="001A422D" w:rsidP="001A422D">
      <w:pPr>
        <w:pStyle w:val="text1"/>
        <w:spacing w:after="0"/>
        <w:ind w:left="567" w:hanging="567"/>
        <w:jc w:val="both"/>
        <w:rPr>
          <w:color w:val="000000"/>
        </w:rPr>
      </w:pPr>
      <w:r w:rsidRPr="00C2587E">
        <w:rPr>
          <w:b/>
          <w:color w:val="000000"/>
        </w:rPr>
        <w:t>Article 6 - Annexes</w:t>
      </w:r>
    </w:p>
    <w:p w:rsidR="001A422D" w:rsidRPr="00C2587E" w:rsidRDefault="001A422D" w:rsidP="001A422D">
      <w:pPr>
        <w:jc w:val="both"/>
        <w:rPr>
          <w:color w:val="000000"/>
        </w:rPr>
      </w:pPr>
      <w:r w:rsidRPr="00C2587E">
        <w:rPr>
          <w:color w:val="000000"/>
          <w:sz w:val="22"/>
        </w:rPr>
        <w:t> </w:t>
      </w:r>
    </w:p>
    <w:p w:rsidR="001A422D" w:rsidRPr="00C2587E" w:rsidRDefault="001A422D" w:rsidP="001A422D">
      <w:pPr>
        <w:ind w:left="567" w:hanging="567"/>
        <w:jc w:val="both"/>
        <w:rPr>
          <w:color w:val="000000"/>
        </w:rPr>
      </w:pPr>
      <w:r w:rsidRPr="00C2587E">
        <w:rPr>
          <w:color w:val="000000"/>
          <w:sz w:val="22"/>
        </w:rPr>
        <w:t>6.1</w:t>
      </w:r>
      <w:r>
        <w:rPr>
          <w:color w:val="000000"/>
          <w:sz w:val="22"/>
        </w:rPr>
        <w:tab/>
      </w:r>
      <w:r w:rsidRPr="00C2587E">
        <w:rPr>
          <w:color w:val="000000"/>
          <w:sz w:val="22"/>
        </w:rPr>
        <w:t xml:space="preserve">The following documents are annexed to these Special Conditions and form an integral part of the </w:t>
      </w:r>
      <w:r>
        <w:rPr>
          <w:color w:val="000000"/>
          <w:sz w:val="22"/>
        </w:rPr>
        <w:t>C</w:t>
      </w:r>
      <w:r w:rsidRPr="00C2587E">
        <w:rPr>
          <w:color w:val="000000"/>
          <w:sz w:val="22"/>
        </w:rPr>
        <w:t>ontract:</w:t>
      </w:r>
    </w:p>
    <w:p w:rsidR="001A422D" w:rsidRPr="00C2587E" w:rsidRDefault="001A422D" w:rsidP="001A422D">
      <w:pPr>
        <w:jc w:val="both"/>
        <w:rPr>
          <w:color w:val="000000"/>
        </w:rPr>
      </w:pPr>
    </w:p>
    <w:p w:rsidR="001A422D" w:rsidRPr="00E75D7D" w:rsidRDefault="001A422D" w:rsidP="001A422D">
      <w:pPr>
        <w:ind w:left="1701" w:hanging="1134"/>
        <w:jc w:val="both"/>
        <w:rPr>
          <w:color w:val="000000"/>
        </w:rPr>
      </w:pPr>
      <w:r w:rsidRPr="00E75D7D">
        <w:rPr>
          <w:color w:val="000000"/>
          <w:sz w:val="22"/>
        </w:rPr>
        <w:t>Annex A1:</w:t>
      </w:r>
      <w:r w:rsidRPr="00E75D7D">
        <w:rPr>
          <w:color w:val="000000"/>
          <w:sz w:val="22"/>
        </w:rPr>
        <w:tab/>
      </w:r>
      <w:r w:rsidRPr="00E75D7D">
        <w:rPr>
          <w:color w:val="000000"/>
          <w:sz w:val="22"/>
        </w:rPr>
        <w:tab/>
        <w:t xml:space="preserve">Description of the Action </w:t>
      </w:r>
    </w:p>
    <w:p w:rsidR="001A422D" w:rsidRPr="00E75D7D" w:rsidRDefault="001A422D" w:rsidP="001A422D">
      <w:pPr>
        <w:ind w:left="2157" w:hanging="1590"/>
        <w:jc w:val="both"/>
        <w:rPr>
          <w:color w:val="000000"/>
        </w:rPr>
      </w:pPr>
      <w:r w:rsidRPr="00E75D7D">
        <w:rPr>
          <w:color w:val="000000"/>
          <w:sz w:val="22"/>
          <w:szCs w:val="22"/>
        </w:rPr>
        <w:t>Annex A2</w:t>
      </w:r>
      <w:r w:rsidRPr="00E75D7D">
        <w:rPr>
          <w:color w:val="000000"/>
        </w:rPr>
        <w:t>:</w:t>
      </w:r>
      <w:r w:rsidRPr="00E75D7D">
        <w:rPr>
          <w:color w:val="000000"/>
        </w:rPr>
        <w:tab/>
      </w:r>
      <w:r w:rsidRPr="00E75D7D">
        <w:rPr>
          <w:color w:val="000000"/>
        </w:rPr>
        <w:tab/>
      </w:r>
      <w:r w:rsidRPr="00E75D7D">
        <w:rPr>
          <w:color w:val="000000"/>
          <w:sz w:val="22"/>
        </w:rPr>
        <w:t xml:space="preserve">General Conditions applicable to European Union-financed grant contracts for </w:t>
      </w:r>
      <w:r w:rsidR="00D85A17">
        <w:rPr>
          <w:color w:val="000000"/>
          <w:sz w:val="22"/>
        </w:rPr>
        <w:t>e</w:t>
      </w:r>
      <w:r w:rsidRPr="00E75D7D">
        <w:rPr>
          <w:color w:val="000000"/>
          <w:sz w:val="22"/>
        </w:rPr>
        <w:t xml:space="preserve">xternal </w:t>
      </w:r>
      <w:r w:rsidR="00D85A17">
        <w:rPr>
          <w:color w:val="000000"/>
          <w:sz w:val="22"/>
        </w:rPr>
        <w:t>a</w:t>
      </w:r>
      <w:r w:rsidRPr="00E75D7D">
        <w:rPr>
          <w:color w:val="000000"/>
          <w:sz w:val="22"/>
        </w:rPr>
        <w:t>ctions</w:t>
      </w:r>
      <w:r w:rsidRPr="00E75D7D">
        <w:rPr>
          <w:color w:val="000000"/>
          <w:sz w:val="22"/>
        </w:rPr>
        <w:tab/>
      </w:r>
    </w:p>
    <w:p w:rsidR="007C3AB3" w:rsidRPr="00D15482" w:rsidRDefault="001A422D" w:rsidP="001A422D">
      <w:pPr>
        <w:ind w:left="2157" w:hanging="1590"/>
        <w:jc w:val="both"/>
        <w:rPr>
          <w:color w:val="000000"/>
          <w:sz w:val="22"/>
        </w:rPr>
      </w:pPr>
      <w:r w:rsidRPr="00E75D7D">
        <w:rPr>
          <w:color w:val="000000"/>
          <w:sz w:val="22"/>
        </w:rPr>
        <w:t xml:space="preserve">Annex A3: </w:t>
      </w:r>
      <w:r w:rsidRPr="00E75D7D">
        <w:rPr>
          <w:color w:val="000000"/>
          <w:sz w:val="22"/>
        </w:rPr>
        <w:tab/>
        <w:t xml:space="preserve">Budget for the Action </w:t>
      </w:r>
    </w:p>
    <w:p w:rsidR="001A422D" w:rsidRPr="00E75D7D" w:rsidRDefault="001A422D" w:rsidP="001A422D">
      <w:pPr>
        <w:ind w:left="2157" w:hanging="1590"/>
        <w:jc w:val="both"/>
        <w:rPr>
          <w:color w:val="000000"/>
          <w:sz w:val="22"/>
        </w:rPr>
      </w:pPr>
      <w:r w:rsidRPr="00E75D7D">
        <w:rPr>
          <w:color w:val="000000"/>
          <w:sz w:val="22"/>
        </w:rPr>
        <w:t xml:space="preserve">Annex A4: </w:t>
      </w:r>
      <w:r w:rsidRPr="00E75D7D">
        <w:rPr>
          <w:color w:val="000000"/>
          <w:sz w:val="22"/>
        </w:rPr>
        <w:tab/>
      </w:r>
      <w:r w:rsidR="009D430C" w:rsidRPr="00E75D7D">
        <w:rPr>
          <w:color w:val="000000"/>
          <w:sz w:val="22"/>
        </w:rPr>
        <w:t xml:space="preserve">Procurement </w:t>
      </w:r>
      <w:r w:rsidR="00C96764" w:rsidRPr="00D15482">
        <w:rPr>
          <w:color w:val="000000"/>
          <w:sz w:val="22"/>
        </w:rPr>
        <w:t xml:space="preserve">by grant </w:t>
      </w:r>
      <w:r w:rsidR="009D430C" w:rsidRPr="00E75D7D">
        <w:rPr>
          <w:color w:val="000000"/>
          <w:sz w:val="22"/>
        </w:rPr>
        <w:t>Beneficiar</w:t>
      </w:r>
      <w:r w:rsidR="00C96764" w:rsidRPr="00D15482">
        <w:rPr>
          <w:color w:val="000000"/>
          <w:sz w:val="22"/>
        </w:rPr>
        <w:t>ies</w:t>
      </w:r>
    </w:p>
    <w:p w:rsidR="001A422D" w:rsidRPr="00E75D7D" w:rsidRDefault="001A422D" w:rsidP="001A422D">
      <w:pPr>
        <w:ind w:left="2157" w:hanging="1590"/>
        <w:jc w:val="both"/>
        <w:rPr>
          <w:color w:val="000000"/>
          <w:sz w:val="22"/>
        </w:rPr>
      </w:pPr>
      <w:r w:rsidRPr="00E75D7D">
        <w:rPr>
          <w:color w:val="000000"/>
          <w:sz w:val="22"/>
        </w:rPr>
        <w:t xml:space="preserve">Annex A5: </w:t>
      </w:r>
      <w:r w:rsidRPr="00E75D7D">
        <w:rPr>
          <w:color w:val="000000"/>
          <w:sz w:val="22"/>
        </w:rPr>
        <w:tab/>
      </w:r>
      <w:r w:rsidR="00C96764" w:rsidRPr="00D15482">
        <w:rPr>
          <w:color w:val="000000"/>
          <w:sz w:val="22"/>
        </w:rPr>
        <w:t>P</w:t>
      </w:r>
      <w:r w:rsidRPr="00E75D7D">
        <w:rPr>
          <w:color w:val="000000"/>
          <w:sz w:val="22"/>
        </w:rPr>
        <w:t xml:space="preserve">ayment </w:t>
      </w:r>
      <w:r w:rsidR="00C96764" w:rsidRPr="00E75D7D">
        <w:rPr>
          <w:color w:val="000000"/>
          <w:sz w:val="22"/>
        </w:rPr>
        <w:t>request for Twinning contract and financial identification form</w:t>
      </w:r>
    </w:p>
    <w:p w:rsidR="001A422D" w:rsidRPr="00E75D7D" w:rsidRDefault="001A422D" w:rsidP="001A422D">
      <w:pPr>
        <w:ind w:left="2157" w:hanging="1590"/>
        <w:jc w:val="both"/>
        <w:rPr>
          <w:color w:val="000000"/>
          <w:sz w:val="22"/>
        </w:rPr>
      </w:pPr>
      <w:r w:rsidRPr="00E75D7D">
        <w:rPr>
          <w:color w:val="000000"/>
          <w:sz w:val="22"/>
        </w:rPr>
        <w:t xml:space="preserve">Annex A6: </w:t>
      </w:r>
      <w:r w:rsidRPr="00E75D7D">
        <w:rPr>
          <w:color w:val="000000"/>
          <w:sz w:val="22"/>
        </w:rPr>
        <w:tab/>
      </w:r>
      <w:r w:rsidR="00E75D7D" w:rsidRPr="00D15482">
        <w:rPr>
          <w:color w:val="000000"/>
          <w:sz w:val="22"/>
        </w:rPr>
        <w:t xml:space="preserve">Terms of reference for an </w:t>
      </w:r>
      <w:r w:rsidRPr="00E75D7D">
        <w:rPr>
          <w:color w:val="000000"/>
          <w:sz w:val="22"/>
        </w:rPr>
        <w:t xml:space="preserve">Expenditure verification </w:t>
      </w:r>
      <w:r w:rsidR="00E75D7D" w:rsidRPr="00D15482">
        <w:rPr>
          <w:color w:val="000000"/>
          <w:sz w:val="22"/>
        </w:rPr>
        <w:t>of a Twinning contract</w:t>
      </w:r>
    </w:p>
    <w:p w:rsidR="001A422D" w:rsidRPr="00E75D7D" w:rsidRDefault="001A422D" w:rsidP="001A422D">
      <w:pPr>
        <w:ind w:left="2157" w:hanging="1590"/>
        <w:jc w:val="both"/>
        <w:rPr>
          <w:color w:val="000000"/>
          <w:sz w:val="22"/>
        </w:rPr>
      </w:pPr>
      <w:r w:rsidRPr="00E75D7D">
        <w:rPr>
          <w:color w:val="000000"/>
          <w:sz w:val="22"/>
        </w:rPr>
        <w:t xml:space="preserve">Annex A7: </w:t>
      </w:r>
      <w:r w:rsidRPr="00E75D7D">
        <w:rPr>
          <w:color w:val="000000"/>
          <w:sz w:val="22"/>
        </w:rPr>
        <w:tab/>
        <w:t>Special Financial Annex</w:t>
      </w:r>
    </w:p>
    <w:p w:rsidR="001A422D" w:rsidRDefault="001A422D" w:rsidP="001A422D">
      <w:pPr>
        <w:ind w:left="2157" w:hanging="1590"/>
        <w:jc w:val="both"/>
        <w:rPr>
          <w:color w:val="000000"/>
          <w:sz w:val="22"/>
        </w:rPr>
      </w:pPr>
      <w:r w:rsidRPr="00E75D7D">
        <w:rPr>
          <w:color w:val="000000"/>
          <w:sz w:val="22"/>
        </w:rPr>
        <w:t xml:space="preserve">Annex A8: </w:t>
      </w:r>
      <w:r w:rsidRPr="00E75D7D">
        <w:rPr>
          <w:color w:val="000000"/>
          <w:sz w:val="22"/>
        </w:rPr>
        <w:tab/>
        <w:t>Mandate (if Member States have formed a consortium)</w:t>
      </w:r>
    </w:p>
    <w:p w:rsidR="00E75D7D" w:rsidRDefault="00E75D7D" w:rsidP="001A422D">
      <w:pPr>
        <w:ind w:left="2157" w:hanging="1590"/>
        <w:jc w:val="both"/>
        <w:rPr>
          <w:color w:val="000000"/>
          <w:sz w:val="22"/>
        </w:rPr>
      </w:pPr>
      <w:r>
        <w:rPr>
          <w:color w:val="000000"/>
          <w:sz w:val="22"/>
        </w:rPr>
        <w:t xml:space="preserve">Annex A9: </w:t>
      </w:r>
      <w:r>
        <w:rPr>
          <w:color w:val="000000"/>
          <w:sz w:val="22"/>
        </w:rPr>
        <w:tab/>
        <w:t>Curricula Vitae</w:t>
      </w:r>
    </w:p>
    <w:p w:rsidR="001A422D" w:rsidRPr="00C2587E" w:rsidRDefault="001A422D" w:rsidP="001A422D">
      <w:pPr>
        <w:ind w:left="1418" w:hanging="1418"/>
        <w:jc w:val="both"/>
        <w:rPr>
          <w:color w:val="000000"/>
          <w:sz w:val="22"/>
        </w:rPr>
      </w:pPr>
    </w:p>
    <w:p w:rsidR="001A422D" w:rsidRDefault="001A422D" w:rsidP="001A422D">
      <w:pPr>
        <w:ind w:left="600" w:hanging="600"/>
        <w:jc w:val="both"/>
        <w:rPr>
          <w:sz w:val="22"/>
        </w:rPr>
      </w:pPr>
      <w:r w:rsidRPr="00C2587E">
        <w:rPr>
          <w:color w:val="000000"/>
          <w:sz w:val="22"/>
        </w:rPr>
        <w:t>6.2</w:t>
      </w:r>
      <w:r>
        <w:rPr>
          <w:color w:val="000000"/>
          <w:sz w:val="22"/>
        </w:rPr>
        <w:tab/>
      </w:r>
      <w:r>
        <w:rPr>
          <w:sz w:val="22"/>
        </w:rPr>
        <w:t>In the event of conflict between the provisions of the present Special Conditions and any Annex thereto, the provisions of the Special Conditions shall take precedence. In the event of conflict between the provisions of Annex A2 and those of the other annexes, those of Annex A2 shall take precedence</w:t>
      </w:r>
      <w:r w:rsidRPr="00F81D90">
        <w:rPr>
          <w:sz w:val="22"/>
        </w:rPr>
        <w:t>.</w:t>
      </w:r>
    </w:p>
    <w:p w:rsidR="001A422D" w:rsidRPr="00C2587E" w:rsidRDefault="001A422D" w:rsidP="001A422D">
      <w:pPr>
        <w:ind w:left="600" w:hanging="600"/>
        <w:jc w:val="both"/>
        <w:rPr>
          <w:color w:val="000000"/>
        </w:rPr>
      </w:pPr>
      <w:r>
        <w:rPr>
          <w:color w:val="000000"/>
          <w:sz w:val="22"/>
        </w:rPr>
        <w:tab/>
        <w:t>In case of</w:t>
      </w:r>
      <w:r w:rsidRPr="00C2587E">
        <w:rPr>
          <w:color w:val="000000"/>
          <w:sz w:val="22"/>
        </w:rPr>
        <w:t xml:space="preserve"> discrepancies between Article 14</w:t>
      </w:r>
      <w:r>
        <w:rPr>
          <w:color w:val="000000"/>
          <w:sz w:val="22"/>
        </w:rPr>
        <w:t xml:space="preserve"> </w:t>
      </w:r>
      <w:r w:rsidRPr="00C2587E">
        <w:rPr>
          <w:color w:val="000000"/>
          <w:sz w:val="22"/>
        </w:rPr>
        <w:t xml:space="preserve">of </w:t>
      </w:r>
      <w:r>
        <w:rPr>
          <w:color w:val="000000"/>
          <w:sz w:val="22"/>
        </w:rPr>
        <w:t>Annex A2</w:t>
      </w:r>
      <w:r w:rsidRPr="00C2587E">
        <w:rPr>
          <w:color w:val="000000"/>
          <w:sz w:val="22"/>
        </w:rPr>
        <w:t xml:space="preserve"> and Annex </w:t>
      </w:r>
      <w:r>
        <w:rPr>
          <w:color w:val="000000"/>
          <w:sz w:val="22"/>
        </w:rPr>
        <w:t>A7</w:t>
      </w:r>
      <w:r w:rsidRPr="00C2587E">
        <w:rPr>
          <w:color w:val="000000"/>
          <w:sz w:val="22"/>
        </w:rPr>
        <w:t>, the latter shall prevail.</w:t>
      </w:r>
    </w:p>
    <w:p w:rsidR="001A422D" w:rsidRPr="00C2587E" w:rsidRDefault="001A422D" w:rsidP="001A422D">
      <w:pPr>
        <w:ind w:left="567" w:hanging="567"/>
        <w:jc w:val="both"/>
        <w:rPr>
          <w:color w:val="000000"/>
          <w:sz w:val="22"/>
        </w:rPr>
      </w:pPr>
      <w:r w:rsidRPr="00C2587E">
        <w:rPr>
          <w:color w:val="000000"/>
          <w:sz w:val="22"/>
        </w:rPr>
        <w:t> </w:t>
      </w:r>
    </w:p>
    <w:p w:rsidR="001A422D" w:rsidRPr="00C2587E" w:rsidRDefault="001A422D" w:rsidP="001A422D">
      <w:pPr>
        <w:jc w:val="both"/>
        <w:rPr>
          <w:color w:val="000000"/>
        </w:rPr>
      </w:pPr>
      <w:r w:rsidRPr="00C2587E">
        <w:rPr>
          <w:b/>
          <w:color w:val="000000"/>
        </w:rPr>
        <w:t>Article 7 - Other specific conditions applying to the Action</w:t>
      </w:r>
    </w:p>
    <w:p w:rsidR="001A422D" w:rsidRPr="00C2587E" w:rsidRDefault="001A422D" w:rsidP="001A422D">
      <w:pPr>
        <w:jc w:val="both"/>
        <w:rPr>
          <w:color w:val="000000"/>
        </w:rPr>
      </w:pPr>
      <w:r w:rsidRPr="00C2587E">
        <w:rPr>
          <w:color w:val="000000"/>
          <w:sz w:val="22"/>
        </w:rPr>
        <w:t> </w:t>
      </w:r>
    </w:p>
    <w:p w:rsidR="001A422D" w:rsidRPr="00C2587E" w:rsidRDefault="001A422D" w:rsidP="001A422D">
      <w:pPr>
        <w:ind w:left="567" w:hanging="567"/>
        <w:jc w:val="both"/>
        <w:rPr>
          <w:color w:val="000000"/>
        </w:rPr>
      </w:pPr>
      <w:r w:rsidRPr="00C2587E">
        <w:rPr>
          <w:color w:val="000000"/>
          <w:sz w:val="22"/>
        </w:rPr>
        <w:t>7.1</w:t>
      </w:r>
      <w:r>
        <w:rPr>
          <w:color w:val="000000"/>
          <w:sz w:val="22"/>
        </w:rPr>
        <w:tab/>
      </w:r>
      <w:r w:rsidRPr="00C2587E">
        <w:rPr>
          <w:color w:val="000000"/>
          <w:sz w:val="22"/>
        </w:rPr>
        <w:t xml:space="preserve">The General Conditions </w:t>
      </w:r>
      <w:r w:rsidR="00331185">
        <w:rPr>
          <w:color w:val="000000"/>
          <w:sz w:val="22"/>
        </w:rPr>
        <w:t xml:space="preserve">in Annex A2 </w:t>
      </w:r>
      <w:r w:rsidRPr="00C2587E">
        <w:rPr>
          <w:color w:val="000000"/>
          <w:sz w:val="22"/>
        </w:rPr>
        <w:t>are supplemented by the following:</w:t>
      </w:r>
    </w:p>
    <w:p w:rsidR="001A422D" w:rsidRPr="00C2587E" w:rsidRDefault="001A422D" w:rsidP="001A422D">
      <w:pPr>
        <w:ind w:left="567" w:hanging="567"/>
        <w:jc w:val="both"/>
        <w:rPr>
          <w:color w:val="000000"/>
        </w:rPr>
      </w:pPr>
    </w:p>
    <w:p w:rsidR="001A422D" w:rsidRDefault="001A422D" w:rsidP="001A422D">
      <w:pPr>
        <w:ind w:left="1134" w:hanging="567"/>
        <w:jc w:val="both"/>
        <w:rPr>
          <w:color w:val="000000"/>
          <w:sz w:val="22"/>
        </w:rPr>
      </w:pPr>
      <w:r w:rsidRPr="00C2587E">
        <w:rPr>
          <w:color w:val="000000"/>
          <w:sz w:val="22"/>
        </w:rPr>
        <w:t>7.1.1</w:t>
      </w:r>
      <w:r>
        <w:rPr>
          <w:color w:val="000000"/>
          <w:sz w:val="22"/>
        </w:rPr>
        <w:tab/>
        <w:t xml:space="preserve">In </w:t>
      </w:r>
      <w:r w:rsidR="00C74730">
        <w:rPr>
          <w:color w:val="000000"/>
          <w:sz w:val="22"/>
        </w:rPr>
        <w:t>A</w:t>
      </w:r>
      <w:r>
        <w:rPr>
          <w:color w:val="000000"/>
          <w:sz w:val="22"/>
        </w:rPr>
        <w:t>nnexes A2 to A7:</w:t>
      </w:r>
    </w:p>
    <w:p w:rsidR="001A422D" w:rsidRDefault="001A422D" w:rsidP="001A422D">
      <w:pPr>
        <w:ind w:left="1134"/>
        <w:jc w:val="both"/>
        <w:rPr>
          <w:color w:val="000000"/>
          <w:sz w:val="22"/>
        </w:rPr>
      </w:pPr>
      <w:r w:rsidRPr="004012C9">
        <w:rPr>
          <w:color w:val="000000"/>
          <w:sz w:val="22"/>
        </w:rPr>
        <w:t xml:space="preserve">In case of consortium of Member State Partners, the Member State Partner signing the Twinning contract and leading the consortium is referred to as the Lead Member State Partner. </w:t>
      </w:r>
    </w:p>
    <w:p w:rsidR="001A422D" w:rsidRDefault="001A422D" w:rsidP="001A422D">
      <w:pPr>
        <w:ind w:left="1134"/>
        <w:jc w:val="both"/>
        <w:rPr>
          <w:color w:val="000000"/>
          <w:sz w:val="22"/>
        </w:rPr>
      </w:pPr>
      <w:r w:rsidRPr="000E5F13">
        <w:rPr>
          <w:color w:val="000000"/>
          <w:sz w:val="22"/>
        </w:rPr>
        <w:t xml:space="preserve">The term “Beneficiary(ies)” refers collectively to all </w:t>
      </w:r>
      <w:r>
        <w:rPr>
          <w:color w:val="000000"/>
          <w:sz w:val="22"/>
        </w:rPr>
        <w:t>Member State Partners (MSP</w:t>
      </w:r>
      <w:r w:rsidR="00710F79">
        <w:rPr>
          <w:color w:val="000000"/>
          <w:sz w:val="22"/>
        </w:rPr>
        <w:t>s</w:t>
      </w:r>
      <w:r>
        <w:rPr>
          <w:color w:val="000000"/>
          <w:sz w:val="22"/>
        </w:rPr>
        <w:t>)</w:t>
      </w:r>
      <w:r w:rsidRPr="000E5F13">
        <w:rPr>
          <w:color w:val="000000"/>
          <w:sz w:val="22"/>
        </w:rPr>
        <w:t xml:space="preserve">, including the </w:t>
      </w:r>
      <w:r>
        <w:rPr>
          <w:color w:val="000000"/>
          <w:sz w:val="22"/>
        </w:rPr>
        <w:t>Lead Member State Partner</w:t>
      </w:r>
      <w:r w:rsidRPr="000E5F13">
        <w:rPr>
          <w:color w:val="000000"/>
          <w:sz w:val="22"/>
        </w:rPr>
        <w:t xml:space="preserve">. </w:t>
      </w:r>
    </w:p>
    <w:p w:rsidR="001A422D" w:rsidRDefault="001A422D" w:rsidP="001A422D">
      <w:pPr>
        <w:ind w:left="1134"/>
        <w:jc w:val="both"/>
        <w:rPr>
          <w:color w:val="000000"/>
          <w:sz w:val="22"/>
        </w:rPr>
      </w:pPr>
      <w:r>
        <w:rPr>
          <w:color w:val="000000"/>
          <w:sz w:val="22"/>
        </w:rPr>
        <w:t>The term “Coordinator” refers to the Lead Member State Partner.</w:t>
      </w:r>
    </w:p>
    <w:p w:rsidR="001A422D" w:rsidRDefault="001A422D" w:rsidP="001A422D">
      <w:pPr>
        <w:ind w:left="1134"/>
        <w:jc w:val="both"/>
        <w:rPr>
          <w:color w:val="000000"/>
          <w:sz w:val="22"/>
        </w:rPr>
      </w:pPr>
      <w:r w:rsidRPr="000E5F13">
        <w:rPr>
          <w:color w:val="000000"/>
          <w:sz w:val="22"/>
        </w:rPr>
        <w:t xml:space="preserve">When there is only one </w:t>
      </w:r>
      <w:r>
        <w:rPr>
          <w:color w:val="000000"/>
          <w:sz w:val="22"/>
        </w:rPr>
        <w:t>Member State Partner</w:t>
      </w:r>
      <w:r w:rsidRPr="000E5F13">
        <w:rPr>
          <w:color w:val="000000"/>
          <w:sz w:val="22"/>
        </w:rPr>
        <w:t>, the terms Beneficiary(ies) and</w:t>
      </w:r>
      <w:r>
        <w:rPr>
          <w:color w:val="000000"/>
          <w:sz w:val="22"/>
        </w:rPr>
        <w:t xml:space="preserve"> </w:t>
      </w:r>
      <w:r w:rsidRPr="000E5F13">
        <w:rPr>
          <w:color w:val="000000"/>
          <w:sz w:val="22"/>
        </w:rPr>
        <w:t xml:space="preserve">Coordinator should both be understood as referring to the only </w:t>
      </w:r>
      <w:r>
        <w:rPr>
          <w:color w:val="000000"/>
          <w:sz w:val="22"/>
        </w:rPr>
        <w:t>Member State Partner.</w:t>
      </w:r>
    </w:p>
    <w:p w:rsidR="001A422D" w:rsidRPr="00C2587E" w:rsidRDefault="001A422D" w:rsidP="001A422D">
      <w:pPr>
        <w:ind w:left="1440" w:hanging="731"/>
        <w:jc w:val="both"/>
        <w:rPr>
          <w:color w:val="000000"/>
          <w:sz w:val="22"/>
        </w:rPr>
      </w:pPr>
    </w:p>
    <w:p w:rsidR="001A422D" w:rsidRDefault="001A422D" w:rsidP="001A422D">
      <w:pPr>
        <w:ind w:left="1134" w:hanging="567"/>
        <w:jc w:val="both"/>
        <w:rPr>
          <w:color w:val="000000"/>
          <w:sz w:val="22"/>
        </w:rPr>
      </w:pPr>
      <w:r w:rsidRPr="00C2587E">
        <w:rPr>
          <w:color w:val="000000"/>
          <w:sz w:val="22"/>
        </w:rPr>
        <w:t>7.1.</w:t>
      </w:r>
      <w:r w:rsidR="009301EE">
        <w:rPr>
          <w:color w:val="000000"/>
          <w:sz w:val="22"/>
        </w:rPr>
        <w:t>2</w:t>
      </w:r>
      <w:r>
        <w:rPr>
          <w:color w:val="000000"/>
          <w:sz w:val="22"/>
        </w:rPr>
        <w:tab/>
      </w:r>
      <w:r w:rsidRPr="00C2587E">
        <w:rPr>
          <w:color w:val="000000"/>
          <w:sz w:val="22"/>
        </w:rPr>
        <w:t xml:space="preserve">In </w:t>
      </w:r>
      <w:r w:rsidR="00E741B3">
        <w:rPr>
          <w:color w:val="000000"/>
          <w:sz w:val="22"/>
        </w:rPr>
        <w:t>A</w:t>
      </w:r>
      <w:r w:rsidRPr="00C2587E">
        <w:rPr>
          <w:color w:val="000000"/>
          <w:sz w:val="22"/>
        </w:rPr>
        <w:t>rticle</w:t>
      </w:r>
      <w:r w:rsidR="00E741B3">
        <w:rPr>
          <w:color w:val="000000"/>
          <w:sz w:val="22"/>
        </w:rPr>
        <w:t xml:space="preserve">s </w:t>
      </w:r>
      <w:r w:rsidRPr="00C2587E">
        <w:rPr>
          <w:color w:val="000000"/>
          <w:sz w:val="22"/>
        </w:rPr>
        <w:t xml:space="preserve">7.1 </w:t>
      </w:r>
      <w:r>
        <w:rPr>
          <w:color w:val="000000"/>
          <w:sz w:val="22"/>
        </w:rPr>
        <w:t xml:space="preserve">and 7.2 </w:t>
      </w:r>
      <w:r w:rsidRPr="00C2587E">
        <w:rPr>
          <w:color w:val="000000"/>
          <w:sz w:val="22"/>
        </w:rPr>
        <w:t xml:space="preserve">of </w:t>
      </w:r>
      <w:r w:rsidR="00C74730">
        <w:rPr>
          <w:color w:val="000000"/>
          <w:sz w:val="22"/>
        </w:rPr>
        <w:t>A</w:t>
      </w:r>
      <w:r w:rsidRPr="00C2587E">
        <w:rPr>
          <w:color w:val="000000"/>
          <w:sz w:val="22"/>
        </w:rPr>
        <w:t xml:space="preserve">nnex A2, </w:t>
      </w:r>
      <w:r>
        <w:rPr>
          <w:color w:val="000000"/>
          <w:sz w:val="22"/>
        </w:rPr>
        <w:t>the term ’</w:t>
      </w:r>
      <w:r w:rsidRPr="00C2587E">
        <w:rPr>
          <w:color w:val="000000"/>
          <w:sz w:val="22"/>
        </w:rPr>
        <w:t>Beneficiary</w:t>
      </w:r>
      <w:r>
        <w:rPr>
          <w:color w:val="000000"/>
          <w:sz w:val="22"/>
        </w:rPr>
        <w:t>(ies)’</w:t>
      </w:r>
      <w:r w:rsidRPr="00C2587E">
        <w:rPr>
          <w:color w:val="000000"/>
          <w:sz w:val="22"/>
        </w:rPr>
        <w:t xml:space="preserve"> is replaced by ‘the Final Recipient of the Action’.</w:t>
      </w:r>
      <w:r>
        <w:rPr>
          <w:color w:val="000000"/>
          <w:sz w:val="22"/>
        </w:rPr>
        <w:t xml:space="preserve"> Article 7.2 of Annex A2 applies also to any work done by the RTA(s) and other experts mobilised by the MSP(s) in the performance of their duties related to the implementation of the Action.</w:t>
      </w:r>
    </w:p>
    <w:p w:rsidR="001A422D" w:rsidRDefault="001A422D" w:rsidP="001A422D">
      <w:pPr>
        <w:ind w:left="1440" w:hanging="731"/>
        <w:jc w:val="both"/>
        <w:rPr>
          <w:color w:val="000000"/>
          <w:sz w:val="22"/>
        </w:rPr>
      </w:pPr>
    </w:p>
    <w:p w:rsidR="00B543A5" w:rsidRPr="00D15482" w:rsidRDefault="001A422D" w:rsidP="00D15482">
      <w:pPr>
        <w:ind w:left="1134" w:hanging="567"/>
        <w:jc w:val="both"/>
        <w:rPr>
          <w:color w:val="000000"/>
          <w:sz w:val="22"/>
        </w:rPr>
      </w:pPr>
      <w:r>
        <w:rPr>
          <w:color w:val="000000"/>
          <w:sz w:val="22"/>
        </w:rPr>
        <w:t>7.1.</w:t>
      </w:r>
      <w:r w:rsidR="00710F79">
        <w:rPr>
          <w:color w:val="000000"/>
          <w:sz w:val="22"/>
        </w:rPr>
        <w:t>3</w:t>
      </w:r>
      <w:r w:rsidR="009148C3">
        <w:rPr>
          <w:rStyle w:val="FootnoteReference"/>
          <w:color w:val="000000"/>
          <w:sz w:val="22"/>
        </w:rPr>
        <w:footnoteReference w:id="10"/>
      </w:r>
      <w:r w:rsidR="00B543A5" w:rsidRPr="00D15482">
        <w:rPr>
          <w:color w:val="000000"/>
          <w:sz w:val="22"/>
        </w:rPr>
        <w:t>Taxes, including VAT, duties and charges are in principle not eligible for the activities described in Annex A1, in accordance with Article 5 of Regulation (EU) No 236/2014, laying down common rules and procedures for the implementation of the Union's instruments for financing external action.</w:t>
      </w:r>
    </w:p>
    <w:p w:rsidR="001A422D" w:rsidRPr="00D15482" w:rsidRDefault="001A422D" w:rsidP="00D15482">
      <w:pPr>
        <w:autoSpaceDE w:val="0"/>
        <w:autoSpaceDN w:val="0"/>
        <w:adjustRightInd w:val="0"/>
        <w:ind w:left="1134" w:hanging="567"/>
        <w:rPr>
          <w:color w:val="000000"/>
        </w:rPr>
      </w:pPr>
      <w:r w:rsidRPr="00F00A53">
        <w:rPr>
          <w:color w:val="000000"/>
          <w:sz w:val="22"/>
        </w:rPr>
        <w:t>.</w:t>
      </w:r>
    </w:p>
    <w:p w:rsidR="001A422D" w:rsidRPr="00C2587E" w:rsidRDefault="001A422D" w:rsidP="00D15482">
      <w:pPr>
        <w:autoSpaceDE w:val="0"/>
        <w:autoSpaceDN w:val="0"/>
        <w:adjustRightInd w:val="0"/>
        <w:ind w:left="1134" w:hanging="567"/>
        <w:rPr>
          <w:color w:val="000000"/>
        </w:rPr>
      </w:pPr>
    </w:p>
    <w:p w:rsidR="001A422D" w:rsidRPr="00C2587E" w:rsidRDefault="001A422D" w:rsidP="001A422D">
      <w:pPr>
        <w:ind w:left="567" w:hanging="567"/>
        <w:jc w:val="both"/>
        <w:rPr>
          <w:color w:val="000000"/>
          <w:sz w:val="22"/>
        </w:rPr>
      </w:pPr>
      <w:r w:rsidRPr="00C2587E">
        <w:rPr>
          <w:color w:val="000000"/>
          <w:sz w:val="22"/>
        </w:rPr>
        <w:t>7.2</w:t>
      </w:r>
      <w:r>
        <w:rPr>
          <w:color w:val="000000"/>
          <w:sz w:val="22"/>
        </w:rPr>
        <w:tab/>
      </w:r>
      <w:r w:rsidRPr="00C2587E">
        <w:rPr>
          <w:color w:val="000000"/>
          <w:sz w:val="22"/>
        </w:rPr>
        <w:t>The following derogations from the General Conditions shall apply:</w:t>
      </w:r>
    </w:p>
    <w:p w:rsidR="001A422D" w:rsidRPr="00C2587E" w:rsidRDefault="001A422D" w:rsidP="001A422D">
      <w:pPr>
        <w:ind w:left="567" w:hanging="567"/>
        <w:jc w:val="both"/>
        <w:rPr>
          <w:color w:val="000000"/>
          <w:sz w:val="22"/>
        </w:rPr>
      </w:pPr>
    </w:p>
    <w:p w:rsidR="001A422D" w:rsidRPr="00C2587E" w:rsidRDefault="001A422D" w:rsidP="001A422D">
      <w:pPr>
        <w:ind w:left="1134" w:hanging="567"/>
        <w:jc w:val="both"/>
        <w:rPr>
          <w:color w:val="000000"/>
          <w:sz w:val="22"/>
        </w:rPr>
      </w:pPr>
      <w:r w:rsidRPr="00C2587E">
        <w:rPr>
          <w:color w:val="000000"/>
          <w:sz w:val="22"/>
        </w:rPr>
        <w:t>7.2.</w:t>
      </w:r>
      <w:r>
        <w:rPr>
          <w:color w:val="000000"/>
          <w:sz w:val="22"/>
        </w:rPr>
        <w:t>1</w:t>
      </w:r>
      <w:r>
        <w:rPr>
          <w:color w:val="000000"/>
          <w:sz w:val="22"/>
        </w:rPr>
        <w:tab/>
      </w:r>
      <w:r w:rsidRPr="00C2587E">
        <w:rPr>
          <w:color w:val="000000"/>
          <w:sz w:val="22"/>
        </w:rPr>
        <w:t xml:space="preserve">By derogation from </w:t>
      </w:r>
      <w:r w:rsidR="00E741B3">
        <w:rPr>
          <w:color w:val="000000"/>
          <w:sz w:val="22"/>
        </w:rPr>
        <w:t>A</w:t>
      </w:r>
      <w:r w:rsidRPr="00C2587E">
        <w:rPr>
          <w:color w:val="000000"/>
          <w:sz w:val="22"/>
        </w:rPr>
        <w:t>rticle 9.</w:t>
      </w:r>
      <w:r>
        <w:rPr>
          <w:color w:val="000000"/>
          <w:sz w:val="22"/>
        </w:rPr>
        <w:t>4</w:t>
      </w:r>
      <w:r w:rsidRPr="00C2587E">
        <w:rPr>
          <w:color w:val="000000"/>
          <w:sz w:val="22"/>
        </w:rPr>
        <w:t xml:space="preserve"> of </w:t>
      </w:r>
      <w:r>
        <w:rPr>
          <w:color w:val="000000"/>
          <w:sz w:val="22"/>
        </w:rPr>
        <w:t>Annex A2</w:t>
      </w:r>
      <w:r w:rsidRPr="00C2587E">
        <w:rPr>
          <w:color w:val="000000"/>
          <w:sz w:val="22"/>
        </w:rPr>
        <w:t xml:space="preserve">, changes to the Twinning work plan and budget shall be governed by the procedure spelled out in </w:t>
      </w:r>
      <w:r>
        <w:rPr>
          <w:color w:val="000000"/>
          <w:sz w:val="22"/>
        </w:rPr>
        <w:t>A</w:t>
      </w:r>
      <w:r w:rsidRPr="00C2587E">
        <w:rPr>
          <w:color w:val="000000"/>
          <w:sz w:val="22"/>
        </w:rPr>
        <w:t>nnex A7.</w:t>
      </w:r>
    </w:p>
    <w:p w:rsidR="001A422D" w:rsidRPr="00C2587E" w:rsidRDefault="001A422D" w:rsidP="001A422D">
      <w:pPr>
        <w:ind w:left="1134" w:hanging="567"/>
        <w:jc w:val="both"/>
        <w:rPr>
          <w:color w:val="000000"/>
          <w:sz w:val="22"/>
        </w:rPr>
      </w:pPr>
    </w:p>
    <w:p w:rsidR="001A422D" w:rsidRDefault="001A422D" w:rsidP="001A422D">
      <w:pPr>
        <w:ind w:left="1134" w:hanging="567"/>
        <w:jc w:val="both"/>
        <w:rPr>
          <w:color w:val="000000"/>
          <w:sz w:val="22"/>
        </w:rPr>
      </w:pPr>
      <w:r w:rsidRPr="00C2587E">
        <w:rPr>
          <w:color w:val="000000"/>
          <w:sz w:val="22"/>
        </w:rPr>
        <w:t>7.2.</w:t>
      </w:r>
      <w:r>
        <w:rPr>
          <w:color w:val="000000"/>
          <w:sz w:val="22"/>
        </w:rPr>
        <w:t>2</w:t>
      </w:r>
      <w:r w:rsidRPr="00C2587E">
        <w:rPr>
          <w:color w:val="000000"/>
          <w:sz w:val="22"/>
        </w:rPr>
        <w:tab/>
      </w:r>
      <w:r w:rsidR="00903B14">
        <w:rPr>
          <w:color w:val="000000"/>
          <w:sz w:val="22"/>
        </w:rPr>
        <w:t>In addition to</w:t>
      </w:r>
      <w:r w:rsidRPr="00C2587E">
        <w:rPr>
          <w:color w:val="000000"/>
          <w:sz w:val="22"/>
        </w:rPr>
        <w:t xml:space="preserve"> Article 12of </w:t>
      </w:r>
      <w:r>
        <w:rPr>
          <w:color w:val="000000"/>
          <w:sz w:val="22"/>
        </w:rPr>
        <w:t>Annex A2:</w:t>
      </w:r>
    </w:p>
    <w:p w:rsidR="001A422D" w:rsidRPr="0012033F" w:rsidRDefault="001A422D" w:rsidP="001A422D">
      <w:pPr>
        <w:ind w:left="1134" w:hanging="567"/>
        <w:jc w:val="both"/>
        <w:rPr>
          <w:color w:val="000000"/>
          <w:sz w:val="22"/>
        </w:rPr>
      </w:pPr>
      <w:r w:rsidRPr="0012033F">
        <w:rPr>
          <w:i/>
          <w:color w:val="000000"/>
          <w:sz w:val="22"/>
        </w:rPr>
        <w:tab/>
      </w:r>
      <w:r w:rsidRPr="0012033F">
        <w:rPr>
          <w:color w:val="000000"/>
          <w:sz w:val="22"/>
        </w:rPr>
        <w:t>In case of failure by the Final Recipient of the Action to fulfil any of their obligations under the Twinning Contract, or for any other duly substantiated external reason, the MSP(s) may terminate the Twinning Contract by giving three months' notice in writing to the Final Recipient of the Action, after having informed the CA, the Commission Headquarters and the administrative office of the BC.</w:t>
      </w:r>
    </w:p>
    <w:p w:rsidR="001A422D" w:rsidRPr="0012033F" w:rsidRDefault="001A422D" w:rsidP="001A422D">
      <w:pPr>
        <w:ind w:left="1134" w:hanging="567"/>
        <w:jc w:val="both"/>
        <w:rPr>
          <w:color w:val="000000"/>
          <w:sz w:val="22"/>
        </w:rPr>
      </w:pPr>
      <w:r w:rsidRPr="0012033F">
        <w:rPr>
          <w:color w:val="000000"/>
          <w:sz w:val="22"/>
        </w:rPr>
        <w:tab/>
        <w:t>In case of failure by the MSP(s) to fulfil any of their obligations under the Twinning Contract, or for any other duly substantiated external reason, the Final Recipient of the Action may terminate the Twinning Contract by giving three months' notice in writing to the MSP(s), after agreement with the Commission Headquarters and after having informed the CA (where the Commission is not the CA) and the administrative office of the BC.</w:t>
      </w:r>
    </w:p>
    <w:p w:rsidR="001A422D" w:rsidRPr="0012033F" w:rsidRDefault="001A422D" w:rsidP="001A422D">
      <w:pPr>
        <w:ind w:left="1134"/>
        <w:jc w:val="both"/>
        <w:rPr>
          <w:color w:val="000000"/>
          <w:sz w:val="22"/>
        </w:rPr>
      </w:pPr>
      <w:r w:rsidRPr="0012033F">
        <w:rPr>
          <w:color w:val="000000"/>
          <w:sz w:val="22"/>
        </w:rPr>
        <w:t xml:space="preserve">In case of failure by the MSP(s) or by the Final Recipient of the Action to fulfil any of their obligations under the Twinning Contract, or for any other duly substantiated external reason, the CA, after agreement with the Commission (where the Commission is not the Contracting Authority), may halt funding of the Action or terminate the Action by giving three/two </w:t>
      </w:r>
      <w:r w:rsidRPr="000648F4">
        <w:rPr>
          <w:color w:val="000000"/>
          <w:sz w:val="22"/>
        </w:rPr>
        <w:t>months' notice in writing to the MSP(s) and the Final Beneficiary of the Action.</w:t>
      </w:r>
    </w:p>
    <w:p w:rsidR="001A422D" w:rsidRDefault="001A422D" w:rsidP="001A422D">
      <w:pPr>
        <w:ind w:left="567"/>
        <w:jc w:val="both"/>
        <w:rPr>
          <w:color w:val="000000"/>
          <w:sz w:val="22"/>
        </w:rPr>
      </w:pPr>
    </w:p>
    <w:p w:rsidR="001A422D" w:rsidRPr="00C2587E" w:rsidRDefault="001A422D" w:rsidP="001A422D">
      <w:pPr>
        <w:ind w:left="1134" w:hanging="567"/>
        <w:jc w:val="both"/>
        <w:rPr>
          <w:color w:val="000000"/>
          <w:sz w:val="22"/>
        </w:rPr>
      </w:pPr>
      <w:r>
        <w:rPr>
          <w:color w:val="000000"/>
          <w:sz w:val="22"/>
        </w:rPr>
        <w:t>7.2.3.</w:t>
      </w:r>
      <w:r>
        <w:rPr>
          <w:color w:val="000000"/>
          <w:sz w:val="22"/>
        </w:rPr>
        <w:tab/>
      </w:r>
      <w:r w:rsidRPr="00C2587E">
        <w:rPr>
          <w:color w:val="000000"/>
          <w:sz w:val="22"/>
        </w:rPr>
        <w:t>By derogation from Articles 13.3 and 13.4 of Annex A2, the following procedure for settlement of disputes shall apply:</w:t>
      </w:r>
    </w:p>
    <w:p w:rsidR="001A422D" w:rsidRPr="00C2587E" w:rsidRDefault="001A422D" w:rsidP="001A422D">
      <w:pPr>
        <w:ind w:left="1134"/>
        <w:jc w:val="both"/>
        <w:rPr>
          <w:snapToGrid w:val="0"/>
          <w:color w:val="000000"/>
          <w:sz w:val="22"/>
          <w:lang w:eastAsia="en-US"/>
        </w:rPr>
      </w:pPr>
      <w:r w:rsidRPr="00C2587E">
        <w:rPr>
          <w:snapToGrid w:val="0"/>
          <w:color w:val="000000"/>
          <w:sz w:val="22"/>
          <w:lang w:eastAsia="en-US"/>
        </w:rPr>
        <w:t>The Parties shall endeavour to settle amicably any dispute or complaint relating to the interpretation, application or fulfilment of this Twinning Contract, including its existence, validity or termination. In default of amicable settlement, any Party may refer the matter to arbitration in accordance with the Permanent Court of Arbitration Optional Rules for Arbitration Involving International Organisations and States in force at the date of this Agreement.</w:t>
      </w:r>
    </w:p>
    <w:p w:rsidR="001A422D" w:rsidRPr="00C2587E" w:rsidRDefault="001A422D" w:rsidP="001A422D">
      <w:pPr>
        <w:ind w:left="1134"/>
        <w:jc w:val="both"/>
        <w:rPr>
          <w:snapToGrid w:val="0"/>
          <w:color w:val="000000"/>
          <w:sz w:val="22"/>
          <w:lang w:eastAsia="en-US"/>
        </w:rPr>
      </w:pPr>
      <w:r w:rsidRPr="00C2587E">
        <w:rPr>
          <w:snapToGrid w:val="0"/>
          <w:color w:val="000000"/>
          <w:sz w:val="22"/>
          <w:lang w:eastAsia="en-US"/>
        </w:rPr>
        <w:t xml:space="preserve">The language to be used in the arbitral proceedings shall be English, French or German. The appointing authority shall be the President of the Court of Justice of the European </w:t>
      </w:r>
      <w:r>
        <w:rPr>
          <w:snapToGrid w:val="0"/>
          <w:color w:val="000000"/>
          <w:sz w:val="22"/>
          <w:lang w:eastAsia="en-US"/>
        </w:rPr>
        <w:t>Union</w:t>
      </w:r>
      <w:r w:rsidRPr="00C2587E">
        <w:rPr>
          <w:snapToGrid w:val="0"/>
          <w:color w:val="000000"/>
          <w:sz w:val="22"/>
          <w:lang w:eastAsia="en-US"/>
        </w:rPr>
        <w:t xml:space="preserve"> following a written request submitted by either Party. The Arbitrator’s decision shall be binding on all Parties and there shall be no appeal.</w:t>
      </w:r>
    </w:p>
    <w:p w:rsidR="001A422D" w:rsidRPr="00C2587E" w:rsidRDefault="001A422D" w:rsidP="001A422D">
      <w:pPr>
        <w:ind w:left="1134"/>
        <w:jc w:val="both"/>
        <w:rPr>
          <w:snapToGrid w:val="0"/>
          <w:color w:val="000000"/>
          <w:sz w:val="22"/>
          <w:lang w:eastAsia="en-US"/>
        </w:rPr>
      </w:pPr>
    </w:p>
    <w:p w:rsidR="001A422D" w:rsidRDefault="001A422D" w:rsidP="001A422D">
      <w:pPr>
        <w:ind w:left="1134" w:hanging="567"/>
        <w:jc w:val="both"/>
        <w:rPr>
          <w:color w:val="000000"/>
          <w:sz w:val="22"/>
        </w:rPr>
      </w:pPr>
      <w:r w:rsidRPr="00C2587E">
        <w:rPr>
          <w:color w:val="000000"/>
          <w:sz w:val="22"/>
        </w:rPr>
        <w:t>7.2.</w:t>
      </w:r>
      <w:r>
        <w:rPr>
          <w:color w:val="000000"/>
          <w:sz w:val="22"/>
        </w:rPr>
        <w:t>4</w:t>
      </w:r>
      <w:r>
        <w:rPr>
          <w:color w:val="000000"/>
          <w:sz w:val="22"/>
        </w:rPr>
        <w:tab/>
      </w:r>
      <w:r w:rsidR="00D91F51" w:rsidRPr="00D91F51">
        <w:rPr>
          <w:color w:val="000000"/>
          <w:sz w:val="22"/>
        </w:rPr>
        <w:t>In accordance with Article 14.3 of Annex A2, eligible costs may also be constituted by unit costs (fee per day worked in the Beneficiary Country and per diems) and flat-rate financing (twinning management costs and 6% of salary and non-wage labour costs for the RTA), as defined in section 3.5 of Annex A7 and in the Common Twinning Manual</w:t>
      </w:r>
    </w:p>
    <w:p w:rsidR="001A422D" w:rsidRDefault="001A422D" w:rsidP="001A422D">
      <w:pPr>
        <w:ind w:left="1134"/>
        <w:jc w:val="both"/>
        <w:rPr>
          <w:color w:val="000000"/>
          <w:sz w:val="22"/>
        </w:rPr>
      </w:pPr>
    </w:p>
    <w:p w:rsidR="001A422D" w:rsidRDefault="001A422D" w:rsidP="001A422D">
      <w:pPr>
        <w:ind w:left="1134" w:hanging="567"/>
        <w:jc w:val="both"/>
        <w:rPr>
          <w:color w:val="000000"/>
          <w:sz w:val="22"/>
        </w:rPr>
      </w:pPr>
      <w:r w:rsidRPr="00700AC4">
        <w:rPr>
          <w:color w:val="000000"/>
          <w:sz w:val="22"/>
        </w:rPr>
        <w:t>7.2.</w:t>
      </w:r>
      <w:r>
        <w:rPr>
          <w:color w:val="000000"/>
          <w:sz w:val="22"/>
        </w:rPr>
        <w:t>5</w:t>
      </w:r>
      <w:r w:rsidRPr="00700AC4">
        <w:rPr>
          <w:color w:val="000000"/>
          <w:sz w:val="22"/>
        </w:rPr>
        <w:tab/>
        <w:t>By derogation to Article 14.4 of Annex A2, the first paragraph of Article 14.4 shall not apply.</w:t>
      </w:r>
    </w:p>
    <w:p w:rsidR="001A422D" w:rsidRDefault="001A422D" w:rsidP="001A422D">
      <w:pPr>
        <w:ind w:left="1134" w:hanging="567"/>
        <w:jc w:val="both"/>
        <w:rPr>
          <w:color w:val="000000"/>
          <w:sz w:val="22"/>
        </w:rPr>
      </w:pPr>
    </w:p>
    <w:p w:rsidR="00B82BC2" w:rsidRDefault="001A422D" w:rsidP="001A422D">
      <w:pPr>
        <w:ind w:left="1134" w:hanging="567"/>
        <w:jc w:val="both"/>
        <w:rPr>
          <w:color w:val="000000"/>
          <w:sz w:val="22"/>
        </w:rPr>
      </w:pPr>
      <w:r>
        <w:rPr>
          <w:color w:val="000000"/>
          <w:sz w:val="22"/>
        </w:rPr>
        <w:t>7.2.6</w:t>
      </w:r>
      <w:r>
        <w:rPr>
          <w:color w:val="000000"/>
          <w:sz w:val="22"/>
        </w:rPr>
        <w:tab/>
        <w:t xml:space="preserve">By derogation to Article 14.5 of Annex A2, the </w:t>
      </w:r>
      <w:r w:rsidRPr="009339B0">
        <w:rPr>
          <w:color w:val="000000"/>
          <w:sz w:val="22"/>
        </w:rPr>
        <w:t>total amount of financing on the basis of</w:t>
      </w:r>
      <w:r>
        <w:rPr>
          <w:color w:val="000000"/>
          <w:sz w:val="22"/>
        </w:rPr>
        <w:t xml:space="preserve"> simplified costs options as defined in Article 7.2.4 above may exceed EUR 60 000.</w:t>
      </w:r>
      <w:r w:rsidR="00B82BC2" w:rsidDel="00B82BC2">
        <w:rPr>
          <w:color w:val="000000"/>
          <w:sz w:val="22"/>
        </w:rPr>
        <w:t xml:space="preserve"> </w:t>
      </w:r>
    </w:p>
    <w:p w:rsidR="001A422D" w:rsidRDefault="001A422D" w:rsidP="001A422D">
      <w:pPr>
        <w:ind w:left="1134" w:hanging="567"/>
        <w:jc w:val="both"/>
        <w:rPr>
          <w:color w:val="000000"/>
          <w:sz w:val="22"/>
        </w:rPr>
      </w:pPr>
    </w:p>
    <w:p w:rsidR="001A422D" w:rsidRDefault="001A422D" w:rsidP="001A422D">
      <w:pPr>
        <w:ind w:left="1134" w:hanging="567"/>
        <w:jc w:val="both"/>
        <w:rPr>
          <w:color w:val="000000"/>
          <w:sz w:val="22"/>
        </w:rPr>
      </w:pPr>
      <w:r>
        <w:rPr>
          <w:color w:val="000000"/>
          <w:sz w:val="22"/>
        </w:rPr>
        <w:t>7.2.7</w:t>
      </w:r>
      <w:r>
        <w:rPr>
          <w:color w:val="000000"/>
          <w:sz w:val="22"/>
        </w:rPr>
        <w:tab/>
      </w:r>
      <w:r w:rsidRPr="00C2587E">
        <w:rPr>
          <w:color w:val="000000"/>
          <w:sz w:val="22"/>
        </w:rPr>
        <w:t>Articles</w:t>
      </w:r>
      <w:r>
        <w:rPr>
          <w:color w:val="000000"/>
          <w:sz w:val="22"/>
        </w:rPr>
        <w:t xml:space="preserve"> 14.6,</w:t>
      </w:r>
      <w:r w:rsidRPr="00C2587E">
        <w:rPr>
          <w:color w:val="000000"/>
          <w:sz w:val="22"/>
        </w:rPr>
        <w:t xml:space="preserve"> 14.</w:t>
      </w:r>
      <w:r>
        <w:rPr>
          <w:color w:val="000000"/>
          <w:sz w:val="22"/>
        </w:rPr>
        <w:t>7</w:t>
      </w:r>
      <w:r w:rsidRPr="00C2587E">
        <w:rPr>
          <w:color w:val="000000"/>
          <w:sz w:val="22"/>
        </w:rPr>
        <w:t xml:space="preserve"> and 14.</w:t>
      </w:r>
      <w:r>
        <w:rPr>
          <w:color w:val="000000"/>
          <w:sz w:val="22"/>
        </w:rPr>
        <w:t>8</w:t>
      </w:r>
      <w:r w:rsidRPr="00C2587E">
        <w:rPr>
          <w:color w:val="000000"/>
          <w:sz w:val="22"/>
        </w:rPr>
        <w:t xml:space="preserve"> of </w:t>
      </w:r>
      <w:r>
        <w:rPr>
          <w:color w:val="000000"/>
          <w:sz w:val="22"/>
        </w:rPr>
        <w:t>Annex A2</w:t>
      </w:r>
      <w:r w:rsidRPr="00C2587E">
        <w:rPr>
          <w:color w:val="000000"/>
          <w:sz w:val="22"/>
        </w:rPr>
        <w:t xml:space="preserve"> shall not apply.</w:t>
      </w:r>
    </w:p>
    <w:p w:rsidR="008319C8" w:rsidRDefault="008319C8" w:rsidP="001A422D">
      <w:pPr>
        <w:ind w:left="1134" w:hanging="567"/>
        <w:jc w:val="both"/>
        <w:rPr>
          <w:color w:val="000000"/>
          <w:sz w:val="22"/>
        </w:rPr>
      </w:pPr>
    </w:p>
    <w:p w:rsidR="008319C8" w:rsidRDefault="008319C8" w:rsidP="001A422D">
      <w:pPr>
        <w:ind w:left="1134" w:hanging="567"/>
        <w:jc w:val="both"/>
        <w:rPr>
          <w:color w:val="000000"/>
          <w:sz w:val="22"/>
        </w:rPr>
      </w:pPr>
      <w:r w:rsidRPr="006056A4">
        <w:rPr>
          <w:bCs/>
          <w:iCs/>
          <w:sz w:val="22"/>
          <w:szCs w:val="22"/>
        </w:rPr>
        <w:t>7.2.8</w:t>
      </w:r>
      <w:r>
        <w:rPr>
          <w:bCs/>
          <w:iCs/>
        </w:rPr>
        <w:t xml:space="preserve"> </w:t>
      </w:r>
      <w:r w:rsidRPr="00BA4905">
        <w:rPr>
          <w:bCs/>
          <w:iCs/>
          <w:sz w:val="22"/>
          <w:szCs w:val="22"/>
        </w:rPr>
        <w:t>By derogation to Article 14.9 h) of Annex A2, salary costs of the personnel of national administrations are eligible to the extent that they relate to the cost of activities which the relevant publi</w:t>
      </w:r>
      <w:bookmarkStart w:id="0" w:name="_GoBack"/>
      <w:bookmarkEnd w:id="0"/>
      <w:r w:rsidRPr="00BA4905">
        <w:rPr>
          <w:bCs/>
          <w:iCs/>
          <w:sz w:val="22"/>
          <w:szCs w:val="22"/>
        </w:rPr>
        <w:t>c authority would not carry out if the Action were not undertaken.</w:t>
      </w:r>
    </w:p>
    <w:p w:rsidR="001A422D" w:rsidRPr="00AA4DF2" w:rsidRDefault="001A422D" w:rsidP="001A422D">
      <w:pPr>
        <w:ind w:firstLine="567"/>
        <w:jc w:val="both"/>
        <w:rPr>
          <w:color w:val="000000"/>
          <w:sz w:val="22"/>
        </w:rPr>
      </w:pPr>
    </w:p>
    <w:p w:rsidR="001A422D" w:rsidRDefault="001A422D" w:rsidP="001A422D">
      <w:pPr>
        <w:ind w:left="1134" w:hanging="567"/>
        <w:jc w:val="both"/>
        <w:rPr>
          <w:color w:val="000000"/>
          <w:sz w:val="22"/>
        </w:rPr>
      </w:pPr>
      <w:r w:rsidRPr="00C2587E">
        <w:rPr>
          <w:color w:val="000000"/>
          <w:sz w:val="22"/>
        </w:rPr>
        <w:t>7.2.</w:t>
      </w:r>
      <w:r w:rsidR="007348A7">
        <w:rPr>
          <w:color w:val="000000"/>
          <w:sz w:val="22"/>
        </w:rPr>
        <w:t>9</w:t>
      </w:r>
      <w:r>
        <w:rPr>
          <w:color w:val="000000"/>
          <w:sz w:val="22"/>
        </w:rPr>
        <w:tab/>
      </w:r>
      <w:r w:rsidRPr="00C2587E">
        <w:rPr>
          <w:color w:val="000000"/>
          <w:sz w:val="22"/>
        </w:rPr>
        <w:t xml:space="preserve">The last sentence of article </w:t>
      </w:r>
      <w:r w:rsidRPr="00F00A53">
        <w:rPr>
          <w:color w:val="000000"/>
          <w:sz w:val="22"/>
        </w:rPr>
        <w:t>15.2</w:t>
      </w:r>
      <w:r>
        <w:rPr>
          <w:color w:val="000000"/>
          <w:sz w:val="22"/>
        </w:rPr>
        <w:t xml:space="preserve"> </w:t>
      </w:r>
      <w:r w:rsidRPr="00D534D4">
        <w:rPr>
          <w:color w:val="000000"/>
          <w:sz w:val="22"/>
        </w:rPr>
        <w:t>of</w:t>
      </w:r>
      <w:r w:rsidRPr="00C2587E">
        <w:rPr>
          <w:color w:val="000000"/>
          <w:sz w:val="22"/>
        </w:rPr>
        <w:t xml:space="preserve"> </w:t>
      </w:r>
      <w:r>
        <w:rPr>
          <w:color w:val="000000"/>
          <w:sz w:val="22"/>
        </w:rPr>
        <w:t>Annex A2</w:t>
      </w:r>
      <w:r w:rsidRPr="00C2587E">
        <w:rPr>
          <w:color w:val="000000"/>
          <w:sz w:val="22"/>
        </w:rPr>
        <w:t xml:space="preserve"> (</w:t>
      </w:r>
      <w:r>
        <w:rPr>
          <w:color w:val="000000"/>
          <w:sz w:val="22"/>
        </w:rPr>
        <w:t>e</w:t>
      </w:r>
      <w:r w:rsidRPr="00C2587E">
        <w:rPr>
          <w:color w:val="000000"/>
          <w:sz w:val="22"/>
        </w:rPr>
        <w:t>xtension of the deadline for submission of the final report) shall not apply.</w:t>
      </w:r>
    </w:p>
    <w:p w:rsidR="001A422D" w:rsidRDefault="001A422D" w:rsidP="001A422D">
      <w:pPr>
        <w:ind w:left="1134" w:hanging="567"/>
        <w:jc w:val="both"/>
        <w:rPr>
          <w:color w:val="000000"/>
          <w:sz w:val="22"/>
        </w:rPr>
      </w:pPr>
    </w:p>
    <w:p w:rsidR="001A422D" w:rsidRPr="00C2587E" w:rsidRDefault="001A422D" w:rsidP="006056A4">
      <w:pPr>
        <w:ind w:left="1191" w:hanging="624"/>
        <w:jc w:val="both"/>
        <w:rPr>
          <w:color w:val="000000"/>
          <w:sz w:val="22"/>
        </w:rPr>
      </w:pPr>
      <w:r>
        <w:rPr>
          <w:color w:val="000000"/>
          <w:sz w:val="22"/>
        </w:rPr>
        <w:t>7.2.</w:t>
      </w:r>
      <w:r w:rsidR="007348A7">
        <w:rPr>
          <w:color w:val="000000"/>
          <w:sz w:val="22"/>
        </w:rPr>
        <w:t>10</w:t>
      </w:r>
      <w:r>
        <w:rPr>
          <w:color w:val="000000"/>
          <w:sz w:val="22"/>
        </w:rPr>
        <w:tab/>
        <w:t xml:space="preserve">By derogation to Article 15.4 of Annex A2, the initial pre-financing payment shall be made within 30 days of </w:t>
      </w:r>
      <w:r w:rsidRPr="00C2587E">
        <w:rPr>
          <w:snapToGrid w:val="0"/>
          <w:color w:val="000000"/>
          <w:sz w:val="22"/>
        </w:rPr>
        <w:t>the date of notification by the Contracting Authority of the contract signed by all parties</w:t>
      </w:r>
      <w:r>
        <w:rPr>
          <w:color w:val="000000"/>
          <w:sz w:val="22"/>
        </w:rPr>
        <w:t>.</w:t>
      </w:r>
    </w:p>
    <w:p w:rsidR="001A422D" w:rsidRPr="00C2587E" w:rsidRDefault="001A422D" w:rsidP="001A422D">
      <w:pPr>
        <w:ind w:left="1134" w:hanging="567"/>
        <w:jc w:val="both"/>
        <w:rPr>
          <w:color w:val="000000"/>
          <w:sz w:val="22"/>
        </w:rPr>
      </w:pPr>
    </w:p>
    <w:p w:rsidR="001A422D" w:rsidRPr="00C2587E" w:rsidRDefault="001A422D" w:rsidP="006056A4">
      <w:pPr>
        <w:ind w:left="1191" w:hanging="624"/>
        <w:jc w:val="both"/>
        <w:rPr>
          <w:color w:val="000000"/>
          <w:sz w:val="22"/>
        </w:rPr>
      </w:pPr>
      <w:r w:rsidRPr="00C2587E">
        <w:rPr>
          <w:color w:val="000000"/>
          <w:sz w:val="22"/>
        </w:rPr>
        <w:t>7.2.</w:t>
      </w:r>
      <w:r>
        <w:rPr>
          <w:color w:val="000000"/>
          <w:sz w:val="22"/>
        </w:rPr>
        <w:t>1</w:t>
      </w:r>
      <w:r w:rsidR="007348A7">
        <w:rPr>
          <w:color w:val="000000"/>
          <w:sz w:val="22"/>
        </w:rPr>
        <w:t>1</w:t>
      </w:r>
      <w:r>
        <w:rPr>
          <w:color w:val="000000"/>
          <w:sz w:val="22"/>
        </w:rPr>
        <w:tab/>
      </w:r>
      <w:r w:rsidRPr="00C2587E">
        <w:rPr>
          <w:color w:val="000000"/>
          <w:sz w:val="22"/>
        </w:rPr>
        <w:t>The expenditure verification report of Article 15.</w:t>
      </w:r>
      <w:r>
        <w:rPr>
          <w:color w:val="000000"/>
          <w:sz w:val="22"/>
        </w:rPr>
        <w:t>7</w:t>
      </w:r>
      <w:r w:rsidRPr="00C2587E">
        <w:rPr>
          <w:color w:val="000000"/>
          <w:sz w:val="22"/>
        </w:rPr>
        <w:t xml:space="preserve"> </w:t>
      </w:r>
      <w:r>
        <w:rPr>
          <w:color w:val="000000"/>
          <w:sz w:val="22"/>
        </w:rPr>
        <w:t xml:space="preserve">of Annex A2 </w:t>
      </w:r>
      <w:r w:rsidRPr="00C2587E">
        <w:rPr>
          <w:color w:val="000000"/>
          <w:sz w:val="22"/>
        </w:rPr>
        <w:t xml:space="preserve">is only required for the final payment. The auditor </w:t>
      </w:r>
      <w:r>
        <w:rPr>
          <w:color w:val="000000"/>
          <w:sz w:val="22"/>
        </w:rPr>
        <w:t xml:space="preserve">is </w:t>
      </w:r>
      <w:r w:rsidRPr="00C2587E">
        <w:rPr>
          <w:color w:val="000000"/>
          <w:sz w:val="22"/>
        </w:rPr>
        <w:t xml:space="preserve">designated in accordance with </w:t>
      </w:r>
      <w:r w:rsidR="008D72B1">
        <w:rPr>
          <w:color w:val="000000"/>
          <w:sz w:val="22"/>
        </w:rPr>
        <w:t>legal obligations</w:t>
      </w:r>
      <w:r w:rsidRPr="00C2587E">
        <w:rPr>
          <w:color w:val="000000"/>
          <w:sz w:val="22"/>
        </w:rPr>
        <w:t xml:space="preserve"> </w:t>
      </w:r>
      <w:r w:rsidR="008D72B1">
        <w:rPr>
          <w:color w:val="000000"/>
          <w:sz w:val="22"/>
        </w:rPr>
        <w:t>applicable to</w:t>
      </w:r>
      <w:r w:rsidR="008D72B1" w:rsidRPr="00C2587E">
        <w:rPr>
          <w:color w:val="000000"/>
          <w:sz w:val="22"/>
        </w:rPr>
        <w:t xml:space="preserve"> </w:t>
      </w:r>
      <w:r w:rsidRPr="00C2587E">
        <w:rPr>
          <w:color w:val="000000"/>
          <w:sz w:val="22"/>
        </w:rPr>
        <w:t xml:space="preserve"> the</w:t>
      </w:r>
      <w:r w:rsidR="00C77C11">
        <w:rPr>
          <w:color w:val="000000"/>
          <w:sz w:val="22"/>
        </w:rPr>
        <w:t xml:space="preserve"> </w:t>
      </w:r>
      <w:r w:rsidR="008D72B1">
        <w:rPr>
          <w:color w:val="000000"/>
          <w:sz w:val="22"/>
        </w:rPr>
        <w:t>Member State Partners</w:t>
      </w:r>
      <w:r>
        <w:rPr>
          <w:rStyle w:val="FootnoteReference"/>
          <w:color w:val="000000"/>
          <w:sz w:val="22"/>
        </w:rPr>
        <w:footnoteReference w:id="11"/>
      </w:r>
    </w:p>
    <w:p w:rsidR="001A422D" w:rsidRPr="00C2587E" w:rsidRDefault="001A422D" w:rsidP="001A422D">
      <w:pPr>
        <w:ind w:left="1134" w:hanging="567"/>
        <w:jc w:val="both"/>
        <w:rPr>
          <w:color w:val="000000"/>
          <w:sz w:val="22"/>
        </w:rPr>
      </w:pPr>
    </w:p>
    <w:p w:rsidR="001A422D" w:rsidRDefault="001A422D" w:rsidP="006056A4">
      <w:pPr>
        <w:ind w:left="1191" w:hanging="624"/>
        <w:jc w:val="both"/>
        <w:rPr>
          <w:color w:val="000000"/>
          <w:sz w:val="22"/>
        </w:rPr>
      </w:pPr>
      <w:r>
        <w:rPr>
          <w:color w:val="000000"/>
          <w:sz w:val="22"/>
        </w:rPr>
        <w:t>7.2.1</w:t>
      </w:r>
      <w:r w:rsidR="007348A7">
        <w:rPr>
          <w:color w:val="000000"/>
          <w:sz w:val="22"/>
        </w:rPr>
        <w:t>2</w:t>
      </w:r>
      <w:r>
        <w:rPr>
          <w:color w:val="000000"/>
          <w:sz w:val="22"/>
        </w:rPr>
        <w:tab/>
        <w:t xml:space="preserve">By derogation to Article 15.7 of Annex A2, a detailed breakdown of expenditure shall be submitted in support of each request for further pre-financing payment. This detailed breakdown of expenditure shall consist in the financial section of the narrative reports </w:t>
      </w:r>
      <w:r w:rsidRPr="005574B1">
        <w:rPr>
          <w:color w:val="000000"/>
          <w:sz w:val="22"/>
        </w:rPr>
        <w:t>produced in compliance with Articles 2 and</w:t>
      </w:r>
      <w:r>
        <w:rPr>
          <w:color w:val="000000"/>
          <w:sz w:val="22"/>
        </w:rPr>
        <w:t xml:space="preserve"> 15</w:t>
      </w:r>
      <w:r w:rsidRPr="005574B1">
        <w:rPr>
          <w:color w:val="000000"/>
          <w:sz w:val="22"/>
        </w:rPr>
        <w:t xml:space="preserve"> of Annex A2</w:t>
      </w:r>
      <w:r>
        <w:rPr>
          <w:color w:val="000000"/>
          <w:sz w:val="22"/>
        </w:rPr>
        <w:t>, provided that this financial section complies with the requirements for a detailed breakdown of expenditure that are defined in paragraphs 4, 5 and 6 of Article 15.7 of Annex A2.</w:t>
      </w:r>
    </w:p>
    <w:p w:rsidR="001A422D" w:rsidRDefault="001A422D" w:rsidP="001A422D">
      <w:pPr>
        <w:ind w:left="1134" w:hanging="567"/>
        <w:jc w:val="both"/>
        <w:rPr>
          <w:color w:val="000000"/>
          <w:sz w:val="22"/>
        </w:rPr>
      </w:pPr>
    </w:p>
    <w:p w:rsidR="001A422D" w:rsidRDefault="001A422D" w:rsidP="006056A4">
      <w:pPr>
        <w:ind w:left="1191" w:hanging="624"/>
        <w:jc w:val="both"/>
        <w:rPr>
          <w:color w:val="000000"/>
          <w:sz w:val="22"/>
        </w:rPr>
      </w:pPr>
      <w:r>
        <w:rPr>
          <w:color w:val="000000"/>
          <w:sz w:val="22"/>
        </w:rPr>
        <w:t>7.2.1</w:t>
      </w:r>
      <w:r w:rsidR="007348A7">
        <w:rPr>
          <w:color w:val="000000"/>
          <w:sz w:val="22"/>
        </w:rPr>
        <w:t>3</w:t>
      </w:r>
      <w:r>
        <w:rPr>
          <w:color w:val="000000"/>
          <w:sz w:val="22"/>
        </w:rPr>
        <w:tab/>
      </w:r>
      <w:r w:rsidRPr="007B345B">
        <w:rPr>
          <w:color w:val="000000"/>
          <w:sz w:val="22"/>
          <w:szCs w:val="22"/>
        </w:rPr>
        <w:t xml:space="preserve">By derogation </w:t>
      </w:r>
      <w:r>
        <w:rPr>
          <w:color w:val="000000"/>
          <w:sz w:val="22"/>
          <w:szCs w:val="22"/>
        </w:rPr>
        <w:t>to</w:t>
      </w:r>
      <w:r w:rsidRPr="007B345B">
        <w:rPr>
          <w:color w:val="000000"/>
          <w:sz w:val="22"/>
          <w:szCs w:val="22"/>
        </w:rPr>
        <w:t xml:space="preserve"> Article 15.9 of </w:t>
      </w:r>
      <w:r>
        <w:rPr>
          <w:color w:val="000000"/>
          <w:sz w:val="22"/>
          <w:szCs w:val="22"/>
        </w:rPr>
        <w:t>Annex A2</w:t>
      </w:r>
      <w:r w:rsidRPr="007B345B">
        <w:rPr>
          <w:color w:val="000000"/>
          <w:sz w:val="22"/>
          <w:szCs w:val="22"/>
        </w:rPr>
        <w:t>, costs incurred in other currencies are converted in Euro at the rate published by the Directorate General of the European Commission for Budget, at InforEuro</w:t>
      </w:r>
      <w:r>
        <w:rPr>
          <w:color w:val="000000"/>
          <w:sz w:val="22"/>
          <w:szCs w:val="22"/>
        </w:rPr>
        <w:t xml:space="preserve"> (</w:t>
      </w:r>
      <w:hyperlink r:id="rId8" w:history="1">
        <w:r w:rsidRPr="007B345B">
          <w:rPr>
            <w:rStyle w:val="Hyperlink"/>
            <w:sz w:val="22"/>
            <w:szCs w:val="22"/>
          </w:rPr>
          <w:t>http://ec.europa.eu/budget/inforeuro/index.cfm</w:t>
        </w:r>
      </w:hyperlink>
      <w:r>
        <w:rPr>
          <w:color w:val="000000"/>
          <w:sz w:val="22"/>
          <w:szCs w:val="22"/>
        </w:rPr>
        <w:t>)</w:t>
      </w:r>
      <w:r w:rsidRPr="007B345B">
        <w:rPr>
          <w:color w:val="000000"/>
          <w:sz w:val="22"/>
          <w:szCs w:val="22"/>
        </w:rPr>
        <w:t xml:space="preserve"> for the month in which the expenditure is incurred</w:t>
      </w:r>
      <w:r>
        <w:rPr>
          <w:color w:val="000000"/>
          <w:sz w:val="22"/>
          <w:szCs w:val="22"/>
        </w:rPr>
        <w:t>.</w:t>
      </w:r>
    </w:p>
    <w:p w:rsidR="00C377FC" w:rsidRPr="00C2587E" w:rsidRDefault="00C377FC" w:rsidP="001A422D">
      <w:pPr>
        <w:ind w:left="1134" w:hanging="567"/>
        <w:jc w:val="both"/>
        <w:rPr>
          <w:color w:val="000000"/>
          <w:sz w:val="22"/>
        </w:rPr>
      </w:pPr>
    </w:p>
    <w:p w:rsidR="000C00AD" w:rsidRPr="00D15482" w:rsidRDefault="001A422D" w:rsidP="006056A4">
      <w:pPr>
        <w:ind w:left="1191" w:hanging="624"/>
        <w:jc w:val="both"/>
        <w:rPr>
          <w:color w:val="000000"/>
          <w:sz w:val="22"/>
        </w:rPr>
      </w:pPr>
      <w:r w:rsidRPr="00C2587E">
        <w:rPr>
          <w:color w:val="000000"/>
          <w:sz w:val="22"/>
        </w:rPr>
        <w:t>7.2.</w:t>
      </w:r>
      <w:r>
        <w:rPr>
          <w:color w:val="000000"/>
          <w:sz w:val="22"/>
        </w:rPr>
        <w:t>1</w:t>
      </w:r>
      <w:r w:rsidR="007348A7">
        <w:rPr>
          <w:color w:val="000000"/>
          <w:sz w:val="22"/>
        </w:rPr>
        <w:t>4</w:t>
      </w:r>
      <w:r>
        <w:rPr>
          <w:color w:val="000000"/>
          <w:sz w:val="22"/>
        </w:rPr>
        <w:tab/>
      </w:r>
      <w:r w:rsidRPr="00C2587E">
        <w:rPr>
          <w:color w:val="000000"/>
          <w:sz w:val="22"/>
        </w:rPr>
        <w:t xml:space="preserve">A </w:t>
      </w:r>
      <w:r w:rsidRPr="00D15482">
        <w:rPr>
          <w:color w:val="000000"/>
          <w:sz w:val="22"/>
        </w:rPr>
        <w:t>Privacy statement is publicly available on the twinning website at the following address:</w:t>
      </w:r>
      <w:hyperlink r:id="rId9" w:history="1">
        <w:r w:rsidR="000C00AD" w:rsidRPr="00D15482">
          <w:rPr>
            <w:rStyle w:val="Hyperlink"/>
          </w:rPr>
          <w:t>http://ec.europa.eu/enlargement/pdf/financial_assistance/institution_building/2016/2016-twinning-privacy-statement.pdf</w:t>
        </w:r>
      </w:hyperlink>
    </w:p>
    <w:p w:rsidR="001A422D" w:rsidRDefault="001A422D" w:rsidP="006056A4">
      <w:pPr>
        <w:ind w:left="1191"/>
        <w:jc w:val="both"/>
        <w:rPr>
          <w:color w:val="000000"/>
          <w:sz w:val="22"/>
        </w:rPr>
      </w:pPr>
      <w:r w:rsidRPr="00D15482">
        <w:rPr>
          <w:color w:val="000000"/>
          <w:sz w:val="22"/>
        </w:rPr>
        <w:t>The information contained therein applies to this Twinning contract.</w:t>
      </w:r>
    </w:p>
    <w:p w:rsidR="001A422D" w:rsidRDefault="001A422D" w:rsidP="001A422D">
      <w:pPr>
        <w:ind w:left="1134" w:hanging="567"/>
        <w:jc w:val="both"/>
        <w:rPr>
          <w:color w:val="000000"/>
          <w:sz w:val="22"/>
        </w:rPr>
      </w:pPr>
    </w:p>
    <w:p w:rsidR="001A422D" w:rsidRDefault="001A422D" w:rsidP="006056A4">
      <w:pPr>
        <w:ind w:left="1191" w:hanging="624"/>
        <w:jc w:val="both"/>
        <w:rPr>
          <w:color w:val="000000"/>
          <w:sz w:val="22"/>
        </w:rPr>
      </w:pPr>
      <w:r>
        <w:rPr>
          <w:color w:val="000000"/>
          <w:sz w:val="22"/>
        </w:rPr>
        <w:t>7.2.1</w:t>
      </w:r>
      <w:r w:rsidR="007348A7">
        <w:rPr>
          <w:color w:val="000000"/>
          <w:sz w:val="22"/>
        </w:rPr>
        <w:t>5</w:t>
      </w:r>
      <w:r>
        <w:rPr>
          <w:color w:val="000000"/>
          <w:sz w:val="22"/>
        </w:rPr>
        <w:tab/>
        <w:t>All Twinning partners undertake to facilitate the organisation and conduct of the Twinning review Missions referred to in Article 9 of Annex A1 and described in the Common Twinning Manual.</w:t>
      </w:r>
    </w:p>
    <w:p w:rsidR="001A422D" w:rsidRPr="00C2587E" w:rsidRDefault="001A422D" w:rsidP="001A422D">
      <w:pPr>
        <w:ind w:left="1134" w:hanging="567"/>
        <w:jc w:val="both"/>
        <w:rPr>
          <w:color w:val="000000"/>
          <w:sz w:val="22"/>
        </w:rPr>
      </w:pPr>
    </w:p>
    <w:p w:rsidR="001A422D" w:rsidRPr="00C2587E" w:rsidRDefault="001A422D" w:rsidP="001A422D">
      <w:pPr>
        <w:ind w:left="1134" w:hanging="567"/>
        <w:jc w:val="both"/>
        <w:rPr>
          <w:color w:val="000000"/>
          <w:sz w:val="22"/>
        </w:rPr>
      </w:pPr>
    </w:p>
    <w:p w:rsidR="001A422D" w:rsidRPr="00F00A53" w:rsidRDefault="001A422D" w:rsidP="001A422D">
      <w:pPr>
        <w:jc w:val="both"/>
        <w:rPr>
          <w:i/>
          <w:color w:val="000000"/>
          <w:sz w:val="22"/>
        </w:rPr>
      </w:pPr>
      <w:r w:rsidRPr="00F00A53">
        <w:rPr>
          <w:i/>
          <w:color w:val="000000"/>
          <w:sz w:val="22"/>
        </w:rPr>
        <w:t xml:space="preserve">Where the Commission is the Contracting Authority </w:t>
      </w:r>
    </w:p>
    <w:p w:rsidR="001A422D" w:rsidRPr="00F20038" w:rsidRDefault="001A422D" w:rsidP="001A422D">
      <w:pPr>
        <w:jc w:val="both"/>
        <w:rPr>
          <w:color w:val="000000"/>
          <w:sz w:val="22"/>
        </w:rPr>
      </w:pPr>
      <w:r w:rsidRPr="00F20038">
        <w:rPr>
          <w:color w:val="000000"/>
          <w:sz w:val="22"/>
        </w:rPr>
        <w:t xml:space="preserve">Done at [.........] in three originals in the </w:t>
      </w:r>
      <w:r>
        <w:rPr>
          <w:color w:val="000000"/>
          <w:sz w:val="22"/>
        </w:rPr>
        <w:t>[</w:t>
      </w:r>
      <w:r w:rsidRPr="00F20038">
        <w:rPr>
          <w:color w:val="000000"/>
          <w:sz w:val="22"/>
        </w:rPr>
        <w:t>English</w:t>
      </w:r>
      <w:r>
        <w:rPr>
          <w:color w:val="000000"/>
          <w:sz w:val="22"/>
        </w:rPr>
        <w:t>/</w:t>
      </w:r>
      <w:r w:rsidRPr="00F20038">
        <w:rPr>
          <w:color w:val="000000"/>
          <w:sz w:val="22"/>
        </w:rPr>
        <w:t>French</w:t>
      </w:r>
      <w:r>
        <w:rPr>
          <w:color w:val="000000"/>
          <w:sz w:val="22"/>
        </w:rPr>
        <w:t>/</w:t>
      </w:r>
      <w:r w:rsidRPr="00F20038">
        <w:rPr>
          <w:color w:val="000000"/>
          <w:sz w:val="22"/>
        </w:rPr>
        <w:t>German</w:t>
      </w:r>
      <w:r>
        <w:rPr>
          <w:color w:val="000000"/>
          <w:sz w:val="22"/>
        </w:rPr>
        <w:t>]</w:t>
      </w:r>
      <w:r>
        <w:rPr>
          <w:rStyle w:val="FootnoteReference"/>
          <w:color w:val="000000"/>
          <w:sz w:val="22"/>
        </w:rPr>
        <w:footnoteReference w:id="12"/>
      </w:r>
      <w:r>
        <w:rPr>
          <w:color w:val="000000"/>
          <w:sz w:val="22"/>
        </w:rPr>
        <w:t xml:space="preserve"> </w:t>
      </w:r>
      <w:r w:rsidRPr="00F20038">
        <w:rPr>
          <w:color w:val="000000"/>
          <w:sz w:val="22"/>
        </w:rPr>
        <w:t xml:space="preserve">language, one original being for the European Commission one original being for the </w:t>
      </w:r>
      <w:r>
        <w:rPr>
          <w:color w:val="000000"/>
          <w:sz w:val="22"/>
        </w:rPr>
        <w:t>[Lead]</w:t>
      </w:r>
      <w:r>
        <w:rPr>
          <w:rStyle w:val="FootnoteReference"/>
          <w:color w:val="000000"/>
          <w:sz w:val="22"/>
        </w:rPr>
        <w:footnoteReference w:id="13"/>
      </w:r>
      <w:r>
        <w:rPr>
          <w:color w:val="000000"/>
          <w:sz w:val="22"/>
        </w:rPr>
        <w:t xml:space="preserve"> </w:t>
      </w:r>
      <w:r w:rsidRPr="00F20038">
        <w:rPr>
          <w:color w:val="000000"/>
          <w:sz w:val="22"/>
        </w:rPr>
        <w:t xml:space="preserve">Member State Partner and one original being for the Beneficiary </w:t>
      </w:r>
      <w:r>
        <w:rPr>
          <w:color w:val="000000"/>
          <w:sz w:val="22"/>
        </w:rPr>
        <w:t xml:space="preserve">Country </w:t>
      </w:r>
      <w:r w:rsidRPr="00F20038">
        <w:rPr>
          <w:color w:val="000000"/>
          <w:sz w:val="22"/>
        </w:rPr>
        <w:t>Administration</w:t>
      </w:r>
    </w:p>
    <w:p w:rsidR="001A422D" w:rsidRPr="00F20038" w:rsidRDefault="001A422D" w:rsidP="001A422D">
      <w:pPr>
        <w:jc w:val="both"/>
        <w:rPr>
          <w:color w:val="000000"/>
          <w:sz w:val="22"/>
        </w:rPr>
      </w:pPr>
      <w:r w:rsidRPr="00F20038">
        <w:rPr>
          <w:color w:val="000000"/>
          <w:sz w:val="22"/>
        </w:rPr>
        <w:t xml:space="preserve"> </w:t>
      </w:r>
    </w:p>
    <w:p w:rsidR="001A422D" w:rsidRPr="00F00A53" w:rsidRDefault="001A422D" w:rsidP="001A422D">
      <w:pPr>
        <w:jc w:val="both"/>
        <w:rPr>
          <w:i/>
          <w:color w:val="000000"/>
          <w:sz w:val="22"/>
        </w:rPr>
      </w:pPr>
      <w:r w:rsidRPr="00F00A53">
        <w:rPr>
          <w:i/>
          <w:color w:val="000000"/>
          <w:sz w:val="22"/>
        </w:rPr>
        <w:t xml:space="preserve">Where the Commission is not the Contracting Authority </w:t>
      </w:r>
    </w:p>
    <w:p w:rsidR="001A422D" w:rsidRDefault="001A422D" w:rsidP="001A422D">
      <w:pPr>
        <w:jc w:val="both"/>
        <w:rPr>
          <w:color w:val="000000"/>
          <w:sz w:val="22"/>
        </w:rPr>
      </w:pPr>
      <w:r w:rsidRPr="00F20038">
        <w:rPr>
          <w:color w:val="000000"/>
          <w:sz w:val="22"/>
        </w:rPr>
        <w:t>Done at [.........] in four originals in the English</w:t>
      </w:r>
      <w:r>
        <w:rPr>
          <w:color w:val="000000"/>
          <w:sz w:val="22"/>
        </w:rPr>
        <w:t>/</w:t>
      </w:r>
      <w:r w:rsidRPr="00F20038">
        <w:rPr>
          <w:color w:val="000000"/>
          <w:sz w:val="22"/>
        </w:rPr>
        <w:t>French</w:t>
      </w:r>
      <w:r>
        <w:rPr>
          <w:color w:val="000000"/>
          <w:sz w:val="22"/>
        </w:rPr>
        <w:t>/</w:t>
      </w:r>
      <w:r w:rsidRPr="00F20038">
        <w:rPr>
          <w:color w:val="000000"/>
          <w:sz w:val="22"/>
        </w:rPr>
        <w:t>German</w:t>
      </w:r>
      <w:r>
        <w:rPr>
          <w:rStyle w:val="FootnoteReference"/>
          <w:color w:val="000000"/>
          <w:sz w:val="22"/>
        </w:rPr>
        <w:footnoteReference w:id="14"/>
      </w:r>
      <w:r>
        <w:rPr>
          <w:color w:val="000000"/>
          <w:sz w:val="22"/>
        </w:rPr>
        <w:t xml:space="preserve"> </w:t>
      </w:r>
      <w:r w:rsidRPr="00F20038">
        <w:rPr>
          <w:color w:val="000000"/>
          <w:sz w:val="22"/>
        </w:rPr>
        <w:t xml:space="preserve">language,  one original being for the European Commission, one original being for the Contracting Authority, one original being for the </w:t>
      </w:r>
      <w:r>
        <w:rPr>
          <w:color w:val="000000"/>
          <w:sz w:val="22"/>
        </w:rPr>
        <w:t>[Lead]</w:t>
      </w:r>
      <w:r>
        <w:rPr>
          <w:rStyle w:val="FootnoteReference"/>
          <w:color w:val="000000"/>
          <w:sz w:val="22"/>
        </w:rPr>
        <w:footnoteReference w:id="15"/>
      </w:r>
      <w:r>
        <w:rPr>
          <w:color w:val="000000"/>
          <w:sz w:val="22"/>
        </w:rPr>
        <w:t xml:space="preserve"> </w:t>
      </w:r>
      <w:r w:rsidRPr="00F20038">
        <w:rPr>
          <w:color w:val="000000"/>
          <w:sz w:val="22"/>
        </w:rPr>
        <w:t xml:space="preserve">Member State Partner and one original being for the Beneficiary </w:t>
      </w:r>
      <w:r>
        <w:rPr>
          <w:color w:val="000000"/>
          <w:sz w:val="22"/>
        </w:rPr>
        <w:t xml:space="preserve">Country </w:t>
      </w:r>
      <w:r w:rsidRPr="00F20038">
        <w:rPr>
          <w:color w:val="000000"/>
          <w:sz w:val="22"/>
        </w:rPr>
        <w:t>Administration</w:t>
      </w:r>
    </w:p>
    <w:p w:rsidR="001A422D" w:rsidRDefault="001A422D" w:rsidP="001A422D">
      <w:pPr>
        <w:rPr>
          <w:color w:val="000000"/>
          <w:sz w:val="22"/>
        </w:rPr>
      </w:pPr>
    </w:p>
    <w:p w:rsidR="001A422D" w:rsidRPr="00C2587E" w:rsidRDefault="001A422D" w:rsidP="001A422D">
      <w:pPr>
        <w:rPr>
          <w:color w:val="000000"/>
        </w:rPr>
      </w:pPr>
      <w:r w:rsidRPr="00C2587E">
        <w:rPr>
          <w:color w:val="000000"/>
          <w:sz w:val="22"/>
        </w:rPr>
        <w:t> </w:t>
      </w:r>
    </w:p>
    <w:tbl>
      <w:tblPr>
        <w:tblW w:w="0" w:type="auto"/>
        <w:tblLook w:val="04A0" w:firstRow="1" w:lastRow="0" w:firstColumn="1" w:lastColumn="0" w:noHBand="0" w:noVBand="1"/>
      </w:tblPr>
      <w:tblGrid>
        <w:gridCol w:w="2337"/>
        <w:gridCol w:w="2307"/>
        <w:gridCol w:w="2337"/>
        <w:gridCol w:w="2307"/>
      </w:tblGrid>
      <w:tr w:rsidR="001A422D" w:rsidRPr="00E41EE9" w:rsidTr="002656B1">
        <w:tc>
          <w:tcPr>
            <w:tcW w:w="4757" w:type="dxa"/>
            <w:gridSpan w:val="2"/>
            <w:shd w:val="clear" w:color="auto" w:fill="auto"/>
          </w:tcPr>
          <w:p w:rsidR="001A422D" w:rsidRPr="00863538" w:rsidRDefault="001A422D" w:rsidP="002656B1">
            <w:pPr>
              <w:rPr>
                <w:color w:val="000000"/>
                <w:sz w:val="22"/>
                <w:szCs w:val="22"/>
              </w:rPr>
            </w:pPr>
            <w:r w:rsidRPr="003736C1">
              <w:rPr>
                <w:color w:val="000000"/>
                <w:sz w:val="22"/>
                <w:szCs w:val="22"/>
              </w:rPr>
              <w:t>For the [Lead]</w:t>
            </w:r>
            <w:r w:rsidRPr="003736C1">
              <w:rPr>
                <w:rStyle w:val="FootnoteReference"/>
                <w:color w:val="000000"/>
                <w:sz w:val="22"/>
              </w:rPr>
              <w:t xml:space="preserve"> </w:t>
            </w:r>
            <w:r w:rsidRPr="003736C1">
              <w:rPr>
                <w:rStyle w:val="FootnoteReference"/>
                <w:color w:val="000000"/>
                <w:sz w:val="22"/>
              </w:rPr>
              <w:footnoteReference w:id="16"/>
            </w:r>
            <w:r w:rsidRPr="003736C1">
              <w:rPr>
                <w:color w:val="000000"/>
                <w:sz w:val="22"/>
                <w:szCs w:val="22"/>
              </w:rPr>
              <w:t xml:space="preserve"> Member State Partner</w:t>
            </w:r>
          </w:p>
        </w:tc>
        <w:tc>
          <w:tcPr>
            <w:tcW w:w="4758" w:type="dxa"/>
            <w:gridSpan w:val="2"/>
            <w:shd w:val="clear" w:color="auto" w:fill="auto"/>
          </w:tcPr>
          <w:p w:rsidR="001A422D" w:rsidRPr="00863538" w:rsidRDefault="001A422D" w:rsidP="002656B1">
            <w:pPr>
              <w:rPr>
                <w:color w:val="000000"/>
                <w:sz w:val="22"/>
                <w:szCs w:val="22"/>
              </w:rPr>
            </w:pPr>
            <w:r w:rsidRPr="003736C1">
              <w:rPr>
                <w:color w:val="000000"/>
                <w:sz w:val="22"/>
                <w:szCs w:val="22"/>
              </w:rPr>
              <w:t>For the Contracting Authority</w:t>
            </w:r>
          </w:p>
        </w:tc>
      </w:tr>
      <w:tr w:rsidR="001A422D" w:rsidRPr="00E41EE9" w:rsidTr="002656B1">
        <w:tc>
          <w:tcPr>
            <w:tcW w:w="2378"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r>
      <w:tr w:rsidR="001A422D" w:rsidRPr="00E41EE9" w:rsidTr="002656B1">
        <w:tc>
          <w:tcPr>
            <w:tcW w:w="2378" w:type="dxa"/>
            <w:shd w:val="clear" w:color="auto" w:fill="auto"/>
          </w:tcPr>
          <w:p w:rsidR="001A422D" w:rsidRPr="00863538" w:rsidRDefault="001A422D" w:rsidP="002656B1">
            <w:pPr>
              <w:rPr>
                <w:color w:val="000000"/>
                <w:sz w:val="22"/>
                <w:szCs w:val="22"/>
              </w:rPr>
            </w:pPr>
            <w:r w:rsidRPr="003736C1">
              <w:rPr>
                <w:color w:val="000000"/>
                <w:sz w:val="22"/>
                <w:szCs w:val="22"/>
              </w:rPr>
              <w:t>Name</w:t>
            </w:r>
            <w:r w:rsidRPr="003736C1">
              <w:rPr>
                <w:rStyle w:val="FootnoteReference"/>
                <w:color w:val="000000"/>
                <w:sz w:val="22"/>
                <w:szCs w:val="22"/>
              </w:rPr>
              <w:footnoteReference w:id="17"/>
            </w:r>
            <w:r w:rsidRPr="003736C1">
              <w:rPr>
                <w:color w:val="000000"/>
                <w:sz w:val="22"/>
                <w:szCs w:val="22"/>
              </w:rPr>
              <w:t>:</w:t>
            </w:r>
          </w:p>
        </w:tc>
        <w:tc>
          <w:tcPr>
            <w:tcW w:w="2379" w:type="dxa"/>
            <w:shd w:val="clear" w:color="auto" w:fill="auto"/>
          </w:tcPr>
          <w:p w:rsidR="001A422D" w:rsidRPr="00863538" w:rsidRDefault="001A422D" w:rsidP="002656B1">
            <w:pPr>
              <w:rPr>
                <w:color w:val="000000"/>
                <w:sz w:val="22"/>
                <w:szCs w:val="22"/>
              </w:rPr>
            </w:pPr>
          </w:p>
        </w:tc>
        <w:tc>
          <w:tcPr>
            <w:tcW w:w="2379" w:type="dxa"/>
            <w:shd w:val="clear" w:color="auto" w:fill="auto"/>
          </w:tcPr>
          <w:p w:rsidR="001A422D" w:rsidRPr="00863538" w:rsidRDefault="001A422D" w:rsidP="002656B1">
            <w:pPr>
              <w:rPr>
                <w:color w:val="000000"/>
                <w:sz w:val="22"/>
                <w:szCs w:val="22"/>
              </w:rPr>
            </w:pPr>
            <w:r w:rsidRPr="003736C1">
              <w:rPr>
                <w:color w:val="000000"/>
                <w:sz w:val="22"/>
                <w:szCs w:val="22"/>
              </w:rPr>
              <w:t>Name</w:t>
            </w:r>
            <w:r w:rsidRPr="003736C1">
              <w:rPr>
                <w:rStyle w:val="FootnoteReference"/>
                <w:color w:val="000000"/>
                <w:sz w:val="22"/>
                <w:szCs w:val="22"/>
              </w:rPr>
              <w:footnoteReference w:id="18"/>
            </w:r>
            <w:r w:rsidRPr="003736C1">
              <w:rPr>
                <w:color w:val="000000"/>
                <w:sz w:val="22"/>
                <w:szCs w:val="22"/>
              </w:rPr>
              <w:t>:</w:t>
            </w:r>
          </w:p>
        </w:tc>
        <w:tc>
          <w:tcPr>
            <w:tcW w:w="2379" w:type="dxa"/>
            <w:shd w:val="clear" w:color="auto" w:fill="auto"/>
          </w:tcPr>
          <w:p w:rsidR="001A422D" w:rsidRPr="00863538" w:rsidRDefault="001A422D" w:rsidP="002656B1">
            <w:pPr>
              <w:rPr>
                <w:color w:val="000000"/>
                <w:sz w:val="22"/>
                <w:szCs w:val="22"/>
              </w:rPr>
            </w:pPr>
          </w:p>
        </w:tc>
      </w:tr>
      <w:tr w:rsidR="001A422D" w:rsidRPr="00E41EE9" w:rsidTr="002656B1">
        <w:tc>
          <w:tcPr>
            <w:tcW w:w="2378" w:type="dxa"/>
            <w:shd w:val="clear" w:color="auto" w:fill="auto"/>
          </w:tcPr>
          <w:p w:rsidR="001A422D" w:rsidRPr="00863538" w:rsidRDefault="001A422D" w:rsidP="002656B1">
            <w:pPr>
              <w:rPr>
                <w:color w:val="000000"/>
                <w:sz w:val="22"/>
                <w:szCs w:val="22"/>
              </w:rPr>
            </w:pPr>
            <w:r w:rsidRPr="003736C1">
              <w:rPr>
                <w:color w:val="000000"/>
                <w:sz w:val="22"/>
                <w:szCs w:val="22"/>
              </w:rPr>
              <w:t>Title</w:t>
            </w:r>
            <w:r w:rsidRPr="003736C1">
              <w:rPr>
                <w:rStyle w:val="FootnoteReference"/>
                <w:color w:val="000000"/>
                <w:sz w:val="22"/>
                <w:szCs w:val="22"/>
              </w:rPr>
              <w:footnoteReference w:id="19"/>
            </w:r>
            <w:r w:rsidRPr="003736C1">
              <w:rPr>
                <w:color w:val="000000"/>
                <w:sz w:val="22"/>
                <w:szCs w:val="22"/>
              </w:rPr>
              <w:t>:</w:t>
            </w:r>
          </w:p>
        </w:tc>
        <w:tc>
          <w:tcPr>
            <w:tcW w:w="2379" w:type="dxa"/>
            <w:shd w:val="clear" w:color="auto" w:fill="auto"/>
          </w:tcPr>
          <w:p w:rsidR="001A422D" w:rsidRPr="00863538" w:rsidRDefault="001A422D" w:rsidP="002656B1">
            <w:pPr>
              <w:rPr>
                <w:color w:val="000000"/>
                <w:sz w:val="22"/>
                <w:szCs w:val="22"/>
              </w:rPr>
            </w:pPr>
          </w:p>
        </w:tc>
        <w:tc>
          <w:tcPr>
            <w:tcW w:w="2379" w:type="dxa"/>
            <w:shd w:val="clear" w:color="auto" w:fill="auto"/>
          </w:tcPr>
          <w:p w:rsidR="001A422D" w:rsidRPr="00863538" w:rsidRDefault="001A422D" w:rsidP="002656B1">
            <w:pPr>
              <w:rPr>
                <w:color w:val="000000"/>
                <w:sz w:val="22"/>
                <w:szCs w:val="22"/>
              </w:rPr>
            </w:pPr>
            <w:r w:rsidRPr="003736C1">
              <w:rPr>
                <w:color w:val="000000"/>
                <w:sz w:val="22"/>
                <w:szCs w:val="22"/>
              </w:rPr>
              <w:t>Title</w:t>
            </w:r>
            <w:r w:rsidRPr="003736C1">
              <w:rPr>
                <w:rStyle w:val="FootnoteReference"/>
                <w:color w:val="000000"/>
                <w:sz w:val="22"/>
                <w:szCs w:val="22"/>
              </w:rPr>
              <w:footnoteReference w:id="20"/>
            </w:r>
            <w:r w:rsidRPr="003736C1">
              <w:rPr>
                <w:color w:val="000000"/>
                <w:sz w:val="22"/>
                <w:szCs w:val="22"/>
              </w:rPr>
              <w:t>:</w:t>
            </w:r>
          </w:p>
        </w:tc>
        <w:tc>
          <w:tcPr>
            <w:tcW w:w="2379" w:type="dxa"/>
            <w:shd w:val="clear" w:color="auto" w:fill="auto"/>
          </w:tcPr>
          <w:p w:rsidR="001A422D" w:rsidRPr="00863538" w:rsidRDefault="001A422D" w:rsidP="002656B1">
            <w:pPr>
              <w:rPr>
                <w:color w:val="000000"/>
                <w:sz w:val="22"/>
                <w:szCs w:val="22"/>
              </w:rPr>
            </w:pPr>
          </w:p>
        </w:tc>
      </w:tr>
      <w:tr w:rsidR="001A422D" w:rsidRPr="00E41EE9" w:rsidTr="002656B1">
        <w:tc>
          <w:tcPr>
            <w:tcW w:w="2378" w:type="dxa"/>
            <w:shd w:val="clear" w:color="auto" w:fill="auto"/>
          </w:tcPr>
          <w:p w:rsidR="001A422D" w:rsidRPr="00863538" w:rsidRDefault="001A422D" w:rsidP="002656B1">
            <w:pPr>
              <w:rPr>
                <w:color w:val="000000"/>
                <w:sz w:val="22"/>
                <w:szCs w:val="22"/>
              </w:rPr>
            </w:pPr>
            <w:r w:rsidRPr="003736C1">
              <w:rPr>
                <w:color w:val="000000"/>
                <w:sz w:val="22"/>
                <w:szCs w:val="22"/>
              </w:rPr>
              <w:t>Signature:</w:t>
            </w:r>
          </w:p>
        </w:tc>
        <w:tc>
          <w:tcPr>
            <w:tcW w:w="2379" w:type="dxa"/>
            <w:shd w:val="clear" w:color="auto" w:fill="auto"/>
          </w:tcPr>
          <w:p w:rsidR="001A422D" w:rsidRPr="00863538" w:rsidRDefault="001A422D" w:rsidP="002656B1">
            <w:pPr>
              <w:rPr>
                <w:color w:val="000000"/>
                <w:sz w:val="22"/>
                <w:szCs w:val="22"/>
              </w:rPr>
            </w:pPr>
          </w:p>
        </w:tc>
        <w:tc>
          <w:tcPr>
            <w:tcW w:w="2379" w:type="dxa"/>
            <w:shd w:val="clear" w:color="auto" w:fill="auto"/>
          </w:tcPr>
          <w:p w:rsidR="001A422D" w:rsidRPr="00863538" w:rsidRDefault="001A422D" w:rsidP="002656B1">
            <w:pPr>
              <w:rPr>
                <w:color w:val="000000"/>
                <w:sz w:val="22"/>
                <w:szCs w:val="22"/>
              </w:rPr>
            </w:pPr>
            <w:r w:rsidRPr="003736C1">
              <w:rPr>
                <w:color w:val="000000"/>
                <w:sz w:val="22"/>
                <w:szCs w:val="22"/>
              </w:rPr>
              <w:t>Signature:</w:t>
            </w:r>
          </w:p>
        </w:tc>
        <w:tc>
          <w:tcPr>
            <w:tcW w:w="2379" w:type="dxa"/>
            <w:shd w:val="clear" w:color="auto" w:fill="auto"/>
          </w:tcPr>
          <w:p w:rsidR="001A422D" w:rsidRPr="00863538" w:rsidRDefault="001A422D" w:rsidP="002656B1">
            <w:pPr>
              <w:rPr>
                <w:color w:val="000000"/>
                <w:sz w:val="22"/>
                <w:szCs w:val="22"/>
              </w:rPr>
            </w:pPr>
          </w:p>
        </w:tc>
      </w:tr>
      <w:tr w:rsidR="001A422D" w:rsidRPr="00E41EE9" w:rsidTr="002656B1">
        <w:tc>
          <w:tcPr>
            <w:tcW w:w="2378"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r>
      <w:tr w:rsidR="001A422D" w:rsidRPr="00E41EE9" w:rsidTr="002656B1">
        <w:tc>
          <w:tcPr>
            <w:tcW w:w="2378"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c>
          <w:tcPr>
            <w:tcW w:w="2379" w:type="dxa"/>
            <w:shd w:val="clear" w:color="auto" w:fill="auto"/>
          </w:tcPr>
          <w:p w:rsidR="001A422D" w:rsidRPr="00E41EE9" w:rsidRDefault="001A422D" w:rsidP="002656B1">
            <w:pPr>
              <w:rPr>
                <w:color w:val="000000"/>
                <w:sz w:val="22"/>
                <w:szCs w:val="22"/>
              </w:rPr>
            </w:pPr>
          </w:p>
        </w:tc>
      </w:tr>
      <w:tr w:rsidR="001A422D" w:rsidRPr="00E41EE9" w:rsidTr="002656B1">
        <w:tc>
          <w:tcPr>
            <w:tcW w:w="2378" w:type="dxa"/>
            <w:shd w:val="clear" w:color="auto" w:fill="auto"/>
          </w:tcPr>
          <w:p w:rsidR="001A422D" w:rsidRPr="00863538" w:rsidRDefault="001A422D" w:rsidP="002656B1">
            <w:pPr>
              <w:rPr>
                <w:color w:val="000000"/>
                <w:sz w:val="22"/>
                <w:szCs w:val="22"/>
              </w:rPr>
            </w:pPr>
            <w:r w:rsidRPr="003736C1">
              <w:rPr>
                <w:color w:val="000000"/>
                <w:sz w:val="22"/>
                <w:szCs w:val="22"/>
              </w:rPr>
              <w:t>Date:</w:t>
            </w:r>
          </w:p>
        </w:tc>
        <w:tc>
          <w:tcPr>
            <w:tcW w:w="2379" w:type="dxa"/>
            <w:shd w:val="clear" w:color="auto" w:fill="auto"/>
          </w:tcPr>
          <w:p w:rsidR="001A422D" w:rsidRPr="00863538" w:rsidRDefault="001A422D" w:rsidP="002656B1">
            <w:pPr>
              <w:rPr>
                <w:color w:val="000000"/>
                <w:sz w:val="22"/>
                <w:szCs w:val="22"/>
              </w:rPr>
            </w:pPr>
          </w:p>
        </w:tc>
        <w:tc>
          <w:tcPr>
            <w:tcW w:w="2379" w:type="dxa"/>
            <w:shd w:val="clear" w:color="auto" w:fill="auto"/>
          </w:tcPr>
          <w:p w:rsidR="001A422D" w:rsidRPr="00863538" w:rsidRDefault="001A422D" w:rsidP="002656B1">
            <w:pPr>
              <w:rPr>
                <w:color w:val="000000"/>
                <w:sz w:val="22"/>
                <w:szCs w:val="22"/>
              </w:rPr>
            </w:pPr>
            <w:r w:rsidRPr="003736C1">
              <w:rPr>
                <w:color w:val="000000"/>
                <w:sz w:val="22"/>
                <w:szCs w:val="22"/>
              </w:rPr>
              <w:t>Date:</w:t>
            </w:r>
          </w:p>
        </w:tc>
        <w:tc>
          <w:tcPr>
            <w:tcW w:w="2379" w:type="dxa"/>
            <w:shd w:val="clear" w:color="auto" w:fill="auto"/>
          </w:tcPr>
          <w:p w:rsidR="001A422D" w:rsidRPr="00863538"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9515" w:type="dxa"/>
            <w:gridSpan w:val="4"/>
            <w:shd w:val="clear" w:color="auto" w:fill="auto"/>
          </w:tcPr>
          <w:p w:rsidR="001A422D" w:rsidRPr="003736C1" w:rsidRDefault="001A422D" w:rsidP="00331185">
            <w:pPr>
              <w:rPr>
                <w:color w:val="000000"/>
                <w:sz w:val="22"/>
                <w:szCs w:val="22"/>
              </w:rPr>
            </w:pPr>
            <w:r w:rsidRPr="003736C1">
              <w:rPr>
                <w:i/>
                <w:color w:val="000000"/>
                <w:sz w:val="22"/>
                <w:szCs w:val="22"/>
              </w:rPr>
              <w:t>Only under</w:t>
            </w:r>
            <w:r w:rsidR="00331185">
              <w:rPr>
                <w:i/>
                <w:color w:val="000000"/>
                <w:sz w:val="22"/>
                <w:szCs w:val="22"/>
              </w:rPr>
              <w:t xml:space="preserve"> indirect </w:t>
            </w:r>
            <w:r w:rsidRPr="003736C1">
              <w:rPr>
                <w:i/>
                <w:color w:val="000000"/>
                <w:sz w:val="22"/>
                <w:szCs w:val="22"/>
              </w:rPr>
              <w:t>management with ex ante control</w:t>
            </w:r>
          </w:p>
        </w:tc>
      </w:tr>
      <w:tr w:rsidR="001A422D" w:rsidRPr="00E41EE9" w:rsidTr="002656B1">
        <w:tc>
          <w:tcPr>
            <w:tcW w:w="2378"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9515" w:type="dxa"/>
            <w:gridSpan w:val="4"/>
            <w:shd w:val="clear" w:color="auto" w:fill="auto"/>
          </w:tcPr>
          <w:p w:rsidR="001A422D" w:rsidRPr="003736C1" w:rsidRDefault="001A422D" w:rsidP="002656B1">
            <w:pPr>
              <w:rPr>
                <w:color w:val="000000"/>
                <w:sz w:val="22"/>
                <w:szCs w:val="22"/>
              </w:rPr>
            </w:pPr>
            <w:r w:rsidRPr="003736C1">
              <w:rPr>
                <w:color w:val="000000"/>
                <w:sz w:val="22"/>
                <w:szCs w:val="22"/>
              </w:rPr>
              <w:t>Endorsed for financing by the European Union</w:t>
            </w:r>
          </w:p>
        </w:tc>
      </w:tr>
      <w:tr w:rsidR="001A422D" w:rsidRPr="00E41EE9" w:rsidTr="002656B1">
        <w:tc>
          <w:tcPr>
            <w:tcW w:w="2378"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r w:rsidRPr="003736C1">
              <w:rPr>
                <w:color w:val="000000"/>
                <w:sz w:val="22"/>
                <w:szCs w:val="22"/>
              </w:rPr>
              <w:t>Name</w:t>
            </w:r>
            <w:r w:rsidRPr="003736C1">
              <w:rPr>
                <w:rStyle w:val="FootnoteReference"/>
                <w:color w:val="000000"/>
                <w:sz w:val="22"/>
                <w:szCs w:val="22"/>
              </w:rPr>
              <w:t xml:space="preserve"> </w:t>
            </w:r>
            <w:r w:rsidRPr="003736C1">
              <w:rPr>
                <w:rStyle w:val="FootnoteReference"/>
                <w:color w:val="000000"/>
                <w:sz w:val="22"/>
                <w:szCs w:val="22"/>
              </w:rPr>
              <w:footnoteReference w:id="21"/>
            </w:r>
            <w:r w:rsidRPr="003736C1">
              <w:rPr>
                <w:color w:val="000000"/>
                <w:sz w:val="22"/>
                <w:szCs w:val="22"/>
              </w:rPr>
              <w:t>:</w:t>
            </w: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r w:rsidRPr="003736C1">
              <w:rPr>
                <w:color w:val="000000"/>
                <w:sz w:val="22"/>
                <w:szCs w:val="22"/>
              </w:rPr>
              <w:t>Title</w:t>
            </w:r>
            <w:r w:rsidRPr="003736C1">
              <w:rPr>
                <w:rStyle w:val="FootnoteReference"/>
                <w:color w:val="000000"/>
                <w:sz w:val="22"/>
                <w:szCs w:val="22"/>
              </w:rPr>
              <w:t xml:space="preserve"> </w:t>
            </w:r>
            <w:r w:rsidRPr="003736C1">
              <w:rPr>
                <w:rStyle w:val="FootnoteReference"/>
                <w:color w:val="000000"/>
                <w:sz w:val="22"/>
                <w:szCs w:val="22"/>
              </w:rPr>
              <w:footnoteReference w:id="22"/>
            </w:r>
            <w:r w:rsidRPr="003736C1">
              <w:rPr>
                <w:color w:val="000000"/>
                <w:sz w:val="22"/>
                <w:szCs w:val="22"/>
              </w:rPr>
              <w:t>:</w:t>
            </w: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r w:rsidRPr="003736C1">
              <w:rPr>
                <w:color w:val="000000"/>
                <w:sz w:val="22"/>
                <w:szCs w:val="22"/>
              </w:rPr>
              <w:t>Signature:</w:t>
            </w: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r w:rsidRPr="003736C1">
              <w:rPr>
                <w:color w:val="000000"/>
                <w:sz w:val="22"/>
                <w:szCs w:val="22"/>
              </w:rPr>
              <w:t>Date:</w:t>
            </w: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r w:rsidR="001A422D" w:rsidRPr="00E41EE9" w:rsidTr="002656B1">
        <w:tc>
          <w:tcPr>
            <w:tcW w:w="2378"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c>
          <w:tcPr>
            <w:tcW w:w="2379" w:type="dxa"/>
            <w:shd w:val="clear" w:color="auto" w:fill="auto"/>
          </w:tcPr>
          <w:p w:rsidR="001A422D" w:rsidRPr="003736C1" w:rsidRDefault="001A422D" w:rsidP="002656B1">
            <w:pPr>
              <w:rPr>
                <w:color w:val="000000"/>
                <w:sz w:val="22"/>
                <w:szCs w:val="22"/>
              </w:rPr>
            </w:pPr>
          </w:p>
        </w:tc>
      </w:tr>
    </w:tbl>
    <w:p w:rsidR="001A422D" w:rsidRPr="00C2587E" w:rsidRDefault="001A422D" w:rsidP="001A422D">
      <w:pPr>
        <w:rPr>
          <w:color w:val="000000"/>
        </w:rPr>
      </w:pPr>
    </w:p>
    <w:p w:rsidR="001A422D" w:rsidRPr="00C2587E" w:rsidRDefault="001A422D" w:rsidP="001A422D">
      <w:pPr>
        <w:shd w:val="clear" w:color="auto" w:fill="FFFFFF"/>
        <w:rPr>
          <w:color w:val="000000"/>
        </w:rPr>
      </w:pPr>
      <w:r w:rsidRPr="00C2587E">
        <w:rPr>
          <w:b/>
          <w:color w:val="000000"/>
        </w:rPr>
        <w:t xml:space="preserve">Please ensure that the </w:t>
      </w:r>
      <w:r>
        <w:rPr>
          <w:b/>
          <w:color w:val="000000"/>
        </w:rPr>
        <w:t>c</w:t>
      </w:r>
      <w:r w:rsidRPr="00C2587E">
        <w:rPr>
          <w:b/>
          <w:color w:val="000000"/>
        </w:rPr>
        <w:t xml:space="preserve">ontact details of the </w:t>
      </w:r>
      <w:r>
        <w:rPr>
          <w:b/>
          <w:color w:val="000000"/>
        </w:rPr>
        <w:t>P</w:t>
      </w:r>
      <w:r w:rsidRPr="00C2587E">
        <w:rPr>
          <w:b/>
          <w:color w:val="000000"/>
        </w:rPr>
        <w:t xml:space="preserve">roject </w:t>
      </w:r>
      <w:r>
        <w:rPr>
          <w:b/>
          <w:color w:val="000000"/>
        </w:rPr>
        <w:t>L</w:t>
      </w:r>
      <w:r w:rsidRPr="00C2587E">
        <w:rPr>
          <w:b/>
          <w:color w:val="000000"/>
        </w:rPr>
        <w:t>eaders (both of the MS</w:t>
      </w:r>
      <w:r>
        <w:rPr>
          <w:b/>
          <w:color w:val="000000"/>
        </w:rPr>
        <w:t>Ps</w:t>
      </w:r>
      <w:r w:rsidRPr="00C2587E">
        <w:rPr>
          <w:b/>
          <w:color w:val="000000"/>
        </w:rPr>
        <w:t xml:space="preserve"> and</w:t>
      </w:r>
      <w:r>
        <w:rPr>
          <w:b/>
          <w:color w:val="000000"/>
        </w:rPr>
        <w:t xml:space="preserve"> </w:t>
      </w:r>
      <w:r w:rsidRPr="00C2587E">
        <w:rPr>
          <w:b/>
          <w:color w:val="000000"/>
        </w:rPr>
        <w:t>of the BC) are also mentioned, if appropriate, on a separate sheet.</w:t>
      </w:r>
      <w:r w:rsidRPr="00C2587E">
        <w:rPr>
          <w:color w:val="000000"/>
        </w:rPr>
        <w:br/>
      </w:r>
      <w:r>
        <w:rPr>
          <w:noProof/>
          <w:color w:val="000000"/>
        </w:rPr>
        <mc:AlternateContent>
          <mc:Choice Requires="wps">
            <w:drawing>
              <wp:inline distT="0" distB="0" distL="0" distR="0">
                <wp:extent cx="1905000" cy="9525"/>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5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" fillcolor="gray" stroked="f">
                <w10:anchorlock/>
              </v:rect>
            </w:pict>
          </mc:Fallback>
        </mc:AlternateContent>
      </w:r>
    </w:p>
    <w:p w:rsidR="00F722E0" w:rsidRDefault="006056A4" w:rsidP="001A422D"/>
    <w:sectPr w:rsidR="00F722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2D" w:rsidRDefault="001A422D" w:rsidP="001A422D">
      <w:r>
        <w:separator/>
      </w:r>
    </w:p>
  </w:endnote>
  <w:endnote w:type="continuationSeparator" w:id="0">
    <w:p w:rsidR="001A422D" w:rsidRDefault="001A422D" w:rsidP="001A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TBQV D+ EU Albertina# 20">
    <w:altName w:val="EU Albertina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2D" w:rsidRDefault="001A422D" w:rsidP="001A422D">
      <w:r>
        <w:separator/>
      </w:r>
    </w:p>
  </w:footnote>
  <w:footnote w:type="continuationSeparator" w:id="0">
    <w:p w:rsidR="001A422D" w:rsidRDefault="001A422D" w:rsidP="001A422D">
      <w:r>
        <w:continuationSeparator/>
      </w:r>
    </w:p>
  </w:footnote>
  <w:footnote w:id="1">
    <w:p w:rsidR="001A422D" w:rsidRPr="00FC7757" w:rsidRDefault="001A422D" w:rsidP="001A422D">
      <w:pPr>
        <w:pStyle w:val="FootnoteText"/>
      </w:pPr>
      <w:r>
        <w:rPr>
          <w:rStyle w:val="FootnoteReference"/>
        </w:rPr>
        <w:footnoteRef/>
      </w:r>
      <w:r>
        <w:t xml:space="preserve"> </w:t>
      </w:r>
      <w:r w:rsidRPr="00C2587E">
        <w:rPr>
          <w:color w:val="000000"/>
        </w:rPr>
        <w:t>Complete as appropriate: A</w:t>
      </w:r>
      <w:r>
        <w:rPr>
          <w:color w:val="000000"/>
        </w:rPr>
        <w:t xml:space="preserve">dministrative </w:t>
      </w:r>
      <w:r w:rsidRPr="00C2587E">
        <w:rPr>
          <w:color w:val="000000"/>
        </w:rPr>
        <w:t>O</w:t>
      </w:r>
      <w:r>
        <w:rPr>
          <w:color w:val="000000"/>
        </w:rPr>
        <w:t>ffice</w:t>
      </w:r>
      <w:r w:rsidRPr="00C2587E">
        <w:rPr>
          <w:color w:val="000000"/>
        </w:rPr>
        <w:t>, P</w:t>
      </w:r>
      <w:r>
        <w:rPr>
          <w:color w:val="000000"/>
        </w:rPr>
        <w:t xml:space="preserve">rogramme </w:t>
      </w:r>
      <w:r w:rsidRPr="00C2587E">
        <w:rPr>
          <w:color w:val="000000"/>
        </w:rPr>
        <w:t>A</w:t>
      </w:r>
      <w:r>
        <w:rPr>
          <w:color w:val="000000"/>
        </w:rPr>
        <w:t xml:space="preserve">dministration </w:t>
      </w:r>
      <w:r w:rsidRPr="00C2587E">
        <w:rPr>
          <w:color w:val="000000"/>
        </w:rPr>
        <w:t>O</w:t>
      </w:r>
      <w:r>
        <w:rPr>
          <w:color w:val="000000"/>
        </w:rPr>
        <w:t>ffice,</w:t>
      </w:r>
      <w:r w:rsidRPr="00C2587E">
        <w:rPr>
          <w:color w:val="000000"/>
        </w:rPr>
        <w:t xml:space="preserve"> or other</w:t>
      </w:r>
      <w:r>
        <w:rPr>
          <w:color w:val="000000"/>
        </w:rPr>
        <w:t>.</w:t>
      </w:r>
    </w:p>
  </w:footnote>
  <w:footnote w:id="2">
    <w:p w:rsidR="001A422D" w:rsidRPr="00D13CA2" w:rsidRDefault="001A422D" w:rsidP="001A422D">
      <w:pPr>
        <w:pStyle w:val="FootnoteText"/>
      </w:pPr>
      <w:r>
        <w:rPr>
          <w:rStyle w:val="FootnoteReference"/>
        </w:rPr>
        <w:footnoteRef/>
      </w:r>
      <w:r>
        <w:t xml:space="preserve"> In case of consortium of MSPs.</w:t>
      </w:r>
    </w:p>
  </w:footnote>
  <w:footnote w:id="3">
    <w:p w:rsidR="001A422D" w:rsidRPr="00565723" w:rsidRDefault="001A422D" w:rsidP="001A422D">
      <w:pPr>
        <w:pStyle w:val="FootnoteText"/>
      </w:pPr>
      <w:r>
        <w:rPr>
          <w:rStyle w:val="FootnoteReference"/>
        </w:rPr>
        <w:footnoteRef/>
      </w:r>
      <w:r>
        <w:t xml:space="preserve"> </w:t>
      </w:r>
      <w:r w:rsidRPr="00565723">
        <w:t>Should be</w:t>
      </w:r>
      <w:r>
        <w:t xml:space="preserve"> the</w:t>
      </w:r>
      <w:r w:rsidRPr="00565723">
        <w:t xml:space="preserve"> official registration address – postal/physical address is given in Article 5 – contact addresses</w:t>
      </w:r>
    </w:p>
  </w:footnote>
  <w:footnote w:id="4">
    <w:p w:rsidR="001A422D" w:rsidRPr="00D13CA2" w:rsidRDefault="001A422D" w:rsidP="001A422D">
      <w:pPr>
        <w:pStyle w:val="FootnoteText"/>
      </w:pPr>
      <w:r>
        <w:rPr>
          <w:rStyle w:val="FootnoteReference"/>
        </w:rPr>
        <w:footnoteRef/>
      </w:r>
      <w:r>
        <w:t xml:space="preserve"> In case of consortium of MSPs.</w:t>
      </w:r>
    </w:p>
  </w:footnote>
  <w:footnote w:id="5">
    <w:p w:rsidR="001A422D" w:rsidRPr="00D13CA2" w:rsidRDefault="001A422D" w:rsidP="001A422D">
      <w:pPr>
        <w:pStyle w:val="FootnoteText"/>
      </w:pPr>
      <w:r>
        <w:rPr>
          <w:rStyle w:val="FootnoteReference"/>
        </w:rPr>
        <w:footnoteRef/>
      </w:r>
      <w:r>
        <w:t xml:space="preserve"> </w:t>
      </w:r>
      <w:r w:rsidRPr="00D13CA2">
        <w:t>Model mandate provided in Annex A8</w:t>
      </w:r>
      <w:r>
        <w:t>.</w:t>
      </w:r>
    </w:p>
  </w:footnote>
  <w:footnote w:id="6">
    <w:p w:rsidR="001A422D" w:rsidRPr="00863538" w:rsidRDefault="001A422D" w:rsidP="001A422D">
      <w:pPr>
        <w:pStyle w:val="FootnoteText"/>
      </w:pPr>
      <w:r>
        <w:rPr>
          <w:rStyle w:val="FootnoteReference"/>
        </w:rPr>
        <w:footnoteRef/>
      </w:r>
      <w:r>
        <w:t xml:space="preserve"> Name of the Beneficiary Country Administration benefiting from the Twinning Contract.</w:t>
      </w:r>
    </w:p>
  </w:footnote>
  <w:footnote w:id="7">
    <w:p w:rsidR="001A422D" w:rsidRPr="00D13CA2" w:rsidRDefault="001A422D" w:rsidP="001A422D">
      <w:pPr>
        <w:pStyle w:val="FootnoteText"/>
      </w:pPr>
      <w:r>
        <w:rPr>
          <w:rStyle w:val="FootnoteReference"/>
        </w:rPr>
        <w:footnoteRef/>
      </w:r>
      <w:r>
        <w:t xml:space="preserve"> In case of consortium of MSPs.</w:t>
      </w:r>
    </w:p>
  </w:footnote>
  <w:footnote w:id="8">
    <w:p w:rsidR="001A422D" w:rsidRPr="00D13CA2" w:rsidRDefault="001A422D" w:rsidP="001A422D">
      <w:pPr>
        <w:pStyle w:val="FootnoteText"/>
      </w:pPr>
      <w:r>
        <w:rPr>
          <w:rStyle w:val="FootnoteReference"/>
        </w:rPr>
        <w:footnoteRef/>
      </w:r>
      <w:r>
        <w:t xml:space="preserve"> In case of consortium of MSPs.</w:t>
      </w:r>
    </w:p>
  </w:footnote>
  <w:footnote w:id="9">
    <w:p w:rsidR="001A422D" w:rsidRPr="00D13CA2" w:rsidRDefault="001A422D" w:rsidP="001A422D">
      <w:pPr>
        <w:pStyle w:val="FootnoteText"/>
      </w:pPr>
      <w:r>
        <w:rPr>
          <w:rStyle w:val="FootnoteReference"/>
        </w:rPr>
        <w:footnoteRef/>
      </w:r>
      <w:r>
        <w:t xml:space="preserve"> In case of consortium of MSPs.</w:t>
      </w:r>
    </w:p>
  </w:footnote>
  <w:footnote w:id="10">
    <w:p w:rsidR="009148C3" w:rsidRPr="009148C3" w:rsidRDefault="009148C3">
      <w:pPr>
        <w:pStyle w:val="FootnoteText"/>
      </w:pPr>
      <w:r w:rsidRPr="00D15482">
        <w:rPr>
          <w:rStyle w:val="FootnoteReference"/>
        </w:rPr>
        <w:footnoteRef/>
      </w:r>
      <w:r w:rsidRPr="00D15482">
        <w:t xml:space="preserve"> For IPA</w:t>
      </w:r>
      <w:r w:rsidR="000D06E0" w:rsidRPr="00D15482">
        <w:t xml:space="preserve"> I</w:t>
      </w:r>
      <w:r w:rsidRPr="00D15482">
        <w:t>-funded Twinning Contracts,</w:t>
      </w:r>
      <w:r w:rsidR="00F33019" w:rsidRPr="00D15482">
        <w:t xml:space="preserve"> </w:t>
      </w:r>
      <w:r w:rsidR="003C53DA">
        <w:t>t</w:t>
      </w:r>
      <w:r w:rsidR="00F33019" w:rsidRPr="00D15482">
        <w:t>axes, including VAT, duties and charges and all other costs identified in Article 34(3) of the IPA Implementing Regulation [(EC) No 718/2007 of 12 June 2007, as amended)] are not eligible for the activities described in Annex A1.</w:t>
      </w:r>
      <w:r w:rsidRPr="00D15482">
        <w:t xml:space="preserve"> </w:t>
      </w:r>
      <w:r w:rsidR="00F33019" w:rsidRPr="00D15482">
        <w:t>P</w:t>
      </w:r>
      <w:r w:rsidRPr="00D15482">
        <w:t>lease adapt in line with any existing (already allowed) derogations based on Article 66(3) of the</w:t>
      </w:r>
      <w:r w:rsidR="003C53DA">
        <w:t xml:space="preserve"> said</w:t>
      </w:r>
      <w:r w:rsidRPr="00D15482">
        <w:t xml:space="preserve"> IPA </w:t>
      </w:r>
      <w:r w:rsidR="00F33019" w:rsidRPr="00D15482">
        <w:t>Implementing Regulation.</w:t>
      </w:r>
    </w:p>
  </w:footnote>
  <w:footnote w:id="11">
    <w:p w:rsidR="001A422D" w:rsidRPr="003D200F" w:rsidRDefault="001A422D" w:rsidP="001A422D">
      <w:pPr>
        <w:pStyle w:val="FootnoteText"/>
      </w:pPr>
      <w:r>
        <w:rPr>
          <w:rStyle w:val="FootnoteReference"/>
        </w:rPr>
        <w:footnoteRef/>
      </w:r>
      <w:r>
        <w:t xml:space="preserve"> </w:t>
      </w:r>
      <w:r w:rsidRPr="003D200F">
        <w:t xml:space="preserve">Article to be </w:t>
      </w:r>
      <w:r>
        <w:t>deleted if the value of the grant</w:t>
      </w:r>
      <w:r w:rsidRPr="003D200F">
        <w:t xml:space="preserve"> </w:t>
      </w:r>
      <w:r>
        <w:t>financing the Twinning Project is above EUR 5 million.</w:t>
      </w:r>
    </w:p>
  </w:footnote>
  <w:footnote w:id="12">
    <w:p w:rsidR="001A422D" w:rsidRPr="00D13CA2" w:rsidRDefault="001A422D" w:rsidP="001A422D">
      <w:pPr>
        <w:pStyle w:val="FootnoteText"/>
      </w:pPr>
      <w:r>
        <w:rPr>
          <w:rStyle w:val="FootnoteReference"/>
        </w:rPr>
        <w:footnoteRef/>
      </w:r>
      <w:r>
        <w:t xml:space="preserve"> D</w:t>
      </w:r>
      <w:r w:rsidRPr="00D13CA2">
        <w:t>elete as appropriate</w:t>
      </w:r>
      <w:r>
        <w:t>.</w:t>
      </w:r>
    </w:p>
  </w:footnote>
  <w:footnote w:id="13">
    <w:p w:rsidR="001A422D" w:rsidRPr="00D13CA2" w:rsidRDefault="001A422D" w:rsidP="001A422D">
      <w:pPr>
        <w:pStyle w:val="FootnoteText"/>
      </w:pPr>
      <w:r>
        <w:rPr>
          <w:rStyle w:val="FootnoteReference"/>
        </w:rPr>
        <w:footnoteRef/>
      </w:r>
      <w:r>
        <w:t xml:space="preserve"> In case of consortium of MSPs.</w:t>
      </w:r>
    </w:p>
  </w:footnote>
  <w:footnote w:id="14">
    <w:p w:rsidR="001A422D" w:rsidRPr="00D13CA2" w:rsidRDefault="001A422D" w:rsidP="001A422D">
      <w:pPr>
        <w:pStyle w:val="FootnoteText"/>
      </w:pPr>
      <w:r>
        <w:rPr>
          <w:rStyle w:val="FootnoteReference"/>
        </w:rPr>
        <w:footnoteRef/>
      </w:r>
      <w:r>
        <w:t xml:space="preserve"> D</w:t>
      </w:r>
      <w:r w:rsidRPr="00D13CA2">
        <w:t>elete as appropriate</w:t>
      </w:r>
      <w:r>
        <w:t>.</w:t>
      </w:r>
    </w:p>
  </w:footnote>
  <w:footnote w:id="15">
    <w:p w:rsidR="001A422D" w:rsidRPr="00D13CA2" w:rsidRDefault="001A422D" w:rsidP="001A422D">
      <w:pPr>
        <w:pStyle w:val="FootnoteText"/>
      </w:pPr>
      <w:r>
        <w:rPr>
          <w:rStyle w:val="FootnoteReference"/>
        </w:rPr>
        <w:footnoteRef/>
      </w:r>
      <w:r>
        <w:t xml:space="preserve"> In case of consortium of MSPs.</w:t>
      </w:r>
    </w:p>
  </w:footnote>
  <w:footnote w:id="16">
    <w:p w:rsidR="001A422D" w:rsidRPr="00D13CA2" w:rsidRDefault="001A422D" w:rsidP="001A422D">
      <w:pPr>
        <w:pStyle w:val="FootnoteText"/>
      </w:pPr>
      <w:r>
        <w:rPr>
          <w:rStyle w:val="FootnoteReference"/>
        </w:rPr>
        <w:footnoteRef/>
      </w:r>
      <w:r>
        <w:t xml:space="preserve"> In case of consortium of MSPs.</w:t>
      </w:r>
    </w:p>
  </w:footnote>
  <w:footnote w:id="17">
    <w:p w:rsidR="001A422D" w:rsidRPr="00D13CA2" w:rsidRDefault="001A422D" w:rsidP="001A422D">
      <w:pPr>
        <w:pStyle w:val="CommentText"/>
      </w:pPr>
      <w:r>
        <w:rPr>
          <w:rStyle w:val="FootnoteReference"/>
        </w:rPr>
        <w:footnoteRef/>
      </w:r>
      <w:r>
        <w:t xml:space="preserve"> Name of the individual(s) authorised to sign.</w:t>
      </w:r>
    </w:p>
  </w:footnote>
  <w:footnote w:id="18">
    <w:p w:rsidR="001A422D" w:rsidRPr="00D13CA2" w:rsidRDefault="001A422D" w:rsidP="001A422D">
      <w:pPr>
        <w:pStyle w:val="CommentText"/>
      </w:pPr>
      <w:r>
        <w:rPr>
          <w:rStyle w:val="FootnoteReference"/>
        </w:rPr>
        <w:footnoteRef/>
      </w:r>
      <w:r>
        <w:t xml:space="preserve"> Name of the official(s) authorised to sign.</w:t>
      </w:r>
    </w:p>
  </w:footnote>
  <w:footnote w:id="19">
    <w:p w:rsidR="001A422D" w:rsidRPr="004550EF" w:rsidRDefault="001A422D" w:rsidP="001A422D">
      <w:pPr>
        <w:pStyle w:val="FootnoteText"/>
      </w:pPr>
      <w:r>
        <w:rPr>
          <w:rStyle w:val="FootnoteReference"/>
        </w:rPr>
        <w:footnoteRef/>
      </w:r>
      <w:r>
        <w:t xml:space="preserve"> Title of the individual(s) authorised to sign.</w:t>
      </w:r>
    </w:p>
  </w:footnote>
  <w:footnote w:id="20">
    <w:p w:rsidR="001A422D" w:rsidRPr="004550EF" w:rsidRDefault="001A422D" w:rsidP="001A422D">
      <w:pPr>
        <w:pStyle w:val="FootnoteText"/>
      </w:pPr>
      <w:r>
        <w:rPr>
          <w:rStyle w:val="FootnoteReference"/>
        </w:rPr>
        <w:footnoteRef/>
      </w:r>
      <w:r>
        <w:t xml:space="preserve"> Title of the official(s) authorised to sign.</w:t>
      </w:r>
    </w:p>
  </w:footnote>
  <w:footnote w:id="21">
    <w:p w:rsidR="001A422D" w:rsidRPr="00D13CA2" w:rsidRDefault="001A422D" w:rsidP="001A422D">
      <w:pPr>
        <w:pStyle w:val="CommentText"/>
      </w:pPr>
      <w:r>
        <w:rPr>
          <w:rStyle w:val="FootnoteReference"/>
        </w:rPr>
        <w:footnoteRef/>
      </w:r>
      <w:r>
        <w:t xml:space="preserve"> Name of the official(s) authorised to sign.</w:t>
      </w:r>
    </w:p>
  </w:footnote>
  <w:footnote w:id="22">
    <w:p w:rsidR="001A422D" w:rsidRPr="004550EF" w:rsidRDefault="001A422D" w:rsidP="001A422D">
      <w:pPr>
        <w:pStyle w:val="FootnoteText"/>
      </w:pPr>
      <w:r>
        <w:rPr>
          <w:rStyle w:val="FootnoteReference"/>
        </w:rPr>
        <w:footnoteRef/>
      </w:r>
      <w:r>
        <w:t xml:space="preserve"> Title of the official(s) authorised to sign.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33"/>
    <w:rsid w:val="000C00AD"/>
    <w:rsid w:val="000D06E0"/>
    <w:rsid w:val="000E2CD6"/>
    <w:rsid w:val="001A422D"/>
    <w:rsid w:val="001C2D06"/>
    <w:rsid w:val="002A2260"/>
    <w:rsid w:val="002D7DD1"/>
    <w:rsid w:val="00331185"/>
    <w:rsid w:val="0033416B"/>
    <w:rsid w:val="003360D2"/>
    <w:rsid w:val="003C53DA"/>
    <w:rsid w:val="00443381"/>
    <w:rsid w:val="004E3568"/>
    <w:rsid w:val="005B057E"/>
    <w:rsid w:val="006056A4"/>
    <w:rsid w:val="006160EF"/>
    <w:rsid w:val="006318E9"/>
    <w:rsid w:val="00654AD7"/>
    <w:rsid w:val="00674C1F"/>
    <w:rsid w:val="00710F79"/>
    <w:rsid w:val="007348A7"/>
    <w:rsid w:val="007C3AB3"/>
    <w:rsid w:val="007E7F42"/>
    <w:rsid w:val="00822918"/>
    <w:rsid w:val="008319C8"/>
    <w:rsid w:val="008836CA"/>
    <w:rsid w:val="008B7740"/>
    <w:rsid w:val="008D72B1"/>
    <w:rsid w:val="00903B14"/>
    <w:rsid w:val="009148C3"/>
    <w:rsid w:val="00921233"/>
    <w:rsid w:val="00923D94"/>
    <w:rsid w:val="009301EE"/>
    <w:rsid w:val="0094736A"/>
    <w:rsid w:val="009473DA"/>
    <w:rsid w:val="00954504"/>
    <w:rsid w:val="00985433"/>
    <w:rsid w:val="009D430C"/>
    <w:rsid w:val="00A061EF"/>
    <w:rsid w:val="00A11E30"/>
    <w:rsid w:val="00A956C9"/>
    <w:rsid w:val="00AF0ECE"/>
    <w:rsid w:val="00B543A5"/>
    <w:rsid w:val="00B7335E"/>
    <w:rsid w:val="00B82BC2"/>
    <w:rsid w:val="00BA4905"/>
    <w:rsid w:val="00C12E80"/>
    <w:rsid w:val="00C377FC"/>
    <w:rsid w:val="00C5408B"/>
    <w:rsid w:val="00C74730"/>
    <w:rsid w:val="00C77C11"/>
    <w:rsid w:val="00C96764"/>
    <w:rsid w:val="00CF79EB"/>
    <w:rsid w:val="00D15482"/>
    <w:rsid w:val="00D85A17"/>
    <w:rsid w:val="00D91F51"/>
    <w:rsid w:val="00E03E7B"/>
    <w:rsid w:val="00E04A5E"/>
    <w:rsid w:val="00E741B3"/>
    <w:rsid w:val="00E75D7D"/>
    <w:rsid w:val="00E95771"/>
    <w:rsid w:val="00F020D8"/>
    <w:rsid w:val="00F33019"/>
    <w:rsid w:val="00F567A3"/>
    <w:rsid w:val="00F7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2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A422D"/>
    <w:rPr>
      <w:rFonts w:cs="Times New Roman"/>
      <w:vertAlign w:val="superscript"/>
    </w:rPr>
  </w:style>
  <w:style w:type="character" w:styleId="Hyperlink">
    <w:name w:val="Hyperlink"/>
    <w:rsid w:val="001A422D"/>
    <w:rPr>
      <w:rFonts w:cs="Times New Roman"/>
      <w:color w:val="0000FF"/>
      <w:u w:val="single"/>
    </w:rPr>
  </w:style>
  <w:style w:type="paragraph" w:styleId="FootnoteText">
    <w:name w:val="footnote text"/>
    <w:basedOn w:val="Normal"/>
    <w:link w:val="FootnoteTextChar"/>
    <w:uiPriority w:val="99"/>
    <w:semiHidden/>
    <w:rsid w:val="001A422D"/>
    <w:pPr>
      <w:jc w:val="both"/>
    </w:pPr>
    <w:rPr>
      <w:sz w:val="20"/>
      <w:szCs w:val="20"/>
    </w:rPr>
  </w:style>
  <w:style w:type="character" w:customStyle="1" w:styleId="FootnoteTextChar">
    <w:name w:val="Footnote Text Char"/>
    <w:basedOn w:val="DefaultParagraphFont"/>
    <w:link w:val="FootnoteText"/>
    <w:uiPriority w:val="99"/>
    <w:semiHidden/>
    <w:rsid w:val="001A422D"/>
    <w:rPr>
      <w:rFonts w:ascii="Times New Roman" w:eastAsia="Times New Roman" w:hAnsi="Times New Roman" w:cs="Times New Roman"/>
      <w:sz w:val="20"/>
      <w:szCs w:val="20"/>
      <w:lang w:eastAsia="en-GB"/>
    </w:rPr>
  </w:style>
  <w:style w:type="character" w:styleId="CommentReference">
    <w:name w:val="annotation reference"/>
    <w:semiHidden/>
    <w:rsid w:val="001A422D"/>
    <w:rPr>
      <w:rFonts w:cs="Times New Roman"/>
      <w:sz w:val="16"/>
    </w:rPr>
  </w:style>
  <w:style w:type="paragraph" w:styleId="CommentText">
    <w:name w:val="annotation text"/>
    <w:basedOn w:val="Normal"/>
    <w:link w:val="CommentTextChar"/>
    <w:semiHidden/>
    <w:rsid w:val="001A422D"/>
    <w:rPr>
      <w:sz w:val="20"/>
      <w:szCs w:val="20"/>
    </w:rPr>
  </w:style>
  <w:style w:type="character" w:customStyle="1" w:styleId="CommentTextChar">
    <w:name w:val="Comment Text Char"/>
    <w:basedOn w:val="DefaultParagraphFont"/>
    <w:link w:val="CommentText"/>
    <w:semiHidden/>
    <w:rsid w:val="001A422D"/>
    <w:rPr>
      <w:rFonts w:ascii="Times New Roman" w:eastAsia="Times New Roman" w:hAnsi="Times New Roman" w:cs="Times New Roman"/>
      <w:sz w:val="20"/>
      <w:szCs w:val="20"/>
      <w:lang w:eastAsia="en-GB"/>
    </w:rPr>
  </w:style>
  <w:style w:type="paragraph" w:customStyle="1" w:styleId="Application2">
    <w:name w:val="Application2"/>
    <w:basedOn w:val="Normal"/>
    <w:autoRedefine/>
    <w:rsid w:val="001A422D"/>
    <w:pPr>
      <w:widowControl w:val="0"/>
      <w:suppressAutoHyphens/>
      <w:spacing w:before="120" w:after="120"/>
    </w:pPr>
    <w:rPr>
      <w:b/>
      <w:snapToGrid w:val="0"/>
      <w:spacing w:val="-2"/>
      <w:sz w:val="28"/>
      <w:szCs w:val="28"/>
      <w:u w:val="single"/>
      <w:lang w:val="fr-FR"/>
    </w:rPr>
  </w:style>
  <w:style w:type="paragraph" w:customStyle="1" w:styleId="text1">
    <w:name w:val="text1"/>
    <w:basedOn w:val="Normal"/>
    <w:rsid w:val="001A422D"/>
    <w:pPr>
      <w:spacing w:after="240"/>
      <w:ind w:left="483"/>
    </w:pPr>
    <w:rPr>
      <w:szCs w:val="20"/>
    </w:rPr>
  </w:style>
  <w:style w:type="paragraph" w:styleId="BalloonText">
    <w:name w:val="Balloon Text"/>
    <w:basedOn w:val="Normal"/>
    <w:link w:val="BalloonTextChar"/>
    <w:uiPriority w:val="99"/>
    <w:semiHidden/>
    <w:unhideWhenUsed/>
    <w:rsid w:val="00A11E30"/>
    <w:rPr>
      <w:rFonts w:ascii="Tahoma" w:hAnsi="Tahoma" w:cs="Tahoma"/>
      <w:sz w:val="16"/>
      <w:szCs w:val="16"/>
    </w:rPr>
  </w:style>
  <w:style w:type="character" w:customStyle="1" w:styleId="BalloonTextChar">
    <w:name w:val="Balloon Text Char"/>
    <w:basedOn w:val="DefaultParagraphFont"/>
    <w:link w:val="BalloonText"/>
    <w:uiPriority w:val="99"/>
    <w:semiHidden/>
    <w:rsid w:val="00A11E30"/>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331185"/>
    <w:rPr>
      <w:b/>
      <w:bCs/>
    </w:rPr>
  </w:style>
  <w:style w:type="character" w:customStyle="1" w:styleId="CommentSubjectChar">
    <w:name w:val="Comment Subject Char"/>
    <w:basedOn w:val="CommentTextChar"/>
    <w:link w:val="CommentSubject"/>
    <w:uiPriority w:val="99"/>
    <w:semiHidden/>
    <w:rsid w:val="0033118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020D8"/>
    <w:rPr>
      <w:color w:val="800080" w:themeColor="followedHyperlink"/>
      <w:u w:val="single"/>
    </w:rPr>
  </w:style>
  <w:style w:type="paragraph" w:customStyle="1" w:styleId="Default">
    <w:name w:val="Default"/>
    <w:rsid w:val="00923D94"/>
    <w:pPr>
      <w:autoSpaceDE w:val="0"/>
      <w:autoSpaceDN w:val="0"/>
      <w:adjustRightInd w:val="0"/>
      <w:spacing w:after="0" w:line="240" w:lineRule="auto"/>
    </w:pPr>
    <w:rPr>
      <w:rFonts w:ascii="BTBQV D+ EU Albertina# 20" w:hAnsi="BTBQV D+ EU Albertina# 20" w:cs="BTBQV D+ EU Albertina# 2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2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A422D"/>
    <w:rPr>
      <w:rFonts w:cs="Times New Roman"/>
      <w:vertAlign w:val="superscript"/>
    </w:rPr>
  </w:style>
  <w:style w:type="character" w:styleId="Hyperlink">
    <w:name w:val="Hyperlink"/>
    <w:rsid w:val="001A422D"/>
    <w:rPr>
      <w:rFonts w:cs="Times New Roman"/>
      <w:color w:val="0000FF"/>
      <w:u w:val="single"/>
    </w:rPr>
  </w:style>
  <w:style w:type="paragraph" w:styleId="FootnoteText">
    <w:name w:val="footnote text"/>
    <w:basedOn w:val="Normal"/>
    <w:link w:val="FootnoteTextChar"/>
    <w:uiPriority w:val="99"/>
    <w:semiHidden/>
    <w:rsid w:val="001A422D"/>
    <w:pPr>
      <w:jc w:val="both"/>
    </w:pPr>
    <w:rPr>
      <w:sz w:val="20"/>
      <w:szCs w:val="20"/>
    </w:rPr>
  </w:style>
  <w:style w:type="character" w:customStyle="1" w:styleId="FootnoteTextChar">
    <w:name w:val="Footnote Text Char"/>
    <w:basedOn w:val="DefaultParagraphFont"/>
    <w:link w:val="FootnoteText"/>
    <w:uiPriority w:val="99"/>
    <w:semiHidden/>
    <w:rsid w:val="001A422D"/>
    <w:rPr>
      <w:rFonts w:ascii="Times New Roman" w:eastAsia="Times New Roman" w:hAnsi="Times New Roman" w:cs="Times New Roman"/>
      <w:sz w:val="20"/>
      <w:szCs w:val="20"/>
      <w:lang w:eastAsia="en-GB"/>
    </w:rPr>
  </w:style>
  <w:style w:type="character" w:styleId="CommentReference">
    <w:name w:val="annotation reference"/>
    <w:semiHidden/>
    <w:rsid w:val="001A422D"/>
    <w:rPr>
      <w:rFonts w:cs="Times New Roman"/>
      <w:sz w:val="16"/>
    </w:rPr>
  </w:style>
  <w:style w:type="paragraph" w:styleId="CommentText">
    <w:name w:val="annotation text"/>
    <w:basedOn w:val="Normal"/>
    <w:link w:val="CommentTextChar"/>
    <w:semiHidden/>
    <w:rsid w:val="001A422D"/>
    <w:rPr>
      <w:sz w:val="20"/>
      <w:szCs w:val="20"/>
    </w:rPr>
  </w:style>
  <w:style w:type="character" w:customStyle="1" w:styleId="CommentTextChar">
    <w:name w:val="Comment Text Char"/>
    <w:basedOn w:val="DefaultParagraphFont"/>
    <w:link w:val="CommentText"/>
    <w:semiHidden/>
    <w:rsid w:val="001A422D"/>
    <w:rPr>
      <w:rFonts w:ascii="Times New Roman" w:eastAsia="Times New Roman" w:hAnsi="Times New Roman" w:cs="Times New Roman"/>
      <w:sz w:val="20"/>
      <w:szCs w:val="20"/>
      <w:lang w:eastAsia="en-GB"/>
    </w:rPr>
  </w:style>
  <w:style w:type="paragraph" w:customStyle="1" w:styleId="Application2">
    <w:name w:val="Application2"/>
    <w:basedOn w:val="Normal"/>
    <w:autoRedefine/>
    <w:rsid w:val="001A422D"/>
    <w:pPr>
      <w:widowControl w:val="0"/>
      <w:suppressAutoHyphens/>
      <w:spacing w:before="120" w:after="120"/>
    </w:pPr>
    <w:rPr>
      <w:b/>
      <w:snapToGrid w:val="0"/>
      <w:spacing w:val="-2"/>
      <w:sz w:val="28"/>
      <w:szCs w:val="28"/>
      <w:u w:val="single"/>
      <w:lang w:val="fr-FR"/>
    </w:rPr>
  </w:style>
  <w:style w:type="paragraph" w:customStyle="1" w:styleId="text1">
    <w:name w:val="text1"/>
    <w:basedOn w:val="Normal"/>
    <w:rsid w:val="001A422D"/>
    <w:pPr>
      <w:spacing w:after="240"/>
      <w:ind w:left="483"/>
    </w:pPr>
    <w:rPr>
      <w:szCs w:val="20"/>
    </w:rPr>
  </w:style>
  <w:style w:type="paragraph" w:styleId="BalloonText">
    <w:name w:val="Balloon Text"/>
    <w:basedOn w:val="Normal"/>
    <w:link w:val="BalloonTextChar"/>
    <w:uiPriority w:val="99"/>
    <w:semiHidden/>
    <w:unhideWhenUsed/>
    <w:rsid w:val="00A11E30"/>
    <w:rPr>
      <w:rFonts w:ascii="Tahoma" w:hAnsi="Tahoma" w:cs="Tahoma"/>
      <w:sz w:val="16"/>
      <w:szCs w:val="16"/>
    </w:rPr>
  </w:style>
  <w:style w:type="character" w:customStyle="1" w:styleId="BalloonTextChar">
    <w:name w:val="Balloon Text Char"/>
    <w:basedOn w:val="DefaultParagraphFont"/>
    <w:link w:val="BalloonText"/>
    <w:uiPriority w:val="99"/>
    <w:semiHidden/>
    <w:rsid w:val="00A11E30"/>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331185"/>
    <w:rPr>
      <w:b/>
      <w:bCs/>
    </w:rPr>
  </w:style>
  <w:style w:type="character" w:customStyle="1" w:styleId="CommentSubjectChar">
    <w:name w:val="Comment Subject Char"/>
    <w:basedOn w:val="CommentTextChar"/>
    <w:link w:val="CommentSubject"/>
    <w:uiPriority w:val="99"/>
    <w:semiHidden/>
    <w:rsid w:val="0033118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020D8"/>
    <w:rPr>
      <w:color w:val="800080" w:themeColor="followedHyperlink"/>
      <w:u w:val="single"/>
    </w:rPr>
  </w:style>
  <w:style w:type="paragraph" w:customStyle="1" w:styleId="Default">
    <w:name w:val="Default"/>
    <w:rsid w:val="00923D94"/>
    <w:pPr>
      <w:autoSpaceDE w:val="0"/>
      <w:autoSpaceDN w:val="0"/>
      <w:adjustRightInd w:val="0"/>
      <w:spacing w:after="0" w:line="240" w:lineRule="auto"/>
    </w:pPr>
    <w:rPr>
      <w:rFonts w:ascii="BTBQV D+ EU Albertina# 20" w:hAnsi="BTBQV D+ EU Albertina# 20" w:cs="BTBQV D+ EU Albertina# 2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1350">
      <w:bodyDiv w:val="1"/>
      <w:marLeft w:val="0"/>
      <w:marRight w:val="0"/>
      <w:marTop w:val="0"/>
      <w:marBottom w:val="0"/>
      <w:divBdr>
        <w:top w:val="none" w:sz="0" w:space="0" w:color="auto"/>
        <w:left w:val="none" w:sz="0" w:space="0" w:color="auto"/>
        <w:bottom w:val="none" w:sz="0" w:space="0" w:color="auto"/>
        <w:right w:val="none" w:sz="0" w:space="0" w:color="auto"/>
      </w:divBdr>
    </w:div>
    <w:div w:id="16405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inforeuro/index.cf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nlargement/pdf/financial_assistance/institution_building/2016/2016-twinning-privacy-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12A6-4A61-4CA5-B861-7A74B888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SANTUCCIONE Lucia (DEVCO)</dc:creator>
  <cp:lastModifiedBy>PERSSON Birgit (ELARG)</cp:lastModifiedBy>
  <cp:revision>4</cp:revision>
  <cp:lastPrinted>2016-05-23T13:41:00Z</cp:lastPrinted>
  <dcterms:created xsi:type="dcterms:W3CDTF">2016-05-23T13:33:00Z</dcterms:created>
  <dcterms:modified xsi:type="dcterms:W3CDTF">2016-05-23T13:43:00Z</dcterms:modified>
</cp:coreProperties>
</file>