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584" w:rsidRPr="004E0659" w:rsidRDefault="00482584" w:rsidP="00482584">
      <w:pPr>
        <w:jc w:val="center"/>
        <w:rPr>
          <w:rFonts w:cs="Times New Roman"/>
          <w:b/>
          <w:sz w:val="26"/>
          <w:szCs w:val="26"/>
          <w:u w:val="single"/>
        </w:rPr>
      </w:pPr>
      <w:r w:rsidRPr="004E0659">
        <w:rPr>
          <w:rFonts w:cs="Times New Roman"/>
          <w:b/>
          <w:sz w:val="26"/>
          <w:szCs w:val="26"/>
          <w:u w:val="single"/>
        </w:rPr>
        <w:t>Valsts budžeta netieši sniegtā finansējuma lietderības izlietojums</w:t>
      </w:r>
    </w:p>
    <w:p w:rsidR="00482584" w:rsidRPr="004E0659" w:rsidRDefault="00482584" w:rsidP="00482584">
      <w:pPr>
        <w:jc w:val="center"/>
        <w:rPr>
          <w:rFonts w:cs="Times New Roman"/>
          <w:b/>
          <w:sz w:val="26"/>
          <w:szCs w:val="26"/>
          <w:u w:val="single"/>
        </w:rPr>
      </w:pPr>
      <w:r w:rsidRPr="004E0659">
        <w:rPr>
          <w:rFonts w:cs="Times New Roman"/>
          <w:b/>
          <w:sz w:val="26"/>
          <w:szCs w:val="26"/>
          <w:u w:val="single"/>
        </w:rPr>
        <w:t xml:space="preserve"> sabiedriskā labuma organizācijām</w:t>
      </w:r>
    </w:p>
    <w:p w:rsidR="00482584" w:rsidRPr="00004D14" w:rsidRDefault="00482584" w:rsidP="00482584">
      <w:pPr>
        <w:jc w:val="both"/>
        <w:rPr>
          <w:rFonts w:cs="Times New Roman"/>
          <w:sz w:val="26"/>
          <w:szCs w:val="26"/>
        </w:rPr>
      </w:pPr>
    </w:p>
    <w:p w:rsidR="00482584" w:rsidRPr="00004D14" w:rsidRDefault="00482584" w:rsidP="00004D14">
      <w:pPr>
        <w:jc w:val="both"/>
        <w:rPr>
          <w:rFonts w:cs="Times New Roman"/>
          <w:sz w:val="26"/>
          <w:szCs w:val="26"/>
        </w:rPr>
      </w:pPr>
    </w:p>
    <w:p w:rsidR="00482584" w:rsidRDefault="00482584" w:rsidP="00482584">
      <w:pPr>
        <w:ind w:firstLine="720"/>
        <w:jc w:val="both"/>
        <w:rPr>
          <w:rFonts w:cs="Times New Roman"/>
          <w:sz w:val="26"/>
          <w:szCs w:val="26"/>
        </w:rPr>
      </w:pPr>
      <w:r w:rsidRPr="004E0659">
        <w:rPr>
          <w:rFonts w:cs="Times New Roman"/>
          <w:sz w:val="26"/>
          <w:szCs w:val="26"/>
        </w:rPr>
        <w:t>Finanšu ministrija ir veikusi valsts budžeta netieši sniegtā finansējuma lietderības izlietojum</w:t>
      </w:r>
      <w:r w:rsidR="00243AD0">
        <w:rPr>
          <w:rFonts w:cs="Times New Roman"/>
          <w:sz w:val="26"/>
          <w:szCs w:val="26"/>
        </w:rPr>
        <w:t>a</w:t>
      </w:r>
      <w:r w:rsidRPr="004E0659">
        <w:rPr>
          <w:rFonts w:cs="Times New Roman"/>
          <w:sz w:val="26"/>
          <w:szCs w:val="26"/>
        </w:rPr>
        <w:t xml:space="preserve"> sabiedriskā labuma organizācijām (turpmāk – SLO)</w:t>
      </w:r>
      <w:r w:rsidR="00D015CC">
        <w:rPr>
          <w:rFonts w:cs="Times New Roman"/>
          <w:sz w:val="26"/>
          <w:szCs w:val="26"/>
        </w:rPr>
        <w:t xml:space="preserve"> </w:t>
      </w:r>
      <w:proofErr w:type="spellStart"/>
      <w:r w:rsidR="00D015CC">
        <w:rPr>
          <w:rFonts w:cs="Times New Roman"/>
          <w:sz w:val="26"/>
          <w:szCs w:val="26"/>
        </w:rPr>
        <w:t>izvērtējumu</w:t>
      </w:r>
      <w:proofErr w:type="spellEnd"/>
      <w:r w:rsidR="00D015CC">
        <w:rPr>
          <w:rFonts w:cs="Times New Roman"/>
          <w:sz w:val="26"/>
          <w:szCs w:val="26"/>
        </w:rPr>
        <w:t xml:space="preserve"> par iepriekšējiem gadiem</w:t>
      </w:r>
      <w:r w:rsidR="00243AD0">
        <w:rPr>
          <w:rFonts w:cs="Times New Roman"/>
          <w:sz w:val="26"/>
          <w:szCs w:val="26"/>
        </w:rPr>
        <w:t xml:space="preserve"> (</w:t>
      </w:r>
      <w:r w:rsidR="00D015CC">
        <w:rPr>
          <w:rFonts w:cs="Times New Roman"/>
          <w:sz w:val="26"/>
          <w:szCs w:val="26"/>
        </w:rPr>
        <w:t>2015. un 2016.gadu</w:t>
      </w:r>
      <w:r w:rsidR="00243AD0">
        <w:rPr>
          <w:rFonts w:cs="Times New Roman"/>
          <w:sz w:val="26"/>
          <w:szCs w:val="26"/>
        </w:rPr>
        <w:t>)</w:t>
      </w:r>
      <w:r w:rsidR="00D015CC">
        <w:rPr>
          <w:rFonts w:cs="Times New Roman"/>
          <w:sz w:val="26"/>
          <w:szCs w:val="26"/>
        </w:rPr>
        <w:t>.</w:t>
      </w:r>
    </w:p>
    <w:p w:rsidR="00D015CC" w:rsidRPr="00D015CC" w:rsidRDefault="00D015CC" w:rsidP="00482584">
      <w:pPr>
        <w:ind w:firstLine="720"/>
        <w:jc w:val="both"/>
        <w:rPr>
          <w:rFonts w:cs="Times New Roman"/>
          <w:sz w:val="12"/>
          <w:szCs w:val="12"/>
        </w:rPr>
      </w:pPr>
    </w:p>
    <w:p w:rsidR="00482584" w:rsidRDefault="00482584" w:rsidP="009D3545">
      <w:pPr>
        <w:pStyle w:val="BodyText"/>
        <w:ind w:firstLine="720"/>
        <w:rPr>
          <w:sz w:val="26"/>
          <w:szCs w:val="26"/>
        </w:rPr>
      </w:pPr>
      <w:r w:rsidRPr="004E0659">
        <w:rPr>
          <w:sz w:val="26"/>
          <w:szCs w:val="26"/>
        </w:rPr>
        <w:t xml:space="preserve">SLO ir biedrības un nodibinājumi, kuru statūtos, satversmē vai nolikumā norādītais mērķis ir sabiedriskā labuma darbība, kā arī </w:t>
      </w:r>
      <w:r w:rsidR="00E8202D">
        <w:rPr>
          <w:sz w:val="26"/>
          <w:szCs w:val="26"/>
        </w:rPr>
        <w:t xml:space="preserve">reliģiskās organizācijas (turpmāk – </w:t>
      </w:r>
      <w:r w:rsidRPr="004E0659">
        <w:rPr>
          <w:sz w:val="26"/>
          <w:szCs w:val="26"/>
        </w:rPr>
        <w:t>RO</w:t>
      </w:r>
      <w:r w:rsidR="00E8202D">
        <w:rPr>
          <w:sz w:val="26"/>
          <w:szCs w:val="26"/>
        </w:rPr>
        <w:t>)</w:t>
      </w:r>
      <w:r w:rsidRPr="004E0659">
        <w:rPr>
          <w:sz w:val="26"/>
          <w:szCs w:val="26"/>
        </w:rPr>
        <w:t xml:space="preserve">, kuras veic sabiedriskā labuma darbību, ja šīm biedrībām, nodibinājumiem un RO piešķirts SLO statuss un, ja tās izlieto savus ienākumus darbībām, kurām nav komerciāla rakstura un, kuras vērstas uz sabiedriskā labuma darbības nodrošināšanu [Sabiedriskā labuma organizāciju likuma (turpmāk – Likums) 3.pants]. </w:t>
      </w:r>
    </w:p>
    <w:p w:rsidR="009D3545" w:rsidRPr="00243AD0" w:rsidRDefault="009D3545" w:rsidP="009D3545">
      <w:pPr>
        <w:tabs>
          <w:tab w:val="left" w:pos="567"/>
          <w:tab w:val="left" w:pos="851"/>
          <w:tab w:val="left" w:pos="1134"/>
        </w:tabs>
        <w:autoSpaceDE w:val="0"/>
        <w:autoSpaceDN w:val="0"/>
        <w:adjustRightInd w:val="0"/>
        <w:jc w:val="both"/>
        <w:rPr>
          <w:sz w:val="26"/>
          <w:szCs w:val="26"/>
        </w:rPr>
      </w:pPr>
      <w:r w:rsidRPr="009D3545">
        <w:rPr>
          <w:sz w:val="26"/>
          <w:szCs w:val="26"/>
        </w:rPr>
        <w:tab/>
        <w:t>Ik gadu vērojam</w:t>
      </w:r>
      <w:r>
        <w:rPr>
          <w:sz w:val="26"/>
          <w:szCs w:val="26"/>
        </w:rPr>
        <w:t xml:space="preserve">s </w:t>
      </w:r>
      <w:r w:rsidRPr="009D3545">
        <w:rPr>
          <w:sz w:val="26"/>
          <w:szCs w:val="26"/>
        </w:rPr>
        <w:t>SLO skait</w:t>
      </w:r>
      <w:r>
        <w:rPr>
          <w:sz w:val="26"/>
          <w:szCs w:val="26"/>
        </w:rPr>
        <w:t xml:space="preserve">a pieaugums, </w:t>
      </w:r>
      <w:r w:rsidRPr="009D3545">
        <w:rPr>
          <w:sz w:val="26"/>
          <w:szCs w:val="26"/>
        </w:rPr>
        <w:t xml:space="preserve">vidēji </w:t>
      </w:r>
      <w:r>
        <w:rPr>
          <w:sz w:val="26"/>
          <w:szCs w:val="26"/>
        </w:rPr>
        <w:t xml:space="preserve">gadā tas pieaug </w:t>
      </w:r>
      <w:r w:rsidRPr="009D3545">
        <w:rPr>
          <w:sz w:val="26"/>
          <w:szCs w:val="26"/>
        </w:rPr>
        <w:t>par 250 organizācijām. Saskaņā ar Valsts ieņēmumu dienesta (turpmāk – VID) (S</w:t>
      </w:r>
      <w:r w:rsidR="00E8202D">
        <w:rPr>
          <w:sz w:val="26"/>
          <w:szCs w:val="26"/>
        </w:rPr>
        <w:t xml:space="preserve">LO </w:t>
      </w:r>
      <w:r w:rsidRPr="009D3545">
        <w:rPr>
          <w:sz w:val="26"/>
          <w:szCs w:val="26"/>
        </w:rPr>
        <w:t xml:space="preserve">reģistra turētāja) sniegto informāciju </w:t>
      </w:r>
      <w:r w:rsidR="00682F39">
        <w:rPr>
          <w:sz w:val="26"/>
          <w:szCs w:val="26"/>
        </w:rPr>
        <w:t xml:space="preserve">2016.gadā </w:t>
      </w:r>
      <w:r w:rsidRPr="009D3545">
        <w:rPr>
          <w:sz w:val="26"/>
          <w:szCs w:val="26"/>
        </w:rPr>
        <w:t xml:space="preserve"> </w:t>
      </w:r>
      <w:r w:rsidR="00682F39" w:rsidRPr="00243AD0">
        <w:rPr>
          <w:sz w:val="26"/>
          <w:szCs w:val="26"/>
        </w:rPr>
        <w:t xml:space="preserve">ir </w:t>
      </w:r>
      <w:r w:rsidRPr="00243AD0">
        <w:rPr>
          <w:sz w:val="26"/>
          <w:szCs w:val="26"/>
        </w:rPr>
        <w:t xml:space="preserve">2640 </w:t>
      </w:r>
      <w:r w:rsidR="00682F39" w:rsidRPr="00243AD0">
        <w:rPr>
          <w:sz w:val="26"/>
          <w:szCs w:val="26"/>
        </w:rPr>
        <w:t>organizācijas</w:t>
      </w:r>
      <w:r w:rsidR="00682F39">
        <w:rPr>
          <w:sz w:val="26"/>
          <w:szCs w:val="26"/>
        </w:rPr>
        <w:t xml:space="preserve">, kurām piešķirts </w:t>
      </w:r>
      <w:r w:rsidRPr="009D3545">
        <w:rPr>
          <w:sz w:val="26"/>
          <w:szCs w:val="26"/>
        </w:rPr>
        <w:t xml:space="preserve">SLO </w:t>
      </w:r>
      <w:r w:rsidR="00682F39">
        <w:rPr>
          <w:sz w:val="26"/>
          <w:szCs w:val="26"/>
        </w:rPr>
        <w:t xml:space="preserve">statuss </w:t>
      </w:r>
      <w:r w:rsidRPr="009D3545">
        <w:rPr>
          <w:sz w:val="26"/>
          <w:szCs w:val="26"/>
        </w:rPr>
        <w:t>(201</w:t>
      </w:r>
      <w:r w:rsidR="00682F39">
        <w:rPr>
          <w:sz w:val="26"/>
          <w:szCs w:val="26"/>
        </w:rPr>
        <w:t>5</w:t>
      </w:r>
      <w:r w:rsidRPr="009D3545">
        <w:rPr>
          <w:sz w:val="26"/>
          <w:szCs w:val="26"/>
        </w:rPr>
        <w:t>.</w:t>
      </w:r>
      <w:r w:rsidRPr="00243AD0">
        <w:rPr>
          <w:sz w:val="26"/>
          <w:szCs w:val="26"/>
        </w:rPr>
        <w:t>gad</w:t>
      </w:r>
      <w:r w:rsidR="00682F39" w:rsidRPr="00243AD0">
        <w:rPr>
          <w:sz w:val="26"/>
          <w:szCs w:val="26"/>
        </w:rPr>
        <w:t xml:space="preserve">ā </w:t>
      </w:r>
      <w:r w:rsidR="00E8202D" w:rsidRPr="009D3545">
        <w:rPr>
          <w:sz w:val="26"/>
          <w:szCs w:val="26"/>
        </w:rPr>
        <w:t>–</w:t>
      </w:r>
      <w:r w:rsidR="00E8202D">
        <w:rPr>
          <w:sz w:val="26"/>
          <w:szCs w:val="26"/>
        </w:rPr>
        <w:t xml:space="preserve"> </w:t>
      </w:r>
      <w:r w:rsidRPr="00243AD0">
        <w:rPr>
          <w:sz w:val="26"/>
          <w:szCs w:val="26"/>
        </w:rPr>
        <w:t>2 4</w:t>
      </w:r>
      <w:r w:rsidR="00992D3A">
        <w:rPr>
          <w:sz w:val="26"/>
          <w:szCs w:val="26"/>
        </w:rPr>
        <w:t>54</w:t>
      </w:r>
      <w:r w:rsidRPr="00243AD0">
        <w:rPr>
          <w:sz w:val="26"/>
          <w:szCs w:val="26"/>
        </w:rPr>
        <w:t xml:space="preserve"> SLO), t.sk.:</w:t>
      </w:r>
    </w:p>
    <w:p w:rsidR="009D3545" w:rsidRPr="00243AD0" w:rsidRDefault="009D3545" w:rsidP="009D3545">
      <w:pPr>
        <w:pStyle w:val="ListParagraph"/>
        <w:numPr>
          <w:ilvl w:val="0"/>
          <w:numId w:val="4"/>
        </w:numPr>
        <w:tabs>
          <w:tab w:val="left" w:pos="567"/>
          <w:tab w:val="left" w:pos="851"/>
          <w:tab w:val="left" w:pos="1134"/>
        </w:tabs>
        <w:autoSpaceDE w:val="0"/>
        <w:autoSpaceDN w:val="0"/>
        <w:adjustRightInd w:val="0"/>
        <w:ind w:left="1276" w:hanging="283"/>
        <w:jc w:val="both"/>
        <w:rPr>
          <w:sz w:val="26"/>
          <w:szCs w:val="26"/>
        </w:rPr>
      </w:pPr>
      <w:r w:rsidRPr="00243AD0">
        <w:rPr>
          <w:sz w:val="26"/>
          <w:szCs w:val="26"/>
        </w:rPr>
        <w:t>biedrības – 2205 vai 83,5% no SLO kopskaita;</w:t>
      </w:r>
    </w:p>
    <w:p w:rsidR="009D3545" w:rsidRPr="00243AD0" w:rsidRDefault="009D3545" w:rsidP="009D3545">
      <w:pPr>
        <w:pStyle w:val="ListParagraph"/>
        <w:numPr>
          <w:ilvl w:val="0"/>
          <w:numId w:val="4"/>
        </w:numPr>
        <w:tabs>
          <w:tab w:val="left" w:pos="567"/>
          <w:tab w:val="left" w:pos="851"/>
          <w:tab w:val="left" w:pos="1134"/>
        </w:tabs>
        <w:autoSpaceDE w:val="0"/>
        <w:autoSpaceDN w:val="0"/>
        <w:adjustRightInd w:val="0"/>
        <w:ind w:left="1276" w:hanging="283"/>
        <w:jc w:val="both"/>
        <w:rPr>
          <w:sz w:val="26"/>
          <w:szCs w:val="26"/>
        </w:rPr>
      </w:pPr>
      <w:r w:rsidRPr="00243AD0">
        <w:rPr>
          <w:sz w:val="26"/>
          <w:szCs w:val="26"/>
        </w:rPr>
        <w:t>nodibinājumi – 350 vai 13,3% no SLO kopskaita;</w:t>
      </w:r>
    </w:p>
    <w:p w:rsidR="009D3545" w:rsidRPr="009D3545" w:rsidRDefault="009D3545" w:rsidP="009D3545">
      <w:pPr>
        <w:pStyle w:val="ListParagraph"/>
        <w:numPr>
          <w:ilvl w:val="0"/>
          <w:numId w:val="4"/>
        </w:numPr>
        <w:tabs>
          <w:tab w:val="left" w:pos="567"/>
          <w:tab w:val="left" w:pos="851"/>
          <w:tab w:val="left" w:pos="1134"/>
        </w:tabs>
        <w:autoSpaceDE w:val="0"/>
        <w:autoSpaceDN w:val="0"/>
        <w:adjustRightInd w:val="0"/>
        <w:ind w:left="1276" w:hanging="283"/>
        <w:jc w:val="both"/>
        <w:rPr>
          <w:sz w:val="26"/>
          <w:szCs w:val="26"/>
          <w:u w:val="single"/>
        </w:rPr>
      </w:pPr>
      <w:r w:rsidRPr="009D3545">
        <w:rPr>
          <w:sz w:val="26"/>
          <w:szCs w:val="26"/>
        </w:rPr>
        <w:t>RO – 85 vai 3,2% no SLO kopskaita.</w:t>
      </w:r>
    </w:p>
    <w:p w:rsidR="009D3545" w:rsidRPr="00DD39A7" w:rsidRDefault="009D3545" w:rsidP="009D3545">
      <w:pPr>
        <w:pStyle w:val="ListParagraph"/>
        <w:autoSpaceDE w:val="0"/>
        <w:autoSpaceDN w:val="0"/>
        <w:adjustRightInd w:val="0"/>
        <w:ind w:left="0" w:firstLine="567"/>
        <w:jc w:val="both"/>
        <w:rPr>
          <w:rFonts w:eastAsia="Times New Roman"/>
          <w:sz w:val="26"/>
          <w:szCs w:val="26"/>
          <w:lang w:eastAsia="lv-LV"/>
        </w:rPr>
      </w:pPr>
      <w:r w:rsidRPr="009D3545">
        <w:rPr>
          <w:rFonts w:eastAsia="Times New Roman"/>
          <w:sz w:val="26"/>
          <w:szCs w:val="26"/>
          <w:lang w:eastAsia="lv-LV"/>
        </w:rPr>
        <w:t>Latvijā no visām reģistrētajām biedrībām</w:t>
      </w:r>
      <w:r w:rsidR="00E8202D">
        <w:rPr>
          <w:rFonts w:eastAsia="Times New Roman"/>
          <w:sz w:val="26"/>
          <w:szCs w:val="26"/>
          <w:lang w:eastAsia="lv-LV"/>
        </w:rPr>
        <w:t xml:space="preserve">, </w:t>
      </w:r>
      <w:r w:rsidRPr="009D3545">
        <w:rPr>
          <w:rFonts w:eastAsia="Times New Roman"/>
          <w:sz w:val="26"/>
          <w:szCs w:val="26"/>
          <w:lang w:eastAsia="lv-LV"/>
        </w:rPr>
        <w:t>nodibinājumiem</w:t>
      </w:r>
      <w:r w:rsidR="00E8202D">
        <w:rPr>
          <w:rFonts w:eastAsia="Times New Roman"/>
          <w:sz w:val="26"/>
          <w:szCs w:val="26"/>
          <w:lang w:eastAsia="lv-LV"/>
        </w:rPr>
        <w:t xml:space="preserve"> un RO </w:t>
      </w:r>
      <w:r w:rsidRPr="009D3545">
        <w:rPr>
          <w:rFonts w:eastAsia="Times New Roman"/>
          <w:sz w:val="26"/>
          <w:szCs w:val="26"/>
          <w:lang w:eastAsia="lv-LV"/>
        </w:rPr>
        <w:t>SLO statuss ir apmēram 1</w:t>
      </w:r>
      <w:r w:rsidR="00E8202D">
        <w:rPr>
          <w:rFonts w:eastAsia="Times New Roman"/>
          <w:sz w:val="26"/>
          <w:szCs w:val="26"/>
          <w:lang w:eastAsia="lv-LV"/>
        </w:rPr>
        <w:t>4</w:t>
      </w:r>
      <w:r w:rsidRPr="009D3545">
        <w:rPr>
          <w:rFonts w:eastAsia="Times New Roman"/>
          <w:sz w:val="26"/>
          <w:szCs w:val="26"/>
          <w:lang w:eastAsia="lv-LV"/>
        </w:rPr>
        <w:t xml:space="preserve">% </w:t>
      </w:r>
      <w:r w:rsidR="00E8202D">
        <w:rPr>
          <w:rFonts w:eastAsia="Times New Roman"/>
          <w:sz w:val="26"/>
          <w:szCs w:val="26"/>
          <w:lang w:eastAsia="lv-LV"/>
        </w:rPr>
        <w:t xml:space="preserve">no šīm </w:t>
      </w:r>
      <w:r w:rsidRPr="009D3545">
        <w:rPr>
          <w:rFonts w:eastAsia="Times New Roman"/>
          <w:sz w:val="26"/>
          <w:szCs w:val="26"/>
          <w:lang w:eastAsia="lv-LV"/>
        </w:rPr>
        <w:t>organizācij</w:t>
      </w:r>
      <w:r w:rsidR="00E8202D">
        <w:rPr>
          <w:rFonts w:eastAsia="Times New Roman"/>
          <w:sz w:val="26"/>
          <w:szCs w:val="26"/>
          <w:lang w:eastAsia="lv-LV"/>
        </w:rPr>
        <w:t>ām</w:t>
      </w:r>
      <w:r w:rsidRPr="009D3545">
        <w:rPr>
          <w:rFonts w:eastAsia="Times New Roman"/>
          <w:sz w:val="26"/>
          <w:szCs w:val="26"/>
          <w:lang w:eastAsia="lv-LV"/>
        </w:rPr>
        <w:t xml:space="preserve">. SLO skaita pieaugums pret 2016.gadu ir 7,7% vai SLO skaits ir pieaudzis par 204 </w:t>
      </w:r>
      <w:r w:rsidRPr="00DD39A7">
        <w:rPr>
          <w:rFonts w:eastAsia="Times New Roman"/>
          <w:sz w:val="26"/>
          <w:szCs w:val="26"/>
          <w:lang w:eastAsia="lv-LV"/>
        </w:rPr>
        <w:t xml:space="preserve">organizācijām. Lai gan ir vērojams SLO skaita pieaugums, ap 50 organizācijām katru gadu zaudē SLO statusu. </w:t>
      </w:r>
    </w:p>
    <w:p w:rsidR="00990EEF" w:rsidRDefault="009D3545" w:rsidP="006E68F6">
      <w:pPr>
        <w:pStyle w:val="ListParagraph"/>
        <w:autoSpaceDE w:val="0"/>
        <w:autoSpaceDN w:val="0"/>
        <w:adjustRightInd w:val="0"/>
        <w:ind w:left="0" w:firstLine="567"/>
        <w:jc w:val="both"/>
        <w:rPr>
          <w:rFonts w:eastAsia="Times New Roman"/>
          <w:sz w:val="26"/>
          <w:szCs w:val="26"/>
          <w:lang w:eastAsia="lv-LV"/>
        </w:rPr>
      </w:pPr>
      <w:r w:rsidRPr="00DD39A7">
        <w:rPr>
          <w:rFonts w:eastAsia="Times New Roman"/>
          <w:sz w:val="26"/>
          <w:szCs w:val="26"/>
          <w:lang w:eastAsia="lv-LV"/>
        </w:rPr>
        <w:t>Izplatītākie SLO</w:t>
      </w:r>
      <w:r w:rsidR="00E8202D">
        <w:rPr>
          <w:rFonts w:eastAsia="Times New Roman"/>
          <w:sz w:val="26"/>
          <w:szCs w:val="26"/>
          <w:lang w:eastAsia="lv-LV"/>
        </w:rPr>
        <w:t xml:space="preserve"> statusa</w:t>
      </w:r>
      <w:r w:rsidRPr="00DD39A7">
        <w:rPr>
          <w:rFonts w:eastAsia="Times New Roman"/>
          <w:sz w:val="26"/>
          <w:szCs w:val="26"/>
          <w:lang w:eastAsia="lv-LV"/>
        </w:rPr>
        <w:t xml:space="preserve"> zaudēšanas iemesli ir</w:t>
      </w:r>
      <w:r w:rsidR="004722E0" w:rsidRPr="00DD39A7">
        <w:rPr>
          <w:rFonts w:eastAsia="Times New Roman"/>
          <w:sz w:val="26"/>
          <w:szCs w:val="26"/>
          <w:lang w:eastAsia="lv-LV"/>
        </w:rPr>
        <w:t xml:space="preserve"> </w:t>
      </w:r>
      <w:r w:rsidRPr="00DD39A7">
        <w:rPr>
          <w:rFonts w:eastAsia="Times New Roman"/>
          <w:sz w:val="26"/>
          <w:szCs w:val="26"/>
          <w:lang w:eastAsia="lv-LV"/>
        </w:rPr>
        <w:t>nodokļu parād</w:t>
      </w:r>
      <w:r w:rsidR="004722E0" w:rsidRPr="00DD39A7">
        <w:rPr>
          <w:rFonts w:eastAsia="Times New Roman"/>
          <w:sz w:val="26"/>
          <w:szCs w:val="26"/>
          <w:lang w:eastAsia="lv-LV"/>
        </w:rPr>
        <w:t xml:space="preserve">u esamība, </w:t>
      </w:r>
      <w:r w:rsidRPr="00DD39A7">
        <w:rPr>
          <w:rFonts w:eastAsia="Times New Roman"/>
          <w:sz w:val="26"/>
          <w:szCs w:val="26"/>
          <w:lang w:eastAsia="lv-LV"/>
        </w:rPr>
        <w:t>organizācijas darbības neatbilstība piešķirtajai sabiedriskā labuma darbības jomai</w:t>
      </w:r>
      <w:r w:rsidR="004722E0" w:rsidRPr="00DD39A7">
        <w:rPr>
          <w:rFonts w:eastAsia="Times New Roman"/>
          <w:sz w:val="26"/>
          <w:szCs w:val="26"/>
          <w:lang w:eastAsia="lv-LV"/>
        </w:rPr>
        <w:t xml:space="preserve">, netiek </w:t>
      </w:r>
      <w:r w:rsidRPr="00DD39A7">
        <w:rPr>
          <w:rFonts w:eastAsia="Times New Roman"/>
          <w:sz w:val="26"/>
          <w:szCs w:val="26"/>
          <w:lang w:eastAsia="lv-LV"/>
        </w:rPr>
        <w:t>iesniegti gada pārskati u.c.</w:t>
      </w:r>
    </w:p>
    <w:p w:rsidR="00CB057F" w:rsidRPr="00DD39A7" w:rsidRDefault="00CB057F" w:rsidP="00CB057F">
      <w:pPr>
        <w:autoSpaceDE w:val="0"/>
        <w:autoSpaceDN w:val="0"/>
        <w:adjustRightInd w:val="0"/>
        <w:ind w:firstLine="567"/>
        <w:jc w:val="both"/>
        <w:rPr>
          <w:rFonts w:eastAsia="Calibri"/>
          <w:sz w:val="12"/>
          <w:szCs w:val="12"/>
          <w:u w:val="single"/>
        </w:rPr>
      </w:pPr>
      <w:r>
        <w:rPr>
          <w:rFonts w:eastAsia="Calibri"/>
          <w:sz w:val="26"/>
          <w:szCs w:val="26"/>
        </w:rPr>
        <w:t xml:space="preserve">SLO uzraudzības procesa rezultātā VID izteicis </w:t>
      </w:r>
      <w:bookmarkStart w:id="0" w:name="_GoBack"/>
      <w:bookmarkEnd w:id="0"/>
      <w:r>
        <w:rPr>
          <w:rFonts w:eastAsia="Calibri"/>
          <w:sz w:val="26"/>
          <w:szCs w:val="26"/>
        </w:rPr>
        <w:t xml:space="preserve">2015.gadā – </w:t>
      </w:r>
      <w:r>
        <w:rPr>
          <w:rFonts w:eastAsia="Calibri"/>
          <w:sz w:val="26"/>
          <w:szCs w:val="26"/>
        </w:rPr>
        <w:t xml:space="preserve">298 brīdinājumus, </w:t>
      </w:r>
      <w:r>
        <w:rPr>
          <w:rFonts w:eastAsia="Calibri"/>
          <w:sz w:val="26"/>
          <w:szCs w:val="26"/>
        </w:rPr>
        <w:t xml:space="preserve">2016.gadā – </w:t>
      </w:r>
      <w:r>
        <w:rPr>
          <w:rFonts w:eastAsia="Calibri"/>
          <w:sz w:val="26"/>
          <w:szCs w:val="26"/>
        </w:rPr>
        <w:t>336 brīdinājumus</w:t>
      </w:r>
      <w:r>
        <w:rPr>
          <w:rFonts w:eastAsia="Calibri"/>
          <w:sz w:val="26"/>
          <w:szCs w:val="26"/>
        </w:rPr>
        <w:t xml:space="preserve">. Savukārt SLO statuss 2015.gadā atņemts ir </w:t>
      </w:r>
      <w:r>
        <w:rPr>
          <w:rFonts w:eastAsia="Calibri"/>
          <w:sz w:val="26"/>
          <w:szCs w:val="26"/>
        </w:rPr>
        <w:t>58</w:t>
      </w:r>
      <w:r>
        <w:rPr>
          <w:rFonts w:eastAsia="Calibri"/>
          <w:sz w:val="26"/>
          <w:szCs w:val="26"/>
        </w:rPr>
        <w:t xml:space="preserve"> organizācijām, 2016.gadā – </w:t>
      </w:r>
      <w:r>
        <w:rPr>
          <w:rFonts w:eastAsia="Calibri"/>
          <w:sz w:val="26"/>
          <w:szCs w:val="26"/>
        </w:rPr>
        <w:t xml:space="preserve">49 </w:t>
      </w:r>
      <w:r>
        <w:rPr>
          <w:rFonts w:eastAsia="Calibri"/>
          <w:sz w:val="26"/>
          <w:szCs w:val="26"/>
        </w:rPr>
        <w:t>organizācij</w:t>
      </w:r>
      <w:r>
        <w:rPr>
          <w:rFonts w:eastAsia="Calibri"/>
          <w:sz w:val="26"/>
          <w:szCs w:val="26"/>
        </w:rPr>
        <w:t>ām.</w:t>
      </w:r>
    </w:p>
    <w:p w:rsidR="00D015CC" w:rsidRPr="00D015CC" w:rsidRDefault="00D015CC" w:rsidP="00482584">
      <w:pPr>
        <w:pStyle w:val="BodyText"/>
        <w:ind w:firstLine="720"/>
        <w:rPr>
          <w:sz w:val="12"/>
          <w:szCs w:val="12"/>
        </w:rPr>
      </w:pPr>
    </w:p>
    <w:p w:rsidR="00482584" w:rsidRPr="004E0659" w:rsidRDefault="00482584" w:rsidP="00482584">
      <w:pPr>
        <w:pStyle w:val="BodyText"/>
        <w:ind w:firstLine="720"/>
        <w:rPr>
          <w:sz w:val="26"/>
          <w:szCs w:val="26"/>
        </w:rPr>
      </w:pPr>
      <w:r w:rsidRPr="004E0659">
        <w:rPr>
          <w:sz w:val="26"/>
          <w:szCs w:val="26"/>
        </w:rPr>
        <w:t>Likumdevējs ir noteicis, ka organizācijai, kas pretendē uz SLO statusu, jādarbojas Likumā noteiktajās jomās. Šim mērķim jāizriet no organizācijas statūtiem un tieši jāatspoguļojas organizācijas darbības mērķos un metodēs. Tāpat Likumā skaidri ir atrunātas SLO tiesības saņemt ziedojumus un pienākumi, kā arī ierobežojumi attiecībā uz ziedojumu izlietojumu.</w:t>
      </w:r>
    </w:p>
    <w:p w:rsidR="00482584" w:rsidRDefault="00482584" w:rsidP="00482584">
      <w:pPr>
        <w:pStyle w:val="BodyText"/>
        <w:ind w:firstLine="720"/>
        <w:rPr>
          <w:sz w:val="26"/>
          <w:szCs w:val="26"/>
        </w:rPr>
      </w:pPr>
      <w:r w:rsidRPr="004E0659">
        <w:rPr>
          <w:sz w:val="26"/>
          <w:szCs w:val="26"/>
        </w:rPr>
        <w:t>SLO statuss dod potenciālajam ziedotājam skaidru ziņu, ka šī organizācija darbojas sabiedrības interesēs un Likuma ietvaros, kā arī to, ka organizācijas darbība tiek kontrolēta.</w:t>
      </w:r>
    </w:p>
    <w:p w:rsidR="00D015CC" w:rsidRPr="00D015CC" w:rsidRDefault="00D015CC" w:rsidP="00482584">
      <w:pPr>
        <w:pStyle w:val="BodyText"/>
        <w:ind w:firstLine="720"/>
        <w:rPr>
          <w:sz w:val="12"/>
          <w:szCs w:val="12"/>
        </w:rPr>
      </w:pPr>
    </w:p>
    <w:p w:rsidR="00482584" w:rsidRDefault="00482584" w:rsidP="00482584">
      <w:pPr>
        <w:ind w:firstLine="720"/>
        <w:jc w:val="both"/>
        <w:rPr>
          <w:sz w:val="26"/>
          <w:szCs w:val="26"/>
        </w:rPr>
      </w:pPr>
      <w:r w:rsidRPr="004E0659">
        <w:rPr>
          <w:sz w:val="26"/>
          <w:szCs w:val="26"/>
        </w:rPr>
        <w:t xml:space="preserve">Saskaņā ar Likuma 13.panta pirmo daļu VID veic SLO darbības uzraudzības funkciju. Lai to realizētu, katra SLO ik gadu līdz </w:t>
      </w:r>
      <w:r w:rsidRPr="004E0659">
        <w:rPr>
          <w:i/>
          <w:sz w:val="26"/>
          <w:szCs w:val="26"/>
        </w:rPr>
        <w:t>31.martam</w:t>
      </w:r>
      <w:r w:rsidRPr="004E0659">
        <w:rPr>
          <w:sz w:val="26"/>
          <w:szCs w:val="26"/>
        </w:rPr>
        <w:t xml:space="preserve"> iesniedz VID iepriekšējā gada darbības pārskatu un gada pārskatu. VID šos dokumentus un citu VID rīcībā esošo informāciju apkopo un izvērtē, pēc tam iesniedz </w:t>
      </w:r>
      <w:r w:rsidR="00E8202D">
        <w:rPr>
          <w:sz w:val="26"/>
          <w:szCs w:val="26"/>
        </w:rPr>
        <w:t xml:space="preserve">Sabiedriskā labuma komisijai, </w:t>
      </w:r>
      <w:r w:rsidRPr="004E0659">
        <w:rPr>
          <w:sz w:val="26"/>
          <w:szCs w:val="26"/>
        </w:rPr>
        <w:t>kura izskata un izvērtē SLO darbības atbilstību sabiedriskā labuma darbības būtībai. No Likuma normām izriet, ka SLO statusa uzraudzība tiek veikta, vērtējot SLO saņemto ziedojumu un dāvinājumu izlietojumu un citu finanšu līdzekļu izlietojumu un to atbilstību Likumā noteiktajam.</w:t>
      </w:r>
    </w:p>
    <w:p w:rsidR="00D015CC" w:rsidRPr="00D015CC" w:rsidRDefault="00D015CC" w:rsidP="00482584">
      <w:pPr>
        <w:ind w:firstLine="720"/>
        <w:jc w:val="both"/>
        <w:rPr>
          <w:sz w:val="12"/>
          <w:szCs w:val="12"/>
        </w:rPr>
      </w:pPr>
    </w:p>
    <w:p w:rsidR="00482584" w:rsidRPr="004E0659" w:rsidRDefault="00482584" w:rsidP="00482584">
      <w:pPr>
        <w:ind w:firstLine="709"/>
        <w:jc w:val="both"/>
        <w:rPr>
          <w:sz w:val="26"/>
          <w:szCs w:val="26"/>
        </w:rPr>
      </w:pPr>
      <w:r w:rsidRPr="004E0659">
        <w:rPr>
          <w:sz w:val="26"/>
          <w:szCs w:val="26"/>
        </w:rPr>
        <w:t>Ja organizācija atbilst SLO (Likuma 3.pants) definīcijai un tās veiktā darbība atbilst sabiedriskā labuma darbības (Likuma 2.pants) definīcijai, tai ir tiesības saņemt nodokļu likumos noteiktos nodokļu atvieglojumus, bet ziedotājiem ir tiesības izmantot nodokļu atvieglojumus vai atsaukt ziedojumu (Likuma 4.pants), ja tie ir izlietoti neatbilstoši Likumā noteiktajiem ierobežojumiem. No iepriekš minētā izriet, ka NVO pēc savas būtības nav uzņēmuma ienākuma nodokļa (turpmāk – UIN) maksātāji. Tas nozīmē, ka saskaņā ar likuma „Par uzņēmumu ienākuma nodokli” 20.</w:t>
      </w:r>
      <w:r w:rsidRPr="004E0659">
        <w:rPr>
          <w:sz w:val="26"/>
          <w:szCs w:val="26"/>
          <w:vertAlign w:val="superscript"/>
        </w:rPr>
        <w:t>1</w:t>
      </w:r>
      <w:r w:rsidRPr="004E0659">
        <w:rPr>
          <w:sz w:val="26"/>
          <w:szCs w:val="26"/>
        </w:rPr>
        <w:t>pantu un likuma „Par iedzīvotāju ienākuma nodokli” 10.pantu persona, kura veic ziedojumu SLO, var samazināt budžetā maksājamos nodokļus. Tādejādi valsts ir noteikusi īpašu labvēlības statusu SLO, radot iespēju SLO piesaistīt vairāk ziedotāju un to naudas līdzekļus.</w:t>
      </w:r>
    </w:p>
    <w:p w:rsidR="00482584" w:rsidRPr="004E0659" w:rsidRDefault="00482584" w:rsidP="00482584">
      <w:pPr>
        <w:ind w:firstLine="709"/>
        <w:jc w:val="both"/>
        <w:rPr>
          <w:sz w:val="26"/>
          <w:szCs w:val="26"/>
        </w:rPr>
      </w:pPr>
      <w:r w:rsidRPr="004E0659">
        <w:rPr>
          <w:rStyle w:val="Strong"/>
          <w:b w:val="0"/>
          <w:sz w:val="26"/>
          <w:szCs w:val="26"/>
        </w:rPr>
        <w:t>Uzņēmumiem</w:t>
      </w:r>
      <w:r w:rsidRPr="004E0659">
        <w:rPr>
          <w:rStyle w:val="Strong"/>
          <w:sz w:val="26"/>
          <w:szCs w:val="26"/>
        </w:rPr>
        <w:t xml:space="preserve"> </w:t>
      </w:r>
      <w:r w:rsidRPr="004E0659">
        <w:rPr>
          <w:sz w:val="26"/>
          <w:szCs w:val="26"/>
        </w:rPr>
        <w:t>saskaņā ar likuma „Par uzņēmumu ienākuma nodokli” 20.</w:t>
      </w:r>
      <w:r w:rsidRPr="004E0659">
        <w:rPr>
          <w:sz w:val="26"/>
          <w:szCs w:val="26"/>
          <w:vertAlign w:val="superscript"/>
        </w:rPr>
        <w:t>1</w:t>
      </w:r>
      <w:r w:rsidRPr="004E0659">
        <w:rPr>
          <w:sz w:val="26"/>
          <w:szCs w:val="26"/>
        </w:rPr>
        <w:t>pantu, ziedojot budžeta iestādēm, kā arī Latvijas Republikā reģistrētām biedrībām, nodibinājumiem un RO, kurām piešķirts SLO statuss saskaņā ar Likumu, ir tiesības saņemt UIN 85% no ziedotās summas, taču kopējā UIN atlaide nedrīkst pārsniegt 20% no kopējās nodokļa summas.</w:t>
      </w:r>
    </w:p>
    <w:p w:rsidR="00482584" w:rsidRDefault="00482584" w:rsidP="00482584">
      <w:pPr>
        <w:ind w:firstLine="709"/>
        <w:jc w:val="both"/>
        <w:rPr>
          <w:sz w:val="26"/>
          <w:szCs w:val="26"/>
        </w:rPr>
      </w:pPr>
      <w:r w:rsidRPr="004E0659">
        <w:rPr>
          <w:sz w:val="26"/>
          <w:szCs w:val="26"/>
        </w:rPr>
        <w:t xml:space="preserve">Savukārt </w:t>
      </w:r>
      <w:r w:rsidRPr="004E0659">
        <w:rPr>
          <w:i/>
          <w:sz w:val="26"/>
          <w:szCs w:val="26"/>
        </w:rPr>
        <w:t>fiziskajām personām</w:t>
      </w:r>
      <w:r w:rsidRPr="004E0659">
        <w:rPr>
          <w:sz w:val="26"/>
          <w:szCs w:val="26"/>
        </w:rPr>
        <w:t xml:space="preserve"> – iedzīvotāju ienākuma nodokļa (turpmāk – IIN) maksātājiem saskaņā ar likuma „Par iedzīvotāju ienākuma nodokli” 10.panta pirmajā daļā noteikto ir tiesības piemērot IIN atvieglojumus) (IIN likme par 2016.gadu – 23%), samazinot ar IIN apliekamo ienākumu par veiktajiem ziedojumiem, kas nepārsniedz 20% no maksātāja apliekamā ienākuma.</w:t>
      </w:r>
    </w:p>
    <w:p w:rsidR="00D015CC" w:rsidRPr="00D015CC" w:rsidRDefault="00D015CC" w:rsidP="00482584">
      <w:pPr>
        <w:ind w:firstLine="709"/>
        <w:jc w:val="both"/>
        <w:rPr>
          <w:sz w:val="12"/>
          <w:szCs w:val="12"/>
        </w:rPr>
      </w:pPr>
    </w:p>
    <w:p w:rsidR="00482584" w:rsidRPr="004E0659" w:rsidRDefault="00482584" w:rsidP="00482584">
      <w:pPr>
        <w:ind w:firstLine="720"/>
        <w:jc w:val="both"/>
        <w:rPr>
          <w:sz w:val="26"/>
          <w:szCs w:val="26"/>
        </w:rPr>
      </w:pPr>
      <w:r w:rsidRPr="004E0659">
        <w:rPr>
          <w:sz w:val="26"/>
          <w:szCs w:val="26"/>
        </w:rPr>
        <w:t>Tādejādi SLO būtībā saņem valsts atbalstu – finansējumu netiešā veidā. SLO veic sabiedriskā labuma darbību sabiedrības interesēs un ievēro Likumā noteiktos pienākumus un mantas un finanšu līdzekļu izlietošanas ierobežojumus.</w:t>
      </w:r>
    </w:p>
    <w:p w:rsidR="00482584" w:rsidRDefault="00482584" w:rsidP="00482584">
      <w:pPr>
        <w:ind w:firstLine="720"/>
        <w:jc w:val="both"/>
        <w:rPr>
          <w:sz w:val="26"/>
          <w:szCs w:val="26"/>
        </w:rPr>
      </w:pPr>
      <w:r w:rsidRPr="004E0659">
        <w:rPr>
          <w:sz w:val="26"/>
          <w:szCs w:val="26"/>
        </w:rPr>
        <w:t>Valsts iesaist</w:t>
      </w:r>
      <w:r w:rsidR="008D0437" w:rsidRPr="004E0659">
        <w:rPr>
          <w:sz w:val="26"/>
          <w:szCs w:val="26"/>
        </w:rPr>
        <w:t xml:space="preserve">ās </w:t>
      </w:r>
      <w:r w:rsidRPr="004E0659">
        <w:rPr>
          <w:sz w:val="26"/>
          <w:szCs w:val="26"/>
        </w:rPr>
        <w:t>NVO</w:t>
      </w:r>
      <w:r w:rsidR="008D0437" w:rsidRPr="004E0659">
        <w:rPr>
          <w:sz w:val="26"/>
          <w:szCs w:val="26"/>
        </w:rPr>
        <w:t xml:space="preserve"> finansēšanā gan tiešā veidā, deleģējot uzdevumus, projektu īstenošanu, pakalpojumu sniegšanu, gan netiešā veidā – nodrošinot nodokļu atlaides (atvieglojumus)</w:t>
      </w:r>
      <w:r w:rsidR="00E8382F">
        <w:rPr>
          <w:sz w:val="26"/>
          <w:szCs w:val="26"/>
        </w:rPr>
        <w:t xml:space="preserve"> utt.</w:t>
      </w:r>
    </w:p>
    <w:p w:rsidR="009C294B" w:rsidRPr="003C4CF6" w:rsidRDefault="009C294B" w:rsidP="009D3545">
      <w:pPr>
        <w:ind w:firstLine="720"/>
        <w:jc w:val="both"/>
        <w:rPr>
          <w:rFonts w:cs="Times New Roman"/>
          <w:sz w:val="12"/>
          <w:szCs w:val="12"/>
        </w:rPr>
      </w:pPr>
    </w:p>
    <w:p w:rsidR="009D3545" w:rsidRPr="002B66E0" w:rsidRDefault="009D3545" w:rsidP="009D3545">
      <w:pPr>
        <w:ind w:firstLine="720"/>
        <w:jc w:val="both"/>
        <w:rPr>
          <w:rFonts w:cs="Times New Roman"/>
          <w:sz w:val="12"/>
          <w:szCs w:val="12"/>
        </w:rPr>
      </w:pPr>
      <w:r w:rsidRPr="004E0659">
        <w:rPr>
          <w:rFonts w:cs="Times New Roman"/>
          <w:sz w:val="26"/>
          <w:szCs w:val="26"/>
        </w:rPr>
        <w:t>Biedrību un nodibinājumu ieņēmumu struktūru veido</w:t>
      </w:r>
      <w:r>
        <w:rPr>
          <w:rFonts w:cs="Times New Roman"/>
          <w:sz w:val="26"/>
          <w:szCs w:val="26"/>
        </w:rPr>
        <w:t xml:space="preserve"> </w:t>
      </w:r>
      <w:r w:rsidRPr="004E0659">
        <w:rPr>
          <w:rFonts w:cs="Times New Roman"/>
          <w:sz w:val="26"/>
          <w:szCs w:val="26"/>
        </w:rPr>
        <w:t>biedru naudas, iestāšanās naudas un citas gadskārtējās iemaksas</w:t>
      </w:r>
      <w:r>
        <w:rPr>
          <w:rFonts w:cs="Times New Roman"/>
          <w:sz w:val="26"/>
          <w:szCs w:val="26"/>
        </w:rPr>
        <w:t xml:space="preserve">, </w:t>
      </w:r>
      <w:r w:rsidRPr="004E0659">
        <w:rPr>
          <w:rFonts w:cs="Times New Roman"/>
          <w:sz w:val="26"/>
          <w:szCs w:val="26"/>
        </w:rPr>
        <w:t>ziedojumi un dāvinājumi</w:t>
      </w:r>
      <w:r>
        <w:rPr>
          <w:rFonts w:cs="Times New Roman"/>
          <w:sz w:val="26"/>
          <w:szCs w:val="26"/>
        </w:rPr>
        <w:t xml:space="preserve">, </w:t>
      </w:r>
      <w:r w:rsidRPr="004E0659">
        <w:rPr>
          <w:rFonts w:cs="Times New Roman"/>
          <w:sz w:val="26"/>
          <w:szCs w:val="26"/>
        </w:rPr>
        <w:t>ieņēmumi no saimnieciskās darbības</w:t>
      </w:r>
      <w:r>
        <w:rPr>
          <w:rFonts w:cs="Times New Roman"/>
          <w:sz w:val="26"/>
          <w:szCs w:val="26"/>
        </w:rPr>
        <w:t xml:space="preserve"> un </w:t>
      </w:r>
      <w:r w:rsidRPr="002B66E0">
        <w:rPr>
          <w:rFonts w:cs="Times New Roman"/>
          <w:sz w:val="26"/>
          <w:szCs w:val="26"/>
        </w:rPr>
        <w:t>saņemtās dotācijas, t.i., pašvaldību un valsts sniegtais atbalsts</w:t>
      </w:r>
      <w:r>
        <w:rPr>
          <w:rFonts w:cs="Times New Roman"/>
          <w:sz w:val="26"/>
          <w:szCs w:val="26"/>
        </w:rPr>
        <w:t>.</w:t>
      </w:r>
    </w:p>
    <w:p w:rsidR="009D3545" w:rsidRPr="009D3545" w:rsidRDefault="009D3545" w:rsidP="00482584">
      <w:pPr>
        <w:ind w:firstLine="720"/>
        <w:jc w:val="both"/>
        <w:rPr>
          <w:rFonts w:cs="Times New Roman"/>
          <w:sz w:val="12"/>
          <w:szCs w:val="12"/>
        </w:rPr>
      </w:pPr>
    </w:p>
    <w:p w:rsidR="00CA18C9" w:rsidRPr="004E0659" w:rsidRDefault="00CA18C9" w:rsidP="00482584">
      <w:pPr>
        <w:ind w:firstLine="720"/>
        <w:jc w:val="both"/>
        <w:rPr>
          <w:rFonts w:cs="Times New Roman"/>
          <w:sz w:val="26"/>
          <w:szCs w:val="26"/>
        </w:rPr>
      </w:pPr>
      <w:r w:rsidRPr="004E0659">
        <w:rPr>
          <w:rFonts w:cs="Times New Roman"/>
          <w:sz w:val="26"/>
          <w:szCs w:val="26"/>
        </w:rPr>
        <w:t>Biedrību un nodibinājumu ieņēmum</w:t>
      </w:r>
      <w:r w:rsidR="009D3545">
        <w:rPr>
          <w:rFonts w:cs="Times New Roman"/>
          <w:sz w:val="26"/>
          <w:szCs w:val="26"/>
        </w:rPr>
        <w:t xml:space="preserve">i 2016.gadā ir </w:t>
      </w:r>
      <w:r w:rsidR="00D015CC">
        <w:rPr>
          <w:rFonts w:cs="Times New Roman"/>
          <w:sz w:val="26"/>
          <w:szCs w:val="26"/>
        </w:rPr>
        <w:t>297,</w:t>
      </w:r>
      <w:r w:rsidR="00E8202D">
        <w:rPr>
          <w:rFonts w:cs="Times New Roman"/>
          <w:sz w:val="26"/>
          <w:szCs w:val="26"/>
        </w:rPr>
        <w:t>2</w:t>
      </w:r>
      <w:r w:rsidR="00D015CC">
        <w:rPr>
          <w:rFonts w:cs="Times New Roman"/>
          <w:sz w:val="26"/>
          <w:szCs w:val="26"/>
        </w:rPr>
        <w:t xml:space="preserve"> milj. </w:t>
      </w:r>
      <w:proofErr w:type="spellStart"/>
      <w:r w:rsidR="00D015CC">
        <w:rPr>
          <w:rFonts w:cs="Times New Roman"/>
          <w:sz w:val="26"/>
          <w:szCs w:val="26"/>
        </w:rPr>
        <w:t>euro</w:t>
      </w:r>
      <w:proofErr w:type="spellEnd"/>
      <w:r w:rsidR="00D015CC">
        <w:rPr>
          <w:rFonts w:cs="Times New Roman"/>
          <w:sz w:val="26"/>
          <w:szCs w:val="26"/>
        </w:rPr>
        <w:t xml:space="preserve"> </w:t>
      </w:r>
      <w:r w:rsidR="009D3545">
        <w:rPr>
          <w:rFonts w:cs="Times New Roman"/>
          <w:sz w:val="26"/>
          <w:szCs w:val="26"/>
        </w:rPr>
        <w:t>(</w:t>
      </w:r>
      <w:r w:rsidR="00951AAA">
        <w:rPr>
          <w:rFonts w:cs="Times New Roman"/>
          <w:sz w:val="26"/>
          <w:szCs w:val="26"/>
        </w:rPr>
        <w:t xml:space="preserve">2015.gadā </w:t>
      </w:r>
      <w:r w:rsidR="00297DF7">
        <w:rPr>
          <w:rFonts w:cs="Times New Roman"/>
          <w:sz w:val="26"/>
          <w:szCs w:val="26"/>
        </w:rPr>
        <w:t xml:space="preserve">288,8 milj. </w:t>
      </w:r>
      <w:proofErr w:type="spellStart"/>
      <w:r w:rsidR="00297DF7">
        <w:rPr>
          <w:rFonts w:cs="Times New Roman"/>
          <w:sz w:val="26"/>
          <w:szCs w:val="26"/>
        </w:rPr>
        <w:t>euro</w:t>
      </w:r>
      <w:proofErr w:type="spellEnd"/>
      <w:r w:rsidR="00D015CC">
        <w:rPr>
          <w:rFonts w:cs="Times New Roman"/>
          <w:sz w:val="26"/>
          <w:szCs w:val="26"/>
        </w:rPr>
        <w:t>)</w:t>
      </w:r>
      <w:r w:rsidR="00951AAA">
        <w:rPr>
          <w:rFonts w:cs="Times New Roman"/>
          <w:sz w:val="26"/>
          <w:szCs w:val="26"/>
        </w:rPr>
        <w:t xml:space="preserve"> un tie ir pieauguši par 8,</w:t>
      </w:r>
      <w:r w:rsidR="007D4D74">
        <w:rPr>
          <w:rFonts w:cs="Times New Roman"/>
          <w:sz w:val="26"/>
          <w:szCs w:val="26"/>
        </w:rPr>
        <w:t>4</w:t>
      </w:r>
      <w:r w:rsidR="00951AAA">
        <w:rPr>
          <w:rFonts w:cs="Times New Roman"/>
          <w:sz w:val="26"/>
          <w:szCs w:val="26"/>
        </w:rPr>
        <w:t xml:space="preserve"> milj. </w:t>
      </w:r>
      <w:proofErr w:type="spellStart"/>
      <w:r w:rsidR="00951AAA">
        <w:rPr>
          <w:rFonts w:cs="Times New Roman"/>
          <w:sz w:val="26"/>
          <w:szCs w:val="26"/>
        </w:rPr>
        <w:t>euro</w:t>
      </w:r>
      <w:proofErr w:type="spellEnd"/>
      <w:r w:rsidR="00951AAA">
        <w:rPr>
          <w:rFonts w:cs="Times New Roman"/>
          <w:sz w:val="26"/>
          <w:szCs w:val="26"/>
        </w:rPr>
        <w:t xml:space="preserve"> vai </w:t>
      </w:r>
      <w:r w:rsidR="007D4D74">
        <w:rPr>
          <w:rFonts w:cs="Times New Roman"/>
          <w:sz w:val="26"/>
          <w:szCs w:val="26"/>
        </w:rPr>
        <w:t>2</w:t>
      </w:r>
      <w:r w:rsidR="00951AAA">
        <w:rPr>
          <w:rFonts w:cs="Times New Roman"/>
          <w:sz w:val="26"/>
          <w:szCs w:val="26"/>
        </w:rPr>
        <w:t>,8%, t.sk.</w:t>
      </w:r>
      <w:r w:rsidRPr="004E0659">
        <w:rPr>
          <w:rFonts w:cs="Times New Roman"/>
          <w:sz w:val="26"/>
          <w:szCs w:val="26"/>
        </w:rPr>
        <w:t>:</w:t>
      </w:r>
    </w:p>
    <w:p w:rsidR="00CA18C9" w:rsidRPr="004E0659" w:rsidRDefault="00CA18C9" w:rsidP="00CA18C9">
      <w:pPr>
        <w:pStyle w:val="ListParagraph"/>
        <w:numPr>
          <w:ilvl w:val="0"/>
          <w:numId w:val="2"/>
        </w:numPr>
        <w:jc w:val="both"/>
        <w:rPr>
          <w:rFonts w:cs="Times New Roman"/>
          <w:sz w:val="26"/>
          <w:szCs w:val="26"/>
        </w:rPr>
      </w:pPr>
      <w:r w:rsidRPr="004E0659">
        <w:rPr>
          <w:rFonts w:cs="Times New Roman"/>
          <w:sz w:val="26"/>
          <w:szCs w:val="26"/>
        </w:rPr>
        <w:t>biedru naudas, iestāšanās naudas un citas gadskārtējās iemaksas</w:t>
      </w:r>
      <w:r w:rsidR="00D015CC">
        <w:rPr>
          <w:rFonts w:cs="Times New Roman"/>
          <w:sz w:val="26"/>
          <w:szCs w:val="26"/>
        </w:rPr>
        <w:t xml:space="preserve"> </w:t>
      </w:r>
      <w:r w:rsidR="00951AAA">
        <w:rPr>
          <w:rFonts w:cs="Times New Roman"/>
          <w:sz w:val="26"/>
          <w:szCs w:val="26"/>
        </w:rPr>
        <w:t xml:space="preserve">2016.gadā ir </w:t>
      </w:r>
      <w:r w:rsidR="00D015CC">
        <w:rPr>
          <w:rFonts w:cs="Times New Roman"/>
          <w:sz w:val="26"/>
          <w:szCs w:val="26"/>
        </w:rPr>
        <w:t xml:space="preserve">41,7 milj. </w:t>
      </w:r>
      <w:proofErr w:type="spellStart"/>
      <w:r w:rsidR="00D015CC">
        <w:rPr>
          <w:rFonts w:cs="Times New Roman"/>
          <w:sz w:val="26"/>
          <w:szCs w:val="26"/>
        </w:rPr>
        <w:t>euro</w:t>
      </w:r>
      <w:proofErr w:type="spellEnd"/>
      <w:r w:rsidR="00951AAA">
        <w:rPr>
          <w:rFonts w:cs="Times New Roman"/>
          <w:sz w:val="26"/>
          <w:szCs w:val="26"/>
        </w:rPr>
        <w:t xml:space="preserve"> (2015.gadā </w:t>
      </w:r>
      <w:r w:rsidR="00297DF7">
        <w:rPr>
          <w:rFonts w:cs="Times New Roman"/>
          <w:sz w:val="26"/>
          <w:szCs w:val="26"/>
        </w:rPr>
        <w:t xml:space="preserve">37,5 milj. </w:t>
      </w:r>
      <w:proofErr w:type="spellStart"/>
      <w:r w:rsidR="00297DF7">
        <w:rPr>
          <w:rFonts w:cs="Times New Roman"/>
          <w:sz w:val="26"/>
          <w:szCs w:val="26"/>
        </w:rPr>
        <w:t>euro</w:t>
      </w:r>
      <w:proofErr w:type="spellEnd"/>
      <w:r w:rsidR="00D015CC">
        <w:rPr>
          <w:rFonts w:cs="Times New Roman"/>
          <w:sz w:val="26"/>
          <w:szCs w:val="26"/>
        </w:rPr>
        <w:t>)</w:t>
      </w:r>
      <w:r w:rsidR="00951AAA">
        <w:rPr>
          <w:rFonts w:cs="Times New Roman"/>
          <w:sz w:val="26"/>
          <w:szCs w:val="26"/>
        </w:rPr>
        <w:t xml:space="preserve"> un tās ir pieaugušas par 4,2 milj. </w:t>
      </w:r>
      <w:proofErr w:type="spellStart"/>
      <w:r w:rsidR="00951AAA">
        <w:rPr>
          <w:rFonts w:cs="Times New Roman"/>
          <w:sz w:val="26"/>
          <w:szCs w:val="26"/>
        </w:rPr>
        <w:t>euro</w:t>
      </w:r>
      <w:proofErr w:type="spellEnd"/>
      <w:r w:rsidR="00951AAA">
        <w:rPr>
          <w:rFonts w:cs="Times New Roman"/>
          <w:sz w:val="26"/>
          <w:szCs w:val="26"/>
        </w:rPr>
        <w:t xml:space="preserve"> vai 10%</w:t>
      </w:r>
      <w:r w:rsidRPr="004E0659">
        <w:rPr>
          <w:rFonts w:cs="Times New Roman"/>
          <w:sz w:val="26"/>
          <w:szCs w:val="26"/>
        </w:rPr>
        <w:t>;</w:t>
      </w:r>
    </w:p>
    <w:p w:rsidR="00CA18C9" w:rsidRPr="004E0659" w:rsidRDefault="00CA18C9" w:rsidP="00CA18C9">
      <w:pPr>
        <w:pStyle w:val="ListParagraph"/>
        <w:numPr>
          <w:ilvl w:val="0"/>
          <w:numId w:val="2"/>
        </w:numPr>
        <w:jc w:val="both"/>
        <w:rPr>
          <w:rFonts w:cs="Times New Roman"/>
          <w:sz w:val="26"/>
          <w:szCs w:val="26"/>
        </w:rPr>
      </w:pPr>
      <w:r w:rsidRPr="004E0659">
        <w:rPr>
          <w:rFonts w:cs="Times New Roman"/>
          <w:sz w:val="26"/>
          <w:szCs w:val="26"/>
        </w:rPr>
        <w:t>ziedojumi un dāvinājumi</w:t>
      </w:r>
      <w:r w:rsidR="00D015CC">
        <w:rPr>
          <w:rFonts w:cs="Times New Roman"/>
          <w:sz w:val="26"/>
          <w:szCs w:val="26"/>
        </w:rPr>
        <w:t xml:space="preserve"> </w:t>
      </w:r>
      <w:r w:rsidR="00951AAA">
        <w:rPr>
          <w:rFonts w:cs="Times New Roman"/>
          <w:sz w:val="26"/>
          <w:szCs w:val="26"/>
        </w:rPr>
        <w:t xml:space="preserve">2016.gadā ir </w:t>
      </w:r>
      <w:r w:rsidR="00D015CC">
        <w:rPr>
          <w:rFonts w:cs="Times New Roman"/>
          <w:sz w:val="26"/>
          <w:szCs w:val="26"/>
        </w:rPr>
        <w:t xml:space="preserve">79,8 milj. </w:t>
      </w:r>
      <w:proofErr w:type="spellStart"/>
      <w:r w:rsidR="00D015CC">
        <w:rPr>
          <w:rFonts w:cs="Times New Roman"/>
          <w:sz w:val="26"/>
          <w:szCs w:val="26"/>
        </w:rPr>
        <w:t>euro</w:t>
      </w:r>
      <w:proofErr w:type="spellEnd"/>
      <w:r w:rsidR="00D015CC">
        <w:rPr>
          <w:rFonts w:cs="Times New Roman"/>
          <w:sz w:val="26"/>
          <w:szCs w:val="26"/>
        </w:rPr>
        <w:t xml:space="preserve"> </w:t>
      </w:r>
      <w:r w:rsidR="00951AAA">
        <w:rPr>
          <w:rFonts w:cs="Times New Roman"/>
          <w:sz w:val="26"/>
          <w:szCs w:val="26"/>
        </w:rPr>
        <w:t>(</w:t>
      </w:r>
      <w:r w:rsidR="00D015CC">
        <w:rPr>
          <w:rFonts w:cs="Times New Roman"/>
          <w:sz w:val="26"/>
          <w:szCs w:val="26"/>
        </w:rPr>
        <w:t>201</w:t>
      </w:r>
      <w:r w:rsidR="00951AAA">
        <w:rPr>
          <w:rFonts w:cs="Times New Roman"/>
          <w:sz w:val="26"/>
          <w:szCs w:val="26"/>
        </w:rPr>
        <w:t>5</w:t>
      </w:r>
      <w:r w:rsidR="00D015CC">
        <w:rPr>
          <w:rFonts w:cs="Times New Roman"/>
          <w:sz w:val="26"/>
          <w:szCs w:val="26"/>
        </w:rPr>
        <w:t>.gadā</w:t>
      </w:r>
      <w:r w:rsidR="00297DF7">
        <w:rPr>
          <w:rFonts w:cs="Times New Roman"/>
          <w:sz w:val="26"/>
          <w:szCs w:val="26"/>
        </w:rPr>
        <w:t xml:space="preserve">, 80,6 milj. </w:t>
      </w:r>
      <w:proofErr w:type="spellStart"/>
      <w:r w:rsidR="00297DF7">
        <w:rPr>
          <w:rFonts w:cs="Times New Roman"/>
          <w:sz w:val="26"/>
          <w:szCs w:val="26"/>
        </w:rPr>
        <w:t>euro</w:t>
      </w:r>
      <w:proofErr w:type="spellEnd"/>
      <w:r w:rsidR="00D015CC">
        <w:rPr>
          <w:rFonts w:cs="Times New Roman"/>
          <w:sz w:val="26"/>
          <w:szCs w:val="26"/>
        </w:rPr>
        <w:t>)</w:t>
      </w:r>
      <w:r w:rsidR="00951AAA">
        <w:rPr>
          <w:rFonts w:cs="Times New Roman"/>
          <w:sz w:val="26"/>
          <w:szCs w:val="26"/>
        </w:rPr>
        <w:t xml:space="preserve"> un tie ir nedaudz samazinājušies par 0,8 milj. </w:t>
      </w:r>
      <w:proofErr w:type="spellStart"/>
      <w:r w:rsidR="00951AAA">
        <w:rPr>
          <w:rFonts w:cs="Times New Roman"/>
          <w:sz w:val="26"/>
          <w:szCs w:val="26"/>
        </w:rPr>
        <w:t>euro</w:t>
      </w:r>
      <w:proofErr w:type="spellEnd"/>
      <w:r w:rsidR="00951AAA">
        <w:rPr>
          <w:rFonts w:cs="Times New Roman"/>
          <w:sz w:val="26"/>
          <w:szCs w:val="26"/>
        </w:rPr>
        <w:t xml:space="preserve"> vai 1,0%</w:t>
      </w:r>
      <w:r w:rsidRPr="004E0659">
        <w:rPr>
          <w:rFonts w:cs="Times New Roman"/>
          <w:sz w:val="26"/>
          <w:szCs w:val="26"/>
        </w:rPr>
        <w:t>;</w:t>
      </w:r>
    </w:p>
    <w:p w:rsidR="00CA18C9" w:rsidRPr="004E0659" w:rsidRDefault="00CA18C9" w:rsidP="00CA18C9">
      <w:pPr>
        <w:pStyle w:val="ListParagraph"/>
        <w:numPr>
          <w:ilvl w:val="0"/>
          <w:numId w:val="2"/>
        </w:numPr>
        <w:jc w:val="both"/>
        <w:rPr>
          <w:rFonts w:cs="Times New Roman"/>
          <w:sz w:val="26"/>
          <w:szCs w:val="26"/>
        </w:rPr>
      </w:pPr>
      <w:r w:rsidRPr="004E0659">
        <w:rPr>
          <w:rFonts w:cs="Times New Roman"/>
          <w:sz w:val="26"/>
          <w:szCs w:val="26"/>
        </w:rPr>
        <w:t>ieņēmumi no saimnieciskās darbības</w:t>
      </w:r>
      <w:r w:rsidR="00D015CC">
        <w:rPr>
          <w:rFonts w:cs="Times New Roman"/>
          <w:sz w:val="26"/>
          <w:szCs w:val="26"/>
        </w:rPr>
        <w:t xml:space="preserve"> </w:t>
      </w:r>
      <w:r w:rsidR="00951AAA">
        <w:rPr>
          <w:rFonts w:cs="Times New Roman"/>
          <w:sz w:val="26"/>
          <w:szCs w:val="26"/>
        </w:rPr>
        <w:t xml:space="preserve">2016.gadā ir </w:t>
      </w:r>
      <w:r w:rsidR="00D015CC">
        <w:rPr>
          <w:rFonts w:cs="Times New Roman"/>
          <w:sz w:val="26"/>
          <w:szCs w:val="26"/>
        </w:rPr>
        <w:t xml:space="preserve">96,7 milj. </w:t>
      </w:r>
      <w:proofErr w:type="spellStart"/>
      <w:r w:rsidR="00D015CC">
        <w:rPr>
          <w:rFonts w:cs="Times New Roman"/>
          <w:sz w:val="26"/>
          <w:szCs w:val="26"/>
        </w:rPr>
        <w:t>euro</w:t>
      </w:r>
      <w:proofErr w:type="spellEnd"/>
      <w:r w:rsidR="00D015CC">
        <w:rPr>
          <w:rFonts w:cs="Times New Roman"/>
          <w:sz w:val="26"/>
          <w:szCs w:val="26"/>
        </w:rPr>
        <w:t xml:space="preserve"> </w:t>
      </w:r>
      <w:r w:rsidR="00951AAA">
        <w:rPr>
          <w:rFonts w:cs="Times New Roman"/>
          <w:sz w:val="26"/>
          <w:szCs w:val="26"/>
        </w:rPr>
        <w:t>(</w:t>
      </w:r>
      <w:r w:rsidR="00D015CC">
        <w:rPr>
          <w:rFonts w:cs="Times New Roman"/>
          <w:sz w:val="26"/>
          <w:szCs w:val="26"/>
        </w:rPr>
        <w:t>201</w:t>
      </w:r>
      <w:r w:rsidR="00951AAA">
        <w:rPr>
          <w:rFonts w:cs="Times New Roman"/>
          <w:sz w:val="26"/>
          <w:szCs w:val="26"/>
        </w:rPr>
        <w:t>5.</w:t>
      </w:r>
      <w:r w:rsidR="00D015CC">
        <w:rPr>
          <w:rFonts w:cs="Times New Roman"/>
          <w:sz w:val="26"/>
          <w:szCs w:val="26"/>
        </w:rPr>
        <w:t>gadā</w:t>
      </w:r>
      <w:r w:rsidR="00297DF7">
        <w:rPr>
          <w:rFonts w:cs="Times New Roman"/>
          <w:sz w:val="26"/>
          <w:szCs w:val="26"/>
        </w:rPr>
        <w:t xml:space="preserve">, 102,3 milj. </w:t>
      </w:r>
      <w:proofErr w:type="spellStart"/>
      <w:r w:rsidR="00297DF7">
        <w:rPr>
          <w:rFonts w:cs="Times New Roman"/>
          <w:sz w:val="26"/>
          <w:szCs w:val="26"/>
        </w:rPr>
        <w:t>euro</w:t>
      </w:r>
      <w:proofErr w:type="spellEnd"/>
      <w:r w:rsidR="00D015CC">
        <w:rPr>
          <w:rFonts w:cs="Times New Roman"/>
          <w:sz w:val="26"/>
          <w:szCs w:val="26"/>
        </w:rPr>
        <w:t>)</w:t>
      </w:r>
      <w:r w:rsidR="00951AAA">
        <w:rPr>
          <w:rFonts w:cs="Times New Roman"/>
          <w:sz w:val="26"/>
          <w:szCs w:val="26"/>
        </w:rPr>
        <w:t xml:space="preserve"> un tie ir nedaudz samazinājušie</w:t>
      </w:r>
      <w:r w:rsidR="007D4D74">
        <w:rPr>
          <w:rFonts w:cs="Times New Roman"/>
          <w:sz w:val="26"/>
          <w:szCs w:val="26"/>
        </w:rPr>
        <w:t xml:space="preserve">s - </w:t>
      </w:r>
      <w:r w:rsidR="00951AAA">
        <w:rPr>
          <w:rFonts w:cs="Times New Roman"/>
          <w:sz w:val="26"/>
          <w:szCs w:val="26"/>
        </w:rPr>
        <w:t xml:space="preserve">par 5,6 milj. </w:t>
      </w:r>
      <w:proofErr w:type="spellStart"/>
      <w:r w:rsidR="00951AAA">
        <w:rPr>
          <w:rFonts w:cs="Times New Roman"/>
          <w:sz w:val="26"/>
          <w:szCs w:val="26"/>
        </w:rPr>
        <w:t>euro</w:t>
      </w:r>
      <w:proofErr w:type="spellEnd"/>
      <w:r w:rsidR="00951AAA">
        <w:rPr>
          <w:rFonts w:cs="Times New Roman"/>
          <w:sz w:val="26"/>
          <w:szCs w:val="26"/>
        </w:rPr>
        <w:t xml:space="preserve"> vai </w:t>
      </w:r>
      <w:r w:rsidR="003C4CF6">
        <w:rPr>
          <w:rFonts w:cs="Times New Roman"/>
          <w:sz w:val="26"/>
          <w:szCs w:val="26"/>
        </w:rPr>
        <w:t>5,5%</w:t>
      </w:r>
      <w:r w:rsidRPr="004E0659">
        <w:rPr>
          <w:rFonts w:cs="Times New Roman"/>
          <w:sz w:val="26"/>
          <w:szCs w:val="26"/>
        </w:rPr>
        <w:t>;</w:t>
      </w:r>
    </w:p>
    <w:p w:rsidR="00D015CC" w:rsidRPr="002B66E0" w:rsidRDefault="00004D14" w:rsidP="00F12F0F">
      <w:pPr>
        <w:pStyle w:val="ListParagraph"/>
        <w:numPr>
          <w:ilvl w:val="0"/>
          <w:numId w:val="2"/>
        </w:numPr>
        <w:jc w:val="both"/>
        <w:rPr>
          <w:rFonts w:cs="Times New Roman"/>
          <w:sz w:val="12"/>
          <w:szCs w:val="12"/>
        </w:rPr>
      </w:pPr>
      <w:r w:rsidRPr="002B66E0">
        <w:rPr>
          <w:rFonts w:cs="Times New Roman"/>
          <w:sz w:val="26"/>
          <w:szCs w:val="26"/>
        </w:rPr>
        <w:t>s</w:t>
      </w:r>
      <w:r w:rsidR="00CA18C9" w:rsidRPr="002B66E0">
        <w:rPr>
          <w:rFonts w:cs="Times New Roman"/>
          <w:sz w:val="26"/>
          <w:szCs w:val="26"/>
        </w:rPr>
        <w:t>aņemtās dotācijas</w:t>
      </w:r>
      <w:r w:rsidR="00D015CC" w:rsidRPr="002B66E0">
        <w:rPr>
          <w:rFonts w:cs="Times New Roman"/>
          <w:sz w:val="26"/>
          <w:szCs w:val="26"/>
        </w:rPr>
        <w:t xml:space="preserve">, t.i., </w:t>
      </w:r>
      <w:r w:rsidR="00CA18C9" w:rsidRPr="002B66E0">
        <w:rPr>
          <w:rFonts w:cs="Times New Roman"/>
          <w:sz w:val="26"/>
          <w:szCs w:val="26"/>
        </w:rPr>
        <w:t>pašvaldību un valsts sniegtais atbalsts</w:t>
      </w:r>
      <w:r w:rsidR="00D015CC" w:rsidRPr="002B66E0">
        <w:rPr>
          <w:rFonts w:cs="Times New Roman"/>
          <w:sz w:val="26"/>
          <w:szCs w:val="26"/>
        </w:rPr>
        <w:t xml:space="preserve"> </w:t>
      </w:r>
      <w:r w:rsidR="003C4CF6">
        <w:rPr>
          <w:rFonts w:cs="Times New Roman"/>
          <w:sz w:val="26"/>
          <w:szCs w:val="26"/>
        </w:rPr>
        <w:t xml:space="preserve">2016.gadā ir </w:t>
      </w:r>
      <w:r w:rsidR="00D015CC" w:rsidRPr="002B66E0">
        <w:rPr>
          <w:rFonts w:cs="Times New Roman"/>
          <w:sz w:val="26"/>
          <w:szCs w:val="26"/>
        </w:rPr>
        <w:t xml:space="preserve">78,9 </w:t>
      </w:r>
      <w:proofErr w:type="spellStart"/>
      <w:r w:rsidR="00D015CC" w:rsidRPr="002B66E0">
        <w:rPr>
          <w:rFonts w:cs="Times New Roman"/>
          <w:sz w:val="26"/>
          <w:szCs w:val="26"/>
        </w:rPr>
        <w:t>milj</w:t>
      </w:r>
      <w:proofErr w:type="spellEnd"/>
      <w:r w:rsidR="00D015CC" w:rsidRPr="002B66E0">
        <w:rPr>
          <w:rFonts w:cs="Times New Roman"/>
          <w:sz w:val="26"/>
          <w:szCs w:val="26"/>
        </w:rPr>
        <w:t xml:space="preserve"> </w:t>
      </w:r>
      <w:proofErr w:type="spellStart"/>
      <w:r w:rsidR="00D015CC" w:rsidRPr="002B66E0">
        <w:rPr>
          <w:rFonts w:cs="Times New Roman"/>
          <w:sz w:val="26"/>
          <w:szCs w:val="26"/>
        </w:rPr>
        <w:t>euro</w:t>
      </w:r>
      <w:proofErr w:type="spellEnd"/>
      <w:r w:rsidR="003C4CF6">
        <w:rPr>
          <w:rFonts w:cs="Times New Roman"/>
          <w:sz w:val="26"/>
          <w:szCs w:val="26"/>
        </w:rPr>
        <w:t xml:space="preserve"> (</w:t>
      </w:r>
      <w:r w:rsidR="00D015CC" w:rsidRPr="002B66E0">
        <w:rPr>
          <w:rFonts w:cs="Times New Roman"/>
          <w:sz w:val="26"/>
          <w:szCs w:val="26"/>
        </w:rPr>
        <w:t>201</w:t>
      </w:r>
      <w:r w:rsidR="003C4CF6">
        <w:rPr>
          <w:rFonts w:cs="Times New Roman"/>
          <w:sz w:val="26"/>
          <w:szCs w:val="26"/>
        </w:rPr>
        <w:t>5</w:t>
      </w:r>
      <w:r w:rsidR="00D015CC" w:rsidRPr="002B66E0">
        <w:rPr>
          <w:rFonts w:cs="Times New Roman"/>
          <w:sz w:val="26"/>
          <w:szCs w:val="26"/>
        </w:rPr>
        <w:t>gadā</w:t>
      </w:r>
      <w:r w:rsidR="00297DF7" w:rsidRPr="002B66E0">
        <w:rPr>
          <w:rFonts w:cs="Times New Roman"/>
          <w:sz w:val="26"/>
          <w:szCs w:val="26"/>
        </w:rPr>
        <w:t xml:space="preserve">, 68,4 milj. </w:t>
      </w:r>
      <w:proofErr w:type="spellStart"/>
      <w:r w:rsidR="00297DF7" w:rsidRPr="002B66E0">
        <w:rPr>
          <w:rFonts w:cs="Times New Roman"/>
          <w:sz w:val="26"/>
          <w:szCs w:val="26"/>
        </w:rPr>
        <w:t>euro</w:t>
      </w:r>
      <w:proofErr w:type="spellEnd"/>
      <w:r w:rsidR="00D015CC" w:rsidRPr="002B66E0">
        <w:rPr>
          <w:rFonts w:cs="Times New Roman"/>
          <w:sz w:val="26"/>
          <w:szCs w:val="26"/>
        </w:rPr>
        <w:t>)</w:t>
      </w:r>
      <w:r w:rsidR="003C4CF6">
        <w:rPr>
          <w:rFonts w:cs="Times New Roman"/>
          <w:sz w:val="26"/>
          <w:szCs w:val="26"/>
        </w:rPr>
        <w:t xml:space="preserve"> un tās ir pieaugušas par 10,5 milj. </w:t>
      </w:r>
      <w:proofErr w:type="spellStart"/>
      <w:r w:rsidR="003C4CF6">
        <w:rPr>
          <w:rFonts w:cs="Times New Roman"/>
          <w:sz w:val="26"/>
          <w:szCs w:val="26"/>
        </w:rPr>
        <w:t>euro</w:t>
      </w:r>
      <w:proofErr w:type="spellEnd"/>
      <w:r w:rsidR="003C4CF6">
        <w:rPr>
          <w:rFonts w:cs="Times New Roman"/>
          <w:sz w:val="26"/>
          <w:szCs w:val="26"/>
        </w:rPr>
        <w:t xml:space="preserve"> vai 13,3%</w:t>
      </w:r>
      <w:r w:rsidR="00D015CC" w:rsidRPr="002B66E0">
        <w:rPr>
          <w:rFonts w:cs="Times New Roman"/>
          <w:sz w:val="26"/>
          <w:szCs w:val="26"/>
        </w:rPr>
        <w:t>.</w:t>
      </w:r>
    </w:p>
    <w:p w:rsidR="002B66E0" w:rsidRPr="002B66E0" w:rsidRDefault="002B66E0" w:rsidP="00CA18C9">
      <w:pPr>
        <w:ind w:firstLine="720"/>
        <w:jc w:val="both"/>
        <w:rPr>
          <w:rFonts w:cs="Times New Roman"/>
          <w:sz w:val="12"/>
          <w:szCs w:val="12"/>
        </w:rPr>
      </w:pPr>
    </w:p>
    <w:p w:rsidR="002B66E0" w:rsidRDefault="002B66E0" w:rsidP="002B66E0">
      <w:pPr>
        <w:ind w:firstLine="720"/>
        <w:jc w:val="both"/>
        <w:rPr>
          <w:rFonts w:cs="Times New Roman"/>
          <w:sz w:val="26"/>
          <w:szCs w:val="26"/>
        </w:rPr>
      </w:pPr>
      <w:r w:rsidRPr="004E0659">
        <w:rPr>
          <w:rFonts w:cs="Times New Roman"/>
          <w:sz w:val="26"/>
          <w:szCs w:val="26"/>
        </w:rPr>
        <w:t>201</w:t>
      </w:r>
      <w:r w:rsidR="007D4D74">
        <w:rPr>
          <w:rFonts w:cs="Times New Roman"/>
          <w:sz w:val="26"/>
          <w:szCs w:val="26"/>
        </w:rPr>
        <w:t>6</w:t>
      </w:r>
      <w:r w:rsidRPr="004E0659">
        <w:rPr>
          <w:rFonts w:cs="Times New Roman"/>
          <w:sz w:val="26"/>
          <w:szCs w:val="26"/>
        </w:rPr>
        <w:t>.gadā NVO saņēmušas ziedojumus un dāvinājumus 9</w:t>
      </w:r>
      <w:r w:rsidR="007D4D74">
        <w:rPr>
          <w:rFonts w:cs="Times New Roman"/>
          <w:sz w:val="26"/>
          <w:szCs w:val="26"/>
        </w:rPr>
        <w:t>7</w:t>
      </w:r>
      <w:r w:rsidRPr="004E0659">
        <w:rPr>
          <w:rFonts w:cs="Times New Roman"/>
          <w:sz w:val="26"/>
          <w:szCs w:val="26"/>
        </w:rPr>
        <w:t>,</w:t>
      </w:r>
      <w:r w:rsidR="007D4D74">
        <w:rPr>
          <w:rFonts w:cs="Times New Roman"/>
          <w:sz w:val="26"/>
          <w:szCs w:val="26"/>
        </w:rPr>
        <w:t>8</w:t>
      </w:r>
      <w:r w:rsidRPr="004E0659">
        <w:rPr>
          <w:rFonts w:cs="Times New Roman"/>
          <w:sz w:val="26"/>
          <w:szCs w:val="26"/>
        </w:rPr>
        <w:t xml:space="preserve"> milj. </w:t>
      </w:r>
      <w:proofErr w:type="spellStart"/>
      <w:r w:rsidRPr="004E0659">
        <w:rPr>
          <w:rFonts w:cs="Times New Roman"/>
          <w:sz w:val="26"/>
          <w:szCs w:val="26"/>
        </w:rPr>
        <w:t>euro</w:t>
      </w:r>
      <w:proofErr w:type="spellEnd"/>
      <w:r w:rsidRPr="004E0659">
        <w:rPr>
          <w:rFonts w:cs="Times New Roman"/>
          <w:sz w:val="26"/>
          <w:szCs w:val="26"/>
        </w:rPr>
        <w:t xml:space="preserve"> apmērā</w:t>
      </w:r>
      <w:r w:rsidR="003C4CF6">
        <w:rPr>
          <w:rFonts w:cs="Times New Roman"/>
          <w:sz w:val="26"/>
          <w:szCs w:val="26"/>
        </w:rPr>
        <w:t xml:space="preserve"> un tie salīdzinot ar </w:t>
      </w:r>
      <w:r w:rsidRPr="004E0659">
        <w:rPr>
          <w:rFonts w:cs="Times New Roman"/>
          <w:sz w:val="26"/>
          <w:szCs w:val="26"/>
        </w:rPr>
        <w:t>201</w:t>
      </w:r>
      <w:r w:rsidR="007D4D74">
        <w:rPr>
          <w:rFonts w:cs="Times New Roman"/>
          <w:sz w:val="26"/>
          <w:szCs w:val="26"/>
        </w:rPr>
        <w:t>5</w:t>
      </w:r>
      <w:r w:rsidRPr="004E0659">
        <w:rPr>
          <w:rFonts w:cs="Times New Roman"/>
          <w:sz w:val="26"/>
          <w:szCs w:val="26"/>
        </w:rPr>
        <w:t>.gad</w:t>
      </w:r>
      <w:r w:rsidR="003C4CF6">
        <w:rPr>
          <w:rFonts w:cs="Times New Roman"/>
          <w:sz w:val="26"/>
          <w:szCs w:val="26"/>
        </w:rPr>
        <w:t xml:space="preserve">u ir </w:t>
      </w:r>
      <w:r w:rsidR="007D4D74">
        <w:rPr>
          <w:rFonts w:cs="Times New Roman"/>
          <w:sz w:val="26"/>
          <w:szCs w:val="26"/>
        </w:rPr>
        <w:t>palielinājušies p</w:t>
      </w:r>
      <w:r w:rsidR="003C4CF6">
        <w:rPr>
          <w:rFonts w:cs="Times New Roman"/>
          <w:sz w:val="26"/>
          <w:szCs w:val="26"/>
        </w:rPr>
        <w:t xml:space="preserve">ar 1,1 milj. </w:t>
      </w:r>
      <w:proofErr w:type="spellStart"/>
      <w:r w:rsidR="003C4CF6">
        <w:rPr>
          <w:rFonts w:cs="Times New Roman"/>
          <w:sz w:val="26"/>
          <w:szCs w:val="26"/>
        </w:rPr>
        <w:t>euro</w:t>
      </w:r>
      <w:proofErr w:type="spellEnd"/>
      <w:r w:rsidR="003C4CF6">
        <w:rPr>
          <w:rFonts w:cs="Times New Roman"/>
          <w:sz w:val="26"/>
          <w:szCs w:val="26"/>
        </w:rPr>
        <w:t xml:space="preserve">  vai 1,1% (201</w:t>
      </w:r>
      <w:r w:rsidR="007D4D74">
        <w:rPr>
          <w:rFonts w:cs="Times New Roman"/>
          <w:sz w:val="26"/>
          <w:szCs w:val="26"/>
        </w:rPr>
        <w:t>5</w:t>
      </w:r>
      <w:r w:rsidR="003C4CF6">
        <w:rPr>
          <w:rFonts w:cs="Times New Roman"/>
          <w:sz w:val="26"/>
          <w:szCs w:val="26"/>
        </w:rPr>
        <w:t xml:space="preserve">.gadā </w:t>
      </w:r>
      <w:r w:rsidRPr="004E0659">
        <w:rPr>
          <w:rFonts w:cs="Times New Roman"/>
          <w:sz w:val="26"/>
          <w:szCs w:val="26"/>
        </w:rPr>
        <w:t xml:space="preserve"> – </w:t>
      </w:r>
      <w:r w:rsidR="007D4D74">
        <w:rPr>
          <w:rFonts w:cs="Times New Roman"/>
          <w:sz w:val="26"/>
          <w:szCs w:val="26"/>
        </w:rPr>
        <w:t xml:space="preserve">52,7 </w:t>
      </w:r>
      <w:r w:rsidRPr="004E0659">
        <w:rPr>
          <w:rFonts w:cs="Times New Roman"/>
          <w:sz w:val="26"/>
          <w:szCs w:val="26"/>
        </w:rPr>
        <w:t xml:space="preserve">milj. </w:t>
      </w:r>
      <w:proofErr w:type="spellStart"/>
      <w:r w:rsidRPr="004E0659">
        <w:rPr>
          <w:rFonts w:cs="Times New Roman"/>
          <w:sz w:val="26"/>
          <w:szCs w:val="26"/>
        </w:rPr>
        <w:t>euro</w:t>
      </w:r>
      <w:proofErr w:type="spellEnd"/>
      <w:r w:rsidRPr="004E0659">
        <w:rPr>
          <w:rFonts w:cs="Times New Roman"/>
          <w:sz w:val="26"/>
          <w:szCs w:val="26"/>
        </w:rPr>
        <w:t xml:space="preserve">), t.sk., SLO </w:t>
      </w:r>
      <w:r>
        <w:rPr>
          <w:rFonts w:cs="Times New Roman"/>
          <w:sz w:val="26"/>
          <w:szCs w:val="26"/>
        </w:rPr>
        <w:t xml:space="preserve">saņemtie </w:t>
      </w:r>
      <w:r w:rsidRPr="004E0659">
        <w:rPr>
          <w:rFonts w:cs="Times New Roman"/>
          <w:sz w:val="26"/>
          <w:szCs w:val="26"/>
        </w:rPr>
        <w:t>ziedojum</w:t>
      </w:r>
      <w:r>
        <w:rPr>
          <w:rFonts w:cs="Times New Roman"/>
          <w:sz w:val="26"/>
          <w:szCs w:val="26"/>
        </w:rPr>
        <w:t xml:space="preserve">i </w:t>
      </w:r>
      <w:r w:rsidRPr="004E0659">
        <w:rPr>
          <w:rFonts w:cs="Times New Roman"/>
          <w:sz w:val="26"/>
          <w:szCs w:val="26"/>
        </w:rPr>
        <w:t>un dāvinājum</w:t>
      </w:r>
      <w:r>
        <w:rPr>
          <w:rFonts w:cs="Times New Roman"/>
          <w:sz w:val="26"/>
          <w:szCs w:val="26"/>
        </w:rPr>
        <w:t>i</w:t>
      </w:r>
      <w:r w:rsidR="003C4CF6">
        <w:rPr>
          <w:rFonts w:cs="Times New Roman"/>
          <w:sz w:val="26"/>
          <w:szCs w:val="26"/>
        </w:rPr>
        <w:t xml:space="preserve"> 201</w:t>
      </w:r>
      <w:r w:rsidR="007D4D74">
        <w:rPr>
          <w:rFonts w:cs="Times New Roman"/>
          <w:sz w:val="26"/>
          <w:szCs w:val="26"/>
        </w:rPr>
        <w:t>6</w:t>
      </w:r>
      <w:r w:rsidR="003C4CF6">
        <w:rPr>
          <w:rFonts w:cs="Times New Roman"/>
          <w:sz w:val="26"/>
          <w:szCs w:val="26"/>
        </w:rPr>
        <w:t xml:space="preserve">.gadā </w:t>
      </w:r>
      <w:r>
        <w:rPr>
          <w:rFonts w:cs="Times New Roman"/>
          <w:sz w:val="26"/>
          <w:szCs w:val="26"/>
        </w:rPr>
        <w:t xml:space="preserve">ir </w:t>
      </w:r>
      <w:r w:rsidRPr="004E0659">
        <w:rPr>
          <w:rFonts w:cs="Times New Roman"/>
          <w:sz w:val="26"/>
          <w:szCs w:val="26"/>
        </w:rPr>
        <w:t>5</w:t>
      </w:r>
      <w:r w:rsidR="007D4D74">
        <w:rPr>
          <w:rFonts w:cs="Times New Roman"/>
          <w:sz w:val="26"/>
          <w:szCs w:val="26"/>
        </w:rPr>
        <w:t xml:space="preserve">2,7 </w:t>
      </w:r>
      <w:r w:rsidRPr="004E0659">
        <w:rPr>
          <w:rFonts w:cs="Times New Roman"/>
          <w:sz w:val="26"/>
          <w:szCs w:val="26"/>
        </w:rPr>
        <w:t xml:space="preserve">milj. </w:t>
      </w:r>
      <w:proofErr w:type="spellStart"/>
      <w:r w:rsidRPr="004E0659">
        <w:rPr>
          <w:rFonts w:cs="Times New Roman"/>
          <w:sz w:val="26"/>
          <w:szCs w:val="26"/>
        </w:rPr>
        <w:t>euro</w:t>
      </w:r>
      <w:proofErr w:type="spellEnd"/>
      <w:r w:rsidRPr="004E0659">
        <w:rPr>
          <w:rFonts w:cs="Times New Roman"/>
          <w:sz w:val="26"/>
          <w:szCs w:val="26"/>
        </w:rPr>
        <w:t xml:space="preserve"> apmērā</w:t>
      </w:r>
      <w:r w:rsidR="003C4CF6">
        <w:rPr>
          <w:rFonts w:cs="Times New Roman"/>
          <w:sz w:val="26"/>
          <w:szCs w:val="26"/>
        </w:rPr>
        <w:t xml:space="preserve">, savukārt </w:t>
      </w:r>
      <w:r w:rsidRPr="004E0659">
        <w:rPr>
          <w:rFonts w:cs="Times New Roman"/>
          <w:sz w:val="26"/>
          <w:szCs w:val="26"/>
        </w:rPr>
        <w:t>201</w:t>
      </w:r>
      <w:r w:rsidR="007D4D74">
        <w:rPr>
          <w:rFonts w:cs="Times New Roman"/>
          <w:sz w:val="26"/>
          <w:szCs w:val="26"/>
        </w:rPr>
        <w:t>5</w:t>
      </w:r>
      <w:r w:rsidRPr="004E0659">
        <w:rPr>
          <w:rFonts w:cs="Times New Roman"/>
          <w:sz w:val="26"/>
          <w:szCs w:val="26"/>
        </w:rPr>
        <w:t>.gadā</w:t>
      </w:r>
      <w:r w:rsidR="009C294B">
        <w:rPr>
          <w:rFonts w:cs="Times New Roman"/>
          <w:sz w:val="26"/>
          <w:szCs w:val="26"/>
        </w:rPr>
        <w:t xml:space="preserve"> </w:t>
      </w:r>
      <w:r w:rsidRPr="004E0659">
        <w:rPr>
          <w:rFonts w:cs="Times New Roman"/>
          <w:sz w:val="26"/>
          <w:szCs w:val="26"/>
        </w:rPr>
        <w:t>57</w:t>
      </w:r>
      <w:r w:rsidR="007D4D74">
        <w:rPr>
          <w:rFonts w:cs="Times New Roman"/>
          <w:sz w:val="26"/>
          <w:szCs w:val="26"/>
        </w:rPr>
        <w:t>,0</w:t>
      </w:r>
      <w:r w:rsidRPr="004E0659">
        <w:rPr>
          <w:rFonts w:cs="Times New Roman"/>
          <w:sz w:val="26"/>
          <w:szCs w:val="26"/>
        </w:rPr>
        <w:t xml:space="preserve"> milj. </w:t>
      </w:r>
      <w:proofErr w:type="spellStart"/>
      <w:r w:rsidRPr="004E0659">
        <w:rPr>
          <w:rFonts w:cs="Times New Roman"/>
          <w:sz w:val="26"/>
          <w:szCs w:val="26"/>
        </w:rPr>
        <w:t>euro</w:t>
      </w:r>
      <w:proofErr w:type="spellEnd"/>
      <w:r w:rsidR="003C4CF6">
        <w:rPr>
          <w:rFonts w:cs="Times New Roman"/>
          <w:sz w:val="26"/>
          <w:szCs w:val="26"/>
        </w:rPr>
        <w:t xml:space="preserve"> un to apjoms ir samazinājies par 4,3 milj. </w:t>
      </w:r>
      <w:proofErr w:type="spellStart"/>
      <w:r w:rsidR="003C4CF6">
        <w:rPr>
          <w:rFonts w:cs="Times New Roman"/>
          <w:sz w:val="26"/>
          <w:szCs w:val="26"/>
        </w:rPr>
        <w:t>euro</w:t>
      </w:r>
      <w:proofErr w:type="spellEnd"/>
      <w:r w:rsidR="003C4CF6">
        <w:rPr>
          <w:rFonts w:cs="Times New Roman"/>
          <w:sz w:val="26"/>
          <w:szCs w:val="26"/>
        </w:rPr>
        <w:t xml:space="preserve"> vai 7,5%</w:t>
      </w:r>
      <w:r w:rsidRPr="004E0659">
        <w:rPr>
          <w:rFonts w:cs="Times New Roman"/>
          <w:sz w:val="26"/>
          <w:szCs w:val="26"/>
        </w:rPr>
        <w:t>.</w:t>
      </w:r>
    </w:p>
    <w:p w:rsidR="00990EEF" w:rsidRDefault="00990EEF" w:rsidP="002B66E0">
      <w:pPr>
        <w:ind w:firstLine="720"/>
        <w:jc w:val="both"/>
        <w:rPr>
          <w:rFonts w:cs="Times New Roman"/>
          <w:sz w:val="26"/>
          <w:szCs w:val="26"/>
        </w:rPr>
      </w:pPr>
      <w:r>
        <w:rPr>
          <w:rFonts w:cs="Times New Roman"/>
          <w:sz w:val="26"/>
          <w:szCs w:val="26"/>
        </w:rPr>
        <w:t>Visvairāk saņemtos ziedojumus un dāvinājumus SLO izlietojušas šādām jomām:</w:t>
      </w:r>
    </w:p>
    <w:p w:rsidR="007648F4" w:rsidRDefault="007648F4" w:rsidP="007648F4">
      <w:pPr>
        <w:pStyle w:val="ListParagraph"/>
        <w:numPr>
          <w:ilvl w:val="0"/>
          <w:numId w:val="2"/>
        </w:numPr>
        <w:jc w:val="both"/>
        <w:rPr>
          <w:rFonts w:cs="Times New Roman"/>
          <w:sz w:val="26"/>
          <w:szCs w:val="26"/>
        </w:rPr>
      </w:pPr>
      <w:r w:rsidRPr="007648F4">
        <w:rPr>
          <w:rFonts w:cs="Times New Roman"/>
          <w:i/>
          <w:sz w:val="26"/>
          <w:szCs w:val="26"/>
        </w:rPr>
        <w:t>sporta atbalstīšanai</w:t>
      </w:r>
      <w:r>
        <w:rPr>
          <w:rFonts w:cs="Times New Roman"/>
          <w:sz w:val="26"/>
          <w:szCs w:val="26"/>
        </w:rPr>
        <w:t xml:space="preserve"> 14,</w:t>
      </w:r>
      <w:r w:rsidR="00940D43">
        <w:rPr>
          <w:rFonts w:cs="Times New Roman"/>
          <w:sz w:val="26"/>
          <w:szCs w:val="26"/>
        </w:rPr>
        <w:t>1</w:t>
      </w:r>
      <w:r>
        <w:rPr>
          <w:rFonts w:cs="Times New Roman"/>
          <w:sz w:val="26"/>
          <w:szCs w:val="26"/>
        </w:rPr>
        <w:t xml:space="preserve"> milj. </w:t>
      </w:r>
      <w:proofErr w:type="spellStart"/>
      <w:r>
        <w:rPr>
          <w:rFonts w:cs="Times New Roman"/>
          <w:sz w:val="26"/>
          <w:szCs w:val="26"/>
        </w:rPr>
        <w:t>euro</w:t>
      </w:r>
      <w:proofErr w:type="spellEnd"/>
      <w:r>
        <w:rPr>
          <w:rFonts w:cs="Times New Roman"/>
          <w:sz w:val="26"/>
          <w:szCs w:val="26"/>
        </w:rPr>
        <w:t xml:space="preserve"> 2016.gadā (2015.gadā 14,</w:t>
      </w:r>
      <w:r w:rsidR="00940D43">
        <w:rPr>
          <w:rFonts w:cs="Times New Roman"/>
          <w:sz w:val="26"/>
          <w:szCs w:val="26"/>
        </w:rPr>
        <w:t>7</w:t>
      </w:r>
      <w:r>
        <w:rPr>
          <w:rFonts w:cs="Times New Roman"/>
          <w:sz w:val="26"/>
          <w:szCs w:val="26"/>
        </w:rPr>
        <w:t xml:space="preserve"> milj. </w:t>
      </w:r>
      <w:proofErr w:type="spellStart"/>
      <w:r>
        <w:rPr>
          <w:rFonts w:cs="Times New Roman"/>
          <w:sz w:val="26"/>
          <w:szCs w:val="26"/>
        </w:rPr>
        <w:t>euro</w:t>
      </w:r>
      <w:proofErr w:type="spellEnd"/>
      <w:r>
        <w:rPr>
          <w:rFonts w:cs="Times New Roman"/>
          <w:sz w:val="26"/>
          <w:szCs w:val="26"/>
        </w:rPr>
        <w:t xml:space="preserve">), kas ir par 0,6 milj. </w:t>
      </w:r>
      <w:proofErr w:type="spellStart"/>
      <w:r>
        <w:rPr>
          <w:rFonts w:cs="Times New Roman"/>
          <w:sz w:val="26"/>
          <w:szCs w:val="26"/>
        </w:rPr>
        <w:t>euro</w:t>
      </w:r>
      <w:proofErr w:type="spellEnd"/>
      <w:r>
        <w:rPr>
          <w:rFonts w:cs="Times New Roman"/>
          <w:sz w:val="26"/>
          <w:szCs w:val="26"/>
        </w:rPr>
        <w:t xml:space="preserve"> vai 4% </w:t>
      </w:r>
      <w:r w:rsidR="00940D43">
        <w:rPr>
          <w:rFonts w:cs="Times New Roman"/>
          <w:sz w:val="26"/>
          <w:szCs w:val="26"/>
        </w:rPr>
        <w:t xml:space="preserve">mazāk </w:t>
      </w:r>
      <w:r>
        <w:rPr>
          <w:rFonts w:cs="Times New Roman"/>
          <w:sz w:val="26"/>
          <w:szCs w:val="26"/>
        </w:rPr>
        <w:t>nekā iepriekšējā gadā;</w:t>
      </w:r>
    </w:p>
    <w:p w:rsidR="00990EEF" w:rsidRDefault="007648F4" w:rsidP="00ED400A">
      <w:pPr>
        <w:pStyle w:val="ListParagraph"/>
        <w:numPr>
          <w:ilvl w:val="0"/>
          <w:numId w:val="2"/>
        </w:numPr>
        <w:jc w:val="both"/>
        <w:rPr>
          <w:rFonts w:cs="Times New Roman"/>
          <w:sz w:val="26"/>
          <w:szCs w:val="26"/>
        </w:rPr>
      </w:pPr>
      <w:r w:rsidRPr="007648F4">
        <w:rPr>
          <w:rFonts w:cs="Times New Roman"/>
          <w:i/>
          <w:sz w:val="26"/>
          <w:szCs w:val="26"/>
        </w:rPr>
        <w:t xml:space="preserve">labdarībai </w:t>
      </w:r>
      <w:r w:rsidRPr="007648F4">
        <w:rPr>
          <w:rFonts w:cs="Times New Roman"/>
          <w:sz w:val="26"/>
          <w:szCs w:val="26"/>
        </w:rPr>
        <w:t xml:space="preserve">9,7 milj. </w:t>
      </w:r>
      <w:proofErr w:type="spellStart"/>
      <w:r w:rsidRPr="007648F4">
        <w:rPr>
          <w:rFonts w:cs="Times New Roman"/>
          <w:sz w:val="26"/>
          <w:szCs w:val="26"/>
        </w:rPr>
        <w:t>euro</w:t>
      </w:r>
      <w:proofErr w:type="spellEnd"/>
      <w:r w:rsidRPr="007648F4">
        <w:rPr>
          <w:rFonts w:cs="Times New Roman"/>
          <w:sz w:val="26"/>
          <w:szCs w:val="26"/>
        </w:rPr>
        <w:t xml:space="preserve"> 2016.gadā (2015.gadā 10,3 milj. </w:t>
      </w:r>
      <w:proofErr w:type="spellStart"/>
      <w:r w:rsidRPr="007648F4">
        <w:rPr>
          <w:rFonts w:cs="Times New Roman"/>
          <w:sz w:val="26"/>
          <w:szCs w:val="26"/>
        </w:rPr>
        <w:t>euro</w:t>
      </w:r>
      <w:proofErr w:type="spellEnd"/>
      <w:r w:rsidRPr="007648F4">
        <w:rPr>
          <w:rFonts w:cs="Times New Roman"/>
          <w:sz w:val="26"/>
          <w:szCs w:val="26"/>
        </w:rPr>
        <w:t xml:space="preserve">), kas ir par 0,6 milj. </w:t>
      </w:r>
      <w:proofErr w:type="spellStart"/>
      <w:r w:rsidRPr="007648F4">
        <w:rPr>
          <w:rFonts w:cs="Times New Roman"/>
          <w:sz w:val="26"/>
          <w:szCs w:val="26"/>
        </w:rPr>
        <w:t>euro</w:t>
      </w:r>
      <w:proofErr w:type="spellEnd"/>
      <w:r w:rsidRPr="007648F4">
        <w:rPr>
          <w:rFonts w:cs="Times New Roman"/>
          <w:sz w:val="26"/>
          <w:szCs w:val="26"/>
        </w:rPr>
        <w:t xml:space="preserve"> vai </w:t>
      </w:r>
      <w:r w:rsidR="00940D43">
        <w:rPr>
          <w:rFonts w:cs="Times New Roman"/>
          <w:sz w:val="26"/>
          <w:szCs w:val="26"/>
        </w:rPr>
        <w:t>5,8</w:t>
      </w:r>
      <w:r w:rsidRPr="007648F4">
        <w:rPr>
          <w:rFonts w:cs="Times New Roman"/>
          <w:sz w:val="26"/>
          <w:szCs w:val="26"/>
        </w:rPr>
        <w:t>% mazāk nekā iepriekšējā gadā.</w:t>
      </w:r>
    </w:p>
    <w:p w:rsidR="007648F4" w:rsidRPr="007648F4" w:rsidRDefault="007648F4" w:rsidP="007648F4">
      <w:pPr>
        <w:pStyle w:val="ListParagraph"/>
        <w:ind w:left="1080"/>
        <w:jc w:val="both"/>
        <w:rPr>
          <w:rFonts w:cs="Times New Roman"/>
          <w:sz w:val="12"/>
          <w:szCs w:val="12"/>
        </w:rPr>
      </w:pPr>
    </w:p>
    <w:p w:rsidR="00CA18C9" w:rsidRDefault="004E0659" w:rsidP="00CA18C9">
      <w:pPr>
        <w:ind w:firstLine="720"/>
        <w:jc w:val="both"/>
        <w:rPr>
          <w:rFonts w:cs="Times New Roman"/>
          <w:sz w:val="26"/>
          <w:szCs w:val="26"/>
        </w:rPr>
      </w:pPr>
      <w:r>
        <w:rPr>
          <w:rFonts w:cs="Times New Roman"/>
          <w:sz w:val="26"/>
          <w:szCs w:val="26"/>
        </w:rPr>
        <w:t xml:space="preserve">Dāvinājumus </w:t>
      </w:r>
      <w:r w:rsidR="00B233BA">
        <w:rPr>
          <w:rFonts w:cs="Times New Roman"/>
          <w:sz w:val="26"/>
          <w:szCs w:val="26"/>
        </w:rPr>
        <w:t xml:space="preserve">un </w:t>
      </w:r>
      <w:r>
        <w:rPr>
          <w:rFonts w:cs="Times New Roman"/>
          <w:sz w:val="26"/>
          <w:szCs w:val="26"/>
        </w:rPr>
        <w:t>ziedojumus NVO, t.sk., SLO</w:t>
      </w:r>
      <w:r w:rsidR="00B233BA">
        <w:rPr>
          <w:rFonts w:cs="Times New Roman"/>
          <w:sz w:val="26"/>
          <w:szCs w:val="26"/>
        </w:rPr>
        <w:t>,</w:t>
      </w:r>
      <w:r>
        <w:rPr>
          <w:rFonts w:cs="Times New Roman"/>
          <w:sz w:val="26"/>
          <w:szCs w:val="26"/>
        </w:rPr>
        <w:t xml:space="preserve"> ir sniegušas arī valsts kapitālsabiedrības, </w:t>
      </w:r>
      <w:r w:rsidR="00B233BA">
        <w:rPr>
          <w:rFonts w:cs="Times New Roman"/>
          <w:sz w:val="26"/>
          <w:szCs w:val="26"/>
        </w:rPr>
        <w:t xml:space="preserve">un </w:t>
      </w:r>
      <w:r>
        <w:rPr>
          <w:rFonts w:cs="Times New Roman"/>
          <w:sz w:val="26"/>
          <w:szCs w:val="26"/>
        </w:rPr>
        <w:t>tie ir ziedojumi un dāvinājumi, kuri sniegti ar finanšu ministra atļauju. Šie ziedojumi un dāvinājumi ir paredzēti šo organizāciju mērķu īstenošanai un 201</w:t>
      </w:r>
      <w:r w:rsidR="00940D43">
        <w:rPr>
          <w:rFonts w:cs="Times New Roman"/>
          <w:sz w:val="26"/>
          <w:szCs w:val="26"/>
        </w:rPr>
        <w:t>6</w:t>
      </w:r>
      <w:r>
        <w:rPr>
          <w:rFonts w:cs="Times New Roman"/>
          <w:sz w:val="26"/>
          <w:szCs w:val="26"/>
        </w:rPr>
        <w:t>.gadā tie ir 4,</w:t>
      </w:r>
      <w:r w:rsidR="00940D43">
        <w:rPr>
          <w:rFonts w:cs="Times New Roman"/>
          <w:sz w:val="26"/>
          <w:szCs w:val="26"/>
        </w:rPr>
        <w:t>4</w:t>
      </w:r>
      <w:r>
        <w:rPr>
          <w:rFonts w:cs="Times New Roman"/>
          <w:sz w:val="26"/>
          <w:szCs w:val="26"/>
        </w:rPr>
        <w:t xml:space="preserve"> milj. </w:t>
      </w:r>
      <w:proofErr w:type="spellStart"/>
      <w:r>
        <w:rPr>
          <w:rFonts w:cs="Times New Roman"/>
          <w:sz w:val="26"/>
          <w:szCs w:val="26"/>
        </w:rPr>
        <w:t>euro</w:t>
      </w:r>
      <w:proofErr w:type="spellEnd"/>
      <w:r>
        <w:rPr>
          <w:rFonts w:cs="Times New Roman"/>
          <w:sz w:val="26"/>
          <w:szCs w:val="26"/>
        </w:rPr>
        <w:t xml:space="preserve"> apmērā</w:t>
      </w:r>
      <w:r w:rsidR="003C4CF6">
        <w:rPr>
          <w:rFonts w:cs="Times New Roman"/>
          <w:sz w:val="26"/>
          <w:szCs w:val="26"/>
        </w:rPr>
        <w:t xml:space="preserve">, savukārt </w:t>
      </w:r>
      <w:r>
        <w:rPr>
          <w:rFonts w:cs="Times New Roman"/>
          <w:sz w:val="26"/>
          <w:szCs w:val="26"/>
        </w:rPr>
        <w:t>201</w:t>
      </w:r>
      <w:r w:rsidR="00940D43">
        <w:rPr>
          <w:rFonts w:cs="Times New Roman"/>
          <w:sz w:val="26"/>
          <w:szCs w:val="26"/>
        </w:rPr>
        <w:t>5</w:t>
      </w:r>
      <w:r>
        <w:rPr>
          <w:rFonts w:cs="Times New Roman"/>
          <w:sz w:val="26"/>
          <w:szCs w:val="26"/>
        </w:rPr>
        <w:t>.gadā – 4,</w:t>
      </w:r>
      <w:r w:rsidR="00940D43">
        <w:rPr>
          <w:rFonts w:cs="Times New Roman"/>
          <w:sz w:val="26"/>
          <w:szCs w:val="26"/>
        </w:rPr>
        <w:t>5</w:t>
      </w:r>
      <w:r>
        <w:rPr>
          <w:rFonts w:cs="Times New Roman"/>
          <w:sz w:val="26"/>
          <w:szCs w:val="26"/>
        </w:rPr>
        <w:t xml:space="preserve"> milj. </w:t>
      </w:r>
      <w:proofErr w:type="spellStart"/>
      <w:r>
        <w:rPr>
          <w:rFonts w:cs="Times New Roman"/>
          <w:sz w:val="26"/>
          <w:szCs w:val="26"/>
        </w:rPr>
        <w:t>euro</w:t>
      </w:r>
      <w:proofErr w:type="spellEnd"/>
      <w:r w:rsidR="009C294B">
        <w:rPr>
          <w:rFonts w:cs="Times New Roman"/>
          <w:sz w:val="26"/>
          <w:szCs w:val="26"/>
        </w:rPr>
        <w:t xml:space="preserve">, t.i. gandrīz </w:t>
      </w:r>
      <w:r w:rsidR="003C4CF6">
        <w:rPr>
          <w:rFonts w:cs="Times New Roman"/>
          <w:sz w:val="26"/>
          <w:szCs w:val="26"/>
        </w:rPr>
        <w:t>iepriekšējā gada līmenī.</w:t>
      </w:r>
    </w:p>
    <w:p w:rsidR="009C294B" w:rsidRPr="009C294B" w:rsidRDefault="009C294B" w:rsidP="00CA18C9">
      <w:pPr>
        <w:ind w:firstLine="720"/>
        <w:jc w:val="both"/>
        <w:rPr>
          <w:rFonts w:cs="Times New Roman"/>
          <w:sz w:val="12"/>
          <w:szCs w:val="12"/>
        </w:rPr>
      </w:pPr>
    </w:p>
    <w:p w:rsidR="009C294B" w:rsidRPr="005811DB" w:rsidRDefault="009C294B" w:rsidP="00CA18C9">
      <w:pPr>
        <w:ind w:firstLine="720"/>
        <w:jc w:val="both"/>
        <w:rPr>
          <w:rFonts w:cs="Times New Roman"/>
          <w:sz w:val="26"/>
          <w:szCs w:val="26"/>
          <w:u w:val="single"/>
        </w:rPr>
      </w:pPr>
      <w:r w:rsidRPr="005811DB">
        <w:rPr>
          <w:rFonts w:cs="Times New Roman"/>
          <w:sz w:val="26"/>
          <w:szCs w:val="26"/>
          <w:u w:val="single"/>
        </w:rPr>
        <w:t>Secinājumi:</w:t>
      </w:r>
    </w:p>
    <w:p w:rsidR="005811DB" w:rsidRDefault="00940D43" w:rsidP="009C294B">
      <w:pPr>
        <w:pStyle w:val="ListParagraph"/>
        <w:numPr>
          <w:ilvl w:val="0"/>
          <w:numId w:val="6"/>
        </w:numPr>
        <w:jc w:val="both"/>
        <w:rPr>
          <w:rFonts w:cs="Times New Roman"/>
          <w:sz w:val="26"/>
          <w:szCs w:val="26"/>
        </w:rPr>
      </w:pPr>
      <w:r>
        <w:rPr>
          <w:rFonts w:cs="Times New Roman"/>
          <w:sz w:val="26"/>
          <w:szCs w:val="26"/>
        </w:rPr>
        <w:t xml:space="preserve">SLO skaits </w:t>
      </w:r>
      <w:r w:rsidR="009C294B">
        <w:rPr>
          <w:rFonts w:cs="Times New Roman"/>
          <w:sz w:val="26"/>
          <w:szCs w:val="26"/>
        </w:rPr>
        <w:t>2016.gadā</w:t>
      </w:r>
      <w:r>
        <w:rPr>
          <w:rFonts w:cs="Times New Roman"/>
          <w:sz w:val="26"/>
          <w:szCs w:val="26"/>
        </w:rPr>
        <w:t xml:space="preserve"> ir 2640 organizācijas un </w:t>
      </w:r>
      <w:r w:rsidR="009C294B">
        <w:rPr>
          <w:rFonts w:cs="Times New Roman"/>
          <w:sz w:val="26"/>
          <w:szCs w:val="26"/>
        </w:rPr>
        <w:t xml:space="preserve">salīdzinot ar 2015.gadu </w:t>
      </w:r>
      <w:r>
        <w:rPr>
          <w:rFonts w:cs="Times New Roman"/>
          <w:sz w:val="26"/>
          <w:szCs w:val="26"/>
        </w:rPr>
        <w:t xml:space="preserve">tas </w:t>
      </w:r>
      <w:r w:rsidR="009C294B">
        <w:rPr>
          <w:rFonts w:cs="Times New Roman"/>
          <w:sz w:val="26"/>
          <w:szCs w:val="26"/>
        </w:rPr>
        <w:t xml:space="preserve">ir pieaudzis par </w:t>
      </w:r>
      <w:r>
        <w:rPr>
          <w:rFonts w:cs="Times New Roman"/>
          <w:sz w:val="26"/>
          <w:szCs w:val="26"/>
        </w:rPr>
        <w:t>186</w:t>
      </w:r>
      <w:r w:rsidR="009C294B">
        <w:rPr>
          <w:rFonts w:cs="Times New Roman"/>
          <w:sz w:val="26"/>
          <w:szCs w:val="26"/>
        </w:rPr>
        <w:t xml:space="preserve"> organizācijām</w:t>
      </w:r>
      <w:r>
        <w:rPr>
          <w:rFonts w:cs="Times New Roman"/>
          <w:sz w:val="26"/>
          <w:szCs w:val="26"/>
        </w:rPr>
        <w:t xml:space="preserve">  vai 7</w:t>
      </w:r>
      <w:r w:rsidR="00CF13F8">
        <w:rPr>
          <w:rFonts w:cs="Times New Roman"/>
          <w:sz w:val="26"/>
          <w:szCs w:val="26"/>
        </w:rPr>
        <w:t xml:space="preserve">% </w:t>
      </w:r>
      <w:r>
        <w:rPr>
          <w:rFonts w:cs="Times New Roman"/>
          <w:sz w:val="26"/>
          <w:szCs w:val="26"/>
        </w:rPr>
        <w:t>(2015.gadā – 2454 SLO)</w:t>
      </w:r>
      <w:r w:rsidR="005811DB">
        <w:rPr>
          <w:rFonts w:cs="Times New Roman"/>
          <w:sz w:val="26"/>
          <w:szCs w:val="26"/>
        </w:rPr>
        <w:t>;</w:t>
      </w:r>
    </w:p>
    <w:p w:rsidR="009C294B" w:rsidRDefault="009C294B" w:rsidP="009C294B">
      <w:pPr>
        <w:pStyle w:val="ListParagraph"/>
        <w:numPr>
          <w:ilvl w:val="0"/>
          <w:numId w:val="6"/>
        </w:numPr>
        <w:jc w:val="both"/>
        <w:rPr>
          <w:rFonts w:cs="Times New Roman"/>
          <w:sz w:val="26"/>
          <w:szCs w:val="26"/>
        </w:rPr>
      </w:pPr>
      <w:r w:rsidRPr="009C294B">
        <w:rPr>
          <w:rFonts w:cs="Times New Roman"/>
          <w:sz w:val="26"/>
          <w:szCs w:val="26"/>
        </w:rPr>
        <w:t>2016.gadā ir pieauguši</w:t>
      </w:r>
      <w:r w:rsidR="005811DB">
        <w:rPr>
          <w:rFonts w:cs="Times New Roman"/>
          <w:sz w:val="26"/>
          <w:szCs w:val="26"/>
        </w:rPr>
        <w:t xml:space="preserve"> biedrību un nodibinājumu i</w:t>
      </w:r>
      <w:r>
        <w:rPr>
          <w:rFonts w:cs="Times New Roman"/>
          <w:sz w:val="26"/>
          <w:szCs w:val="26"/>
        </w:rPr>
        <w:t>eņēmumi</w:t>
      </w:r>
      <w:r w:rsidR="00CF13F8">
        <w:rPr>
          <w:rFonts w:cs="Times New Roman"/>
          <w:sz w:val="26"/>
          <w:szCs w:val="26"/>
        </w:rPr>
        <w:t xml:space="preserve"> (no 288,8 milj. </w:t>
      </w:r>
      <w:proofErr w:type="spellStart"/>
      <w:r w:rsidR="00CF13F8">
        <w:rPr>
          <w:rFonts w:cs="Times New Roman"/>
          <w:sz w:val="26"/>
          <w:szCs w:val="26"/>
        </w:rPr>
        <w:t>euro</w:t>
      </w:r>
      <w:proofErr w:type="spellEnd"/>
      <w:r w:rsidR="00CF13F8">
        <w:rPr>
          <w:rFonts w:cs="Times New Roman"/>
          <w:sz w:val="26"/>
          <w:szCs w:val="26"/>
        </w:rPr>
        <w:t xml:space="preserve"> 2015.gadā līdz 297,2 milj. </w:t>
      </w:r>
      <w:proofErr w:type="spellStart"/>
      <w:r w:rsidR="00CF13F8">
        <w:rPr>
          <w:rFonts w:cs="Times New Roman"/>
          <w:sz w:val="26"/>
          <w:szCs w:val="26"/>
        </w:rPr>
        <w:t>euro</w:t>
      </w:r>
      <w:proofErr w:type="spellEnd"/>
      <w:r w:rsidR="00CF13F8">
        <w:rPr>
          <w:rFonts w:cs="Times New Roman"/>
          <w:sz w:val="26"/>
          <w:szCs w:val="26"/>
        </w:rPr>
        <w:t xml:space="preserve"> 2016.gadā), </w:t>
      </w:r>
      <w:r>
        <w:rPr>
          <w:rFonts w:cs="Times New Roman"/>
          <w:sz w:val="26"/>
          <w:szCs w:val="26"/>
        </w:rPr>
        <w:t xml:space="preserve">pieaugums </w:t>
      </w:r>
      <w:r w:rsidRPr="009C294B">
        <w:rPr>
          <w:rFonts w:cs="Times New Roman"/>
          <w:sz w:val="26"/>
          <w:szCs w:val="26"/>
        </w:rPr>
        <w:t>par 8,</w:t>
      </w:r>
      <w:r w:rsidR="00CF13F8">
        <w:rPr>
          <w:rFonts w:cs="Times New Roman"/>
          <w:sz w:val="26"/>
          <w:szCs w:val="26"/>
        </w:rPr>
        <w:t>4</w:t>
      </w:r>
      <w:r w:rsidRPr="009C294B">
        <w:rPr>
          <w:rFonts w:cs="Times New Roman"/>
          <w:sz w:val="26"/>
          <w:szCs w:val="26"/>
        </w:rPr>
        <w:t xml:space="preserve"> milj. </w:t>
      </w:r>
      <w:proofErr w:type="spellStart"/>
      <w:r w:rsidRPr="009C294B">
        <w:rPr>
          <w:rFonts w:cs="Times New Roman"/>
          <w:sz w:val="26"/>
          <w:szCs w:val="26"/>
        </w:rPr>
        <w:t>euro</w:t>
      </w:r>
      <w:proofErr w:type="spellEnd"/>
      <w:r w:rsidRPr="009C294B">
        <w:rPr>
          <w:rFonts w:cs="Times New Roman"/>
          <w:sz w:val="26"/>
          <w:szCs w:val="26"/>
        </w:rPr>
        <w:t xml:space="preserve"> vai </w:t>
      </w:r>
      <w:r w:rsidR="00CF13F8">
        <w:rPr>
          <w:rFonts w:cs="Times New Roman"/>
          <w:sz w:val="26"/>
          <w:szCs w:val="26"/>
        </w:rPr>
        <w:t>2</w:t>
      </w:r>
      <w:r w:rsidRPr="009C294B">
        <w:rPr>
          <w:rFonts w:cs="Times New Roman"/>
          <w:sz w:val="26"/>
          <w:szCs w:val="26"/>
        </w:rPr>
        <w:t>,8%</w:t>
      </w:r>
      <w:r>
        <w:rPr>
          <w:rFonts w:cs="Times New Roman"/>
          <w:sz w:val="26"/>
          <w:szCs w:val="26"/>
        </w:rPr>
        <w:t>, kas liecina par šo organizāciju darbības aktivitāti;</w:t>
      </w:r>
    </w:p>
    <w:p w:rsidR="00DD39A7" w:rsidRPr="00DD39A7" w:rsidRDefault="009C294B" w:rsidP="001D469C">
      <w:pPr>
        <w:pStyle w:val="ListParagraph"/>
        <w:numPr>
          <w:ilvl w:val="0"/>
          <w:numId w:val="6"/>
        </w:numPr>
        <w:jc w:val="both"/>
        <w:rPr>
          <w:rFonts w:cs="Times New Roman"/>
          <w:sz w:val="26"/>
          <w:szCs w:val="26"/>
        </w:rPr>
      </w:pPr>
      <w:r w:rsidRPr="00DD39A7">
        <w:rPr>
          <w:rFonts w:cs="Times New Roman"/>
          <w:sz w:val="26"/>
          <w:szCs w:val="26"/>
        </w:rPr>
        <w:t xml:space="preserve">SLO </w:t>
      </w:r>
      <w:r w:rsidR="00607A18" w:rsidRPr="00DD39A7">
        <w:rPr>
          <w:rFonts w:cs="Times New Roman"/>
          <w:sz w:val="26"/>
          <w:szCs w:val="26"/>
        </w:rPr>
        <w:t xml:space="preserve">statuss </w:t>
      </w:r>
      <w:r w:rsidRPr="00DD39A7">
        <w:rPr>
          <w:rFonts w:cs="Times New Roman"/>
          <w:sz w:val="26"/>
          <w:szCs w:val="26"/>
        </w:rPr>
        <w:t>ir apmēram 1</w:t>
      </w:r>
      <w:r w:rsidR="00DD39A7" w:rsidRPr="00DD39A7">
        <w:rPr>
          <w:rFonts w:cs="Times New Roman"/>
          <w:sz w:val="26"/>
          <w:szCs w:val="26"/>
        </w:rPr>
        <w:t>4</w:t>
      </w:r>
      <w:r w:rsidRPr="00DD39A7">
        <w:rPr>
          <w:rFonts w:cs="Times New Roman"/>
          <w:sz w:val="26"/>
          <w:szCs w:val="26"/>
        </w:rPr>
        <w:t xml:space="preserve">% no visām </w:t>
      </w:r>
      <w:r w:rsidR="00DD39A7" w:rsidRPr="00DD39A7">
        <w:rPr>
          <w:rFonts w:cs="Times New Roman"/>
          <w:sz w:val="26"/>
          <w:szCs w:val="26"/>
        </w:rPr>
        <w:t xml:space="preserve">biedrībām, nodibinājumiem un </w:t>
      </w:r>
      <w:r w:rsidR="000B71F1">
        <w:rPr>
          <w:rFonts w:cs="Times New Roman"/>
          <w:sz w:val="26"/>
          <w:szCs w:val="26"/>
        </w:rPr>
        <w:t>RO</w:t>
      </w:r>
      <w:r w:rsidR="00DD39A7" w:rsidRPr="00DD39A7">
        <w:rPr>
          <w:rFonts w:cs="Times New Roman"/>
          <w:sz w:val="26"/>
          <w:szCs w:val="26"/>
        </w:rPr>
        <w:t>;</w:t>
      </w:r>
    </w:p>
    <w:p w:rsidR="005811DB" w:rsidRPr="00DD39A7" w:rsidRDefault="005811DB" w:rsidP="001D469C">
      <w:pPr>
        <w:pStyle w:val="ListParagraph"/>
        <w:numPr>
          <w:ilvl w:val="0"/>
          <w:numId w:val="6"/>
        </w:numPr>
        <w:jc w:val="both"/>
        <w:rPr>
          <w:rFonts w:cs="Times New Roman"/>
          <w:sz w:val="26"/>
          <w:szCs w:val="26"/>
        </w:rPr>
      </w:pPr>
      <w:r w:rsidRPr="00DD39A7">
        <w:rPr>
          <w:rFonts w:cs="Times New Roman"/>
          <w:sz w:val="26"/>
          <w:szCs w:val="26"/>
        </w:rPr>
        <w:t xml:space="preserve">Pašvaldības ir iesaistījušās aktīvāk NVO atbalstīšanā, palielinot savu atbalstu </w:t>
      </w:r>
      <w:r w:rsidR="00CF13F8">
        <w:rPr>
          <w:rFonts w:cs="Times New Roman"/>
          <w:sz w:val="26"/>
          <w:szCs w:val="26"/>
        </w:rPr>
        <w:t xml:space="preserve">(no 68,4 milj. </w:t>
      </w:r>
      <w:proofErr w:type="spellStart"/>
      <w:r w:rsidR="00CF13F8">
        <w:rPr>
          <w:rFonts w:cs="Times New Roman"/>
          <w:sz w:val="26"/>
          <w:szCs w:val="26"/>
        </w:rPr>
        <w:t>euro</w:t>
      </w:r>
      <w:proofErr w:type="spellEnd"/>
      <w:r w:rsidR="00CF13F8">
        <w:rPr>
          <w:rFonts w:cs="Times New Roman"/>
          <w:sz w:val="26"/>
          <w:szCs w:val="26"/>
        </w:rPr>
        <w:t xml:space="preserve"> 2015.gadā līdz 78,9 milj. </w:t>
      </w:r>
      <w:proofErr w:type="spellStart"/>
      <w:r w:rsidR="00CF13F8">
        <w:rPr>
          <w:rFonts w:cs="Times New Roman"/>
          <w:sz w:val="26"/>
          <w:szCs w:val="26"/>
        </w:rPr>
        <w:t>euro</w:t>
      </w:r>
      <w:proofErr w:type="spellEnd"/>
      <w:r w:rsidR="00CF13F8">
        <w:rPr>
          <w:rFonts w:cs="Times New Roman"/>
          <w:sz w:val="26"/>
          <w:szCs w:val="26"/>
        </w:rPr>
        <w:t xml:space="preserve"> 2016.gadā) </w:t>
      </w:r>
      <w:r w:rsidRPr="00DD39A7">
        <w:rPr>
          <w:rFonts w:cs="Times New Roman"/>
          <w:sz w:val="26"/>
          <w:szCs w:val="26"/>
        </w:rPr>
        <w:t xml:space="preserve">2016.gadā par 10,5 milj. </w:t>
      </w:r>
      <w:proofErr w:type="spellStart"/>
      <w:r w:rsidRPr="00DD39A7">
        <w:rPr>
          <w:rFonts w:cs="Times New Roman"/>
          <w:sz w:val="26"/>
          <w:szCs w:val="26"/>
        </w:rPr>
        <w:t>euro</w:t>
      </w:r>
      <w:proofErr w:type="spellEnd"/>
      <w:r w:rsidRPr="00DD39A7">
        <w:rPr>
          <w:rFonts w:cs="Times New Roman"/>
          <w:sz w:val="26"/>
          <w:szCs w:val="26"/>
        </w:rPr>
        <w:t xml:space="preserve"> vai 13,3%</w:t>
      </w:r>
      <w:r w:rsidR="00AA7D4D">
        <w:rPr>
          <w:rFonts w:cs="Times New Roman"/>
          <w:sz w:val="26"/>
          <w:szCs w:val="26"/>
        </w:rPr>
        <w:t xml:space="preserve"> salīdzinot ar iepriekšējo gadu;</w:t>
      </w:r>
    </w:p>
    <w:p w:rsidR="009C294B" w:rsidRPr="00BA201F" w:rsidRDefault="005811DB" w:rsidP="0010610B">
      <w:pPr>
        <w:pStyle w:val="ListParagraph"/>
        <w:numPr>
          <w:ilvl w:val="0"/>
          <w:numId w:val="6"/>
        </w:numPr>
        <w:jc w:val="both"/>
        <w:rPr>
          <w:rFonts w:cs="Times New Roman"/>
          <w:sz w:val="26"/>
          <w:szCs w:val="26"/>
        </w:rPr>
      </w:pPr>
      <w:r w:rsidRPr="00BA201F">
        <w:rPr>
          <w:rFonts w:cs="Times New Roman"/>
          <w:sz w:val="26"/>
          <w:szCs w:val="26"/>
        </w:rPr>
        <w:t>Valsts kapitālsabiedrību sniegtais atbalsts ir palicis gandrīz nemainīgs 201</w:t>
      </w:r>
      <w:r w:rsidR="00DD39A7" w:rsidRPr="00BA201F">
        <w:rPr>
          <w:rFonts w:cs="Times New Roman"/>
          <w:sz w:val="26"/>
          <w:szCs w:val="26"/>
        </w:rPr>
        <w:t>6</w:t>
      </w:r>
      <w:r w:rsidRPr="00BA201F">
        <w:rPr>
          <w:rFonts w:cs="Times New Roman"/>
          <w:sz w:val="26"/>
          <w:szCs w:val="26"/>
        </w:rPr>
        <w:t>.gadā 4,</w:t>
      </w:r>
      <w:r w:rsidR="00DD39A7" w:rsidRPr="00BA201F">
        <w:rPr>
          <w:rFonts w:cs="Times New Roman"/>
          <w:sz w:val="26"/>
          <w:szCs w:val="26"/>
        </w:rPr>
        <w:t>4</w:t>
      </w:r>
      <w:r w:rsidRPr="00BA201F">
        <w:rPr>
          <w:rFonts w:cs="Times New Roman"/>
          <w:sz w:val="26"/>
          <w:szCs w:val="26"/>
        </w:rPr>
        <w:t xml:space="preserve"> milj. </w:t>
      </w:r>
      <w:proofErr w:type="spellStart"/>
      <w:r w:rsidRPr="00BA201F">
        <w:rPr>
          <w:rFonts w:cs="Times New Roman"/>
          <w:sz w:val="26"/>
          <w:szCs w:val="26"/>
        </w:rPr>
        <w:t>euro</w:t>
      </w:r>
      <w:proofErr w:type="spellEnd"/>
      <w:r w:rsidRPr="00BA201F">
        <w:rPr>
          <w:rFonts w:cs="Times New Roman"/>
          <w:sz w:val="26"/>
          <w:szCs w:val="26"/>
        </w:rPr>
        <w:t>, savukārt 201</w:t>
      </w:r>
      <w:r w:rsidR="00DD39A7" w:rsidRPr="00BA201F">
        <w:rPr>
          <w:rFonts w:cs="Times New Roman"/>
          <w:sz w:val="26"/>
          <w:szCs w:val="26"/>
        </w:rPr>
        <w:t>5</w:t>
      </w:r>
      <w:r w:rsidRPr="00BA201F">
        <w:rPr>
          <w:rFonts w:cs="Times New Roman"/>
          <w:sz w:val="26"/>
          <w:szCs w:val="26"/>
        </w:rPr>
        <w:t xml:space="preserve">.gadā </w:t>
      </w:r>
      <w:r w:rsidR="00DD39A7" w:rsidRPr="00BA201F">
        <w:rPr>
          <w:rFonts w:cs="Times New Roman"/>
          <w:sz w:val="26"/>
          <w:szCs w:val="26"/>
        </w:rPr>
        <w:t xml:space="preserve">- </w:t>
      </w:r>
      <w:r w:rsidRPr="00BA201F">
        <w:rPr>
          <w:rFonts w:cs="Times New Roman"/>
          <w:sz w:val="26"/>
          <w:szCs w:val="26"/>
        </w:rPr>
        <w:t>2014.gadā</w:t>
      </w:r>
      <w:r w:rsidR="00DD39A7" w:rsidRPr="00BA201F">
        <w:rPr>
          <w:rFonts w:cs="Times New Roman"/>
          <w:sz w:val="26"/>
          <w:szCs w:val="26"/>
        </w:rPr>
        <w:t xml:space="preserve"> 4,5 milj. </w:t>
      </w:r>
      <w:proofErr w:type="spellStart"/>
      <w:r w:rsidR="00DD39A7" w:rsidRPr="00BA201F">
        <w:rPr>
          <w:rFonts w:cs="Times New Roman"/>
          <w:sz w:val="26"/>
          <w:szCs w:val="26"/>
        </w:rPr>
        <w:t>euro</w:t>
      </w:r>
      <w:proofErr w:type="spellEnd"/>
      <w:r w:rsidR="00BA201F" w:rsidRPr="00BA201F">
        <w:rPr>
          <w:rFonts w:cs="Times New Roman"/>
          <w:sz w:val="26"/>
          <w:szCs w:val="26"/>
        </w:rPr>
        <w:t>;</w:t>
      </w:r>
      <w:r w:rsidRPr="00BA201F">
        <w:rPr>
          <w:rFonts w:cs="Times New Roman"/>
          <w:sz w:val="26"/>
          <w:szCs w:val="26"/>
        </w:rPr>
        <w:t xml:space="preserve"> </w:t>
      </w:r>
    </w:p>
    <w:p w:rsidR="009C294B" w:rsidRPr="00DD39A7" w:rsidRDefault="007648F4" w:rsidP="00AC3B78">
      <w:pPr>
        <w:pStyle w:val="ListParagraph"/>
        <w:numPr>
          <w:ilvl w:val="0"/>
          <w:numId w:val="6"/>
        </w:numPr>
        <w:jc w:val="both"/>
        <w:rPr>
          <w:rFonts w:cs="Times New Roman"/>
          <w:sz w:val="26"/>
          <w:szCs w:val="26"/>
        </w:rPr>
      </w:pPr>
      <w:r w:rsidRPr="00DD39A7">
        <w:rPr>
          <w:rFonts w:cs="Times New Roman"/>
          <w:sz w:val="26"/>
          <w:szCs w:val="26"/>
        </w:rPr>
        <w:t xml:space="preserve">Visvairāk saņemtos ziedojumus un dāvinājumus SLO izlietojušas sporta atbalstīšanai </w:t>
      </w:r>
      <w:r w:rsidR="00CF13F8">
        <w:rPr>
          <w:rFonts w:cs="Times New Roman"/>
          <w:sz w:val="26"/>
          <w:szCs w:val="26"/>
        </w:rPr>
        <w:t xml:space="preserve">– 14,1 milj. </w:t>
      </w:r>
      <w:proofErr w:type="spellStart"/>
      <w:r w:rsidR="00CF13F8">
        <w:rPr>
          <w:rFonts w:cs="Times New Roman"/>
          <w:sz w:val="26"/>
          <w:szCs w:val="26"/>
        </w:rPr>
        <w:t>euro</w:t>
      </w:r>
      <w:proofErr w:type="spellEnd"/>
      <w:r w:rsidR="00CF13F8">
        <w:rPr>
          <w:rFonts w:cs="Times New Roman"/>
          <w:sz w:val="26"/>
          <w:szCs w:val="26"/>
        </w:rPr>
        <w:t xml:space="preserve"> 2016.gadā, 14,7 milj. </w:t>
      </w:r>
      <w:proofErr w:type="spellStart"/>
      <w:r w:rsidR="00CF13F8">
        <w:rPr>
          <w:rFonts w:cs="Times New Roman"/>
          <w:sz w:val="26"/>
          <w:szCs w:val="26"/>
        </w:rPr>
        <w:t>euro</w:t>
      </w:r>
      <w:proofErr w:type="spellEnd"/>
      <w:r w:rsidR="00CF13F8">
        <w:rPr>
          <w:rFonts w:cs="Times New Roman"/>
          <w:sz w:val="26"/>
          <w:szCs w:val="26"/>
        </w:rPr>
        <w:t xml:space="preserve"> 2015.gadā </w:t>
      </w:r>
      <w:r w:rsidRPr="00DD39A7">
        <w:rPr>
          <w:rFonts w:cs="Times New Roman"/>
          <w:sz w:val="26"/>
          <w:szCs w:val="26"/>
        </w:rPr>
        <w:t>un labdarībai</w:t>
      </w:r>
      <w:r w:rsidR="00CF13F8">
        <w:rPr>
          <w:rFonts w:cs="Times New Roman"/>
          <w:sz w:val="26"/>
          <w:szCs w:val="26"/>
        </w:rPr>
        <w:t xml:space="preserve"> – 9,7 milj. </w:t>
      </w:r>
      <w:proofErr w:type="spellStart"/>
      <w:r w:rsidR="00CF13F8">
        <w:rPr>
          <w:rFonts w:cs="Times New Roman"/>
          <w:sz w:val="26"/>
          <w:szCs w:val="26"/>
        </w:rPr>
        <w:t>euro</w:t>
      </w:r>
      <w:proofErr w:type="spellEnd"/>
      <w:r w:rsidR="00CF13F8">
        <w:rPr>
          <w:rFonts w:cs="Times New Roman"/>
          <w:sz w:val="26"/>
          <w:szCs w:val="26"/>
        </w:rPr>
        <w:t xml:space="preserve"> 2016.gadā, 10,3 milj. </w:t>
      </w:r>
      <w:proofErr w:type="spellStart"/>
      <w:r w:rsidR="00CF13F8">
        <w:rPr>
          <w:rFonts w:cs="Times New Roman"/>
          <w:sz w:val="26"/>
          <w:szCs w:val="26"/>
        </w:rPr>
        <w:t>euro</w:t>
      </w:r>
      <w:proofErr w:type="spellEnd"/>
      <w:r w:rsidR="00CF13F8">
        <w:rPr>
          <w:rFonts w:cs="Times New Roman"/>
          <w:sz w:val="26"/>
          <w:szCs w:val="26"/>
        </w:rPr>
        <w:t xml:space="preserve"> 2015.gadā.</w:t>
      </w:r>
    </w:p>
    <w:p w:rsidR="00004D14" w:rsidRPr="004E0659" w:rsidRDefault="00004D14" w:rsidP="00CA18C9">
      <w:pPr>
        <w:ind w:firstLine="720"/>
        <w:jc w:val="both"/>
        <w:rPr>
          <w:rFonts w:cs="Times New Roman"/>
          <w:sz w:val="26"/>
          <w:szCs w:val="26"/>
        </w:rPr>
      </w:pPr>
    </w:p>
    <w:sectPr w:rsidR="00004D14" w:rsidRPr="004E0659" w:rsidSect="00482584">
      <w:headerReference w:type="default" r:id="rId8"/>
      <w:pgSz w:w="11906" w:h="16838"/>
      <w:pgMar w:top="1440" w:right="1558"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A67" w:rsidRDefault="00930A67" w:rsidP="002B7A66">
      <w:r>
        <w:separator/>
      </w:r>
    </w:p>
  </w:endnote>
  <w:endnote w:type="continuationSeparator" w:id="0">
    <w:p w:rsidR="00930A67" w:rsidRDefault="00930A67" w:rsidP="002B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A67" w:rsidRDefault="00930A67" w:rsidP="002B7A66">
      <w:r>
        <w:separator/>
      </w:r>
    </w:p>
  </w:footnote>
  <w:footnote w:type="continuationSeparator" w:id="0">
    <w:p w:rsidR="00930A67" w:rsidRDefault="00930A67" w:rsidP="002B7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833972"/>
      <w:docPartObj>
        <w:docPartGallery w:val="Page Numbers (Top of Page)"/>
        <w:docPartUnique/>
      </w:docPartObj>
    </w:sdtPr>
    <w:sdtEndPr>
      <w:rPr>
        <w:noProof/>
      </w:rPr>
    </w:sdtEndPr>
    <w:sdtContent>
      <w:p w:rsidR="002B7A66" w:rsidRDefault="002B7A66">
        <w:pPr>
          <w:pStyle w:val="Header"/>
          <w:jc w:val="center"/>
        </w:pPr>
        <w:r>
          <w:fldChar w:fldCharType="begin"/>
        </w:r>
        <w:r>
          <w:instrText xml:space="preserve"> PAGE   \* MERGEFORMAT </w:instrText>
        </w:r>
        <w:r>
          <w:fldChar w:fldCharType="separate"/>
        </w:r>
        <w:r w:rsidR="00CB057F">
          <w:rPr>
            <w:noProof/>
          </w:rPr>
          <w:t>3</w:t>
        </w:r>
        <w:r>
          <w:rPr>
            <w:noProof/>
          </w:rPr>
          <w:fldChar w:fldCharType="end"/>
        </w:r>
      </w:p>
    </w:sdtContent>
  </w:sdt>
  <w:p w:rsidR="002B7A66" w:rsidRDefault="002B7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438D2"/>
    <w:multiLevelType w:val="hybridMultilevel"/>
    <w:tmpl w:val="A39C0A38"/>
    <w:lvl w:ilvl="0" w:tplc="6766171A">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23C7409A"/>
    <w:multiLevelType w:val="hybridMultilevel"/>
    <w:tmpl w:val="90080B22"/>
    <w:lvl w:ilvl="0" w:tplc="66B49DEC">
      <w:start w:val="1"/>
      <w:numFmt w:val="decimal"/>
      <w:lvlText w:val="%1)"/>
      <w:lvlJc w:val="left"/>
      <w:pPr>
        <w:ind w:left="1080" w:hanging="360"/>
      </w:pPr>
      <w:rPr>
        <w:rFonts w:hint="default"/>
        <w:sz w:val="26"/>
        <w:szCs w:val="26"/>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326F05AF"/>
    <w:multiLevelType w:val="hybridMultilevel"/>
    <w:tmpl w:val="89A4E5E8"/>
    <w:lvl w:ilvl="0" w:tplc="8C0625D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34C224D1"/>
    <w:multiLevelType w:val="hybridMultilevel"/>
    <w:tmpl w:val="2D28D4AC"/>
    <w:lvl w:ilvl="0" w:tplc="0426000D">
      <w:start w:val="1"/>
      <w:numFmt w:val="bullet"/>
      <w:lvlText w:val=""/>
      <w:lvlJc w:val="left"/>
      <w:pPr>
        <w:ind w:left="1287" w:hanging="360"/>
      </w:pPr>
      <w:rPr>
        <w:rFonts w:ascii="Wingdings" w:hAnsi="Wingdings"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4">
    <w:nsid w:val="3E4D580C"/>
    <w:multiLevelType w:val="hybridMultilevel"/>
    <w:tmpl w:val="C01C65BE"/>
    <w:lvl w:ilvl="0" w:tplc="2A205AC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
    <w:nsid w:val="42FA25E3"/>
    <w:multiLevelType w:val="hybridMultilevel"/>
    <w:tmpl w:val="7F543B64"/>
    <w:lvl w:ilvl="0" w:tplc="0426000D">
      <w:start w:val="1"/>
      <w:numFmt w:val="bullet"/>
      <w:lvlText w:val=""/>
      <w:lvlJc w:val="left"/>
      <w:pPr>
        <w:ind w:left="1494" w:hanging="360"/>
      </w:pPr>
      <w:rPr>
        <w:rFonts w:ascii="Wingdings" w:hAnsi="Wingdings"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6">
    <w:nsid w:val="775C49B4"/>
    <w:multiLevelType w:val="hybridMultilevel"/>
    <w:tmpl w:val="C93EC7AA"/>
    <w:lvl w:ilvl="0" w:tplc="27AEAC9E">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64"/>
    <w:rsid w:val="00004D14"/>
    <w:rsid w:val="00051B71"/>
    <w:rsid w:val="00077226"/>
    <w:rsid w:val="00093ED2"/>
    <w:rsid w:val="000B71F1"/>
    <w:rsid w:val="000F55EF"/>
    <w:rsid w:val="00102DFF"/>
    <w:rsid w:val="0010622A"/>
    <w:rsid w:val="00151332"/>
    <w:rsid w:val="001517DC"/>
    <w:rsid w:val="00180365"/>
    <w:rsid w:val="001C179E"/>
    <w:rsid w:val="001C2DC8"/>
    <w:rsid w:val="001C5FBE"/>
    <w:rsid w:val="002133A7"/>
    <w:rsid w:val="00243AD0"/>
    <w:rsid w:val="00251867"/>
    <w:rsid w:val="00297DF7"/>
    <w:rsid w:val="002B66E0"/>
    <w:rsid w:val="002B7A66"/>
    <w:rsid w:val="002F21BB"/>
    <w:rsid w:val="003104DF"/>
    <w:rsid w:val="003348F9"/>
    <w:rsid w:val="00347FB0"/>
    <w:rsid w:val="0038704A"/>
    <w:rsid w:val="003B574D"/>
    <w:rsid w:val="003B7186"/>
    <w:rsid w:val="003C4CF6"/>
    <w:rsid w:val="00461678"/>
    <w:rsid w:val="004722E0"/>
    <w:rsid w:val="00482584"/>
    <w:rsid w:val="004E0659"/>
    <w:rsid w:val="004E1F62"/>
    <w:rsid w:val="00503FE5"/>
    <w:rsid w:val="00542C4C"/>
    <w:rsid w:val="00554F7F"/>
    <w:rsid w:val="005811DB"/>
    <w:rsid w:val="005B5B2F"/>
    <w:rsid w:val="00607A18"/>
    <w:rsid w:val="00623CBC"/>
    <w:rsid w:val="00624B75"/>
    <w:rsid w:val="006612A4"/>
    <w:rsid w:val="00681747"/>
    <w:rsid w:val="00682F39"/>
    <w:rsid w:val="006D0231"/>
    <w:rsid w:val="006D601A"/>
    <w:rsid w:val="006E68F6"/>
    <w:rsid w:val="006F7A70"/>
    <w:rsid w:val="00710ED1"/>
    <w:rsid w:val="00750F5A"/>
    <w:rsid w:val="00756492"/>
    <w:rsid w:val="007648F4"/>
    <w:rsid w:val="007D42F0"/>
    <w:rsid w:val="007D4D74"/>
    <w:rsid w:val="00825614"/>
    <w:rsid w:val="00833CA5"/>
    <w:rsid w:val="00835CCA"/>
    <w:rsid w:val="008D0437"/>
    <w:rsid w:val="008E2435"/>
    <w:rsid w:val="00930A67"/>
    <w:rsid w:val="00933F24"/>
    <w:rsid w:val="00940D43"/>
    <w:rsid w:val="00950142"/>
    <w:rsid w:val="00951AAA"/>
    <w:rsid w:val="0095258B"/>
    <w:rsid w:val="009564A9"/>
    <w:rsid w:val="009813E6"/>
    <w:rsid w:val="00990EEF"/>
    <w:rsid w:val="00992D3A"/>
    <w:rsid w:val="009A777A"/>
    <w:rsid w:val="009B1C7C"/>
    <w:rsid w:val="009C294B"/>
    <w:rsid w:val="009D0672"/>
    <w:rsid w:val="009D3545"/>
    <w:rsid w:val="00A1522E"/>
    <w:rsid w:val="00A1741B"/>
    <w:rsid w:val="00A3766B"/>
    <w:rsid w:val="00A903CC"/>
    <w:rsid w:val="00AA7D4D"/>
    <w:rsid w:val="00B233BA"/>
    <w:rsid w:val="00BA201F"/>
    <w:rsid w:val="00BA3939"/>
    <w:rsid w:val="00BB0C61"/>
    <w:rsid w:val="00BB17CA"/>
    <w:rsid w:val="00CA18C9"/>
    <w:rsid w:val="00CB057F"/>
    <w:rsid w:val="00CF1187"/>
    <w:rsid w:val="00CF13F8"/>
    <w:rsid w:val="00D015CC"/>
    <w:rsid w:val="00D16F35"/>
    <w:rsid w:val="00D47262"/>
    <w:rsid w:val="00D74217"/>
    <w:rsid w:val="00D7617A"/>
    <w:rsid w:val="00DC4AB5"/>
    <w:rsid w:val="00DD39A7"/>
    <w:rsid w:val="00E42A4A"/>
    <w:rsid w:val="00E77B64"/>
    <w:rsid w:val="00E8202D"/>
    <w:rsid w:val="00E8382F"/>
    <w:rsid w:val="00E85910"/>
    <w:rsid w:val="00E93D41"/>
    <w:rsid w:val="00EA4542"/>
    <w:rsid w:val="00EC3AFF"/>
    <w:rsid w:val="00F26E97"/>
    <w:rsid w:val="00F31ED4"/>
    <w:rsid w:val="00FE5B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4F8AE-A3D8-4DF7-879A-72084300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33CA5"/>
    <w:pPr>
      <w:keepNext/>
      <w:outlineLvl w:val="1"/>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17A"/>
    <w:pPr>
      <w:ind w:left="720"/>
      <w:contextualSpacing/>
    </w:pPr>
  </w:style>
  <w:style w:type="paragraph" w:styleId="Header">
    <w:name w:val="header"/>
    <w:basedOn w:val="Normal"/>
    <w:link w:val="HeaderChar"/>
    <w:uiPriority w:val="99"/>
    <w:unhideWhenUsed/>
    <w:rsid w:val="002B7A66"/>
    <w:pPr>
      <w:tabs>
        <w:tab w:val="center" w:pos="4153"/>
        <w:tab w:val="right" w:pos="8306"/>
      </w:tabs>
    </w:pPr>
  </w:style>
  <w:style w:type="character" w:customStyle="1" w:styleId="HeaderChar">
    <w:name w:val="Header Char"/>
    <w:basedOn w:val="DefaultParagraphFont"/>
    <w:link w:val="Header"/>
    <w:uiPriority w:val="99"/>
    <w:rsid w:val="002B7A66"/>
  </w:style>
  <w:style w:type="paragraph" w:styleId="Footer">
    <w:name w:val="footer"/>
    <w:basedOn w:val="Normal"/>
    <w:link w:val="FooterChar"/>
    <w:uiPriority w:val="99"/>
    <w:unhideWhenUsed/>
    <w:rsid w:val="002B7A66"/>
    <w:pPr>
      <w:tabs>
        <w:tab w:val="center" w:pos="4153"/>
        <w:tab w:val="right" w:pos="8306"/>
      </w:tabs>
    </w:pPr>
  </w:style>
  <w:style w:type="character" w:customStyle="1" w:styleId="FooterChar">
    <w:name w:val="Footer Char"/>
    <w:basedOn w:val="DefaultParagraphFont"/>
    <w:link w:val="Footer"/>
    <w:uiPriority w:val="99"/>
    <w:rsid w:val="002B7A66"/>
  </w:style>
  <w:style w:type="character" w:customStyle="1" w:styleId="Heading2Char">
    <w:name w:val="Heading 2 Char"/>
    <w:basedOn w:val="DefaultParagraphFont"/>
    <w:link w:val="Heading2"/>
    <w:rsid w:val="00833CA5"/>
    <w:rPr>
      <w:rFonts w:eastAsia="Times New Roman" w:cs="Times New Roman"/>
      <w:sz w:val="28"/>
      <w:szCs w:val="28"/>
    </w:rPr>
  </w:style>
  <w:style w:type="paragraph" w:styleId="BalloonText">
    <w:name w:val="Balloon Text"/>
    <w:basedOn w:val="Normal"/>
    <w:link w:val="BalloonTextChar"/>
    <w:uiPriority w:val="99"/>
    <w:semiHidden/>
    <w:unhideWhenUsed/>
    <w:rsid w:val="000F5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5EF"/>
    <w:rPr>
      <w:rFonts w:ascii="Segoe UI" w:hAnsi="Segoe UI" w:cs="Segoe UI"/>
      <w:sz w:val="18"/>
      <w:szCs w:val="18"/>
    </w:rPr>
  </w:style>
  <w:style w:type="paragraph" w:styleId="BodyText">
    <w:name w:val="Body Text"/>
    <w:basedOn w:val="Normal"/>
    <w:link w:val="BodyTextChar"/>
    <w:rsid w:val="00482584"/>
    <w:pPr>
      <w:jc w:val="both"/>
    </w:pPr>
    <w:rPr>
      <w:rFonts w:eastAsia="Times New Roman" w:cs="Times New Roman"/>
      <w:szCs w:val="20"/>
    </w:rPr>
  </w:style>
  <w:style w:type="character" w:customStyle="1" w:styleId="BodyTextChar">
    <w:name w:val="Body Text Char"/>
    <w:basedOn w:val="DefaultParagraphFont"/>
    <w:link w:val="BodyText"/>
    <w:rsid w:val="00482584"/>
    <w:rPr>
      <w:rFonts w:eastAsia="Times New Roman" w:cs="Times New Roman"/>
      <w:szCs w:val="20"/>
    </w:rPr>
  </w:style>
  <w:style w:type="character" w:styleId="Strong">
    <w:name w:val="Strong"/>
    <w:basedOn w:val="DefaultParagraphFont"/>
    <w:uiPriority w:val="22"/>
    <w:qFormat/>
    <w:rsid w:val="00482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2727">
      <w:bodyDiv w:val="1"/>
      <w:marLeft w:val="0"/>
      <w:marRight w:val="0"/>
      <w:marTop w:val="0"/>
      <w:marBottom w:val="0"/>
      <w:divBdr>
        <w:top w:val="none" w:sz="0" w:space="0" w:color="auto"/>
        <w:left w:val="none" w:sz="0" w:space="0" w:color="auto"/>
        <w:bottom w:val="none" w:sz="0" w:space="0" w:color="auto"/>
        <w:right w:val="none" w:sz="0" w:space="0" w:color="auto"/>
      </w:divBdr>
    </w:div>
    <w:div w:id="322710216">
      <w:bodyDiv w:val="1"/>
      <w:marLeft w:val="0"/>
      <w:marRight w:val="0"/>
      <w:marTop w:val="0"/>
      <w:marBottom w:val="0"/>
      <w:divBdr>
        <w:top w:val="none" w:sz="0" w:space="0" w:color="auto"/>
        <w:left w:val="none" w:sz="0" w:space="0" w:color="auto"/>
        <w:bottom w:val="none" w:sz="0" w:space="0" w:color="auto"/>
        <w:right w:val="none" w:sz="0" w:space="0" w:color="auto"/>
      </w:divBdr>
    </w:div>
    <w:div w:id="475681435">
      <w:bodyDiv w:val="1"/>
      <w:marLeft w:val="0"/>
      <w:marRight w:val="0"/>
      <w:marTop w:val="0"/>
      <w:marBottom w:val="0"/>
      <w:divBdr>
        <w:top w:val="none" w:sz="0" w:space="0" w:color="auto"/>
        <w:left w:val="none" w:sz="0" w:space="0" w:color="auto"/>
        <w:bottom w:val="none" w:sz="0" w:space="0" w:color="auto"/>
        <w:right w:val="none" w:sz="0" w:space="0" w:color="auto"/>
      </w:divBdr>
    </w:div>
    <w:div w:id="15726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D5BCA-5C8C-4AEC-A7BE-023E70FA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5135</Words>
  <Characters>2927</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Irita Lukšo</dc:creator>
  <cp:keywords/>
  <dc:description/>
  <cp:lastModifiedBy>Gundega Kalvāne</cp:lastModifiedBy>
  <cp:revision>4</cp:revision>
  <cp:lastPrinted>2017-08-23T12:29:00Z</cp:lastPrinted>
  <dcterms:created xsi:type="dcterms:W3CDTF">2017-09-25T06:45:00Z</dcterms:created>
  <dcterms:modified xsi:type="dcterms:W3CDTF">2017-09-25T08:19:00Z</dcterms:modified>
</cp:coreProperties>
</file>