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D6CB" w14:textId="357C91B8" w:rsidR="007B32EC" w:rsidRDefault="007B32EC" w:rsidP="007B32EC">
      <w:pPr>
        <w:jc w:val="right"/>
        <w:rPr>
          <w:b/>
        </w:rPr>
      </w:pPr>
      <w:bookmarkStart w:id="0" w:name="_GoBack"/>
      <w:bookmarkEnd w:id="0"/>
      <w:r>
        <w:rPr>
          <w:b/>
        </w:rPr>
        <w:t>Pielikums</w:t>
      </w:r>
      <w:r w:rsidR="00AE5790">
        <w:rPr>
          <w:b/>
        </w:rPr>
        <w:t xml:space="preserve"> </w:t>
      </w:r>
      <w:r w:rsidR="00AE5790" w:rsidRPr="004A6AE4">
        <w:rPr>
          <w:b/>
        </w:rPr>
        <w:t>Nr.1</w:t>
      </w:r>
    </w:p>
    <w:p w14:paraId="45D6F37A" w14:textId="77777777" w:rsidR="007B32EC" w:rsidRDefault="008442A5" w:rsidP="00562E8E">
      <w:pPr>
        <w:spacing w:after="0" w:line="240" w:lineRule="auto"/>
        <w:jc w:val="right"/>
      </w:pPr>
      <w:r>
        <w:t>Informatīvajam</w:t>
      </w:r>
      <w:r w:rsidR="007B32EC">
        <w:t xml:space="preserve"> ziņojuma</w:t>
      </w:r>
      <w:r>
        <w:t>m</w:t>
      </w:r>
      <w:r w:rsidR="007B32EC">
        <w:t xml:space="preserve"> </w:t>
      </w:r>
      <w:r w:rsidR="007B32EC" w:rsidRPr="00562E8E">
        <w:t>“</w:t>
      </w:r>
      <w:r w:rsidR="007B32EC" w:rsidRPr="007B32EC">
        <w:t xml:space="preserve">Par spēkā esošo </w:t>
      </w:r>
    </w:p>
    <w:p w14:paraId="62475EF8" w14:textId="53DB52DD" w:rsidR="007B32EC" w:rsidRDefault="007B32EC" w:rsidP="00562E8E">
      <w:pPr>
        <w:spacing w:after="0" w:line="240" w:lineRule="auto"/>
        <w:jc w:val="right"/>
        <w:rPr>
          <w:b/>
        </w:rPr>
      </w:pPr>
      <w:r w:rsidRPr="007B32EC">
        <w:t>nodokļu atvieglojumu izvērtēšanu</w:t>
      </w:r>
      <w:r w:rsidRPr="007B32EC">
        <w:rPr>
          <w:b/>
        </w:rPr>
        <w:t>”</w:t>
      </w:r>
    </w:p>
    <w:p w14:paraId="2006C353" w14:textId="77777777" w:rsidR="00B020D5" w:rsidRDefault="00B020D5" w:rsidP="00562E8E">
      <w:pPr>
        <w:spacing w:after="0" w:line="240" w:lineRule="auto"/>
        <w:jc w:val="right"/>
        <w:rPr>
          <w:b/>
        </w:rPr>
      </w:pPr>
    </w:p>
    <w:p w14:paraId="67132D27" w14:textId="25B6D254" w:rsidR="007B32EC" w:rsidRPr="00C735AB" w:rsidRDefault="00B020D5" w:rsidP="00C735AB">
      <w:pPr>
        <w:spacing w:after="0" w:line="240" w:lineRule="auto"/>
        <w:jc w:val="right"/>
        <w:rPr>
          <w:b/>
          <w:sz w:val="32"/>
          <w:szCs w:val="32"/>
        </w:rPr>
      </w:pPr>
      <w:r w:rsidRPr="00C735AB">
        <w:rPr>
          <w:b/>
          <w:sz w:val="32"/>
          <w:szCs w:val="32"/>
        </w:rPr>
        <w:t>VEIDLAPA</w:t>
      </w:r>
    </w:p>
    <w:p w14:paraId="71AF9DE1" w14:textId="77777777" w:rsidR="00B020D5" w:rsidRDefault="00B020D5" w:rsidP="00C735AB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text" w:tblpXSpec="center" w:tblpY="1"/>
        <w:tblOverlap w:val="never"/>
        <w:tblW w:w="9355" w:type="dxa"/>
        <w:jc w:val="center"/>
        <w:tblLook w:val="04A0" w:firstRow="1" w:lastRow="0" w:firstColumn="1" w:lastColumn="0" w:noHBand="0" w:noVBand="1"/>
      </w:tblPr>
      <w:tblGrid>
        <w:gridCol w:w="4121"/>
        <w:gridCol w:w="5234"/>
      </w:tblGrid>
      <w:tr w:rsidR="00E77303" w:rsidRPr="00953B4D" w14:paraId="63FAB5D3" w14:textId="77777777" w:rsidTr="00A336E9">
        <w:trPr>
          <w:trHeight w:val="562"/>
          <w:jc w:val="center"/>
        </w:trPr>
        <w:tc>
          <w:tcPr>
            <w:tcW w:w="9355" w:type="dxa"/>
            <w:gridSpan w:val="2"/>
            <w:vAlign w:val="center"/>
          </w:tcPr>
          <w:p w14:paraId="65B821EF" w14:textId="6796025A" w:rsidR="0010472D" w:rsidRPr="0010472D" w:rsidRDefault="00E77303" w:rsidP="00C735AB">
            <w:pPr>
              <w:keepNext/>
              <w:keepLines/>
              <w:spacing w:before="240"/>
              <w:ind w:left="167" w:hanging="284"/>
              <w:jc w:val="center"/>
              <w:outlineLvl w:val="0"/>
              <w:rPr>
                <w:rFonts w:eastAsiaTheme="majorEastAsia"/>
                <w:sz w:val="28"/>
                <w:szCs w:val="28"/>
              </w:rPr>
            </w:pPr>
            <w:r w:rsidRPr="00562E8E">
              <w:rPr>
                <w:rFonts w:eastAsiaTheme="majorEastAsia"/>
                <w:b/>
                <w:sz w:val="28"/>
                <w:szCs w:val="28"/>
              </w:rPr>
              <w:t>Plānā spēkā esoš</w:t>
            </w:r>
            <w:r w:rsidR="00FC5D9C" w:rsidRPr="00562E8E">
              <w:rPr>
                <w:rFonts w:eastAsiaTheme="majorEastAsia"/>
                <w:b/>
                <w:sz w:val="28"/>
                <w:szCs w:val="28"/>
              </w:rPr>
              <w:t>ā</w:t>
            </w:r>
            <w:r w:rsidRPr="00562E8E">
              <w:rPr>
                <w:rFonts w:eastAsiaTheme="majorEastAsia"/>
                <w:b/>
                <w:sz w:val="28"/>
                <w:szCs w:val="28"/>
              </w:rPr>
              <w:t xml:space="preserve"> nodokļu atvieglojum</w:t>
            </w:r>
            <w:r w:rsidR="00FC5D9C" w:rsidRPr="00562E8E">
              <w:rPr>
                <w:rFonts w:eastAsiaTheme="majorEastAsia"/>
                <w:b/>
                <w:sz w:val="28"/>
                <w:szCs w:val="28"/>
              </w:rPr>
              <w:t>a</w:t>
            </w:r>
            <w:r w:rsidRPr="00562E8E">
              <w:rPr>
                <w:rFonts w:eastAsiaTheme="majorEastAsia"/>
                <w:b/>
                <w:sz w:val="28"/>
                <w:szCs w:val="28"/>
              </w:rPr>
              <w:t>, kur</w:t>
            </w:r>
            <w:r w:rsidR="00FC5D9C" w:rsidRPr="00562E8E">
              <w:rPr>
                <w:rFonts w:eastAsiaTheme="majorEastAsia"/>
                <w:b/>
                <w:sz w:val="28"/>
                <w:szCs w:val="28"/>
              </w:rPr>
              <w:t>am</w:t>
            </w:r>
            <w:r w:rsidRPr="00562E8E">
              <w:rPr>
                <w:rFonts w:eastAsiaTheme="majorEastAsia"/>
                <w:b/>
                <w:sz w:val="28"/>
                <w:szCs w:val="28"/>
              </w:rPr>
              <w:t xml:space="preserve"> mērķis un sasniedzamie rādītāji ir definējami </w:t>
            </w:r>
            <w:r w:rsidRPr="00562E8E">
              <w:rPr>
                <w:rFonts w:eastAsiaTheme="majorEastAsia"/>
                <w:sz w:val="28"/>
                <w:szCs w:val="28"/>
              </w:rPr>
              <w:t>/1.kategorija/</w:t>
            </w:r>
          </w:p>
        </w:tc>
      </w:tr>
      <w:tr w:rsidR="008B376B" w:rsidRPr="00DF0BC7" w14:paraId="45B60D6B" w14:textId="77777777" w:rsidTr="00A336E9">
        <w:trPr>
          <w:trHeight w:val="460"/>
          <w:jc w:val="center"/>
        </w:trPr>
        <w:tc>
          <w:tcPr>
            <w:tcW w:w="4121" w:type="dxa"/>
          </w:tcPr>
          <w:p w14:paraId="34506CC4" w14:textId="402F00EB" w:rsidR="008B376B" w:rsidRPr="00DF0BC7" w:rsidRDefault="008B376B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</w:rPr>
            </w:pPr>
            <w:r w:rsidRPr="00A46697">
              <w:t>Nodokļa atvieglojuma grupa</w:t>
            </w:r>
          </w:p>
        </w:tc>
        <w:tc>
          <w:tcPr>
            <w:tcW w:w="5234" w:type="dxa"/>
            <w:vAlign w:val="center"/>
          </w:tcPr>
          <w:p w14:paraId="0C697B90" w14:textId="495FFAF7" w:rsidR="008B376B" w:rsidRPr="00DF0BC7" w:rsidRDefault="008B376B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</w:rPr>
            </w:pPr>
            <w:r w:rsidRPr="008B376B">
              <w:rPr>
                <w:rFonts w:eastAsiaTheme="majorEastAsia"/>
              </w:rPr>
              <w:t>Atvieglojums, kas vērsts uz noteiktu ekonomisku vai sociālu mērķu sasniegšanu</w:t>
            </w:r>
          </w:p>
        </w:tc>
      </w:tr>
      <w:tr w:rsidR="00E77303" w:rsidRPr="00DF0BC7" w14:paraId="3584883F" w14:textId="77777777" w:rsidTr="00A336E9">
        <w:trPr>
          <w:trHeight w:val="460"/>
          <w:jc w:val="center"/>
        </w:trPr>
        <w:tc>
          <w:tcPr>
            <w:tcW w:w="4121" w:type="dxa"/>
          </w:tcPr>
          <w:p w14:paraId="241E3DFD" w14:textId="77777777" w:rsidR="00E77303" w:rsidRPr="00DF0BC7" w:rsidRDefault="00E77303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</w:rPr>
            </w:pPr>
            <w:r w:rsidRPr="00DF0BC7">
              <w:rPr>
                <w:rFonts w:eastAsiaTheme="majorEastAsia"/>
              </w:rPr>
              <w:t>Nosaukums</w:t>
            </w:r>
          </w:p>
        </w:tc>
        <w:tc>
          <w:tcPr>
            <w:tcW w:w="5234" w:type="dxa"/>
            <w:vAlign w:val="center"/>
          </w:tcPr>
          <w:p w14:paraId="373CE0B0" w14:textId="47B6594C" w:rsidR="00E77303" w:rsidRPr="00DF0BC7" w:rsidRDefault="00E77303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</w:rPr>
            </w:pPr>
          </w:p>
        </w:tc>
      </w:tr>
      <w:tr w:rsidR="00E77303" w:rsidRPr="00DF0BC7" w14:paraId="092B650B" w14:textId="77777777" w:rsidTr="00A336E9">
        <w:trPr>
          <w:jc w:val="center"/>
        </w:trPr>
        <w:tc>
          <w:tcPr>
            <w:tcW w:w="4121" w:type="dxa"/>
          </w:tcPr>
          <w:p w14:paraId="386B973A" w14:textId="77777777" w:rsidR="00E77303" w:rsidRPr="00DF0BC7" w:rsidRDefault="00E77303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</w:rPr>
            </w:pPr>
            <w:r w:rsidRPr="00DF0BC7">
              <w:rPr>
                <w:rFonts w:eastAsiaTheme="majorEastAsia"/>
              </w:rPr>
              <w:t>N.p.k.</w:t>
            </w:r>
          </w:p>
        </w:tc>
        <w:tc>
          <w:tcPr>
            <w:tcW w:w="5234" w:type="dxa"/>
            <w:vAlign w:val="center"/>
          </w:tcPr>
          <w:p w14:paraId="12956AB5" w14:textId="398C8A0F" w:rsidR="00E77303" w:rsidRPr="00DF0BC7" w:rsidRDefault="00E77303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</w:rPr>
            </w:pPr>
          </w:p>
        </w:tc>
      </w:tr>
    </w:tbl>
    <w:p w14:paraId="60D00ED1" w14:textId="77777777" w:rsidR="007B32EC" w:rsidRPr="00DF0BC7" w:rsidRDefault="007B32EC" w:rsidP="00DC3825">
      <w:pPr>
        <w:spacing w:after="0" w:line="240" w:lineRule="auto"/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118"/>
        <w:gridCol w:w="850"/>
        <w:gridCol w:w="851"/>
        <w:gridCol w:w="1276"/>
      </w:tblGrid>
      <w:tr w:rsidR="00696A94" w:rsidRPr="000F4D7D" w14:paraId="427455E3" w14:textId="77777777" w:rsidTr="0061370D">
        <w:tc>
          <w:tcPr>
            <w:tcW w:w="851" w:type="dxa"/>
          </w:tcPr>
          <w:p w14:paraId="28D54E21" w14:textId="13F7EE7C" w:rsidR="00696A94" w:rsidRPr="000F4D7D" w:rsidRDefault="00696A94" w:rsidP="00F676B7">
            <w:pPr>
              <w:jc w:val="center"/>
            </w:pPr>
          </w:p>
        </w:tc>
        <w:tc>
          <w:tcPr>
            <w:tcW w:w="3119" w:type="dxa"/>
          </w:tcPr>
          <w:p w14:paraId="1A23188A" w14:textId="77777777" w:rsidR="00696A94" w:rsidRPr="00A46697" w:rsidRDefault="00696A94" w:rsidP="0010472D">
            <w:pPr>
              <w:spacing w:after="120"/>
              <w:jc w:val="both"/>
            </w:pPr>
            <w:r w:rsidRPr="00A46697">
              <w:t>Normatīvais akts</w:t>
            </w:r>
          </w:p>
        </w:tc>
        <w:tc>
          <w:tcPr>
            <w:tcW w:w="6095" w:type="dxa"/>
            <w:gridSpan w:val="4"/>
          </w:tcPr>
          <w:p w14:paraId="4F7123B9" w14:textId="5F9925EF" w:rsidR="00696A94" w:rsidRPr="000F4D7D" w:rsidRDefault="00696A94" w:rsidP="00DC3825">
            <w:pPr>
              <w:jc w:val="both"/>
            </w:pPr>
          </w:p>
        </w:tc>
      </w:tr>
      <w:tr w:rsidR="00696A94" w:rsidRPr="000F4D7D" w14:paraId="29D482CC" w14:textId="77777777" w:rsidTr="0061370D">
        <w:tc>
          <w:tcPr>
            <w:tcW w:w="851" w:type="dxa"/>
          </w:tcPr>
          <w:p w14:paraId="040FAB9A" w14:textId="77777777" w:rsidR="00696A94" w:rsidRPr="000F4D7D" w:rsidRDefault="00696A94" w:rsidP="00C735AB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3119" w:type="dxa"/>
          </w:tcPr>
          <w:p w14:paraId="6836E705" w14:textId="77777777" w:rsidR="00696A94" w:rsidRPr="00A46697" w:rsidRDefault="00696A94" w:rsidP="0010472D">
            <w:pPr>
              <w:spacing w:after="120"/>
              <w:jc w:val="both"/>
            </w:pPr>
            <w:r w:rsidRPr="00A46697">
              <w:t>Norma (likuma pants, panta daļa, punkts, apakšpunkts vai pārejas noteikumu punkts)</w:t>
            </w:r>
          </w:p>
        </w:tc>
        <w:tc>
          <w:tcPr>
            <w:tcW w:w="6095" w:type="dxa"/>
            <w:gridSpan w:val="4"/>
          </w:tcPr>
          <w:p w14:paraId="1D498DE0" w14:textId="6FBBD922" w:rsidR="00696A94" w:rsidRPr="000F4D7D" w:rsidRDefault="00696A94" w:rsidP="00DC3825">
            <w:pPr>
              <w:jc w:val="both"/>
            </w:pPr>
          </w:p>
        </w:tc>
      </w:tr>
      <w:tr w:rsidR="00696A94" w:rsidRPr="000F4D7D" w14:paraId="67E62F3C" w14:textId="77777777" w:rsidTr="0061370D">
        <w:tc>
          <w:tcPr>
            <w:tcW w:w="851" w:type="dxa"/>
          </w:tcPr>
          <w:p w14:paraId="58AA9D55" w14:textId="77777777" w:rsidR="00696A94" w:rsidRPr="000F4D7D" w:rsidRDefault="00696A94" w:rsidP="00C735AB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3119" w:type="dxa"/>
          </w:tcPr>
          <w:p w14:paraId="24629BD3" w14:textId="516DB2B2" w:rsidR="00696A94" w:rsidRPr="00A46697" w:rsidRDefault="00696A94" w:rsidP="0010472D">
            <w:pPr>
              <w:spacing w:after="120"/>
            </w:pPr>
            <w:r w:rsidRPr="00A46697">
              <w:t>Nodokļa atvieglojuma</w:t>
            </w:r>
            <w:r w:rsidR="000A5D35">
              <w:t xml:space="preserve"> būtība vai</w:t>
            </w:r>
            <w:r w:rsidRPr="00A46697">
              <w:t xml:space="preserve"> redakcija</w:t>
            </w:r>
          </w:p>
        </w:tc>
        <w:tc>
          <w:tcPr>
            <w:tcW w:w="6095" w:type="dxa"/>
            <w:gridSpan w:val="4"/>
          </w:tcPr>
          <w:p w14:paraId="620EABEB" w14:textId="37F90B7E" w:rsidR="000F4D7D" w:rsidRPr="00DF0BC7" w:rsidRDefault="000F4D7D" w:rsidP="00E12A40">
            <w:pPr>
              <w:ind w:left="248" w:hanging="248"/>
              <w:jc w:val="both"/>
            </w:pPr>
          </w:p>
        </w:tc>
      </w:tr>
      <w:tr w:rsidR="00A432AE" w:rsidRPr="000F4D7D" w14:paraId="7CD164E7" w14:textId="77777777" w:rsidTr="0061370D">
        <w:tc>
          <w:tcPr>
            <w:tcW w:w="851" w:type="dxa"/>
          </w:tcPr>
          <w:p w14:paraId="04AEFAF9" w14:textId="77777777" w:rsidR="00A432AE" w:rsidRPr="000F4D7D" w:rsidRDefault="00A432AE" w:rsidP="00C735AB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3119" w:type="dxa"/>
          </w:tcPr>
          <w:p w14:paraId="4CF84A05" w14:textId="7369B361" w:rsidR="00A432AE" w:rsidRPr="0061370D" w:rsidRDefault="00A432AE" w:rsidP="000A5D35">
            <w:pPr>
              <w:spacing w:after="120"/>
            </w:pPr>
            <w:r w:rsidRPr="0061370D">
              <w:t xml:space="preserve">Nodokļa atvieglojuma </w:t>
            </w:r>
            <w:r w:rsidR="00D6341A" w:rsidRPr="0061370D">
              <w:t xml:space="preserve">ieviešanas </w:t>
            </w:r>
            <w:r w:rsidRPr="0061370D">
              <w:t>mērķis</w:t>
            </w:r>
          </w:p>
        </w:tc>
        <w:tc>
          <w:tcPr>
            <w:tcW w:w="6095" w:type="dxa"/>
            <w:gridSpan w:val="4"/>
          </w:tcPr>
          <w:p w14:paraId="59E9E3B4" w14:textId="77777777" w:rsidR="005B61A0" w:rsidRPr="000F4D7D" w:rsidRDefault="005B61A0" w:rsidP="00B22141">
            <w:pPr>
              <w:jc w:val="both"/>
            </w:pPr>
          </w:p>
        </w:tc>
      </w:tr>
      <w:tr w:rsidR="00D6341A" w:rsidRPr="000F4D7D" w14:paraId="40029AEC" w14:textId="77777777" w:rsidTr="0061370D">
        <w:tc>
          <w:tcPr>
            <w:tcW w:w="851" w:type="dxa"/>
          </w:tcPr>
          <w:p w14:paraId="1B8EA165" w14:textId="77777777" w:rsidR="00D6341A" w:rsidRPr="000F4D7D" w:rsidRDefault="00D6341A" w:rsidP="006727E0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3119" w:type="dxa"/>
          </w:tcPr>
          <w:p w14:paraId="49D25F4E" w14:textId="694A38A3" w:rsidR="00D6341A" w:rsidRPr="00A46697" w:rsidRDefault="00D6341A" w:rsidP="0010472D">
            <w:pPr>
              <w:spacing w:after="120"/>
            </w:pPr>
            <w:r>
              <w:t>Nodokļa atvieglojuma atbilstība tā ieviešanas būtībai (vai nodokļa atvieglojums ir efektīvs)</w:t>
            </w:r>
            <w:r w:rsidR="000A5D35">
              <w:rPr>
                <w:rStyle w:val="FootnoteReference"/>
              </w:rPr>
              <w:footnoteReference w:id="1"/>
            </w:r>
          </w:p>
        </w:tc>
        <w:tc>
          <w:tcPr>
            <w:tcW w:w="6095" w:type="dxa"/>
            <w:gridSpan w:val="4"/>
          </w:tcPr>
          <w:p w14:paraId="269F1558" w14:textId="77777777" w:rsidR="00D6341A" w:rsidRPr="000F4D7D" w:rsidRDefault="00D6341A" w:rsidP="00B22141">
            <w:pPr>
              <w:jc w:val="both"/>
            </w:pPr>
          </w:p>
        </w:tc>
      </w:tr>
      <w:tr w:rsidR="00696A94" w:rsidRPr="000F4D7D" w14:paraId="0874ECC8" w14:textId="77777777" w:rsidTr="0061370D">
        <w:trPr>
          <w:trHeight w:val="699"/>
        </w:trPr>
        <w:tc>
          <w:tcPr>
            <w:tcW w:w="851" w:type="dxa"/>
          </w:tcPr>
          <w:p w14:paraId="4188ACB9" w14:textId="77777777" w:rsidR="00696A94" w:rsidRPr="000F4D7D" w:rsidRDefault="00696A94" w:rsidP="00A336E9">
            <w:pPr>
              <w:pStyle w:val="ListParagraph"/>
              <w:numPr>
                <w:ilvl w:val="0"/>
                <w:numId w:val="15"/>
              </w:numPr>
              <w:ind w:left="641" w:hanging="357"/>
              <w:jc w:val="center"/>
            </w:pPr>
          </w:p>
        </w:tc>
        <w:tc>
          <w:tcPr>
            <w:tcW w:w="3119" w:type="dxa"/>
          </w:tcPr>
          <w:p w14:paraId="33571DBC" w14:textId="0729D128" w:rsidR="00696A94" w:rsidRPr="00A46697" w:rsidRDefault="005E75EA" w:rsidP="00B020D5">
            <w:pPr>
              <w:spacing w:after="120"/>
            </w:pPr>
            <w:r>
              <w:t>N</w:t>
            </w:r>
            <w:r w:rsidR="00696A94" w:rsidRPr="00A46697">
              <w:t xml:space="preserve">odokļa maksātāju skaits, kuri saņem nodokļa atvieglojumu, </w:t>
            </w:r>
            <w:r>
              <w:t xml:space="preserve">pēdējo </w:t>
            </w:r>
            <w:r w:rsidR="00696A94" w:rsidRPr="00A46697">
              <w:t>trīs gadu periodā</w:t>
            </w:r>
            <w:r w:rsidR="00947540">
              <w:rPr>
                <w:rStyle w:val="FootnoteReference"/>
              </w:rPr>
              <w:footnoteReference w:id="2"/>
            </w:r>
          </w:p>
        </w:tc>
        <w:tc>
          <w:tcPr>
            <w:tcW w:w="6095" w:type="dxa"/>
            <w:gridSpan w:val="4"/>
          </w:tcPr>
          <w:p w14:paraId="2C1A4FD2" w14:textId="672ECE8A" w:rsidR="00FA189F" w:rsidRPr="000F4D7D" w:rsidRDefault="00FA189F" w:rsidP="00C22103"/>
        </w:tc>
      </w:tr>
      <w:tr w:rsidR="00696A94" w:rsidRPr="000F4D7D" w14:paraId="7F5C5AB6" w14:textId="77777777" w:rsidTr="0061370D">
        <w:trPr>
          <w:trHeight w:val="416"/>
        </w:trPr>
        <w:tc>
          <w:tcPr>
            <w:tcW w:w="851" w:type="dxa"/>
          </w:tcPr>
          <w:p w14:paraId="08AC5EB2" w14:textId="77777777" w:rsidR="00696A94" w:rsidRPr="000F4D7D" w:rsidRDefault="00696A94" w:rsidP="00C735AB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3119" w:type="dxa"/>
          </w:tcPr>
          <w:p w14:paraId="57B98251" w14:textId="63A0B2C2" w:rsidR="00696A94" w:rsidRPr="00A46697" w:rsidRDefault="00C739B1" w:rsidP="00B020D5">
            <w:pPr>
              <w:spacing w:after="120"/>
            </w:pPr>
            <w:r>
              <w:t>N</w:t>
            </w:r>
            <w:r w:rsidR="00696A94" w:rsidRPr="00A46697">
              <w:t>odokļa atvieglojuma fiskālā ietekme</w:t>
            </w:r>
            <w:r>
              <w:t xml:space="preserve"> pēdējo</w:t>
            </w:r>
            <w:r w:rsidR="00696A94" w:rsidRPr="00A46697">
              <w:t xml:space="preserve"> trīs gadu periodā</w:t>
            </w:r>
            <w:r w:rsidR="00E32BA3">
              <w:rPr>
                <w:rStyle w:val="FootnoteReference"/>
              </w:rPr>
              <w:footnoteReference w:id="3"/>
            </w:r>
          </w:p>
        </w:tc>
        <w:tc>
          <w:tcPr>
            <w:tcW w:w="6095" w:type="dxa"/>
            <w:gridSpan w:val="4"/>
          </w:tcPr>
          <w:p w14:paraId="02C94B5A" w14:textId="489ED4D7" w:rsidR="00DC3825" w:rsidRPr="00E12A40" w:rsidRDefault="00DC3825" w:rsidP="00C22103"/>
        </w:tc>
      </w:tr>
      <w:tr w:rsidR="00F2056E" w:rsidRPr="000F4D7D" w14:paraId="45432975" w14:textId="77777777" w:rsidTr="0061370D">
        <w:trPr>
          <w:trHeight w:val="760"/>
        </w:trPr>
        <w:tc>
          <w:tcPr>
            <w:tcW w:w="851" w:type="dxa"/>
          </w:tcPr>
          <w:p w14:paraId="3435322A" w14:textId="77777777" w:rsidR="00F2056E" w:rsidRPr="000F4D7D" w:rsidRDefault="00F2056E" w:rsidP="00C735AB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19" w:type="dxa"/>
          </w:tcPr>
          <w:p w14:paraId="77D23731" w14:textId="75A54FEB" w:rsidR="00F2056E" w:rsidRPr="00A46697" w:rsidRDefault="00F2056E" w:rsidP="00BA77A4">
            <w:pPr>
              <w:spacing w:after="120"/>
            </w:pPr>
            <w:r>
              <w:t>Cita būtiska informācija</w:t>
            </w:r>
            <w:r w:rsidR="008A2167">
              <w:t xml:space="preserve"> </w:t>
            </w:r>
            <w:r w:rsidR="008A2167" w:rsidRPr="008A2167">
              <w:t>(t.sk., atvieglojuma ieviešanas iemesls , padziļinātu pētījumu rezultāti u.c.)</w:t>
            </w:r>
          </w:p>
        </w:tc>
        <w:tc>
          <w:tcPr>
            <w:tcW w:w="6095" w:type="dxa"/>
            <w:gridSpan w:val="4"/>
          </w:tcPr>
          <w:p w14:paraId="569C4D02" w14:textId="77777777" w:rsidR="00F2056E" w:rsidRPr="00E12A40" w:rsidRDefault="00F2056E" w:rsidP="00C22103"/>
        </w:tc>
      </w:tr>
      <w:tr w:rsidR="001B37F9" w:rsidRPr="000F4D7D" w14:paraId="3BBEB449" w14:textId="77777777" w:rsidTr="0061370D">
        <w:trPr>
          <w:trHeight w:val="415"/>
        </w:trPr>
        <w:tc>
          <w:tcPr>
            <w:tcW w:w="851" w:type="dxa"/>
            <w:vMerge w:val="restart"/>
          </w:tcPr>
          <w:p w14:paraId="1510FFF8" w14:textId="77777777" w:rsidR="00696A94" w:rsidRPr="000F4D7D" w:rsidRDefault="00696A94" w:rsidP="00C735AB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3119" w:type="dxa"/>
            <w:vMerge w:val="restart"/>
          </w:tcPr>
          <w:p w14:paraId="48387D46" w14:textId="07F01973" w:rsidR="00696A94" w:rsidRPr="00A46697" w:rsidRDefault="000B693E" w:rsidP="00495234">
            <w:pPr>
              <w:spacing w:after="120"/>
            </w:pPr>
            <w:r w:rsidRPr="00A46697">
              <w:t>Nodokļa atvieglojuma</w:t>
            </w:r>
            <w:r w:rsidR="00696A94" w:rsidRPr="00A46697">
              <w:t xml:space="preserve"> </w:t>
            </w:r>
            <w:r w:rsidR="00B51E25" w:rsidRPr="00A46697">
              <w:t>sasnie</w:t>
            </w:r>
            <w:r w:rsidR="00B51E25">
              <w:t xml:space="preserve">guma </w:t>
            </w:r>
            <w:r w:rsidR="00105331">
              <w:t>(t.sk.</w:t>
            </w:r>
            <w:r w:rsidR="00696A94" w:rsidRPr="00A46697">
              <w:t xml:space="preserve"> kvantitatīvie</w:t>
            </w:r>
            <w:r w:rsidR="00105331">
              <w:t>)</w:t>
            </w:r>
            <w:r w:rsidR="00696A94" w:rsidRPr="00A46697">
              <w:t xml:space="preserve"> rādītāji trīs gadu periodā, sākot ar nodokļa atvieglojuma</w:t>
            </w:r>
            <w:r w:rsidR="008A2167">
              <w:t xml:space="preserve"> izvērtēšanas </w:t>
            </w:r>
            <w:r w:rsidR="00696A94" w:rsidRPr="00A46697">
              <w:t>periodu</w:t>
            </w:r>
            <w:r w:rsidR="00495A3D">
              <w:rPr>
                <w:rStyle w:val="FootnoteReference"/>
              </w:rPr>
              <w:footnoteReference w:id="4"/>
            </w:r>
          </w:p>
        </w:tc>
        <w:tc>
          <w:tcPr>
            <w:tcW w:w="3118" w:type="dxa"/>
          </w:tcPr>
          <w:p w14:paraId="3A2AB867" w14:textId="210D1304" w:rsidR="00696A94" w:rsidRPr="000F4D7D" w:rsidRDefault="00105331" w:rsidP="00DC3825">
            <w:r>
              <w:t>Sasnieguma</w:t>
            </w:r>
            <w:r w:rsidRPr="000F4D7D">
              <w:t xml:space="preserve"> </w:t>
            </w:r>
            <w:r w:rsidR="00696A94" w:rsidRPr="000F4D7D">
              <w:t>rādītājs</w:t>
            </w:r>
          </w:p>
        </w:tc>
        <w:tc>
          <w:tcPr>
            <w:tcW w:w="850" w:type="dxa"/>
          </w:tcPr>
          <w:p w14:paraId="13F11652" w14:textId="77777777" w:rsidR="00696A94" w:rsidRPr="000F4D7D" w:rsidRDefault="00696A94" w:rsidP="00DC3825">
            <w:r w:rsidRPr="000F4D7D">
              <w:t>2020</w:t>
            </w:r>
          </w:p>
        </w:tc>
        <w:tc>
          <w:tcPr>
            <w:tcW w:w="851" w:type="dxa"/>
          </w:tcPr>
          <w:p w14:paraId="22F20588" w14:textId="77777777" w:rsidR="00696A94" w:rsidRPr="000F4D7D" w:rsidRDefault="00696A94" w:rsidP="00DC3825">
            <w:r w:rsidRPr="000F4D7D">
              <w:t>2021</w:t>
            </w:r>
          </w:p>
        </w:tc>
        <w:tc>
          <w:tcPr>
            <w:tcW w:w="1276" w:type="dxa"/>
          </w:tcPr>
          <w:p w14:paraId="39CAFFA8" w14:textId="77777777" w:rsidR="00696A94" w:rsidRPr="000F4D7D" w:rsidRDefault="00696A94" w:rsidP="00DC3825">
            <w:r w:rsidRPr="000F4D7D">
              <w:t>2022</w:t>
            </w:r>
          </w:p>
        </w:tc>
      </w:tr>
      <w:tr w:rsidR="001B37F9" w:rsidRPr="000F4D7D" w14:paraId="024F2238" w14:textId="77777777" w:rsidTr="0061370D">
        <w:trPr>
          <w:trHeight w:val="330"/>
        </w:trPr>
        <w:tc>
          <w:tcPr>
            <w:tcW w:w="851" w:type="dxa"/>
            <w:vMerge/>
          </w:tcPr>
          <w:p w14:paraId="1E172FB6" w14:textId="77777777" w:rsidR="00AD3A27" w:rsidRPr="000F4D7D" w:rsidRDefault="00AD3A27" w:rsidP="0061370D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19" w:type="dxa"/>
            <w:vMerge/>
          </w:tcPr>
          <w:p w14:paraId="7A8E0EC3" w14:textId="77777777" w:rsidR="00AD3A27" w:rsidRPr="00A46697" w:rsidRDefault="00AD3A27" w:rsidP="00AD3A27"/>
        </w:tc>
        <w:tc>
          <w:tcPr>
            <w:tcW w:w="3118" w:type="dxa"/>
          </w:tcPr>
          <w:p w14:paraId="36D95124" w14:textId="158FAA55" w:rsidR="00AD3A27" w:rsidRPr="000F4D7D" w:rsidRDefault="000B693E" w:rsidP="00AD3A27">
            <w:pPr>
              <w:jc w:val="both"/>
            </w:pPr>
            <w:r>
              <w:t>1.</w:t>
            </w:r>
          </w:p>
        </w:tc>
        <w:tc>
          <w:tcPr>
            <w:tcW w:w="850" w:type="dxa"/>
          </w:tcPr>
          <w:p w14:paraId="4A0AA71F" w14:textId="77777777" w:rsidR="00AD3A27" w:rsidRPr="00E12A40" w:rsidRDefault="00AD3A27" w:rsidP="00AD3A27"/>
        </w:tc>
        <w:tc>
          <w:tcPr>
            <w:tcW w:w="851" w:type="dxa"/>
          </w:tcPr>
          <w:p w14:paraId="15BA3053" w14:textId="77777777" w:rsidR="00AD3A27" w:rsidRPr="00E12A40" w:rsidRDefault="00AD3A27" w:rsidP="00AD3A27"/>
        </w:tc>
        <w:tc>
          <w:tcPr>
            <w:tcW w:w="1276" w:type="dxa"/>
          </w:tcPr>
          <w:p w14:paraId="22DC8E63" w14:textId="77777777" w:rsidR="00AD3A27" w:rsidRPr="00E12A40" w:rsidRDefault="00AD3A27" w:rsidP="00AD3A27"/>
        </w:tc>
      </w:tr>
      <w:tr w:rsidR="001B37F9" w:rsidRPr="000F4D7D" w14:paraId="12C7E51D" w14:textId="77777777" w:rsidTr="0061370D">
        <w:trPr>
          <w:trHeight w:val="780"/>
        </w:trPr>
        <w:tc>
          <w:tcPr>
            <w:tcW w:w="851" w:type="dxa"/>
            <w:vMerge/>
          </w:tcPr>
          <w:p w14:paraId="30E05EF0" w14:textId="77777777" w:rsidR="00AD3A27" w:rsidRPr="000F4D7D" w:rsidRDefault="00AD3A27" w:rsidP="0061370D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19" w:type="dxa"/>
            <w:vMerge/>
          </w:tcPr>
          <w:p w14:paraId="2AA6F78E" w14:textId="77777777" w:rsidR="00AD3A27" w:rsidRPr="00A46697" w:rsidRDefault="00AD3A27" w:rsidP="00AD3A27"/>
        </w:tc>
        <w:tc>
          <w:tcPr>
            <w:tcW w:w="3118" w:type="dxa"/>
          </w:tcPr>
          <w:p w14:paraId="6273CF50" w14:textId="125CEFA9" w:rsidR="00AD3A27" w:rsidRPr="000F4D7D" w:rsidRDefault="000B693E" w:rsidP="00AD3A27">
            <w:pPr>
              <w:jc w:val="both"/>
            </w:pPr>
            <w:r>
              <w:t>2.</w:t>
            </w:r>
          </w:p>
        </w:tc>
        <w:tc>
          <w:tcPr>
            <w:tcW w:w="850" w:type="dxa"/>
          </w:tcPr>
          <w:p w14:paraId="0FE509E8" w14:textId="77777777" w:rsidR="00AD3A27" w:rsidRPr="00E12A40" w:rsidRDefault="00AD3A27" w:rsidP="00AD3A27"/>
        </w:tc>
        <w:tc>
          <w:tcPr>
            <w:tcW w:w="851" w:type="dxa"/>
          </w:tcPr>
          <w:p w14:paraId="60B9B497" w14:textId="77777777" w:rsidR="00AD3A27" w:rsidRPr="00E12A40" w:rsidRDefault="00AD3A27" w:rsidP="00AD3A27"/>
        </w:tc>
        <w:tc>
          <w:tcPr>
            <w:tcW w:w="1276" w:type="dxa"/>
          </w:tcPr>
          <w:p w14:paraId="4F51DE3F" w14:textId="77777777" w:rsidR="001B37F9" w:rsidRPr="00E12A40" w:rsidRDefault="001B37F9" w:rsidP="00AD3A27"/>
        </w:tc>
      </w:tr>
      <w:tr w:rsidR="00AD3A27" w:rsidRPr="000F4D7D" w14:paraId="4848465B" w14:textId="77777777" w:rsidTr="0061370D">
        <w:tc>
          <w:tcPr>
            <w:tcW w:w="851" w:type="dxa"/>
          </w:tcPr>
          <w:p w14:paraId="19AD554A" w14:textId="77777777" w:rsidR="00AD3A27" w:rsidRPr="000F4D7D" w:rsidRDefault="00AD3A27" w:rsidP="00C735AB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19" w:type="dxa"/>
          </w:tcPr>
          <w:p w14:paraId="29ADC3DD" w14:textId="77777777" w:rsidR="00AD3A27" w:rsidRPr="00A46697" w:rsidRDefault="00AD3A27" w:rsidP="00BA77A4">
            <w:pPr>
              <w:spacing w:after="120"/>
            </w:pPr>
            <w:r w:rsidRPr="00A46697">
              <w:t xml:space="preserve">Nodokļa atvieglojuma paredzamais pozitīvais efekts salīdzinājumā ar paredzamo budžeta ieņēmumu samazinājumu – kvalitatīvs izvērtējums </w:t>
            </w:r>
            <w:r w:rsidR="005B61A0" w:rsidRPr="00A46697">
              <w:t>(ja nepieciešams vai nav kvantitatīvo rādītāju)</w:t>
            </w:r>
          </w:p>
        </w:tc>
        <w:tc>
          <w:tcPr>
            <w:tcW w:w="6095" w:type="dxa"/>
            <w:gridSpan w:val="4"/>
          </w:tcPr>
          <w:p w14:paraId="0A3FAFCF" w14:textId="4939DDB3" w:rsidR="00AD3A27" w:rsidRPr="000F4D7D" w:rsidRDefault="00AD3A27" w:rsidP="00453228">
            <w:pPr>
              <w:jc w:val="both"/>
            </w:pPr>
          </w:p>
        </w:tc>
      </w:tr>
      <w:tr w:rsidR="00AD3A27" w:rsidRPr="000F4D7D" w14:paraId="7B936165" w14:textId="77777777" w:rsidTr="0061370D">
        <w:tc>
          <w:tcPr>
            <w:tcW w:w="851" w:type="dxa"/>
          </w:tcPr>
          <w:p w14:paraId="17BFE6B4" w14:textId="77777777" w:rsidR="00AD3A27" w:rsidRPr="000F4D7D" w:rsidRDefault="00AD3A27" w:rsidP="00C735AB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19" w:type="dxa"/>
          </w:tcPr>
          <w:p w14:paraId="38025278" w14:textId="77777777" w:rsidR="00AD3A27" w:rsidRPr="00A46697" w:rsidRDefault="00AD3A27" w:rsidP="00BA77A4">
            <w:pPr>
              <w:spacing w:after="120"/>
            </w:pPr>
            <w:r w:rsidRPr="00A46697">
              <w:t xml:space="preserve">Nodokļa atvieglojuma iespējamie </w:t>
            </w:r>
            <w:r w:rsidR="00E34830" w:rsidRPr="00A46697">
              <w:t xml:space="preserve">blakusefekti, riski </w:t>
            </w:r>
            <w:r w:rsidRPr="00A46697">
              <w:t xml:space="preserve">(t.sk. paredzama nodokļu plānošana, lai samazinātu maksājamo nodokļu kopējo apmēru, izkropļota resursu pārdale ekonomikā u.c.), </w:t>
            </w:r>
            <w:r w:rsidR="00E34830" w:rsidRPr="00A46697">
              <w:t xml:space="preserve">problēmas </w:t>
            </w:r>
            <w:r w:rsidRPr="00A46697">
              <w:t>u.tml.</w:t>
            </w:r>
          </w:p>
        </w:tc>
        <w:tc>
          <w:tcPr>
            <w:tcW w:w="6095" w:type="dxa"/>
            <w:gridSpan w:val="4"/>
          </w:tcPr>
          <w:p w14:paraId="63BD9894" w14:textId="3BAF8C81" w:rsidR="00F43913" w:rsidRPr="000F4D7D" w:rsidRDefault="00F43913" w:rsidP="00B22141">
            <w:pPr>
              <w:jc w:val="both"/>
            </w:pPr>
          </w:p>
        </w:tc>
      </w:tr>
      <w:tr w:rsidR="00AD3A27" w:rsidRPr="000F4D7D" w14:paraId="26A46E8D" w14:textId="77777777" w:rsidTr="0061370D">
        <w:tc>
          <w:tcPr>
            <w:tcW w:w="851" w:type="dxa"/>
          </w:tcPr>
          <w:p w14:paraId="600C54A7" w14:textId="77777777" w:rsidR="00AD3A27" w:rsidRPr="000F4D7D" w:rsidRDefault="00AD3A27" w:rsidP="00C735AB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19" w:type="dxa"/>
          </w:tcPr>
          <w:p w14:paraId="54187956" w14:textId="77777777" w:rsidR="00AD3A27" w:rsidRPr="00A46697" w:rsidRDefault="00AD3A27" w:rsidP="00BA77A4">
            <w:pPr>
              <w:spacing w:after="120"/>
            </w:pPr>
            <w:r w:rsidRPr="00A46697">
              <w:t>Atbilstība ES valsts atbalsta nosacījumiem</w:t>
            </w:r>
          </w:p>
        </w:tc>
        <w:tc>
          <w:tcPr>
            <w:tcW w:w="6095" w:type="dxa"/>
            <w:gridSpan w:val="4"/>
          </w:tcPr>
          <w:p w14:paraId="49F3BCF2" w14:textId="58ADFD10" w:rsidR="00AD3A27" w:rsidRPr="000F4D7D" w:rsidRDefault="00AD3A27" w:rsidP="00AD3A27"/>
        </w:tc>
      </w:tr>
      <w:tr w:rsidR="00AD3A27" w:rsidRPr="000F4D7D" w14:paraId="2BF123E2" w14:textId="77777777" w:rsidTr="0061370D">
        <w:tc>
          <w:tcPr>
            <w:tcW w:w="851" w:type="dxa"/>
          </w:tcPr>
          <w:p w14:paraId="0D31DA83" w14:textId="77777777" w:rsidR="00AD3A27" w:rsidRPr="000F4D7D" w:rsidRDefault="00AD3A27" w:rsidP="00C735AB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19" w:type="dxa"/>
          </w:tcPr>
          <w:p w14:paraId="4C988B69" w14:textId="77777777" w:rsidR="00AD3A27" w:rsidRPr="00A46697" w:rsidRDefault="00D81396" w:rsidP="00BA77A4">
            <w:pPr>
              <w:spacing w:after="120"/>
            </w:pPr>
            <w:r w:rsidRPr="00A46697">
              <w:t>Papildus pieejamais valsts atbalsts</w:t>
            </w:r>
          </w:p>
        </w:tc>
        <w:tc>
          <w:tcPr>
            <w:tcW w:w="6095" w:type="dxa"/>
            <w:gridSpan w:val="4"/>
          </w:tcPr>
          <w:p w14:paraId="1329215A" w14:textId="740B0C36" w:rsidR="00E34830" w:rsidRPr="000F4D7D" w:rsidRDefault="00E34830" w:rsidP="00B22141">
            <w:pPr>
              <w:jc w:val="both"/>
            </w:pPr>
          </w:p>
        </w:tc>
      </w:tr>
      <w:tr w:rsidR="000B192C" w:rsidRPr="000F4D7D" w14:paraId="4AD615BA" w14:textId="77777777" w:rsidTr="0061370D">
        <w:tc>
          <w:tcPr>
            <w:tcW w:w="851" w:type="dxa"/>
          </w:tcPr>
          <w:p w14:paraId="0797E7C4" w14:textId="77777777" w:rsidR="000B192C" w:rsidRPr="000F4D7D" w:rsidRDefault="000B192C" w:rsidP="006727E0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19" w:type="dxa"/>
          </w:tcPr>
          <w:p w14:paraId="69A2FE33" w14:textId="30C5B305" w:rsidR="000B192C" w:rsidRPr="00A46697" w:rsidRDefault="000B192C" w:rsidP="00BA77A4">
            <w:pPr>
              <w:spacing w:after="120"/>
            </w:pPr>
            <w:r>
              <w:t>Vai nodokļa atvieglojumu ir nepieciešamas saglabāt</w:t>
            </w:r>
            <w:r w:rsidR="001A4F80">
              <w:t xml:space="preserve"> (norādot atkārtota izvērtējuma termiņu)</w:t>
            </w:r>
            <w:r>
              <w:t>, pārskatīt vai atcelt</w:t>
            </w:r>
          </w:p>
        </w:tc>
        <w:tc>
          <w:tcPr>
            <w:tcW w:w="6095" w:type="dxa"/>
            <w:gridSpan w:val="4"/>
          </w:tcPr>
          <w:p w14:paraId="2CFEECFB" w14:textId="77777777" w:rsidR="000B192C" w:rsidRPr="000F4D7D" w:rsidRDefault="000B192C" w:rsidP="00B22141">
            <w:pPr>
              <w:jc w:val="both"/>
            </w:pPr>
          </w:p>
        </w:tc>
      </w:tr>
    </w:tbl>
    <w:p w14:paraId="5D8746C1" w14:textId="29B238C0" w:rsidR="00A46697" w:rsidRDefault="00A46697" w:rsidP="00DC3825">
      <w:pPr>
        <w:spacing w:after="0" w:line="240" w:lineRule="auto"/>
      </w:pPr>
    </w:p>
    <w:p w14:paraId="3537E109" w14:textId="3BC0F474" w:rsidR="00A46697" w:rsidRDefault="00A46697" w:rsidP="00DC3825">
      <w:pPr>
        <w:spacing w:after="0" w:line="240" w:lineRule="auto"/>
      </w:pPr>
    </w:p>
    <w:p w14:paraId="746EEC57" w14:textId="77777777" w:rsidR="00A46697" w:rsidRDefault="00A46697" w:rsidP="00DC3825">
      <w:pPr>
        <w:spacing w:after="0" w:line="240" w:lineRule="auto"/>
      </w:pPr>
    </w:p>
    <w:p w14:paraId="54E31E64" w14:textId="77777777" w:rsidR="00407B03" w:rsidRPr="00407B03" w:rsidRDefault="00407B03" w:rsidP="00407B03">
      <w:pPr>
        <w:tabs>
          <w:tab w:val="left" w:pos="6946"/>
        </w:tabs>
        <w:spacing w:after="0" w:line="240" w:lineRule="auto"/>
        <w:rPr>
          <w:rFonts w:cstheme="minorBidi"/>
          <w:color w:val="000000"/>
          <w:sz w:val="26"/>
          <w:szCs w:val="26"/>
        </w:rPr>
      </w:pPr>
      <w:r w:rsidRPr="00407B03">
        <w:rPr>
          <w:rFonts w:cstheme="minorBidi"/>
          <w:color w:val="000000"/>
          <w:sz w:val="26"/>
          <w:szCs w:val="26"/>
        </w:rPr>
        <w:t>Finanšu ministrs</w:t>
      </w:r>
      <w:r w:rsidRPr="00407B03">
        <w:rPr>
          <w:rFonts w:cstheme="minorBidi"/>
          <w:color w:val="000000"/>
          <w:sz w:val="26"/>
          <w:szCs w:val="26"/>
        </w:rPr>
        <w:tab/>
        <w:t>Jānis Reirs</w:t>
      </w:r>
    </w:p>
    <w:p w14:paraId="2811B3A1" w14:textId="77777777" w:rsidR="00407B03" w:rsidRPr="00407B03" w:rsidRDefault="00407B03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4A24DE09" w14:textId="77777777" w:rsidR="00407B03" w:rsidRPr="00407B03" w:rsidRDefault="00407B03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0366E21B" w14:textId="77777777" w:rsidR="00407B03" w:rsidRDefault="00407B03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1CFCC954" w14:textId="77777777" w:rsidR="00A621B1" w:rsidRDefault="00A621B1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24BBA628" w14:textId="4DE21284" w:rsidR="00A46697" w:rsidRDefault="00A46697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74ED1E74" w14:textId="47B63370" w:rsidR="00A46697" w:rsidRDefault="00A46697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33E02DB9" w14:textId="3A46EA79" w:rsidR="00A46697" w:rsidRDefault="00A46697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4D9DFCBF" w14:textId="40F60E98" w:rsidR="00A46697" w:rsidRDefault="00A46697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3A9AA394" w14:textId="77777777" w:rsidR="00A46697" w:rsidRDefault="00A46697" w:rsidP="00407B03">
      <w:pPr>
        <w:spacing w:after="0" w:line="240" w:lineRule="auto"/>
        <w:rPr>
          <w:rFonts w:cstheme="minorBidi"/>
          <w:sz w:val="20"/>
          <w:szCs w:val="20"/>
        </w:rPr>
      </w:pPr>
    </w:p>
    <w:p w14:paraId="5FAFCA62" w14:textId="77777777" w:rsidR="0048767B" w:rsidRPr="0048767B" w:rsidRDefault="0048767B" w:rsidP="0048767B">
      <w:pPr>
        <w:spacing w:before="120" w:after="0" w:line="240" w:lineRule="auto"/>
        <w:rPr>
          <w:rFonts w:cstheme="minorBidi"/>
          <w:sz w:val="20"/>
          <w:szCs w:val="22"/>
        </w:rPr>
      </w:pPr>
      <w:r w:rsidRPr="0048767B">
        <w:rPr>
          <w:rFonts w:cstheme="minorBidi"/>
          <w:sz w:val="20"/>
          <w:szCs w:val="22"/>
        </w:rPr>
        <w:t>V.Jureviča 67095560</w:t>
      </w:r>
    </w:p>
    <w:p w14:paraId="75F3F09C" w14:textId="77777777" w:rsidR="0048767B" w:rsidRPr="0048767B" w:rsidRDefault="004615CA" w:rsidP="0048767B">
      <w:pPr>
        <w:spacing w:after="0" w:line="240" w:lineRule="auto"/>
        <w:contextualSpacing/>
        <w:rPr>
          <w:rFonts w:cstheme="minorBidi"/>
          <w:color w:val="0000FF"/>
          <w:sz w:val="20"/>
          <w:szCs w:val="22"/>
          <w:u w:val="single"/>
        </w:rPr>
      </w:pPr>
      <w:hyperlink r:id="rId8" w:history="1">
        <w:r w:rsidR="0048767B" w:rsidRPr="0048767B">
          <w:rPr>
            <w:rFonts w:cstheme="minorBidi"/>
            <w:color w:val="0000FF"/>
            <w:sz w:val="20"/>
            <w:szCs w:val="22"/>
            <w:u w:val="single"/>
          </w:rPr>
          <w:t>Viktorija.Jurevica@fm.gov.lv</w:t>
        </w:r>
      </w:hyperlink>
    </w:p>
    <w:p w14:paraId="1C7AD066" w14:textId="47ECBA31" w:rsidR="00407B03" w:rsidRPr="00407B03" w:rsidRDefault="00407B03" w:rsidP="0048767B">
      <w:pPr>
        <w:spacing w:after="0" w:line="240" w:lineRule="auto"/>
        <w:contextualSpacing/>
        <w:rPr>
          <w:rFonts w:cstheme="minorBidi"/>
          <w:color w:val="0000FF"/>
          <w:sz w:val="20"/>
          <w:szCs w:val="22"/>
          <w:u w:val="single"/>
        </w:rPr>
      </w:pPr>
    </w:p>
    <w:sectPr w:rsidR="00407B03" w:rsidRPr="00407B03" w:rsidSect="00C735AB">
      <w:footerReference w:type="default" r:id="rId9"/>
      <w:pgSz w:w="11906" w:h="16838"/>
      <w:pgMar w:top="1134" w:right="70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580ED" w14:textId="77777777" w:rsidR="00626181" w:rsidRDefault="00626181" w:rsidP="00696A94">
      <w:pPr>
        <w:spacing w:after="0" w:line="240" w:lineRule="auto"/>
      </w:pPr>
      <w:r>
        <w:separator/>
      </w:r>
    </w:p>
  </w:endnote>
  <w:endnote w:type="continuationSeparator" w:id="0">
    <w:p w14:paraId="126B6E3E" w14:textId="77777777" w:rsidR="00626181" w:rsidRDefault="00626181" w:rsidP="0069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312EA" w14:textId="3985BFD9" w:rsidR="00316557" w:rsidRPr="00A46697" w:rsidRDefault="00A46697" w:rsidP="00A46697">
    <w:pPr>
      <w:tabs>
        <w:tab w:val="center" w:pos="4153"/>
        <w:tab w:val="right" w:pos="8306"/>
      </w:tabs>
      <w:spacing w:after="0" w:line="240" w:lineRule="auto"/>
      <w:ind w:left="-284"/>
      <w:jc w:val="both"/>
      <w:rPr>
        <w:rFonts w:cstheme="minorBidi"/>
        <w:sz w:val="20"/>
        <w:szCs w:val="20"/>
      </w:rPr>
    </w:pPr>
    <w:r w:rsidRPr="00A46697">
      <w:rPr>
        <w:rFonts w:cstheme="minorBidi"/>
        <w:sz w:val="20"/>
        <w:szCs w:val="20"/>
      </w:rPr>
      <w:t>FMZinP</w:t>
    </w:r>
    <w:r w:rsidR="002711C5">
      <w:rPr>
        <w:rFonts w:cstheme="minorBidi"/>
        <w:sz w:val="20"/>
        <w:szCs w:val="20"/>
      </w:rPr>
      <w:t>1</w:t>
    </w:r>
    <w:r w:rsidRPr="00A46697">
      <w:rPr>
        <w:rFonts w:cstheme="minorBidi"/>
        <w:sz w:val="20"/>
        <w:szCs w:val="20"/>
      </w:rPr>
      <w:t>_</w:t>
    </w:r>
    <w:r w:rsidR="005D6562">
      <w:rPr>
        <w:rFonts w:cstheme="minorBidi"/>
        <w:sz w:val="20"/>
        <w:szCs w:val="20"/>
      </w:rPr>
      <w:t>30</w:t>
    </w:r>
    <w:r w:rsidR="0048767B">
      <w:rPr>
        <w:rFonts w:cstheme="minorBidi"/>
        <w:sz w:val="20"/>
        <w:szCs w:val="20"/>
      </w:rPr>
      <w:t>12</w:t>
    </w:r>
    <w:r w:rsidR="00895E90" w:rsidRPr="00A46697">
      <w:rPr>
        <w:rFonts w:cstheme="minorBidi"/>
        <w:sz w:val="20"/>
        <w:szCs w:val="20"/>
      </w:rPr>
      <w:t>20</w:t>
    </w:r>
    <w:r w:rsidRPr="00A46697">
      <w:rPr>
        <w:rFonts w:cstheme="minorBidi"/>
        <w:sz w:val="20"/>
        <w:szCs w:val="20"/>
      </w:rPr>
      <w:t>_NAizv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E63E" w14:textId="77777777" w:rsidR="00626181" w:rsidRDefault="00626181" w:rsidP="00696A94">
      <w:pPr>
        <w:spacing w:after="0" w:line="240" w:lineRule="auto"/>
      </w:pPr>
      <w:r>
        <w:separator/>
      </w:r>
    </w:p>
  </w:footnote>
  <w:footnote w:type="continuationSeparator" w:id="0">
    <w:p w14:paraId="24FC8035" w14:textId="77777777" w:rsidR="00626181" w:rsidRDefault="00626181" w:rsidP="00696A94">
      <w:pPr>
        <w:spacing w:after="0" w:line="240" w:lineRule="auto"/>
      </w:pPr>
      <w:r>
        <w:continuationSeparator/>
      </w:r>
    </w:p>
  </w:footnote>
  <w:footnote w:id="1">
    <w:p w14:paraId="5F6BA532" w14:textId="27E24002" w:rsidR="000A5D35" w:rsidRDefault="000A5D35">
      <w:pPr>
        <w:pStyle w:val="FootnoteText"/>
      </w:pPr>
      <w:r>
        <w:rPr>
          <w:rStyle w:val="FootnoteReference"/>
        </w:rPr>
        <w:footnoteRef/>
      </w:r>
      <w:r>
        <w:t xml:space="preserve"> Ja l</w:t>
      </w:r>
      <w:r w:rsidRPr="000A5D35">
        <w:t>īdz</w:t>
      </w:r>
      <w:r>
        <w:t xml:space="preserve"> šim</w:t>
      </w:r>
      <w:r w:rsidRPr="000A5D35">
        <w:t xml:space="preserve"> spēkā esoš</w:t>
      </w:r>
      <w:r>
        <w:t>ajiem</w:t>
      </w:r>
      <w:r w:rsidRPr="000A5D35">
        <w:t xml:space="preserve"> nodokļu atvieglojumi</w:t>
      </w:r>
      <w:r>
        <w:t>em</w:t>
      </w:r>
      <w:r w:rsidRPr="000A5D35">
        <w:t xml:space="preserve"> n</w:t>
      </w:r>
      <w:r>
        <w:t>av bijuši</w:t>
      </w:r>
      <w:r w:rsidRPr="000A5D35">
        <w:t xml:space="preserve"> </w:t>
      </w:r>
      <w:r w:rsidR="00B51E25">
        <w:t>noteikti sasnieguma</w:t>
      </w:r>
      <w:r>
        <w:t xml:space="preserve"> rādītāji, sākotnējais vērtējums var balstīties ekspertu viedokļos un vērtējums var būt provizorisks</w:t>
      </w:r>
      <w:r w:rsidRPr="000A5D35">
        <w:t>.</w:t>
      </w:r>
    </w:p>
  </w:footnote>
  <w:footnote w:id="2">
    <w:p w14:paraId="07118D63" w14:textId="3E0DD0D1" w:rsidR="00947540" w:rsidRDefault="009475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71059">
        <w:t xml:space="preserve">un </w:t>
      </w:r>
      <w:r w:rsidR="000A5D35">
        <w:rPr>
          <w:vertAlign w:val="superscript"/>
        </w:rPr>
        <w:t>3</w:t>
      </w:r>
      <w:r w:rsidR="00771059">
        <w:t xml:space="preserve"> </w:t>
      </w:r>
      <w:r w:rsidR="00111156">
        <w:t xml:space="preserve">Datus apkopoto sākot </w:t>
      </w:r>
      <w:r w:rsidR="00C150A0">
        <w:t xml:space="preserve">ar </w:t>
      </w:r>
      <w:r w:rsidR="00402248">
        <w:t>p</w:t>
      </w:r>
      <w:r>
        <w:t>ēdēj</w:t>
      </w:r>
      <w:r w:rsidR="00111156">
        <w:t>o</w:t>
      </w:r>
      <w:r>
        <w:t xml:space="preserve"> kalendār</w:t>
      </w:r>
      <w:r w:rsidR="00111156">
        <w:t>o</w:t>
      </w:r>
      <w:r>
        <w:t xml:space="preserve"> gad</w:t>
      </w:r>
      <w:r w:rsidR="00111156">
        <w:t>u</w:t>
      </w:r>
      <w:r>
        <w:t xml:space="preserve"> </w:t>
      </w:r>
      <w:r w:rsidR="00C150A0">
        <w:t xml:space="preserve">pirms izvērtēšanas </w:t>
      </w:r>
      <w:r>
        <w:t>par kur</w:t>
      </w:r>
      <w:r w:rsidR="00111156">
        <w:t>u</w:t>
      </w:r>
      <w:r>
        <w:t xml:space="preserve"> ir pieejami </w:t>
      </w:r>
      <w:r w:rsidR="00E32BA3">
        <w:t>pilnīgi</w:t>
      </w:r>
      <w:r w:rsidR="00402248">
        <w:t xml:space="preserve"> </w:t>
      </w:r>
      <w:r>
        <w:t xml:space="preserve">dati, </w:t>
      </w:r>
      <w:r w:rsidR="00111156">
        <w:t xml:space="preserve">piemēram, par </w:t>
      </w:r>
      <w:r>
        <w:t>2017., 2018</w:t>
      </w:r>
      <w:r w:rsidR="00111156">
        <w:t>. un 2019.gadu</w:t>
      </w:r>
      <w:r>
        <w:t>.</w:t>
      </w:r>
      <w:r w:rsidR="00111156">
        <w:t xml:space="preserve"> Pēc </w:t>
      </w:r>
      <w:r w:rsidR="00C150A0">
        <w:t xml:space="preserve">atvieglojuma specifikas un </w:t>
      </w:r>
      <w:r w:rsidR="00111156">
        <w:t>nepieciešamības var pār</w:t>
      </w:r>
      <w:r w:rsidR="00771059">
        <w:t>skatīt</w:t>
      </w:r>
      <w:r w:rsidR="00C150A0">
        <w:t xml:space="preserve"> arī</w:t>
      </w:r>
      <w:r w:rsidR="00111156">
        <w:t xml:space="preserve"> lielāku laika periodu.</w:t>
      </w:r>
      <w:r w:rsidR="00CA209E" w:rsidRPr="00CA209E">
        <w:t xml:space="preserve"> </w:t>
      </w:r>
      <w:r w:rsidR="00CA209E">
        <w:t>Norāda datu avotu, kas ņemts par pamatu datu apkopojumam un aprēķiniem.</w:t>
      </w:r>
    </w:p>
  </w:footnote>
  <w:footnote w:id="3">
    <w:p w14:paraId="3389C5F7" w14:textId="7BA0E8DC" w:rsidR="00E32BA3" w:rsidRDefault="00E32BA3">
      <w:pPr>
        <w:pStyle w:val="FootnoteText"/>
      </w:pPr>
    </w:p>
  </w:footnote>
  <w:footnote w:id="4">
    <w:p w14:paraId="047507BB" w14:textId="5EA5141A" w:rsidR="00495A3D" w:rsidRDefault="00495A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95234">
        <w:t>Sasnieguma rādītāji var būt dažāda veida, piemēram, aprēķini par</w:t>
      </w:r>
      <w:r w:rsidR="001A4F80">
        <w:t xml:space="preserve"> kalendāro gadu pret bāzes gadu</w:t>
      </w:r>
      <w:r w:rsidR="00E24EAA">
        <w:t xml:space="preserve"> (</w:t>
      </w:r>
      <w:r w:rsidR="001A4F80">
        <w:t>pēdēj</w:t>
      </w:r>
      <w:r w:rsidR="00E24EAA">
        <w:t>o</w:t>
      </w:r>
      <w:r w:rsidR="001A4F80">
        <w:t xml:space="preserve"> kalendār</w:t>
      </w:r>
      <w:r w:rsidR="00E24EAA">
        <w:t>o</w:t>
      </w:r>
      <w:r w:rsidR="001A4F80">
        <w:t xml:space="preserve"> gad</w:t>
      </w:r>
      <w:r w:rsidR="00E24EAA">
        <w:t>u</w:t>
      </w:r>
      <w:r w:rsidR="001A4F80">
        <w:t xml:space="preserve"> pirms izvērtēšanas par kuru ir pieejami pilnīgi </w:t>
      </w:r>
      <w:r w:rsidR="006354BA">
        <w:t xml:space="preserve">nodokļa atvieglojuma </w:t>
      </w:r>
      <w:r w:rsidR="00495234">
        <w:t>dati</w:t>
      </w:r>
      <w:r w:rsidR="00E24EAA">
        <w:t>)</w:t>
      </w:r>
      <w:r w:rsidR="00495234">
        <w:t>; īpatsvara vai skaita izmaiņas attiecīgajos gados</w:t>
      </w:r>
      <w:r w:rsidR="00E24EAA">
        <w:t xml:space="preserve"> u.c</w:t>
      </w:r>
      <w:r w:rsidR="001A4F8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28A0"/>
    <w:multiLevelType w:val="hybridMultilevel"/>
    <w:tmpl w:val="9A94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11D"/>
    <w:multiLevelType w:val="hybridMultilevel"/>
    <w:tmpl w:val="8306E81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34093"/>
    <w:multiLevelType w:val="hybridMultilevel"/>
    <w:tmpl w:val="1EC023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5146"/>
    <w:multiLevelType w:val="hybridMultilevel"/>
    <w:tmpl w:val="45F08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465EB"/>
    <w:multiLevelType w:val="hybridMultilevel"/>
    <w:tmpl w:val="75829D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1703A"/>
    <w:multiLevelType w:val="hybridMultilevel"/>
    <w:tmpl w:val="6AD02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436A5"/>
    <w:multiLevelType w:val="hybridMultilevel"/>
    <w:tmpl w:val="3D205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74724"/>
    <w:multiLevelType w:val="hybridMultilevel"/>
    <w:tmpl w:val="C07AB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5963"/>
    <w:multiLevelType w:val="hybridMultilevel"/>
    <w:tmpl w:val="45F08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61D34"/>
    <w:multiLevelType w:val="hybridMultilevel"/>
    <w:tmpl w:val="0EE0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A3B"/>
    <w:multiLevelType w:val="hybridMultilevel"/>
    <w:tmpl w:val="1AC45A4A"/>
    <w:lvl w:ilvl="0" w:tplc="F9D061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013C"/>
    <w:multiLevelType w:val="hybridMultilevel"/>
    <w:tmpl w:val="1D14E7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E4004"/>
    <w:multiLevelType w:val="hybridMultilevel"/>
    <w:tmpl w:val="18C6A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E25"/>
    <w:multiLevelType w:val="hybridMultilevel"/>
    <w:tmpl w:val="1AC45A4A"/>
    <w:lvl w:ilvl="0" w:tplc="F9D061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23B9B"/>
    <w:multiLevelType w:val="hybridMultilevel"/>
    <w:tmpl w:val="F8E2A46E"/>
    <w:lvl w:ilvl="0" w:tplc="E2149D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9"/>
    <w:rsid w:val="000173F4"/>
    <w:rsid w:val="00037A0E"/>
    <w:rsid w:val="00050744"/>
    <w:rsid w:val="00074535"/>
    <w:rsid w:val="000A5D35"/>
    <w:rsid w:val="000B192C"/>
    <w:rsid w:val="000B693E"/>
    <w:rsid w:val="000C44E9"/>
    <w:rsid w:val="000E6AED"/>
    <w:rsid w:val="000F4D7D"/>
    <w:rsid w:val="0010472D"/>
    <w:rsid w:val="00105331"/>
    <w:rsid w:val="00111156"/>
    <w:rsid w:val="001501B8"/>
    <w:rsid w:val="00154E4E"/>
    <w:rsid w:val="00181ED1"/>
    <w:rsid w:val="001872EB"/>
    <w:rsid w:val="001A4F80"/>
    <w:rsid w:val="001B37F9"/>
    <w:rsid w:val="001C29CD"/>
    <w:rsid w:val="002028FD"/>
    <w:rsid w:val="0022288C"/>
    <w:rsid w:val="00267694"/>
    <w:rsid w:val="002711C5"/>
    <w:rsid w:val="00281B25"/>
    <w:rsid w:val="002970B6"/>
    <w:rsid w:val="002D5B02"/>
    <w:rsid w:val="00315AFA"/>
    <w:rsid w:val="00316557"/>
    <w:rsid w:val="00343B53"/>
    <w:rsid w:val="003B322F"/>
    <w:rsid w:val="003B5D6B"/>
    <w:rsid w:val="003C2352"/>
    <w:rsid w:val="003C3661"/>
    <w:rsid w:val="003E0985"/>
    <w:rsid w:val="00402248"/>
    <w:rsid w:val="00407B03"/>
    <w:rsid w:val="00437F4A"/>
    <w:rsid w:val="00453228"/>
    <w:rsid w:val="00456773"/>
    <w:rsid w:val="004615CA"/>
    <w:rsid w:val="00470F1D"/>
    <w:rsid w:val="004756E9"/>
    <w:rsid w:val="00480BB2"/>
    <w:rsid w:val="0048767B"/>
    <w:rsid w:val="00495234"/>
    <w:rsid w:val="00495A3D"/>
    <w:rsid w:val="004A6AE4"/>
    <w:rsid w:val="004B04C6"/>
    <w:rsid w:val="004C03C4"/>
    <w:rsid w:val="004D7914"/>
    <w:rsid w:val="004E06E3"/>
    <w:rsid w:val="004F2B19"/>
    <w:rsid w:val="005157D9"/>
    <w:rsid w:val="005429C5"/>
    <w:rsid w:val="00562E8E"/>
    <w:rsid w:val="00564C17"/>
    <w:rsid w:val="00570F13"/>
    <w:rsid w:val="00580F83"/>
    <w:rsid w:val="0058335C"/>
    <w:rsid w:val="005B61A0"/>
    <w:rsid w:val="005D6562"/>
    <w:rsid w:val="005E75EA"/>
    <w:rsid w:val="005E7FEA"/>
    <w:rsid w:val="0061370D"/>
    <w:rsid w:val="00626181"/>
    <w:rsid w:val="006354BA"/>
    <w:rsid w:val="006727E0"/>
    <w:rsid w:val="006929FD"/>
    <w:rsid w:val="00696A94"/>
    <w:rsid w:val="006E5A99"/>
    <w:rsid w:val="007011A8"/>
    <w:rsid w:val="0071033D"/>
    <w:rsid w:val="00712D59"/>
    <w:rsid w:val="00725B1C"/>
    <w:rsid w:val="007576E4"/>
    <w:rsid w:val="00771059"/>
    <w:rsid w:val="007B32EC"/>
    <w:rsid w:val="007C278D"/>
    <w:rsid w:val="008363EB"/>
    <w:rsid w:val="008442A5"/>
    <w:rsid w:val="00895E90"/>
    <w:rsid w:val="008A20F0"/>
    <w:rsid w:val="008A2167"/>
    <w:rsid w:val="008B376B"/>
    <w:rsid w:val="008D2229"/>
    <w:rsid w:val="008F29CA"/>
    <w:rsid w:val="008F7B84"/>
    <w:rsid w:val="00932246"/>
    <w:rsid w:val="00947540"/>
    <w:rsid w:val="009B7B74"/>
    <w:rsid w:val="009D145A"/>
    <w:rsid w:val="009E426C"/>
    <w:rsid w:val="009F19D2"/>
    <w:rsid w:val="00A03FBD"/>
    <w:rsid w:val="00A12460"/>
    <w:rsid w:val="00A2074C"/>
    <w:rsid w:val="00A2368C"/>
    <w:rsid w:val="00A23BA0"/>
    <w:rsid w:val="00A336E9"/>
    <w:rsid w:val="00A35EF0"/>
    <w:rsid w:val="00A432AE"/>
    <w:rsid w:val="00A46697"/>
    <w:rsid w:val="00A5085A"/>
    <w:rsid w:val="00A621B1"/>
    <w:rsid w:val="00A62B44"/>
    <w:rsid w:val="00A63E56"/>
    <w:rsid w:val="00AB4B62"/>
    <w:rsid w:val="00AD3A27"/>
    <w:rsid w:val="00AE5790"/>
    <w:rsid w:val="00B020D5"/>
    <w:rsid w:val="00B06818"/>
    <w:rsid w:val="00B07739"/>
    <w:rsid w:val="00B11BB0"/>
    <w:rsid w:val="00B22141"/>
    <w:rsid w:val="00B409DE"/>
    <w:rsid w:val="00B43D88"/>
    <w:rsid w:val="00B447D4"/>
    <w:rsid w:val="00B51E25"/>
    <w:rsid w:val="00B57EFF"/>
    <w:rsid w:val="00B65E26"/>
    <w:rsid w:val="00B96FAC"/>
    <w:rsid w:val="00BA6418"/>
    <w:rsid w:val="00BA77A4"/>
    <w:rsid w:val="00BC5DC1"/>
    <w:rsid w:val="00BF7DB5"/>
    <w:rsid w:val="00C03671"/>
    <w:rsid w:val="00C150A0"/>
    <w:rsid w:val="00C22103"/>
    <w:rsid w:val="00C307F1"/>
    <w:rsid w:val="00C735AB"/>
    <w:rsid w:val="00C739B1"/>
    <w:rsid w:val="00C90D2A"/>
    <w:rsid w:val="00CA209E"/>
    <w:rsid w:val="00CB584C"/>
    <w:rsid w:val="00D6341A"/>
    <w:rsid w:val="00D81396"/>
    <w:rsid w:val="00D8646A"/>
    <w:rsid w:val="00DC3825"/>
    <w:rsid w:val="00DC6559"/>
    <w:rsid w:val="00DD2921"/>
    <w:rsid w:val="00DF0BC7"/>
    <w:rsid w:val="00E12A40"/>
    <w:rsid w:val="00E24EAA"/>
    <w:rsid w:val="00E2517D"/>
    <w:rsid w:val="00E32BA3"/>
    <w:rsid w:val="00E34830"/>
    <w:rsid w:val="00E51E55"/>
    <w:rsid w:val="00E52B3D"/>
    <w:rsid w:val="00E77303"/>
    <w:rsid w:val="00EA6E8D"/>
    <w:rsid w:val="00EB2933"/>
    <w:rsid w:val="00F12540"/>
    <w:rsid w:val="00F13988"/>
    <w:rsid w:val="00F2056E"/>
    <w:rsid w:val="00F2514F"/>
    <w:rsid w:val="00F43913"/>
    <w:rsid w:val="00F676B7"/>
    <w:rsid w:val="00F872FA"/>
    <w:rsid w:val="00F9397C"/>
    <w:rsid w:val="00FA189F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AA9A"/>
  <w15:chartTrackingRefBased/>
  <w15:docId w15:val="{27BBA934-A070-4C68-91CD-DFCB7F86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6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6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57"/>
  </w:style>
  <w:style w:type="paragraph" w:styleId="Footer">
    <w:name w:val="footer"/>
    <w:basedOn w:val="Normal"/>
    <w:link w:val="FooterChar"/>
    <w:uiPriority w:val="99"/>
    <w:unhideWhenUsed/>
    <w:rsid w:val="00316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57"/>
  </w:style>
  <w:style w:type="character" w:styleId="Hyperlink">
    <w:name w:val="Hyperlink"/>
    <w:basedOn w:val="DefaultParagraphFont"/>
    <w:uiPriority w:val="99"/>
    <w:unhideWhenUsed/>
    <w:rsid w:val="00E12A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0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ja.Jurevica@f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3FB9-CEC7-4CF7-9A38-2863746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657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Nr.1 precizētajam Informatīvajam ziņojumam “Par spēkā esošonodokļu atvieglojumu izvērtēšanu"</vt:lpstr>
    </vt:vector>
  </TitlesOfParts>
  <Manager>J.Reirs</Manager>
  <Company>Finanšu Ministrija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Nr.1 precizētajam Informatīvajam ziņojumam “Par spēkā esošonodokļu atvieglojumu izvērtēšanu"</dc:title>
  <dc:subject>Par informtīvā ziņojuma pielikumu</dc:subject>
  <dc:creator>D.Dzelme_Urbāne</dc:creator>
  <cp:keywords/>
  <dc:description>Jureviča 67 095 560 
Viktorija.Jurevica@fm.gov.lv</dc:description>
  <cp:lastModifiedBy>Viktorija Jureviča</cp:lastModifiedBy>
  <cp:revision>2</cp:revision>
  <cp:lastPrinted>2020-06-29T07:57:00Z</cp:lastPrinted>
  <dcterms:created xsi:type="dcterms:W3CDTF">2021-01-11T08:24:00Z</dcterms:created>
  <dcterms:modified xsi:type="dcterms:W3CDTF">2021-01-11T08:24:00Z</dcterms:modified>
  <cp:category>Informatīvais ziņojums</cp:category>
</cp:coreProperties>
</file>