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A478A" w14:textId="77777777" w:rsidR="00EB7B4C" w:rsidRDefault="00EB7B4C" w:rsidP="00EB7B4C">
      <w:pPr>
        <w:tabs>
          <w:tab w:val="left" w:pos="810"/>
        </w:tabs>
        <w:contextualSpacing/>
        <w:jc w:val="center"/>
        <w:rPr>
          <w:rFonts w:eastAsia="Times New Roman" w:cs="Times New Roman"/>
          <w:b/>
          <w:iCs/>
          <w:sz w:val="26"/>
          <w:szCs w:val="26"/>
        </w:rPr>
      </w:pPr>
      <w:r w:rsidRPr="00EE1A73">
        <w:rPr>
          <w:rFonts w:eastAsia="Times New Roman" w:cs="Times New Roman"/>
          <w:b/>
          <w:iCs/>
          <w:sz w:val="26"/>
          <w:szCs w:val="26"/>
        </w:rPr>
        <w:t>Uzziņa par tiesību akta projektu</w:t>
      </w:r>
      <w:r w:rsidR="00BC7CA3">
        <w:rPr>
          <w:rFonts w:eastAsia="Times New Roman" w:cs="Times New Roman"/>
          <w:b/>
          <w:iCs/>
          <w:sz w:val="26"/>
          <w:szCs w:val="26"/>
        </w:rPr>
        <w:t xml:space="preserve"> Vadības komitejai</w:t>
      </w:r>
    </w:p>
    <w:p w14:paraId="47777357" w14:textId="77777777" w:rsidR="00EB7B4C" w:rsidRDefault="00253B0A" w:rsidP="00EB7B4C">
      <w:pPr>
        <w:tabs>
          <w:tab w:val="left" w:pos="810"/>
        </w:tabs>
        <w:contextualSpacing/>
        <w:jc w:val="center"/>
        <w:rPr>
          <w:rFonts w:eastAsia="Times New Roman" w:cs="Times New Roman"/>
          <w:iCs/>
          <w:sz w:val="26"/>
          <w:szCs w:val="26"/>
        </w:rPr>
      </w:pPr>
      <w:r>
        <w:rPr>
          <w:rFonts w:eastAsia="Times New Roman" w:cs="Times New Roman"/>
          <w:iCs/>
          <w:sz w:val="26"/>
          <w:szCs w:val="26"/>
        </w:rPr>
        <w:t>1</w:t>
      </w:r>
      <w:r w:rsidR="00494D4A">
        <w:rPr>
          <w:rFonts w:eastAsia="Times New Roman" w:cs="Times New Roman"/>
          <w:iCs/>
          <w:sz w:val="26"/>
          <w:szCs w:val="26"/>
        </w:rPr>
        <w:t>9</w:t>
      </w:r>
      <w:r>
        <w:rPr>
          <w:rFonts w:eastAsia="Times New Roman" w:cs="Times New Roman"/>
          <w:iCs/>
          <w:sz w:val="26"/>
          <w:szCs w:val="26"/>
        </w:rPr>
        <w:t>.04.2021</w:t>
      </w:r>
      <w:r w:rsidR="00D729A1">
        <w:rPr>
          <w:rFonts w:eastAsia="Times New Roman" w:cs="Times New Roman"/>
          <w:iCs/>
          <w:sz w:val="26"/>
          <w:szCs w:val="26"/>
        </w:rPr>
        <w:t>.</w:t>
      </w:r>
    </w:p>
    <w:p w14:paraId="4C90B442" w14:textId="77777777" w:rsidR="00EB7B4C" w:rsidRPr="00F30B06" w:rsidRDefault="00EB7B4C" w:rsidP="00EB7B4C">
      <w:pPr>
        <w:tabs>
          <w:tab w:val="left" w:pos="810"/>
        </w:tabs>
        <w:contextualSpacing/>
        <w:jc w:val="center"/>
        <w:rPr>
          <w:rFonts w:eastAsia="Times New Roman" w:cs="Times New Roman"/>
          <w:iCs/>
          <w:sz w:val="26"/>
          <w:szCs w:val="26"/>
        </w:rPr>
      </w:pPr>
    </w:p>
    <w:tbl>
      <w:tblPr>
        <w:tblW w:w="97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38"/>
        <w:gridCol w:w="6248"/>
        <w:gridCol w:w="350"/>
        <w:gridCol w:w="11"/>
      </w:tblGrid>
      <w:tr w:rsidR="00EB7B4C" w:rsidRPr="00257337" w14:paraId="7291891B" w14:textId="77777777" w:rsidTr="288D5733">
        <w:trPr>
          <w:gridAfter w:val="1"/>
          <w:wAfter w:w="11" w:type="dxa"/>
        </w:trPr>
        <w:tc>
          <w:tcPr>
            <w:tcW w:w="710" w:type="dxa"/>
            <w:vAlign w:val="center"/>
          </w:tcPr>
          <w:p w14:paraId="66603824"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w:t>
            </w:r>
          </w:p>
        </w:tc>
        <w:tc>
          <w:tcPr>
            <w:tcW w:w="2438" w:type="dxa"/>
            <w:vAlign w:val="center"/>
          </w:tcPr>
          <w:p w14:paraId="1456BA10"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Sniedzamā informācija</w:t>
            </w:r>
          </w:p>
        </w:tc>
        <w:tc>
          <w:tcPr>
            <w:tcW w:w="6598" w:type="dxa"/>
            <w:gridSpan w:val="2"/>
            <w:vAlign w:val="center"/>
          </w:tcPr>
          <w:p w14:paraId="5E2CAA63" w14:textId="77777777" w:rsidR="00EB7B4C" w:rsidRPr="00257337" w:rsidRDefault="00EB7B4C" w:rsidP="00BF6058">
            <w:pPr>
              <w:jc w:val="center"/>
              <w:rPr>
                <w:rFonts w:eastAsia="Times New Roman" w:cs="Times New Roman"/>
                <w:sz w:val="24"/>
                <w:szCs w:val="24"/>
              </w:rPr>
            </w:pPr>
            <w:r w:rsidRPr="00257337">
              <w:rPr>
                <w:rFonts w:eastAsia="Times New Roman" w:cs="Times New Roman"/>
                <w:sz w:val="24"/>
                <w:szCs w:val="24"/>
              </w:rPr>
              <w:t>Informācija par projektu</w:t>
            </w:r>
          </w:p>
        </w:tc>
      </w:tr>
      <w:tr w:rsidR="00EB7B4C" w:rsidRPr="00257337" w14:paraId="2A6FB38E" w14:textId="77777777" w:rsidTr="288D5733">
        <w:trPr>
          <w:trHeight w:val="421"/>
        </w:trPr>
        <w:tc>
          <w:tcPr>
            <w:tcW w:w="710" w:type="dxa"/>
          </w:tcPr>
          <w:p w14:paraId="5445B549" w14:textId="77777777" w:rsidR="00EB7B4C" w:rsidRPr="00257337" w:rsidRDefault="00EB7B4C" w:rsidP="00656A6B">
            <w:pPr>
              <w:jc w:val="center"/>
              <w:rPr>
                <w:rFonts w:eastAsia="Times New Roman" w:cs="Times New Roman"/>
                <w:sz w:val="24"/>
                <w:szCs w:val="24"/>
              </w:rPr>
            </w:pPr>
          </w:p>
        </w:tc>
        <w:tc>
          <w:tcPr>
            <w:tcW w:w="9047" w:type="dxa"/>
            <w:gridSpan w:val="4"/>
          </w:tcPr>
          <w:p w14:paraId="1148A1B1" w14:textId="77777777" w:rsidR="00EB7B4C" w:rsidRPr="00257337" w:rsidRDefault="004F235B" w:rsidP="00FF689D">
            <w:pPr>
              <w:spacing w:after="120"/>
              <w:jc w:val="center"/>
              <w:rPr>
                <w:rFonts w:eastAsia="Times New Roman" w:cs="Times New Roman"/>
                <w:b/>
                <w:bCs/>
                <w:sz w:val="24"/>
                <w:szCs w:val="24"/>
              </w:rPr>
            </w:pPr>
            <w:r>
              <w:rPr>
                <w:rFonts w:cs="Times New Roman"/>
                <w:b/>
                <w:sz w:val="24"/>
                <w:szCs w:val="24"/>
              </w:rPr>
              <w:t>Likumprojekts “Grozījumi Pievienotās vērtības nodokļa likumā”</w:t>
            </w:r>
          </w:p>
        </w:tc>
      </w:tr>
      <w:tr w:rsidR="005E715C" w:rsidRPr="00257337" w14:paraId="7F6E6B4B" w14:textId="77777777" w:rsidTr="288D5733">
        <w:trPr>
          <w:gridAfter w:val="1"/>
          <w:wAfter w:w="11" w:type="dxa"/>
        </w:trPr>
        <w:tc>
          <w:tcPr>
            <w:tcW w:w="710" w:type="dxa"/>
          </w:tcPr>
          <w:p w14:paraId="1A482787" w14:textId="77777777" w:rsidR="005E715C" w:rsidRPr="005E715C" w:rsidRDefault="005E715C" w:rsidP="00656A6B">
            <w:pPr>
              <w:ind w:left="-74" w:firstLine="284"/>
              <w:jc w:val="both"/>
              <w:rPr>
                <w:rFonts w:eastAsia="Calibri" w:cs="Times New Roman"/>
                <w:sz w:val="24"/>
                <w:szCs w:val="24"/>
              </w:rPr>
            </w:pPr>
            <w:r w:rsidRPr="005E715C">
              <w:rPr>
                <w:rFonts w:eastAsia="Calibri" w:cs="Times New Roman"/>
                <w:sz w:val="24"/>
                <w:szCs w:val="24"/>
              </w:rPr>
              <w:t>1.</w:t>
            </w:r>
          </w:p>
        </w:tc>
        <w:tc>
          <w:tcPr>
            <w:tcW w:w="2438" w:type="dxa"/>
          </w:tcPr>
          <w:p w14:paraId="5D2130D2" w14:textId="77777777"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Projekta izstrādes nepieciešamības pamatojums</w:t>
            </w:r>
          </w:p>
        </w:tc>
        <w:tc>
          <w:tcPr>
            <w:tcW w:w="6598" w:type="dxa"/>
            <w:gridSpan w:val="2"/>
          </w:tcPr>
          <w:p w14:paraId="5D5ACCC4" w14:textId="77777777" w:rsidR="005E715C" w:rsidRPr="006216AB" w:rsidRDefault="006216AB" w:rsidP="00C15412">
            <w:pPr>
              <w:ind w:left="124" w:right="109"/>
              <w:jc w:val="both"/>
              <w:rPr>
                <w:sz w:val="24"/>
                <w:szCs w:val="24"/>
              </w:rPr>
            </w:pPr>
            <w:r w:rsidRPr="006216AB">
              <w:rPr>
                <w:iCs/>
                <w:sz w:val="24"/>
                <w:szCs w:val="24"/>
              </w:rPr>
              <w:t xml:space="preserve">Likumprojekta mērķis ir </w:t>
            </w:r>
            <w:r w:rsidR="000D6016">
              <w:rPr>
                <w:sz w:val="24"/>
                <w:szCs w:val="24"/>
              </w:rPr>
              <w:t>ieviest</w:t>
            </w:r>
            <w:r w:rsidR="00544FE2" w:rsidRPr="00EC0FC1">
              <w:rPr>
                <w:sz w:val="24"/>
                <w:szCs w:val="24"/>
              </w:rPr>
              <w:t xml:space="preserve"> </w:t>
            </w:r>
            <w:r w:rsidR="006B08F0" w:rsidRPr="006B08F0">
              <w:rPr>
                <w:sz w:val="24"/>
                <w:szCs w:val="24"/>
              </w:rPr>
              <w:t>līdzīgus pievienotās vērtības nodokļa (PVN) piemērošanas noteikumus aizsardzības jomas pasākumiem, kas īstenoti NATO paspārnē un ES satvarā, nodrošināt ar starptautisku līgumu uzņemto saistību izpildi PVN jomā</w:t>
            </w:r>
            <w:r w:rsidR="006B08F0">
              <w:rPr>
                <w:sz w:val="24"/>
                <w:szCs w:val="24"/>
              </w:rPr>
              <w:t xml:space="preserve">, </w:t>
            </w:r>
            <w:r w:rsidR="00C15412">
              <w:rPr>
                <w:sz w:val="24"/>
                <w:szCs w:val="24"/>
              </w:rPr>
              <w:t>vienādot PVN</w:t>
            </w:r>
            <w:r w:rsidR="00C15412" w:rsidRPr="00405293">
              <w:rPr>
                <w:sz w:val="24"/>
                <w:szCs w:val="24"/>
              </w:rPr>
              <w:t xml:space="preserve"> piemērošan</w:t>
            </w:r>
            <w:r w:rsidR="00C15412">
              <w:rPr>
                <w:sz w:val="24"/>
                <w:szCs w:val="24"/>
              </w:rPr>
              <w:t xml:space="preserve">u </w:t>
            </w:r>
            <w:r w:rsidR="00C15412" w:rsidRPr="005855B4">
              <w:rPr>
                <w:sz w:val="24"/>
                <w:szCs w:val="24"/>
              </w:rPr>
              <w:t>preču atpakaļievešan</w:t>
            </w:r>
            <w:r w:rsidR="00C15412">
              <w:rPr>
                <w:sz w:val="24"/>
                <w:szCs w:val="24"/>
              </w:rPr>
              <w:t>ai</w:t>
            </w:r>
            <w:r w:rsidR="00C15412" w:rsidRPr="005855B4">
              <w:rPr>
                <w:sz w:val="24"/>
                <w:szCs w:val="24"/>
              </w:rPr>
              <w:t xml:space="preserve"> iekšzemē</w:t>
            </w:r>
            <w:r w:rsidR="00C15412">
              <w:rPr>
                <w:sz w:val="24"/>
                <w:szCs w:val="24"/>
              </w:rPr>
              <w:t xml:space="preserve"> ar ES regulējumu</w:t>
            </w:r>
            <w:r w:rsidR="00C15412" w:rsidRPr="005855B4">
              <w:rPr>
                <w:sz w:val="24"/>
                <w:szCs w:val="24"/>
              </w:rPr>
              <w:t>,</w:t>
            </w:r>
            <w:r w:rsidR="00C15412">
              <w:rPr>
                <w:sz w:val="26"/>
                <w:szCs w:val="26"/>
              </w:rPr>
              <w:t xml:space="preserve"> </w:t>
            </w:r>
            <w:r w:rsidR="00C15412" w:rsidRPr="00405293">
              <w:rPr>
                <w:sz w:val="24"/>
                <w:szCs w:val="24"/>
              </w:rPr>
              <w:t>kā arī veikt citus tehniskus precizējumus Pievienotās vērtības nodokļa likumā.</w:t>
            </w:r>
          </w:p>
        </w:tc>
      </w:tr>
      <w:tr w:rsidR="005E715C" w:rsidRPr="00257337" w14:paraId="7764736B" w14:textId="77777777" w:rsidTr="288D5733">
        <w:trPr>
          <w:gridAfter w:val="1"/>
          <w:wAfter w:w="11" w:type="dxa"/>
        </w:trPr>
        <w:tc>
          <w:tcPr>
            <w:tcW w:w="710" w:type="dxa"/>
          </w:tcPr>
          <w:p w14:paraId="4A171242" w14:textId="77777777" w:rsidR="005E715C" w:rsidRPr="00257337" w:rsidRDefault="005E715C" w:rsidP="00656A6B">
            <w:pPr>
              <w:contextualSpacing/>
              <w:jc w:val="center"/>
              <w:rPr>
                <w:rFonts w:eastAsia="Calibri" w:cs="Times New Roman"/>
                <w:sz w:val="24"/>
                <w:szCs w:val="24"/>
              </w:rPr>
            </w:pPr>
            <w:r>
              <w:rPr>
                <w:rFonts w:eastAsia="Calibri" w:cs="Times New Roman"/>
                <w:sz w:val="24"/>
                <w:szCs w:val="24"/>
              </w:rPr>
              <w:t>2</w:t>
            </w:r>
            <w:r w:rsidR="00656A6B">
              <w:rPr>
                <w:rFonts w:eastAsia="Calibri" w:cs="Times New Roman"/>
                <w:sz w:val="24"/>
                <w:szCs w:val="24"/>
              </w:rPr>
              <w:t>.</w:t>
            </w:r>
          </w:p>
        </w:tc>
        <w:tc>
          <w:tcPr>
            <w:tcW w:w="2438" w:type="dxa"/>
          </w:tcPr>
          <w:p w14:paraId="72244B1C" w14:textId="77777777"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Vadības darba plāna uzdevuma numurs un tā izpildes termiņš (ja nepieciešams)</w:t>
            </w:r>
          </w:p>
        </w:tc>
        <w:tc>
          <w:tcPr>
            <w:tcW w:w="6598" w:type="dxa"/>
            <w:gridSpan w:val="2"/>
          </w:tcPr>
          <w:p w14:paraId="756268E8" w14:textId="77777777" w:rsidR="005E715C" w:rsidRPr="00C048F9" w:rsidRDefault="00C048F9" w:rsidP="00F24AF5">
            <w:pPr>
              <w:jc w:val="both"/>
              <w:rPr>
                <w:rFonts w:eastAsia="Times New Roman" w:cs="Times New Roman"/>
                <w:iCs/>
                <w:sz w:val="24"/>
                <w:szCs w:val="24"/>
              </w:rPr>
            </w:pPr>
            <w:r w:rsidRPr="00C048F9">
              <w:rPr>
                <w:rFonts w:eastAsia="Times New Roman" w:cs="Times New Roman"/>
                <w:iCs/>
                <w:sz w:val="24"/>
                <w:szCs w:val="24"/>
              </w:rPr>
              <w:t>Nav</w:t>
            </w:r>
          </w:p>
          <w:p w14:paraId="5B5F704F" w14:textId="77777777" w:rsidR="00DC5485" w:rsidRPr="00967B5E" w:rsidRDefault="00DC5485" w:rsidP="00967B5E">
            <w:pPr>
              <w:jc w:val="both"/>
              <w:rPr>
                <w:rFonts w:eastAsia="Times New Roman" w:cs="Times New Roman"/>
                <w:iCs/>
                <w:sz w:val="24"/>
                <w:szCs w:val="24"/>
              </w:rPr>
            </w:pPr>
          </w:p>
        </w:tc>
      </w:tr>
      <w:tr w:rsidR="005E715C" w:rsidRPr="00257337" w14:paraId="404DADCE" w14:textId="77777777" w:rsidTr="288D5733">
        <w:trPr>
          <w:gridAfter w:val="1"/>
          <w:wAfter w:w="11" w:type="dxa"/>
        </w:trPr>
        <w:tc>
          <w:tcPr>
            <w:tcW w:w="710" w:type="dxa"/>
          </w:tcPr>
          <w:p w14:paraId="63ACBF36" w14:textId="77777777" w:rsidR="005E715C" w:rsidRPr="00257337" w:rsidRDefault="005E715C" w:rsidP="00656A6B">
            <w:pPr>
              <w:contextualSpacing/>
              <w:jc w:val="center"/>
              <w:rPr>
                <w:rFonts w:eastAsia="Calibri" w:cs="Times New Roman"/>
                <w:sz w:val="24"/>
                <w:szCs w:val="24"/>
              </w:rPr>
            </w:pPr>
            <w:r>
              <w:rPr>
                <w:rFonts w:eastAsia="Calibri" w:cs="Times New Roman"/>
                <w:sz w:val="24"/>
                <w:szCs w:val="24"/>
              </w:rPr>
              <w:t>3.</w:t>
            </w:r>
          </w:p>
        </w:tc>
        <w:tc>
          <w:tcPr>
            <w:tcW w:w="2438" w:type="dxa"/>
          </w:tcPr>
          <w:p w14:paraId="753077D2" w14:textId="77777777" w:rsidR="005E715C" w:rsidRPr="00257337" w:rsidRDefault="005E715C" w:rsidP="005E715C">
            <w:pPr>
              <w:jc w:val="both"/>
              <w:rPr>
                <w:rFonts w:eastAsia="Times New Roman" w:cs="Times New Roman"/>
                <w:sz w:val="24"/>
                <w:szCs w:val="24"/>
              </w:rPr>
            </w:pPr>
            <w:r w:rsidRPr="00257337">
              <w:rPr>
                <w:rFonts w:eastAsia="Times New Roman" w:cs="Times New Roman"/>
                <w:sz w:val="24"/>
                <w:szCs w:val="24"/>
              </w:rPr>
              <w:t>Projekta īss saturs</w:t>
            </w:r>
          </w:p>
        </w:tc>
        <w:tc>
          <w:tcPr>
            <w:tcW w:w="6598" w:type="dxa"/>
            <w:gridSpan w:val="2"/>
          </w:tcPr>
          <w:p w14:paraId="5F71A122" w14:textId="77777777" w:rsidR="000831CF" w:rsidRPr="006B08F0" w:rsidRDefault="000831CF" w:rsidP="000831CF">
            <w:pPr>
              <w:ind w:right="109"/>
              <w:jc w:val="both"/>
              <w:rPr>
                <w:sz w:val="24"/>
                <w:szCs w:val="24"/>
              </w:rPr>
            </w:pPr>
            <w:r w:rsidRPr="006B08F0">
              <w:rPr>
                <w:sz w:val="24"/>
                <w:szCs w:val="24"/>
              </w:rPr>
              <w:t>Ar likumprojektu plānots:</w:t>
            </w:r>
          </w:p>
          <w:p w14:paraId="253F7A48" w14:textId="77777777" w:rsidR="006B08F0" w:rsidRPr="006B08F0" w:rsidRDefault="006B08F0" w:rsidP="00C15412">
            <w:pPr>
              <w:pStyle w:val="ListParagraph"/>
              <w:numPr>
                <w:ilvl w:val="0"/>
                <w:numId w:val="12"/>
              </w:numPr>
              <w:ind w:right="157"/>
              <w:jc w:val="both"/>
              <w:rPr>
                <w:sz w:val="24"/>
                <w:szCs w:val="24"/>
              </w:rPr>
            </w:pPr>
            <w:r w:rsidRPr="006B08F0">
              <w:rPr>
                <w:sz w:val="24"/>
                <w:szCs w:val="24"/>
              </w:rPr>
              <w:t>pārņemt Padomes 2019.gada 16.decembra direktīvu 2019/2235, ar ko groza Direktīvu 2006/112/EK par kopējo pievienotās vērtības nodokļa sistēmu un Direktīvu 2008/118/EK par akcīzes nodokļa piemērošanas vispārējo režīmu attiecībā uz aizsardzības pasākumiem Savienības satvarā;</w:t>
            </w:r>
          </w:p>
          <w:p w14:paraId="0F42E956" w14:textId="77777777" w:rsidR="006B08F0" w:rsidRDefault="006B08F0" w:rsidP="00C15412">
            <w:pPr>
              <w:pStyle w:val="ListParagraph"/>
              <w:numPr>
                <w:ilvl w:val="0"/>
                <w:numId w:val="12"/>
              </w:numPr>
              <w:ind w:right="157"/>
              <w:jc w:val="both"/>
              <w:rPr>
                <w:sz w:val="24"/>
                <w:szCs w:val="24"/>
              </w:rPr>
            </w:pPr>
            <w:r w:rsidRPr="006B08F0">
              <w:rPr>
                <w:sz w:val="24"/>
                <w:szCs w:val="24"/>
              </w:rPr>
              <w:t xml:space="preserve">izpildīt ar Ministru kabineta 2020.gada 17.decembra sēdes protokola Nr.84 114.§ 11.punktu doto uzdevumu sagatavot un iesniegt izskatīšanai Ministru kabinetā grozījumus PVN likumā, lai nodrošinātu Latvijas Republikas valdības un Eiropas Elektronisko sakaru regulatoru iestādes atbalsta aģentūras mītnes līgumā </w:t>
            </w:r>
            <w:r w:rsidR="00123108">
              <w:rPr>
                <w:sz w:val="24"/>
                <w:szCs w:val="24"/>
              </w:rPr>
              <w:t>(</w:t>
            </w:r>
            <w:r w:rsidRPr="006B08F0">
              <w:rPr>
                <w:sz w:val="24"/>
                <w:szCs w:val="24"/>
              </w:rPr>
              <w:t>BEREC biroja mītnes līgums) paredzētās prasības, saskaņā ar kurām Eiropas Elektronisko sakaru regulatoru iestādes atbalsta aģentūra ir tiesīga piemērot PVN 0 % likmi tieši precēm un pakalpojumiem, kas paredzēti tās oficiālām vajadzībām;</w:t>
            </w:r>
          </w:p>
          <w:p w14:paraId="14FE3F2B" w14:textId="77777777" w:rsidR="00C15412" w:rsidRPr="00405293" w:rsidRDefault="00C15412" w:rsidP="00C15412">
            <w:pPr>
              <w:pStyle w:val="ListParagraph"/>
              <w:numPr>
                <w:ilvl w:val="0"/>
                <w:numId w:val="12"/>
              </w:numPr>
              <w:ind w:right="157"/>
              <w:jc w:val="both"/>
              <w:rPr>
                <w:sz w:val="24"/>
                <w:szCs w:val="24"/>
              </w:rPr>
            </w:pPr>
            <w:r w:rsidRPr="00D84EA5">
              <w:rPr>
                <w:sz w:val="24"/>
                <w:szCs w:val="24"/>
              </w:rPr>
              <w:t>precizēt PVN likuma 53.panta devīto daļu, vienādojot regulējumu ar Direktīv</w:t>
            </w:r>
            <w:r>
              <w:rPr>
                <w:sz w:val="24"/>
                <w:szCs w:val="24"/>
              </w:rPr>
              <w:t>u</w:t>
            </w:r>
            <w:r w:rsidRPr="00D84EA5">
              <w:rPr>
                <w:sz w:val="24"/>
                <w:szCs w:val="24"/>
              </w:rPr>
              <w:t xml:space="preserve"> 2006/112/EK 143.panta 1.pu</w:t>
            </w:r>
            <w:r>
              <w:rPr>
                <w:sz w:val="24"/>
                <w:szCs w:val="24"/>
              </w:rPr>
              <w:t>nkta “e” apakšpunkta regulējumu;</w:t>
            </w:r>
          </w:p>
          <w:p w14:paraId="78CA0D90" w14:textId="77777777" w:rsidR="00C15412" w:rsidRPr="00D84EA5" w:rsidRDefault="00C15412" w:rsidP="00C15412">
            <w:pPr>
              <w:pStyle w:val="ListParagraph"/>
              <w:numPr>
                <w:ilvl w:val="0"/>
                <w:numId w:val="12"/>
              </w:numPr>
              <w:ind w:right="157"/>
              <w:jc w:val="both"/>
              <w:rPr>
                <w:sz w:val="24"/>
                <w:szCs w:val="24"/>
              </w:rPr>
            </w:pPr>
            <w:r>
              <w:rPr>
                <w:sz w:val="24"/>
                <w:szCs w:val="24"/>
              </w:rPr>
              <w:t>redakcionāli p</w:t>
            </w:r>
            <w:r w:rsidRPr="00405293">
              <w:rPr>
                <w:sz w:val="24"/>
                <w:szCs w:val="24"/>
              </w:rPr>
              <w:t>recizēt PVN likuma 1.panta 5.punkta “c” un “d” apakšpunkt</w:t>
            </w:r>
            <w:r>
              <w:rPr>
                <w:sz w:val="24"/>
                <w:szCs w:val="24"/>
              </w:rPr>
              <w:t>u</w:t>
            </w:r>
            <w:r w:rsidRPr="00405293">
              <w:rPr>
                <w:sz w:val="24"/>
                <w:szCs w:val="24"/>
              </w:rPr>
              <w:t>, 43.panta otr</w:t>
            </w:r>
            <w:r>
              <w:rPr>
                <w:sz w:val="24"/>
                <w:szCs w:val="24"/>
              </w:rPr>
              <w:t>o</w:t>
            </w:r>
            <w:r w:rsidRPr="00405293">
              <w:rPr>
                <w:sz w:val="24"/>
                <w:szCs w:val="24"/>
              </w:rPr>
              <w:t xml:space="preserve"> daļ</w:t>
            </w:r>
            <w:r>
              <w:rPr>
                <w:sz w:val="24"/>
                <w:szCs w:val="24"/>
              </w:rPr>
              <w:t>u un</w:t>
            </w:r>
            <w:r w:rsidRPr="00405293">
              <w:rPr>
                <w:sz w:val="24"/>
                <w:szCs w:val="24"/>
              </w:rPr>
              <w:t xml:space="preserve"> 44.pant</w:t>
            </w:r>
            <w:r>
              <w:rPr>
                <w:sz w:val="24"/>
                <w:szCs w:val="24"/>
              </w:rPr>
              <w:t>u</w:t>
            </w:r>
            <w:r w:rsidRPr="00405293">
              <w:rPr>
                <w:sz w:val="24"/>
                <w:szCs w:val="24"/>
              </w:rPr>
              <w:t xml:space="preserve"> attiecībā uz vietu, kur novietotas preces, lai varētu tikt piemērots fiskālā pārstāvja institūts, ņemot vērā, ka bez mui</w:t>
            </w:r>
            <w:r>
              <w:rPr>
                <w:sz w:val="24"/>
                <w:szCs w:val="24"/>
              </w:rPr>
              <w:t>tas noliktavām un akcīzes preču</w:t>
            </w:r>
            <w:r w:rsidRPr="00405293">
              <w:rPr>
                <w:sz w:val="24"/>
                <w:szCs w:val="24"/>
              </w:rPr>
              <w:t xml:space="preserve"> noliktavām preces var tikt </w:t>
            </w:r>
            <w:r>
              <w:rPr>
                <w:sz w:val="24"/>
                <w:szCs w:val="24"/>
              </w:rPr>
              <w:t xml:space="preserve">novietotas </w:t>
            </w:r>
            <w:r w:rsidRPr="00405293">
              <w:rPr>
                <w:sz w:val="24"/>
                <w:szCs w:val="24"/>
              </w:rPr>
              <w:t xml:space="preserve">arī citās </w:t>
            </w:r>
            <w:r w:rsidRPr="00405293">
              <w:rPr>
                <w:sz w:val="24"/>
                <w:szCs w:val="24"/>
                <w:shd w:val="clear" w:color="auto" w:fill="FFFFFF"/>
              </w:rPr>
              <w:t>regulējošajos normatīvajos aktos muitas jomā noteiktās vietās</w:t>
            </w:r>
            <w:r w:rsidRPr="00405293">
              <w:rPr>
                <w:sz w:val="24"/>
                <w:szCs w:val="24"/>
              </w:rPr>
              <w:t>;</w:t>
            </w:r>
          </w:p>
          <w:p w14:paraId="7A774F4F" w14:textId="77777777" w:rsidR="00C15412" w:rsidRPr="00405293" w:rsidRDefault="00C15412" w:rsidP="00C15412">
            <w:pPr>
              <w:pStyle w:val="ListParagraph"/>
              <w:numPr>
                <w:ilvl w:val="0"/>
                <w:numId w:val="12"/>
              </w:numPr>
              <w:ind w:right="157"/>
              <w:jc w:val="both"/>
              <w:rPr>
                <w:sz w:val="24"/>
                <w:szCs w:val="24"/>
              </w:rPr>
            </w:pPr>
            <w:r w:rsidRPr="00405293">
              <w:rPr>
                <w:sz w:val="24"/>
                <w:szCs w:val="24"/>
              </w:rPr>
              <w:t>redakcionāli precizēt PVN likuma 50.pant</w:t>
            </w:r>
            <w:r>
              <w:rPr>
                <w:sz w:val="24"/>
                <w:szCs w:val="24"/>
              </w:rPr>
              <w:t xml:space="preserve">u </w:t>
            </w:r>
            <w:r w:rsidRPr="00405293">
              <w:rPr>
                <w:sz w:val="24"/>
                <w:szCs w:val="24"/>
              </w:rPr>
              <w:t xml:space="preserve">atbilstoši Eiropas Komisijas </w:t>
            </w:r>
            <w:r>
              <w:rPr>
                <w:sz w:val="24"/>
                <w:szCs w:val="24"/>
              </w:rPr>
              <w:t>darba dokumentā sniegtajam skaidrojumam</w:t>
            </w:r>
            <w:r w:rsidRPr="00405293">
              <w:rPr>
                <w:sz w:val="24"/>
                <w:szCs w:val="24"/>
              </w:rPr>
              <w:t xml:space="preserve">, lai nepārprotami definētu PVN 0 % likmes piemērošanas tvērumu preču piegādēm un pakalpojumiem, kas iekšzemē sniegti NATO dalībvalstu bruņoto spēku vienībām, t.sk. pavadošā civilā personāla vajadzībām un šo bruņoto spēku vienību virtuves vai </w:t>
            </w:r>
            <w:r w:rsidRPr="00405293">
              <w:rPr>
                <w:sz w:val="24"/>
                <w:szCs w:val="24"/>
              </w:rPr>
              <w:lastRenderedPageBreak/>
              <w:t>ēdnīcas apgādei</w:t>
            </w:r>
            <w:r>
              <w:rPr>
                <w:sz w:val="24"/>
                <w:szCs w:val="24"/>
              </w:rPr>
              <w:t xml:space="preserve">, to vienādojot ar </w:t>
            </w:r>
            <w:r w:rsidRPr="00D84EA5">
              <w:rPr>
                <w:sz w:val="24"/>
                <w:szCs w:val="24"/>
              </w:rPr>
              <w:t>Direktīva</w:t>
            </w:r>
            <w:r>
              <w:rPr>
                <w:sz w:val="24"/>
                <w:szCs w:val="24"/>
              </w:rPr>
              <w:t>s</w:t>
            </w:r>
            <w:r w:rsidRPr="00D84EA5">
              <w:rPr>
                <w:sz w:val="24"/>
                <w:szCs w:val="24"/>
              </w:rPr>
              <w:t xml:space="preserve"> 2006/112/EK 1</w:t>
            </w:r>
            <w:r>
              <w:rPr>
                <w:sz w:val="24"/>
                <w:szCs w:val="24"/>
              </w:rPr>
              <w:t>51</w:t>
            </w:r>
            <w:r w:rsidRPr="00D84EA5">
              <w:rPr>
                <w:sz w:val="24"/>
                <w:szCs w:val="24"/>
              </w:rPr>
              <w:t>.panta 1.pu</w:t>
            </w:r>
            <w:r>
              <w:rPr>
                <w:sz w:val="24"/>
                <w:szCs w:val="24"/>
              </w:rPr>
              <w:t>nkta “c” apakšpunkta regulējumu</w:t>
            </w:r>
            <w:r w:rsidRPr="00405293">
              <w:rPr>
                <w:sz w:val="24"/>
                <w:szCs w:val="24"/>
              </w:rPr>
              <w:t>;</w:t>
            </w:r>
          </w:p>
          <w:p w14:paraId="4E2A8F98" w14:textId="77777777" w:rsidR="00C15412" w:rsidRPr="00405293" w:rsidRDefault="00C15412" w:rsidP="00C15412">
            <w:pPr>
              <w:pStyle w:val="ListParagraph"/>
              <w:numPr>
                <w:ilvl w:val="0"/>
                <w:numId w:val="12"/>
              </w:numPr>
              <w:ind w:right="157"/>
              <w:jc w:val="both"/>
              <w:rPr>
                <w:sz w:val="24"/>
                <w:szCs w:val="24"/>
              </w:rPr>
            </w:pPr>
            <w:r w:rsidRPr="00405293">
              <w:rPr>
                <w:sz w:val="24"/>
                <w:szCs w:val="24"/>
              </w:rPr>
              <w:t>redakcionāli precizēt</w:t>
            </w:r>
            <w:r>
              <w:rPr>
                <w:sz w:val="24"/>
                <w:szCs w:val="24"/>
              </w:rPr>
              <w:t xml:space="preserve"> </w:t>
            </w:r>
            <w:r w:rsidRPr="00405293">
              <w:rPr>
                <w:sz w:val="24"/>
                <w:szCs w:val="24"/>
              </w:rPr>
              <w:t>PVN likuma 52.</w:t>
            </w:r>
            <w:r w:rsidRPr="00405293">
              <w:rPr>
                <w:sz w:val="24"/>
                <w:szCs w:val="24"/>
                <w:vertAlign w:val="superscript"/>
              </w:rPr>
              <w:t>2</w:t>
            </w:r>
            <w:r w:rsidRPr="00405293">
              <w:rPr>
                <w:sz w:val="24"/>
                <w:szCs w:val="24"/>
              </w:rPr>
              <w:t> pant</w:t>
            </w:r>
            <w:r>
              <w:rPr>
                <w:sz w:val="24"/>
                <w:szCs w:val="24"/>
              </w:rPr>
              <w:t>u</w:t>
            </w:r>
            <w:r w:rsidRPr="00405293">
              <w:rPr>
                <w:sz w:val="24"/>
                <w:szCs w:val="24"/>
              </w:rPr>
              <w:t xml:space="preserve"> un 92.panta pirmās daļas 9.punkt</w:t>
            </w:r>
            <w:r>
              <w:rPr>
                <w:sz w:val="24"/>
                <w:szCs w:val="24"/>
              </w:rPr>
              <w:t>u</w:t>
            </w:r>
            <w:r w:rsidRPr="00405293">
              <w:rPr>
                <w:sz w:val="24"/>
                <w:szCs w:val="24"/>
              </w:rPr>
              <w:t xml:space="preserve">, lai nepārprotami definētu PVN atbrīvojuma ar priekšnodokļa atskaitīšanas tiesībām piemērošanas posmu preču </w:t>
            </w:r>
            <w:proofErr w:type="spellStart"/>
            <w:r w:rsidRPr="00405293">
              <w:rPr>
                <w:sz w:val="24"/>
                <w:szCs w:val="24"/>
              </w:rPr>
              <w:t>tālpārdošanas</w:t>
            </w:r>
            <w:proofErr w:type="spellEnd"/>
            <w:r w:rsidRPr="00405293">
              <w:rPr>
                <w:sz w:val="24"/>
                <w:szCs w:val="24"/>
              </w:rPr>
              <w:t xml:space="preserve"> darījumos un priekšnodokļa atskaitīšanas tiesības;</w:t>
            </w:r>
          </w:p>
          <w:p w14:paraId="51D3AAD6" w14:textId="77777777" w:rsidR="005E715C" w:rsidRPr="00C15412" w:rsidRDefault="00C15412" w:rsidP="00C15412">
            <w:pPr>
              <w:pStyle w:val="ListParagraph"/>
              <w:numPr>
                <w:ilvl w:val="0"/>
                <w:numId w:val="12"/>
              </w:numPr>
              <w:ind w:right="157"/>
              <w:jc w:val="both"/>
              <w:rPr>
                <w:sz w:val="24"/>
                <w:szCs w:val="24"/>
              </w:rPr>
            </w:pPr>
            <w:r w:rsidRPr="00405293">
              <w:rPr>
                <w:sz w:val="24"/>
                <w:szCs w:val="24"/>
              </w:rPr>
              <w:t>tehniski precizē</w:t>
            </w:r>
            <w:r>
              <w:rPr>
                <w:sz w:val="24"/>
                <w:szCs w:val="24"/>
              </w:rPr>
              <w:t>t</w:t>
            </w:r>
            <w:r w:rsidRPr="00405293">
              <w:rPr>
                <w:sz w:val="24"/>
                <w:szCs w:val="24"/>
              </w:rPr>
              <w:t xml:space="preserve"> PVN likuma 1.panta 3.punkt</w:t>
            </w:r>
            <w:r>
              <w:rPr>
                <w:sz w:val="24"/>
                <w:szCs w:val="24"/>
              </w:rPr>
              <w:t>u</w:t>
            </w:r>
            <w:r w:rsidRPr="00405293">
              <w:rPr>
                <w:sz w:val="24"/>
                <w:szCs w:val="24"/>
              </w:rPr>
              <w:t xml:space="preserve"> un 28.punkta “a” apakšpunk</w:t>
            </w:r>
            <w:r>
              <w:rPr>
                <w:sz w:val="24"/>
                <w:szCs w:val="24"/>
              </w:rPr>
              <w:t>tu</w:t>
            </w:r>
            <w:r w:rsidRPr="00405293">
              <w:rPr>
                <w:sz w:val="24"/>
                <w:szCs w:val="24"/>
              </w:rPr>
              <w:t xml:space="preserve"> atbilstoši Līgumam par Lielbritānijas un Ziemeļīrijas Apvienotās Karalistes izstāšanos no Eiropas Savienības un Eiropas Atomenerģijas kopienas (</w:t>
            </w:r>
            <w:proofErr w:type="spellStart"/>
            <w:r w:rsidRPr="00405293">
              <w:rPr>
                <w:sz w:val="24"/>
                <w:szCs w:val="24"/>
              </w:rPr>
              <w:t>Brexit</w:t>
            </w:r>
            <w:proofErr w:type="spellEnd"/>
            <w:r w:rsidRPr="00405293">
              <w:rPr>
                <w:sz w:val="24"/>
                <w:szCs w:val="24"/>
              </w:rPr>
              <w:t xml:space="preserve"> līgums)</w:t>
            </w:r>
            <w:r>
              <w:rPr>
                <w:sz w:val="24"/>
                <w:szCs w:val="24"/>
              </w:rPr>
              <w:t>.</w:t>
            </w:r>
          </w:p>
        </w:tc>
      </w:tr>
      <w:tr w:rsidR="00257337" w:rsidRPr="00054E7E" w14:paraId="69987E72" w14:textId="77777777" w:rsidTr="288D5733">
        <w:trPr>
          <w:gridAfter w:val="1"/>
          <w:wAfter w:w="11" w:type="dxa"/>
        </w:trPr>
        <w:tc>
          <w:tcPr>
            <w:tcW w:w="710" w:type="dxa"/>
            <w:vAlign w:val="center"/>
          </w:tcPr>
          <w:p w14:paraId="7F119E69" w14:textId="77777777" w:rsidR="00257337" w:rsidRPr="00257337" w:rsidRDefault="00656A6B" w:rsidP="00656A6B">
            <w:pPr>
              <w:contextualSpacing/>
              <w:jc w:val="center"/>
              <w:rPr>
                <w:rFonts w:eastAsia="Calibri" w:cs="Times New Roman"/>
                <w:sz w:val="24"/>
                <w:szCs w:val="24"/>
              </w:rPr>
            </w:pPr>
            <w:r>
              <w:rPr>
                <w:rFonts w:eastAsia="Calibri" w:cs="Times New Roman"/>
                <w:sz w:val="24"/>
                <w:szCs w:val="24"/>
              </w:rPr>
              <w:lastRenderedPageBreak/>
              <w:t>4.</w:t>
            </w:r>
          </w:p>
        </w:tc>
        <w:tc>
          <w:tcPr>
            <w:tcW w:w="2438" w:type="dxa"/>
          </w:tcPr>
          <w:p w14:paraId="61F71588" w14:textId="77777777" w:rsidR="00257337" w:rsidRPr="00257337" w:rsidRDefault="00257337" w:rsidP="00257337">
            <w:pPr>
              <w:jc w:val="both"/>
              <w:rPr>
                <w:rFonts w:eastAsia="Times New Roman" w:cs="Times New Roman"/>
                <w:sz w:val="24"/>
                <w:szCs w:val="24"/>
              </w:rPr>
            </w:pPr>
            <w:r w:rsidRPr="00257337">
              <w:rPr>
                <w:rFonts w:eastAsia="Times New Roman" w:cs="Times New Roman"/>
                <w:sz w:val="24"/>
                <w:szCs w:val="24"/>
              </w:rPr>
              <w:t>Iespējamie risinājuma varianti (ja nepieciešams)</w:t>
            </w:r>
          </w:p>
        </w:tc>
        <w:tc>
          <w:tcPr>
            <w:tcW w:w="6598" w:type="dxa"/>
            <w:gridSpan w:val="2"/>
          </w:tcPr>
          <w:p w14:paraId="5F01F81E" w14:textId="77777777" w:rsidR="00257337" w:rsidRPr="00257337" w:rsidRDefault="004F0C41" w:rsidP="00135A0B">
            <w:pPr>
              <w:jc w:val="both"/>
              <w:rPr>
                <w:rFonts w:eastAsia="Times New Roman" w:cs="Times New Roman"/>
                <w:sz w:val="24"/>
                <w:szCs w:val="24"/>
              </w:rPr>
            </w:pPr>
            <w:r>
              <w:rPr>
                <w:rFonts w:eastAsia="Times New Roman" w:cs="Times New Roman"/>
                <w:sz w:val="24"/>
                <w:szCs w:val="24"/>
              </w:rPr>
              <w:t>Nav</w:t>
            </w:r>
            <w:r w:rsidR="00D729A1">
              <w:rPr>
                <w:rFonts w:eastAsia="Times New Roman" w:cs="Times New Roman"/>
                <w:sz w:val="24"/>
                <w:szCs w:val="24"/>
              </w:rPr>
              <w:t xml:space="preserve"> </w:t>
            </w:r>
            <w:r w:rsidR="00135A0B">
              <w:rPr>
                <w:rFonts w:eastAsia="Times New Roman" w:cs="Times New Roman"/>
                <w:sz w:val="24"/>
                <w:szCs w:val="24"/>
              </w:rPr>
              <w:t>citu risinājumu</w:t>
            </w:r>
            <w:r w:rsidR="00D729A1">
              <w:rPr>
                <w:rFonts w:eastAsia="Times New Roman" w:cs="Times New Roman"/>
                <w:sz w:val="24"/>
                <w:szCs w:val="24"/>
              </w:rPr>
              <w:t>.</w:t>
            </w:r>
          </w:p>
        </w:tc>
      </w:tr>
      <w:tr w:rsidR="00FF689D" w:rsidRPr="00054E7E" w14:paraId="163E589A" w14:textId="77777777" w:rsidTr="288D5733">
        <w:trPr>
          <w:gridAfter w:val="1"/>
          <w:wAfter w:w="11" w:type="dxa"/>
        </w:trPr>
        <w:tc>
          <w:tcPr>
            <w:tcW w:w="710" w:type="dxa"/>
            <w:vAlign w:val="center"/>
          </w:tcPr>
          <w:p w14:paraId="1A37DCAB" w14:textId="77777777" w:rsidR="00FF689D" w:rsidRPr="00257337" w:rsidRDefault="00656A6B" w:rsidP="00656A6B">
            <w:pPr>
              <w:contextualSpacing/>
              <w:jc w:val="center"/>
              <w:rPr>
                <w:rFonts w:eastAsia="Calibri" w:cs="Times New Roman"/>
                <w:sz w:val="24"/>
                <w:szCs w:val="24"/>
              </w:rPr>
            </w:pPr>
            <w:r>
              <w:rPr>
                <w:rFonts w:eastAsia="Calibri" w:cs="Times New Roman"/>
                <w:sz w:val="24"/>
                <w:szCs w:val="24"/>
              </w:rPr>
              <w:t>5.</w:t>
            </w:r>
          </w:p>
        </w:tc>
        <w:tc>
          <w:tcPr>
            <w:tcW w:w="2438" w:type="dxa"/>
          </w:tcPr>
          <w:p w14:paraId="6C194C42"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Par projektu nosakāmā atbildīgā amatpersona</w:t>
            </w:r>
          </w:p>
        </w:tc>
        <w:tc>
          <w:tcPr>
            <w:tcW w:w="6598" w:type="dxa"/>
            <w:gridSpan w:val="2"/>
          </w:tcPr>
          <w:p w14:paraId="218F6C66" w14:textId="77777777" w:rsidR="00FF689D" w:rsidRPr="00257337" w:rsidRDefault="00AD4E2B" w:rsidP="00AD4E2B">
            <w:pPr>
              <w:jc w:val="both"/>
              <w:rPr>
                <w:rFonts w:eastAsia="Times New Roman" w:cs="Times New Roman"/>
                <w:sz w:val="24"/>
                <w:szCs w:val="24"/>
              </w:rPr>
            </w:pPr>
            <w:proofErr w:type="spellStart"/>
            <w:r>
              <w:rPr>
                <w:rFonts w:eastAsia="Times New Roman" w:cs="Times New Roman"/>
                <w:iCs/>
                <w:sz w:val="24"/>
                <w:szCs w:val="24"/>
              </w:rPr>
              <w:t>S.Āmare</w:t>
            </w:r>
            <w:proofErr w:type="spellEnd"/>
            <w:r>
              <w:rPr>
                <w:rFonts w:eastAsia="Times New Roman" w:cs="Times New Roman"/>
                <w:iCs/>
                <w:sz w:val="24"/>
                <w:szCs w:val="24"/>
              </w:rPr>
              <w:t xml:space="preserve"> – </w:t>
            </w:r>
            <w:proofErr w:type="spellStart"/>
            <w:r>
              <w:rPr>
                <w:rFonts w:eastAsia="Times New Roman" w:cs="Times New Roman"/>
                <w:iCs/>
                <w:sz w:val="24"/>
                <w:szCs w:val="24"/>
              </w:rPr>
              <w:t>Pilka</w:t>
            </w:r>
            <w:proofErr w:type="spellEnd"/>
            <w:r>
              <w:rPr>
                <w:rFonts w:eastAsia="Times New Roman" w:cs="Times New Roman"/>
                <w:iCs/>
                <w:sz w:val="24"/>
                <w:szCs w:val="24"/>
              </w:rPr>
              <w:t xml:space="preserve">, </w:t>
            </w:r>
            <w:r w:rsidR="00FF689D" w:rsidRPr="00257337">
              <w:rPr>
                <w:rFonts w:eastAsia="Times New Roman" w:cs="Times New Roman"/>
                <w:iCs/>
                <w:sz w:val="24"/>
                <w:szCs w:val="24"/>
              </w:rPr>
              <w:t>Ne</w:t>
            </w:r>
            <w:r>
              <w:rPr>
                <w:rFonts w:eastAsia="Times New Roman" w:cs="Times New Roman"/>
                <w:iCs/>
                <w:sz w:val="24"/>
                <w:szCs w:val="24"/>
              </w:rPr>
              <w:t>t</w:t>
            </w:r>
            <w:r w:rsidR="00FF689D" w:rsidRPr="00257337">
              <w:rPr>
                <w:rFonts w:eastAsia="Times New Roman" w:cs="Times New Roman"/>
                <w:iCs/>
                <w:sz w:val="24"/>
                <w:szCs w:val="24"/>
              </w:rPr>
              <w:t>iešo n</w:t>
            </w:r>
            <w:r w:rsidR="004F0C41">
              <w:rPr>
                <w:rFonts w:eastAsia="Times New Roman" w:cs="Times New Roman"/>
                <w:iCs/>
                <w:sz w:val="24"/>
                <w:szCs w:val="24"/>
              </w:rPr>
              <w:t>odokļu departamenta direktore</w:t>
            </w:r>
          </w:p>
        </w:tc>
      </w:tr>
      <w:tr w:rsidR="00FF689D" w:rsidRPr="00054E7E" w14:paraId="7BCA1F9A" w14:textId="77777777" w:rsidTr="288D5733">
        <w:trPr>
          <w:gridAfter w:val="1"/>
          <w:wAfter w:w="11" w:type="dxa"/>
        </w:trPr>
        <w:tc>
          <w:tcPr>
            <w:tcW w:w="710" w:type="dxa"/>
            <w:vAlign w:val="center"/>
          </w:tcPr>
          <w:p w14:paraId="70D9D3B9" w14:textId="77777777" w:rsidR="00FF689D" w:rsidRPr="00257337" w:rsidRDefault="00656A6B" w:rsidP="00656A6B">
            <w:pPr>
              <w:contextualSpacing/>
              <w:jc w:val="center"/>
              <w:rPr>
                <w:rFonts w:eastAsia="Calibri" w:cs="Times New Roman"/>
                <w:sz w:val="24"/>
                <w:szCs w:val="24"/>
              </w:rPr>
            </w:pPr>
            <w:r>
              <w:rPr>
                <w:rFonts w:eastAsia="Calibri" w:cs="Times New Roman"/>
                <w:sz w:val="24"/>
                <w:szCs w:val="24"/>
              </w:rPr>
              <w:t>6.</w:t>
            </w:r>
          </w:p>
        </w:tc>
        <w:tc>
          <w:tcPr>
            <w:tcW w:w="2438" w:type="dxa"/>
          </w:tcPr>
          <w:p w14:paraId="6F9C60DB"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Nosakāmais projekta sagatavotājs (ja nepieciešams)</w:t>
            </w:r>
          </w:p>
        </w:tc>
        <w:tc>
          <w:tcPr>
            <w:tcW w:w="6598" w:type="dxa"/>
            <w:gridSpan w:val="2"/>
          </w:tcPr>
          <w:p w14:paraId="5D3CAD1D" w14:textId="77777777" w:rsidR="00FF689D" w:rsidRPr="00257337" w:rsidRDefault="00544FE2" w:rsidP="002C4C4D">
            <w:pPr>
              <w:jc w:val="both"/>
              <w:rPr>
                <w:rFonts w:eastAsia="Times New Roman" w:cs="Times New Roman"/>
                <w:sz w:val="24"/>
                <w:szCs w:val="24"/>
              </w:rPr>
            </w:pPr>
            <w:proofErr w:type="spellStart"/>
            <w:r>
              <w:rPr>
                <w:rFonts w:eastAsia="Times New Roman" w:cs="Times New Roman"/>
                <w:iCs/>
                <w:sz w:val="24"/>
                <w:szCs w:val="24"/>
              </w:rPr>
              <w:t>J.Kuhaļska</w:t>
            </w:r>
            <w:proofErr w:type="spellEnd"/>
            <w:r w:rsidR="00AD4E2B">
              <w:rPr>
                <w:rFonts w:eastAsia="Times New Roman" w:cs="Times New Roman"/>
                <w:iCs/>
                <w:sz w:val="24"/>
                <w:szCs w:val="24"/>
              </w:rPr>
              <w:t xml:space="preserve">, </w:t>
            </w:r>
            <w:r w:rsidR="00FF689D" w:rsidRPr="00257337">
              <w:rPr>
                <w:rFonts w:eastAsia="Times New Roman" w:cs="Times New Roman"/>
                <w:iCs/>
                <w:sz w:val="24"/>
                <w:szCs w:val="24"/>
              </w:rPr>
              <w:t>Ne</w:t>
            </w:r>
            <w:r w:rsidR="00AD4E2B">
              <w:rPr>
                <w:rFonts w:eastAsia="Times New Roman" w:cs="Times New Roman"/>
                <w:iCs/>
                <w:sz w:val="24"/>
                <w:szCs w:val="24"/>
              </w:rPr>
              <w:t>t</w:t>
            </w:r>
            <w:r w:rsidR="00FF689D" w:rsidRPr="00257337">
              <w:rPr>
                <w:rFonts w:eastAsia="Times New Roman" w:cs="Times New Roman"/>
                <w:iCs/>
                <w:sz w:val="24"/>
                <w:szCs w:val="24"/>
              </w:rPr>
              <w:t xml:space="preserve">iešo nodokļu departamenta </w:t>
            </w:r>
            <w:r w:rsidR="00B975BA">
              <w:rPr>
                <w:rFonts w:eastAsia="Times New Roman" w:cs="Times New Roman"/>
                <w:iCs/>
                <w:sz w:val="24"/>
                <w:szCs w:val="24"/>
              </w:rPr>
              <w:t>Pievienotās vērtības nodokļa nodaļas</w:t>
            </w:r>
            <w:r w:rsidR="00B975BA" w:rsidRPr="00257337">
              <w:rPr>
                <w:rFonts w:eastAsia="Times New Roman" w:cs="Times New Roman"/>
                <w:iCs/>
                <w:sz w:val="24"/>
                <w:szCs w:val="24"/>
              </w:rPr>
              <w:t xml:space="preserve"> </w:t>
            </w:r>
            <w:r w:rsidR="002C4C4D">
              <w:rPr>
                <w:rFonts w:eastAsia="Times New Roman" w:cs="Times New Roman"/>
                <w:iCs/>
                <w:sz w:val="24"/>
                <w:szCs w:val="24"/>
              </w:rPr>
              <w:t>vecākā eksperte</w:t>
            </w:r>
          </w:p>
        </w:tc>
      </w:tr>
      <w:tr w:rsidR="00FF689D" w:rsidRPr="00054E7E" w14:paraId="147E5DB4" w14:textId="77777777" w:rsidTr="288D5733">
        <w:trPr>
          <w:gridAfter w:val="1"/>
          <w:wAfter w:w="11" w:type="dxa"/>
        </w:trPr>
        <w:tc>
          <w:tcPr>
            <w:tcW w:w="710" w:type="dxa"/>
            <w:vAlign w:val="center"/>
          </w:tcPr>
          <w:p w14:paraId="142B50A2" w14:textId="77777777" w:rsidR="00FF689D" w:rsidRPr="00257337" w:rsidRDefault="00656A6B" w:rsidP="00656A6B">
            <w:pPr>
              <w:contextualSpacing/>
              <w:jc w:val="center"/>
              <w:rPr>
                <w:rFonts w:eastAsia="Calibri" w:cs="Times New Roman"/>
                <w:sz w:val="24"/>
                <w:szCs w:val="24"/>
              </w:rPr>
            </w:pPr>
            <w:r>
              <w:rPr>
                <w:rFonts w:eastAsia="Calibri" w:cs="Times New Roman"/>
                <w:sz w:val="24"/>
                <w:szCs w:val="24"/>
              </w:rPr>
              <w:t>7.</w:t>
            </w:r>
          </w:p>
        </w:tc>
        <w:tc>
          <w:tcPr>
            <w:tcW w:w="2438" w:type="dxa"/>
          </w:tcPr>
          <w:p w14:paraId="5CC109BA"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Darba grupas vadītājs un iespējamais sastāvs (ja nepieciešams)</w:t>
            </w:r>
          </w:p>
        </w:tc>
        <w:tc>
          <w:tcPr>
            <w:tcW w:w="6598" w:type="dxa"/>
            <w:gridSpan w:val="2"/>
          </w:tcPr>
          <w:p w14:paraId="749F0B38" w14:textId="77777777" w:rsidR="00FF689D" w:rsidRPr="00257337" w:rsidRDefault="00AD4E2B" w:rsidP="00257337">
            <w:pPr>
              <w:jc w:val="both"/>
              <w:rPr>
                <w:rFonts w:eastAsia="Times New Roman" w:cs="Times New Roman"/>
                <w:sz w:val="24"/>
                <w:szCs w:val="24"/>
              </w:rPr>
            </w:pPr>
            <w:r>
              <w:rPr>
                <w:rFonts w:eastAsia="Times New Roman" w:cs="Times New Roman"/>
                <w:sz w:val="24"/>
                <w:szCs w:val="24"/>
              </w:rPr>
              <w:t>Darba grupu veidot nav nepieciešams.</w:t>
            </w:r>
          </w:p>
        </w:tc>
      </w:tr>
      <w:tr w:rsidR="00AD4E2B" w:rsidRPr="00054E7E" w14:paraId="54196248" w14:textId="77777777" w:rsidTr="288D5733">
        <w:trPr>
          <w:gridAfter w:val="1"/>
          <w:wAfter w:w="11" w:type="dxa"/>
        </w:trPr>
        <w:tc>
          <w:tcPr>
            <w:tcW w:w="710" w:type="dxa"/>
            <w:vAlign w:val="center"/>
          </w:tcPr>
          <w:p w14:paraId="4EDD8DB1" w14:textId="77777777" w:rsidR="00AD4E2B" w:rsidRDefault="00AD4E2B" w:rsidP="00656A6B">
            <w:pPr>
              <w:contextualSpacing/>
              <w:jc w:val="center"/>
              <w:rPr>
                <w:rFonts w:eastAsia="Calibri" w:cs="Times New Roman"/>
                <w:sz w:val="24"/>
                <w:szCs w:val="24"/>
              </w:rPr>
            </w:pPr>
            <w:r>
              <w:rPr>
                <w:rFonts w:eastAsia="Calibri" w:cs="Times New Roman"/>
                <w:sz w:val="24"/>
                <w:szCs w:val="24"/>
              </w:rPr>
              <w:t>8.</w:t>
            </w:r>
          </w:p>
        </w:tc>
        <w:tc>
          <w:tcPr>
            <w:tcW w:w="2438" w:type="dxa"/>
          </w:tcPr>
          <w:p w14:paraId="2491AE32" w14:textId="77777777" w:rsidR="00AD4E2B" w:rsidRPr="00257337" w:rsidRDefault="00AD4E2B" w:rsidP="00FF689D">
            <w:pPr>
              <w:jc w:val="both"/>
              <w:rPr>
                <w:rFonts w:eastAsia="Times New Roman" w:cs="Times New Roman"/>
                <w:sz w:val="24"/>
                <w:szCs w:val="24"/>
              </w:rPr>
            </w:pPr>
            <w:r>
              <w:rPr>
                <w:rFonts w:eastAsia="Times New Roman" w:cs="Times New Roman"/>
                <w:sz w:val="24"/>
                <w:szCs w:val="24"/>
              </w:rPr>
              <w:t>Sabiedrības līdzdalība</w:t>
            </w:r>
          </w:p>
        </w:tc>
        <w:tc>
          <w:tcPr>
            <w:tcW w:w="6598" w:type="dxa"/>
            <w:gridSpan w:val="2"/>
          </w:tcPr>
          <w:p w14:paraId="03D4876A" w14:textId="628BEDE9" w:rsidR="006216AB" w:rsidRDefault="00645C28" w:rsidP="006216AB">
            <w:pPr>
              <w:jc w:val="both"/>
              <w:rPr>
                <w:rFonts w:eastAsia="Times New Roman" w:cs="Times New Roman"/>
                <w:sz w:val="24"/>
                <w:szCs w:val="24"/>
              </w:rPr>
            </w:pPr>
            <w:r w:rsidRPr="00645C28">
              <w:rPr>
                <w:rFonts w:eastAsia="Times New Roman" w:cs="Times New Roman"/>
                <w:sz w:val="24"/>
                <w:szCs w:val="24"/>
              </w:rPr>
              <w:t>Uzziņa par tiesību akta projekta izstrādi</w:t>
            </w:r>
            <w:r w:rsidR="00BC7CA3">
              <w:rPr>
                <w:rFonts w:eastAsia="Times New Roman" w:cs="Times New Roman"/>
                <w:sz w:val="24"/>
                <w:szCs w:val="24"/>
              </w:rPr>
              <w:t xml:space="preserve"> tiks publicēta Finanšu ministrijas</w:t>
            </w:r>
            <w:r w:rsidRPr="00645C28">
              <w:rPr>
                <w:rFonts w:eastAsia="Times New Roman" w:cs="Times New Roman"/>
                <w:sz w:val="24"/>
                <w:szCs w:val="24"/>
              </w:rPr>
              <w:t xml:space="preserve"> mājas lapā</w:t>
            </w:r>
            <w:r w:rsidR="006216AB">
              <w:rPr>
                <w:rFonts w:eastAsia="Times New Roman" w:cs="Times New Roman"/>
                <w:sz w:val="24"/>
                <w:szCs w:val="24"/>
              </w:rPr>
              <w:t>.</w:t>
            </w:r>
            <w:r w:rsidR="00412095">
              <w:rPr>
                <w:rFonts w:eastAsia="Times New Roman" w:cs="Times New Roman"/>
                <w:sz w:val="24"/>
                <w:szCs w:val="24"/>
              </w:rPr>
              <w:t xml:space="preserve"> </w:t>
            </w:r>
          </w:p>
          <w:p w14:paraId="0B5B996B" w14:textId="77777777" w:rsidR="00AD4E2B" w:rsidRDefault="006216AB" w:rsidP="00544FE2">
            <w:pPr>
              <w:jc w:val="both"/>
              <w:rPr>
                <w:rFonts w:eastAsia="Times New Roman" w:cs="Times New Roman"/>
                <w:sz w:val="24"/>
                <w:szCs w:val="24"/>
              </w:rPr>
            </w:pPr>
            <w:r>
              <w:rPr>
                <w:rFonts w:eastAsia="Times New Roman" w:cs="Times New Roman"/>
                <w:sz w:val="24"/>
                <w:szCs w:val="24"/>
              </w:rPr>
              <w:t>Tāpat i</w:t>
            </w:r>
            <w:r w:rsidR="000831CF">
              <w:rPr>
                <w:rFonts w:eastAsia="Times New Roman" w:cs="Times New Roman"/>
                <w:sz w:val="24"/>
                <w:szCs w:val="24"/>
              </w:rPr>
              <w:t>nformācija</w:t>
            </w:r>
            <w:r w:rsidR="00412095">
              <w:rPr>
                <w:rFonts w:eastAsia="Times New Roman" w:cs="Times New Roman"/>
                <w:sz w:val="24"/>
                <w:szCs w:val="24"/>
              </w:rPr>
              <w:t xml:space="preserve"> </w:t>
            </w:r>
            <w:r w:rsidR="004C1961">
              <w:rPr>
                <w:rFonts w:eastAsia="Times New Roman" w:cs="Times New Roman"/>
                <w:sz w:val="24"/>
                <w:szCs w:val="24"/>
              </w:rPr>
              <w:t>p</w:t>
            </w:r>
            <w:r w:rsidR="004C1961" w:rsidRPr="004C1961">
              <w:rPr>
                <w:rFonts w:eastAsia="Times New Roman" w:cs="Times New Roman"/>
                <w:sz w:val="24"/>
                <w:szCs w:val="24"/>
              </w:rPr>
              <w:t xml:space="preserve">ar likumprojektu tiks </w:t>
            </w:r>
            <w:r w:rsidR="000831CF">
              <w:rPr>
                <w:rFonts w:eastAsia="Times New Roman" w:cs="Times New Roman"/>
                <w:sz w:val="24"/>
                <w:szCs w:val="24"/>
              </w:rPr>
              <w:t>nosūtīta</w:t>
            </w:r>
            <w:r w:rsidR="004C1961" w:rsidRPr="004C1961">
              <w:rPr>
                <w:rFonts w:eastAsia="Times New Roman" w:cs="Times New Roman"/>
                <w:sz w:val="24"/>
                <w:szCs w:val="24"/>
              </w:rPr>
              <w:t xml:space="preserve"> Latvijas Darba devēju konfederācijai, Latvijas Nodokļu konsultantu asociāc</w:t>
            </w:r>
            <w:r w:rsidR="00544FE2">
              <w:rPr>
                <w:rFonts w:eastAsia="Times New Roman" w:cs="Times New Roman"/>
                <w:sz w:val="24"/>
                <w:szCs w:val="24"/>
              </w:rPr>
              <w:t>ijai,</w:t>
            </w:r>
            <w:r w:rsidR="004C1961" w:rsidRPr="004C1961">
              <w:rPr>
                <w:rFonts w:eastAsia="Times New Roman" w:cs="Times New Roman"/>
                <w:sz w:val="24"/>
                <w:szCs w:val="24"/>
              </w:rPr>
              <w:t xml:space="preserve"> Latvijas Tirdzniecības un rūpniecības kamerai</w:t>
            </w:r>
            <w:r w:rsidR="00544FE2">
              <w:rPr>
                <w:rFonts w:eastAsia="Times New Roman" w:cs="Times New Roman"/>
                <w:sz w:val="24"/>
                <w:szCs w:val="24"/>
              </w:rPr>
              <w:t xml:space="preserve"> un Latvijas nodokļu maksātāju tiesību asociācijai</w:t>
            </w:r>
            <w:r w:rsidR="004C1961" w:rsidRPr="004C1961">
              <w:rPr>
                <w:rFonts w:eastAsia="Times New Roman" w:cs="Times New Roman"/>
                <w:sz w:val="24"/>
                <w:szCs w:val="24"/>
              </w:rPr>
              <w:t>.</w:t>
            </w:r>
            <w:r w:rsidR="00002FC2">
              <w:rPr>
                <w:rFonts w:eastAsia="Times New Roman" w:cs="Times New Roman"/>
                <w:sz w:val="24"/>
                <w:szCs w:val="24"/>
              </w:rPr>
              <w:t xml:space="preserve"> </w:t>
            </w:r>
          </w:p>
        </w:tc>
      </w:tr>
      <w:tr w:rsidR="00FF689D" w:rsidRPr="00054E7E" w14:paraId="4815E7B1" w14:textId="77777777" w:rsidTr="288D5733">
        <w:trPr>
          <w:gridAfter w:val="1"/>
          <w:wAfter w:w="11" w:type="dxa"/>
        </w:trPr>
        <w:tc>
          <w:tcPr>
            <w:tcW w:w="710" w:type="dxa"/>
            <w:vAlign w:val="center"/>
          </w:tcPr>
          <w:p w14:paraId="6CDC37C6" w14:textId="77777777" w:rsidR="00FF689D" w:rsidRPr="00257337" w:rsidRDefault="00AD4E2B" w:rsidP="00656A6B">
            <w:pPr>
              <w:contextualSpacing/>
              <w:jc w:val="center"/>
              <w:rPr>
                <w:rFonts w:eastAsia="Calibri" w:cs="Times New Roman"/>
                <w:sz w:val="24"/>
                <w:szCs w:val="24"/>
              </w:rPr>
            </w:pPr>
            <w:r>
              <w:rPr>
                <w:rFonts w:eastAsia="Calibri" w:cs="Times New Roman"/>
                <w:sz w:val="24"/>
                <w:szCs w:val="24"/>
              </w:rPr>
              <w:t>9</w:t>
            </w:r>
            <w:r w:rsidR="00656A6B">
              <w:rPr>
                <w:rFonts w:eastAsia="Calibri" w:cs="Times New Roman"/>
                <w:sz w:val="24"/>
                <w:szCs w:val="24"/>
              </w:rPr>
              <w:t>.</w:t>
            </w:r>
          </w:p>
        </w:tc>
        <w:tc>
          <w:tcPr>
            <w:tcW w:w="2438" w:type="dxa"/>
          </w:tcPr>
          <w:p w14:paraId="57549C0B"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Ministrijas struktūrvienības un padotības iestādēm</w:t>
            </w:r>
            <w:r w:rsidR="000220F6">
              <w:rPr>
                <w:rFonts w:eastAsia="Times New Roman" w:cs="Times New Roman"/>
                <w:sz w:val="24"/>
                <w:szCs w:val="24"/>
              </w:rPr>
              <w:t>,</w:t>
            </w:r>
            <w:r w:rsidRPr="00257337">
              <w:rPr>
                <w:rFonts w:eastAsia="Times New Roman" w:cs="Times New Roman"/>
                <w:sz w:val="24"/>
                <w:szCs w:val="24"/>
              </w:rPr>
              <w:t xml:space="preserve"> ar kurām projekts jāsaskaņo</w:t>
            </w:r>
          </w:p>
        </w:tc>
        <w:tc>
          <w:tcPr>
            <w:tcW w:w="6598" w:type="dxa"/>
            <w:gridSpan w:val="2"/>
          </w:tcPr>
          <w:p w14:paraId="63F3283D" w14:textId="77777777" w:rsidR="00FF689D" w:rsidRPr="00C048F9" w:rsidRDefault="00E9673A" w:rsidP="003F3066">
            <w:pPr>
              <w:pStyle w:val="ListParagraph"/>
              <w:numPr>
                <w:ilvl w:val="0"/>
                <w:numId w:val="10"/>
              </w:numPr>
              <w:jc w:val="both"/>
              <w:rPr>
                <w:rFonts w:cs="Times New Roman"/>
                <w:iCs/>
                <w:sz w:val="24"/>
                <w:szCs w:val="24"/>
              </w:rPr>
            </w:pPr>
            <w:r w:rsidRPr="00C048F9">
              <w:rPr>
                <w:rFonts w:cs="Times New Roman"/>
                <w:iCs/>
                <w:sz w:val="24"/>
                <w:szCs w:val="24"/>
              </w:rPr>
              <w:t>Juridiskais departaments</w:t>
            </w:r>
            <w:r w:rsidR="003F3066" w:rsidRPr="00C048F9">
              <w:rPr>
                <w:rFonts w:cs="Times New Roman"/>
                <w:iCs/>
                <w:sz w:val="24"/>
                <w:szCs w:val="24"/>
              </w:rPr>
              <w:t>;</w:t>
            </w:r>
          </w:p>
          <w:p w14:paraId="025B88A0" w14:textId="77777777" w:rsidR="00A27332" w:rsidRDefault="00A27332" w:rsidP="003F3066">
            <w:pPr>
              <w:pStyle w:val="ListParagraph"/>
              <w:numPr>
                <w:ilvl w:val="0"/>
                <w:numId w:val="10"/>
              </w:numPr>
              <w:jc w:val="both"/>
              <w:rPr>
                <w:rFonts w:cs="Times New Roman"/>
                <w:iCs/>
                <w:sz w:val="24"/>
                <w:szCs w:val="24"/>
              </w:rPr>
            </w:pPr>
            <w:r w:rsidRPr="00C048F9">
              <w:rPr>
                <w:rFonts w:cs="Times New Roman"/>
                <w:iCs/>
                <w:sz w:val="24"/>
                <w:szCs w:val="24"/>
              </w:rPr>
              <w:t>Nodokļu analīzes departaments</w:t>
            </w:r>
            <w:r w:rsidR="003F3066" w:rsidRPr="00C048F9">
              <w:rPr>
                <w:rFonts w:cs="Times New Roman"/>
                <w:iCs/>
                <w:sz w:val="24"/>
                <w:szCs w:val="24"/>
              </w:rPr>
              <w:t>;</w:t>
            </w:r>
          </w:p>
          <w:p w14:paraId="0C951B26" w14:textId="77777777" w:rsidR="00253B0A" w:rsidRPr="00C048F9" w:rsidRDefault="00253B0A" w:rsidP="003F3066">
            <w:pPr>
              <w:pStyle w:val="ListParagraph"/>
              <w:numPr>
                <w:ilvl w:val="0"/>
                <w:numId w:val="10"/>
              </w:numPr>
              <w:jc w:val="both"/>
              <w:rPr>
                <w:rFonts w:cs="Times New Roman"/>
                <w:iCs/>
                <w:sz w:val="24"/>
                <w:szCs w:val="24"/>
              </w:rPr>
            </w:pPr>
            <w:r>
              <w:rPr>
                <w:rFonts w:cs="Times New Roman"/>
                <w:iCs/>
                <w:sz w:val="24"/>
                <w:szCs w:val="24"/>
              </w:rPr>
              <w:t>Budžeta departaments;</w:t>
            </w:r>
          </w:p>
          <w:p w14:paraId="4F3F3D0C" w14:textId="77777777" w:rsidR="006216AB" w:rsidRPr="002E4376" w:rsidRDefault="003F3066" w:rsidP="002E4376">
            <w:pPr>
              <w:pStyle w:val="ListParagraph"/>
              <w:numPr>
                <w:ilvl w:val="0"/>
                <w:numId w:val="10"/>
              </w:numPr>
              <w:jc w:val="both"/>
              <w:rPr>
                <w:rFonts w:cs="Times New Roman"/>
                <w:iCs/>
                <w:sz w:val="24"/>
                <w:szCs w:val="24"/>
              </w:rPr>
            </w:pPr>
            <w:r w:rsidRPr="00C048F9">
              <w:rPr>
                <w:rFonts w:cs="Times New Roman"/>
                <w:iCs/>
                <w:sz w:val="24"/>
                <w:szCs w:val="24"/>
              </w:rPr>
              <w:t>V</w:t>
            </w:r>
            <w:r w:rsidR="00B975BA" w:rsidRPr="00C048F9">
              <w:rPr>
                <w:rFonts w:cs="Times New Roman"/>
                <w:iCs/>
                <w:sz w:val="24"/>
                <w:szCs w:val="24"/>
              </w:rPr>
              <w:t>alsts ieņēmumu dienests</w:t>
            </w:r>
            <w:r w:rsidR="002E4376">
              <w:rPr>
                <w:rFonts w:cs="Times New Roman"/>
                <w:iCs/>
                <w:sz w:val="24"/>
                <w:szCs w:val="24"/>
              </w:rPr>
              <w:t>.</w:t>
            </w:r>
          </w:p>
        </w:tc>
      </w:tr>
      <w:tr w:rsidR="00FF689D" w:rsidRPr="00054E7E" w14:paraId="2DC25D13" w14:textId="77777777" w:rsidTr="288D5733">
        <w:trPr>
          <w:gridAfter w:val="1"/>
          <w:wAfter w:w="11" w:type="dxa"/>
        </w:trPr>
        <w:tc>
          <w:tcPr>
            <w:tcW w:w="710" w:type="dxa"/>
            <w:vAlign w:val="center"/>
          </w:tcPr>
          <w:p w14:paraId="0B6642E7" w14:textId="77777777" w:rsidR="00FF689D" w:rsidRPr="00257337" w:rsidRDefault="003F3066" w:rsidP="00656A6B">
            <w:pPr>
              <w:contextualSpacing/>
              <w:jc w:val="center"/>
              <w:rPr>
                <w:rFonts w:eastAsia="Calibri" w:cs="Times New Roman"/>
                <w:sz w:val="24"/>
                <w:szCs w:val="24"/>
              </w:rPr>
            </w:pPr>
            <w:r>
              <w:rPr>
                <w:rFonts w:eastAsia="Calibri" w:cs="Times New Roman"/>
                <w:sz w:val="24"/>
                <w:szCs w:val="24"/>
              </w:rPr>
              <w:t>10</w:t>
            </w:r>
            <w:r w:rsidR="00656A6B">
              <w:rPr>
                <w:rFonts w:eastAsia="Calibri" w:cs="Times New Roman"/>
                <w:sz w:val="24"/>
                <w:szCs w:val="24"/>
              </w:rPr>
              <w:t>.</w:t>
            </w:r>
          </w:p>
        </w:tc>
        <w:tc>
          <w:tcPr>
            <w:tcW w:w="2438" w:type="dxa"/>
          </w:tcPr>
          <w:p w14:paraId="6D2143F9"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Saskaņošanas termiņš</w:t>
            </w:r>
          </w:p>
        </w:tc>
        <w:tc>
          <w:tcPr>
            <w:tcW w:w="6598" w:type="dxa"/>
            <w:gridSpan w:val="2"/>
          </w:tcPr>
          <w:p w14:paraId="3039A02B" w14:textId="77777777" w:rsidR="00FF689D" w:rsidRPr="00257337" w:rsidRDefault="005326E7" w:rsidP="00494D4A">
            <w:pPr>
              <w:jc w:val="both"/>
              <w:rPr>
                <w:rFonts w:eastAsia="Times New Roman" w:cs="Times New Roman"/>
                <w:sz w:val="24"/>
                <w:szCs w:val="24"/>
              </w:rPr>
            </w:pPr>
            <w:r>
              <w:rPr>
                <w:rFonts w:eastAsia="Times New Roman" w:cs="Times New Roman"/>
                <w:sz w:val="24"/>
                <w:szCs w:val="24"/>
              </w:rPr>
              <w:t>03.05</w:t>
            </w:r>
            <w:r w:rsidR="002E4376">
              <w:rPr>
                <w:rFonts w:eastAsia="Times New Roman" w:cs="Times New Roman"/>
                <w:sz w:val="24"/>
                <w:szCs w:val="24"/>
              </w:rPr>
              <w:t>.202</w:t>
            </w:r>
            <w:r w:rsidR="00253B0A">
              <w:rPr>
                <w:rFonts w:eastAsia="Times New Roman" w:cs="Times New Roman"/>
                <w:sz w:val="24"/>
                <w:szCs w:val="24"/>
              </w:rPr>
              <w:t>1</w:t>
            </w:r>
            <w:r w:rsidR="00C048F9">
              <w:rPr>
                <w:rFonts w:eastAsia="Times New Roman" w:cs="Times New Roman"/>
                <w:sz w:val="24"/>
                <w:szCs w:val="24"/>
              </w:rPr>
              <w:t>.</w:t>
            </w:r>
            <w:r w:rsidR="005157E3">
              <w:rPr>
                <w:rFonts w:eastAsia="Times New Roman" w:cs="Times New Roman"/>
                <w:sz w:val="24"/>
                <w:szCs w:val="24"/>
              </w:rPr>
              <w:t xml:space="preserve"> (</w:t>
            </w:r>
            <w:r w:rsidR="00C048F9">
              <w:rPr>
                <w:rFonts w:eastAsia="Times New Roman" w:cs="Times New Roman"/>
                <w:sz w:val="24"/>
                <w:szCs w:val="24"/>
              </w:rPr>
              <w:t>nosūtīšanas saskaņošanai termiņš</w:t>
            </w:r>
            <w:r w:rsidR="005157E3">
              <w:rPr>
                <w:rFonts w:eastAsia="Times New Roman" w:cs="Times New Roman"/>
                <w:sz w:val="24"/>
                <w:szCs w:val="24"/>
              </w:rPr>
              <w:t xml:space="preserve"> </w:t>
            </w:r>
            <w:r w:rsidR="00494D4A">
              <w:rPr>
                <w:rFonts w:eastAsia="Times New Roman" w:cs="Times New Roman"/>
                <w:sz w:val="24"/>
                <w:szCs w:val="24"/>
              </w:rPr>
              <w:t>19</w:t>
            </w:r>
            <w:r w:rsidR="00253B0A">
              <w:rPr>
                <w:rFonts w:eastAsia="Times New Roman" w:cs="Times New Roman"/>
                <w:sz w:val="24"/>
                <w:szCs w:val="24"/>
              </w:rPr>
              <w:t>.04.2021</w:t>
            </w:r>
            <w:r w:rsidR="00C048F9">
              <w:rPr>
                <w:rFonts w:eastAsia="Times New Roman" w:cs="Times New Roman"/>
                <w:sz w:val="24"/>
                <w:szCs w:val="24"/>
              </w:rPr>
              <w:t>.</w:t>
            </w:r>
            <w:r w:rsidR="00350CB5">
              <w:rPr>
                <w:rFonts w:eastAsia="Times New Roman" w:cs="Times New Roman"/>
                <w:sz w:val="24"/>
                <w:szCs w:val="24"/>
              </w:rPr>
              <w:t>)</w:t>
            </w:r>
            <w:r w:rsidR="005157E3">
              <w:rPr>
                <w:rFonts w:eastAsia="Times New Roman" w:cs="Times New Roman"/>
                <w:sz w:val="24"/>
                <w:szCs w:val="24"/>
              </w:rPr>
              <w:t>.</w:t>
            </w:r>
          </w:p>
        </w:tc>
      </w:tr>
      <w:tr w:rsidR="00FF689D" w:rsidRPr="00054E7E" w14:paraId="34C5EB36" w14:textId="77777777" w:rsidTr="288D5733">
        <w:trPr>
          <w:gridAfter w:val="1"/>
          <w:wAfter w:w="11" w:type="dxa"/>
        </w:trPr>
        <w:tc>
          <w:tcPr>
            <w:tcW w:w="710" w:type="dxa"/>
            <w:vAlign w:val="center"/>
          </w:tcPr>
          <w:p w14:paraId="1479785F" w14:textId="77777777" w:rsidR="00FF689D" w:rsidRPr="00257337" w:rsidRDefault="003F3066" w:rsidP="00656A6B">
            <w:pPr>
              <w:contextualSpacing/>
              <w:jc w:val="center"/>
              <w:rPr>
                <w:rFonts w:eastAsia="Calibri" w:cs="Times New Roman"/>
                <w:sz w:val="24"/>
                <w:szCs w:val="24"/>
              </w:rPr>
            </w:pPr>
            <w:r>
              <w:rPr>
                <w:rFonts w:eastAsia="Calibri" w:cs="Times New Roman"/>
                <w:sz w:val="24"/>
                <w:szCs w:val="24"/>
              </w:rPr>
              <w:t>11</w:t>
            </w:r>
            <w:r w:rsidR="00656A6B">
              <w:rPr>
                <w:rFonts w:eastAsia="Calibri" w:cs="Times New Roman"/>
                <w:sz w:val="24"/>
                <w:szCs w:val="24"/>
              </w:rPr>
              <w:t>.</w:t>
            </w:r>
          </w:p>
        </w:tc>
        <w:tc>
          <w:tcPr>
            <w:tcW w:w="2438" w:type="dxa"/>
          </w:tcPr>
          <w:p w14:paraId="130B9F85"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Prognozējamā projekta finansiālā ietekme uz valsts budžetu</w:t>
            </w:r>
          </w:p>
        </w:tc>
        <w:tc>
          <w:tcPr>
            <w:tcW w:w="6598" w:type="dxa"/>
            <w:gridSpan w:val="2"/>
          </w:tcPr>
          <w:p w14:paraId="3FF35DF9" w14:textId="77777777" w:rsidR="00123108" w:rsidRDefault="00C048F9" w:rsidP="00123108">
            <w:pPr>
              <w:tabs>
                <w:tab w:val="num" w:pos="1440"/>
              </w:tabs>
              <w:jc w:val="both"/>
              <w:rPr>
                <w:rFonts w:eastAsia="Times New Roman" w:cs="Times New Roman"/>
                <w:i/>
                <w:sz w:val="24"/>
                <w:szCs w:val="24"/>
              </w:rPr>
            </w:pPr>
            <w:r w:rsidRPr="00123108">
              <w:rPr>
                <w:rFonts w:eastAsia="Times New Roman" w:cs="Times New Roman"/>
                <w:sz w:val="24"/>
                <w:szCs w:val="24"/>
              </w:rPr>
              <w:t xml:space="preserve">Projektā noteiktajam regulējumam </w:t>
            </w:r>
            <w:r w:rsidR="00123108" w:rsidRPr="00123108">
              <w:rPr>
                <w:rFonts w:eastAsia="Times New Roman" w:cs="Times New Roman"/>
                <w:sz w:val="24"/>
                <w:szCs w:val="24"/>
              </w:rPr>
              <w:t xml:space="preserve">attiecībā uz BEREC biroja mītnes līguma izpildi ir plānota negatīvā ietekme uz valsts budžetu ne mazākā apmērā kā iepriekšējos periodos veiktā PVN atmaksa. Par 2017.gadu veikta PVN atmaksa 320 958,83 </w:t>
            </w:r>
            <w:proofErr w:type="spellStart"/>
            <w:r w:rsidR="00123108" w:rsidRPr="00123108">
              <w:rPr>
                <w:rFonts w:eastAsia="Times New Roman" w:cs="Times New Roman"/>
                <w:i/>
                <w:sz w:val="24"/>
                <w:szCs w:val="24"/>
              </w:rPr>
              <w:t>euro</w:t>
            </w:r>
            <w:proofErr w:type="spellEnd"/>
            <w:r w:rsidR="00123108" w:rsidRPr="00123108">
              <w:rPr>
                <w:rFonts w:eastAsia="Times New Roman" w:cs="Times New Roman"/>
                <w:sz w:val="24"/>
                <w:szCs w:val="24"/>
              </w:rPr>
              <w:t xml:space="preserve"> apmērā, par 2018.gadu - 249 073,34 </w:t>
            </w:r>
            <w:proofErr w:type="spellStart"/>
            <w:r w:rsidR="00123108" w:rsidRPr="00123108">
              <w:rPr>
                <w:rFonts w:eastAsia="Times New Roman" w:cs="Times New Roman"/>
                <w:i/>
                <w:sz w:val="24"/>
                <w:szCs w:val="24"/>
              </w:rPr>
              <w:t>euro</w:t>
            </w:r>
            <w:proofErr w:type="spellEnd"/>
            <w:r w:rsidR="00123108" w:rsidRPr="00123108">
              <w:rPr>
                <w:rFonts w:eastAsia="Times New Roman" w:cs="Times New Roman"/>
                <w:sz w:val="24"/>
                <w:szCs w:val="24"/>
              </w:rPr>
              <w:t xml:space="preserve">, par 2019.gadu - 342 892,17 </w:t>
            </w:r>
            <w:proofErr w:type="spellStart"/>
            <w:r w:rsidR="00123108" w:rsidRPr="00123108">
              <w:rPr>
                <w:rFonts w:eastAsia="Times New Roman" w:cs="Times New Roman"/>
                <w:i/>
                <w:sz w:val="24"/>
                <w:szCs w:val="24"/>
              </w:rPr>
              <w:t>euro</w:t>
            </w:r>
            <w:proofErr w:type="spellEnd"/>
            <w:r w:rsidR="00123108" w:rsidRPr="00123108">
              <w:rPr>
                <w:rFonts w:eastAsia="Times New Roman" w:cs="Times New Roman"/>
                <w:sz w:val="24"/>
                <w:szCs w:val="24"/>
              </w:rPr>
              <w:t xml:space="preserve">, par 2020.gada I ceturksni - 112 831,65 </w:t>
            </w:r>
            <w:proofErr w:type="spellStart"/>
            <w:r w:rsidR="00123108" w:rsidRPr="00123108">
              <w:rPr>
                <w:rFonts w:eastAsia="Times New Roman" w:cs="Times New Roman"/>
                <w:i/>
                <w:sz w:val="24"/>
                <w:szCs w:val="24"/>
              </w:rPr>
              <w:t>euro</w:t>
            </w:r>
            <w:proofErr w:type="spellEnd"/>
            <w:r w:rsidR="00123108" w:rsidRPr="00123108">
              <w:rPr>
                <w:rFonts w:eastAsia="Times New Roman" w:cs="Times New Roman"/>
                <w:i/>
                <w:sz w:val="24"/>
                <w:szCs w:val="24"/>
              </w:rPr>
              <w:t>.</w:t>
            </w:r>
          </w:p>
          <w:p w14:paraId="7668FD2F" w14:textId="77777777" w:rsidR="00123108" w:rsidRPr="00123108" w:rsidRDefault="00123108" w:rsidP="00872F81">
            <w:pPr>
              <w:tabs>
                <w:tab w:val="num" w:pos="1440"/>
              </w:tabs>
              <w:jc w:val="both"/>
              <w:rPr>
                <w:rFonts w:eastAsia="Times New Roman" w:cs="Times New Roman"/>
                <w:sz w:val="24"/>
                <w:szCs w:val="24"/>
              </w:rPr>
            </w:pPr>
            <w:r w:rsidRPr="00123108">
              <w:rPr>
                <w:rFonts w:eastAsia="Times New Roman" w:cs="Times New Roman"/>
                <w:sz w:val="24"/>
                <w:szCs w:val="24"/>
              </w:rPr>
              <w:t xml:space="preserve">Projektā noteiktajam regulējuma attiecībā uz PVN atbrīvojuma piemērošanu citu ES dalībvalstu bruņotajiem spēkiem ietekmi uz valsts budžetu nav iespējams prognozēt, jo līdz šim Latvijā nav bijuši izvietoti nevienas ES dalībvalsts bruņotie spēki, kas būtu saistīti ar aizsardzības pasākumiem </w:t>
            </w:r>
            <w:r w:rsidR="00872F81">
              <w:rPr>
                <w:rFonts w:eastAsia="Times New Roman" w:cs="Times New Roman"/>
                <w:sz w:val="24"/>
                <w:szCs w:val="24"/>
              </w:rPr>
              <w:t>ES satvarā</w:t>
            </w:r>
            <w:r w:rsidRPr="00123108">
              <w:rPr>
                <w:rFonts w:eastAsia="Times New Roman" w:cs="Times New Roman"/>
                <w:sz w:val="24"/>
                <w:szCs w:val="24"/>
              </w:rPr>
              <w:t>, kā arī pagaidām šādi pasākumi Latvijā netiek plānoti.</w:t>
            </w:r>
          </w:p>
        </w:tc>
      </w:tr>
      <w:tr w:rsidR="00FF689D" w:rsidRPr="00054E7E" w14:paraId="34629EF0" w14:textId="77777777" w:rsidTr="288D5733">
        <w:trPr>
          <w:gridAfter w:val="1"/>
          <w:wAfter w:w="11" w:type="dxa"/>
        </w:trPr>
        <w:tc>
          <w:tcPr>
            <w:tcW w:w="710" w:type="dxa"/>
            <w:vAlign w:val="center"/>
          </w:tcPr>
          <w:p w14:paraId="27DD4944" w14:textId="77777777" w:rsidR="00FF689D" w:rsidRPr="00257337" w:rsidRDefault="003F3066" w:rsidP="00656A6B">
            <w:pPr>
              <w:ind w:left="360" w:hanging="360"/>
              <w:contextualSpacing/>
              <w:jc w:val="center"/>
              <w:rPr>
                <w:rFonts w:eastAsia="Calibri" w:cs="Times New Roman"/>
                <w:sz w:val="24"/>
                <w:szCs w:val="24"/>
              </w:rPr>
            </w:pPr>
            <w:r>
              <w:rPr>
                <w:rFonts w:eastAsia="Calibri" w:cs="Times New Roman"/>
                <w:sz w:val="24"/>
                <w:szCs w:val="24"/>
              </w:rPr>
              <w:t>12</w:t>
            </w:r>
            <w:r w:rsidR="00656A6B">
              <w:rPr>
                <w:rFonts w:eastAsia="Calibri" w:cs="Times New Roman"/>
                <w:sz w:val="24"/>
                <w:szCs w:val="24"/>
              </w:rPr>
              <w:t>.</w:t>
            </w:r>
          </w:p>
        </w:tc>
        <w:tc>
          <w:tcPr>
            <w:tcW w:w="2438" w:type="dxa"/>
          </w:tcPr>
          <w:p w14:paraId="6F507697"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Tiesību akta pieņemšanas kalendārais plāns</w:t>
            </w:r>
          </w:p>
        </w:tc>
        <w:tc>
          <w:tcPr>
            <w:tcW w:w="6598" w:type="dxa"/>
            <w:gridSpan w:val="2"/>
          </w:tcPr>
          <w:p w14:paraId="69CF1D3E" w14:textId="517E5580" w:rsidR="00FF1808" w:rsidRDefault="00FF1808" w:rsidP="00E9673A">
            <w:pPr>
              <w:jc w:val="both"/>
              <w:rPr>
                <w:rFonts w:eastAsia="Times New Roman" w:cs="Times New Roman"/>
                <w:sz w:val="24"/>
                <w:szCs w:val="24"/>
              </w:rPr>
            </w:pPr>
            <w:r>
              <w:rPr>
                <w:rFonts w:eastAsia="Times New Roman" w:cs="Times New Roman"/>
                <w:sz w:val="24"/>
                <w:szCs w:val="24"/>
              </w:rPr>
              <w:t>Plānots:</w:t>
            </w:r>
          </w:p>
          <w:p w14:paraId="142C227F" w14:textId="322EBCBD" w:rsidR="00C048F9" w:rsidRPr="00C15412" w:rsidRDefault="00C048F9" w:rsidP="00E9673A">
            <w:pPr>
              <w:jc w:val="both"/>
              <w:rPr>
                <w:rFonts w:eastAsia="Times New Roman" w:cs="Times New Roman"/>
                <w:sz w:val="24"/>
                <w:szCs w:val="24"/>
              </w:rPr>
            </w:pPr>
            <w:r w:rsidRPr="00C15412">
              <w:rPr>
                <w:rFonts w:eastAsia="Times New Roman" w:cs="Times New Roman"/>
                <w:sz w:val="24"/>
                <w:szCs w:val="24"/>
              </w:rPr>
              <w:t xml:space="preserve">1) </w:t>
            </w:r>
            <w:r w:rsidR="00921459">
              <w:rPr>
                <w:rFonts w:eastAsia="Times New Roman" w:cs="Times New Roman"/>
                <w:sz w:val="24"/>
                <w:szCs w:val="24"/>
              </w:rPr>
              <w:t>izsludināt</w:t>
            </w:r>
            <w:r w:rsidR="005420C0">
              <w:rPr>
                <w:rFonts w:eastAsia="Times New Roman" w:cs="Times New Roman"/>
                <w:sz w:val="24"/>
                <w:szCs w:val="24"/>
              </w:rPr>
              <w:t xml:space="preserve"> VSS;</w:t>
            </w:r>
          </w:p>
          <w:p w14:paraId="7C342DBC" w14:textId="3F65ABD4" w:rsidR="00C048F9" w:rsidRPr="00257337" w:rsidRDefault="00C048F9" w:rsidP="00E9673A">
            <w:pPr>
              <w:jc w:val="both"/>
              <w:rPr>
                <w:rFonts w:eastAsia="Times New Roman" w:cs="Times New Roman"/>
                <w:sz w:val="24"/>
                <w:szCs w:val="24"/>
              </w:rPr>
            </w:pPr>
            <w:r w:rsidRPr="00C15412">
              <w:rPr>
                <w:rFonts w:eastAsia="Times New Roman" w:cs="Times New Roman"/>
                <w:sz w:val="24"/>
                <w:szCs w:val="24"/>
              </w:rPr>
              <w:t>2)</w:t>
            </w:r>
            <w:r w:rsidR="006216AB" w:rsidRPr="00C15412">
              <w:rPr>
                <w:rFonts w:eastAsia="Times New Roman" w:cs="Times New Roman"/>
                <w:sz w:val="24"/>
                <w:szCs w:val="24"/>
              </w:rPr>
              <w:t xml:space="preserve"> </w:t>
            </w:r>
            <w:r w:rsidR="00921459">
              <w:rPr>
                <w:rFonts w:eastAsia="Times New Roman" w:cs="Times New Roman"/>
                <w:sz w:val="24"/>
                <w:szCs w:val="24"/>
              </w:rPr>
              <w:t>iesniegt</w:t>
            </w:r>
            <w:bookmarkStart w:id="0" w:name="_GoBack"/>
            <w:bookmarkEnd w:id="0"/>
            <w:r w:rsidRPr="00C15412">
              <w:rPr>
                <w:rFonts w:eastAsia="Times New Roman" w:cs="Times New Roman"/>
                <w:sz w:val="24"/>
                <w:szCs w:val="24"/>
              </w:rPr>
              <w:t xml:space="preserve"> MK </w:t>
            </w:r>
            <w:r w:rsidR="005420C0">
              <w:rPr>
                <w:rFonts w:eastAsia="Times New Roman" w:cs="Times New Roman"/>
                <w:sz w:val="24"/>
                <w:szCs w:val="24"/>
              </w:rPr>
              <w:t>.</w:t>
            </w:r>
          </w:p>
          <w:p w14:paraId="78CB9010" w14:textId="77777777" w:rsidR="00E9673A" w:rsidRPr="00257337" w:rsidRDefault="00E9673A" w:rsidP="00E9673A">
            <w:pPr>
              <w:jc w:val="both"/>
              <w:rPr>
                <w:rFonts w:eastAsia="Times New Roman" w:cs="Times New Roman"/>
                <w:sz w:val="24"/>
                <w:szCs w:val="24"/>
              </w:rPr>
            </w:pPr>
          </w:p>
        </w:tc>
      </w:tr>
      <w:tr w:rsidR="00FF689D" w:rsidRPr="00054E7E" w14:paraId="486FB684" w14:textId="77777777" w:rsidTr="288D5733">
        <w:trPr>
          <w:gridAfter w:val="1"/>
          <w:wAfter w:w="11" w:type="dxa"/>
        </w:trPr>
        <w:tc>
          <w:tcPr>
            <w:tcW w:w="710" w:type="dxa"/>
            <w:tcBorders>
              <w:bottom w:val="single" w:sz="4" w:space="0" w:color="000000"/>
            </w:tcBorders>
            <w:vAlign w:val="center"/>
          </w:tcPr>
          <w:p w14:paraId="46783108" w14:textId="77777777" w:rsidR="00FF689D" w:rsidRPr="00257337" w:rsidRDefault="003F3066" w:rsidP="00656A6B">
            <w:pPr>
              <w:ind w:left="360" w:hanging="360"/>
              <w:contextualSpacing/>
              <w:jc w:val="center"/>
              <w:rPr>
                <w:rFonts w:eastAsia="Calibri" w:cs="Times New Roman"/>
                <w:sz w:val="24"/>
                <w:szCs w:val="24"/>
              </w:rPr>
            </w:pPr>
            <w:r>
              <w:rPr>
                <w:rFonts w:eastAsia="Calibri" w:cs="Times New Roman"/>
                <w:sz w:val="24"/>
                <w:szCs w:val="24"/>
              </w:rPr>
              <w:t>13</w:t>
            </w:r>
            <w:r w:rsidR="00656A6B">
              <w:rPr>
                <w:rFonts w:eastAsia="Calibri" w:cs="Times New Roman"/>
                <w:sz w:val="24"/>
                <w:szCs w:val="24"/>
              </w:rPr>
              <w:t>.</w:t>
            </w:r>
          </w:p>
        </w:tc>
        <w:tc>
          <w:tcPr>
            <w:tcW w:w="2438" w:type="dxa"/>
            <w:tcBorders>
              <w:bottom w:val="single" w:sz="4" w:space="0" w:color="000000"/>
            </w:tcBorders>
          </w:tcPr>
          <w:p w14:paraId="0BFDE390" w14:textId="77777777" w:rsidR="00FF689D" w:rsidRPr="00257337" w:rsidRDefault="00FF689D" w:rsidP="00FF689D">
            <w:pPr>
              <w:jc w:val="both"/>
              <w:rPr>
                <w:rFonts w:eastAsia="Times New Roman" w:cs="Times New Roman"/>
                <w:sz w:val="24"/>
                <w:szCs w:val="24"/>
              </w:rPr>
            </w:pPr>
            <w:r w:rsidRPr="00257337">
              <w:rPr>
                <w:rFonts w:eastAsia="Times New Roman" w:cs="Times New Roman"/>
                <w:sz w:val="24"/>
                <w:szCs w:val="24"/>
              </w:rPr>
              <w:t>Uzziņas sagatavotājs</w:t>
            </w:r>
          </w:p>
        </w:tc>
        <w:tc>
          <w:tcPr>
            <w:tcW w:w="6598" w:type="dxa"/>
            <w:gridSpan w:val="2"/>
            <w:tcBorders>
              <w:bottom w:val="single" w:sz="4" w:space="0" w:color="000000"/>
            </w:tcBorders>
          </w:tcPr>
          <w:p w14:paraId="260FD51E" w14:textId="77777777" w:rsidR="00FF689D" w:rsidRPr="00257337" w:rsidRDefault="002E4376" w:rsidP="00C048F9">
            <w:pPr>
              <w:jc w:val="both"/>
              <w:rPr>
                <w:rFonts w:eastAsia="Times New Roman" w:cs="Times New Roman"/>
                <w:sz w:val="24"/>
                <w:szCs w:val="24"/>
              </w:rPr>
            </w:pPr>
            <w:proofErr w:type="spellStart"/>
            <w:r>
              <w:rPr>
                <w:rFonts w:eastAsia="Times New Roman" w:cs="Times New Roman"/>
                <w:iCs/>
                <w:sz w:val="24"/>
                <w:szCs w:val="24"/>
              </w:rPr>
              <w:t>J.Kuhaļska</w:t>
            </w:r>
            <w:proofErr w:type="spellEnd"/>
            <w:r w:rsidR="003F3066">
              <w:rPr>
                <w:rFonts w:eastAsia="Times New Roman" w:cs="Times New Roman"/>
                <w:iCs/>
                <w:sz w:val="24"/>
                <w:szCs w:val="24"/>
              </w:rPr>
              <w:t xml:space="preserve">, </w:t>
            </w:r>
            <w:r w:rsidR="00B975BA" w:rsidRPr="00257337">
              <w:rPr>
                <w:rFonts w:eastAsia="Times New Roman" w:cs="Times New Roman"/>
                <w:iCs/>
                <w:sz w:val="24"/>
                <w:szCs w:val="24"/>
              </w:rPr>
              <w:t>Ne</w:t>
            </w:r>
            <w:r w:rsidR="003F3066">
              <w:rPr>
                <w:rFonts w:eastAsia="Times New Roman" w:cs="Times New Roman"/>
                <w:iCs/>
                <w:sz w:val="24"/>
                <w:szCs w:val="24"/>
              </w:rPr>
              <w:t>t</w:t>
            </w:r>
            <w:r w:rsidR="00B975BA" w:rsidRPr="00257337">
              <w:rPr>
                <w:rFonts w:eastAsia="Times New Roman" w:cs="Times New Roman"/>
                <w:iCs/>
                <w:sz w:val="24"/>
                <w:szCs w:val="24"/>
              </w:rPr>
              <w:t xml:space="preserve">iešo nodokļu departamenta </w:t>
            </w:r>
            <w:r w:rsidR="00337734">
              <w:rPr>
                <w:rFonts w:eastAsia="Times New Roman" w:cs="Times New Roman"/>
                <w:iCs/>
                <w:sz w:val="24"/>
                <w:szCs w:val="24"/>
              </w:rPr>
              <w:t>Pievienotās vērtības nodokļa nodaļas</w:t>
            </w:r>
            <w:r w:rsidR="00257337" w:rsidRPr="00257337">
              <w:rPr>
                <w:rFonts w:eastAsia="Times New Roman" w:cs="Times New Roman"/>
                <w:iCs/>
                <w:sz w:val="24"/>
                <w:szCs w:val="24"/>
              </w:rPr>
              <w:t xml:space="preserve"> </w:t>
            </w:r>
            <w:r w:rsidR="00C048F9">
              <w:rPr>
                <w:rFonts w:eastAsia="Times New Roman" w:cs="Times New Roman"/>
                <w:iCs/>
                <w:sz w:val="24"/>
                <w:szCs w:val="24"/>
              </w:rPr>
              <w:t>vecākā eksperte</w:t>
            </w:r>
          </w:p>
        </w:tc>
      </w:tr>
      <w:tr w:rsidR="00FF689D" w:rsidRPr="00257337" w14:paraId="25CF2961" w14:textId="77777777" w:rsidTr="288D5733">
        <w:trPr>
          <w:gridAfter w:val="2"/>
          <w:wAfter w:w="361" w:type="dxa"/>
        </w:trPr>
        <w:tc>
          <w:tcPr>
            <w:tcW w:w="9396" w:type="dxa"/>
            <w:gridSpan w:val="3"/>
            <w:tcBorders>
              <w:left w:val="nil"/>
              <w:bottom w:val="nil"/>
              <w:right w:val="nil"/>
            </w:tcBorders>
          </w:tcPr>
          <w:p w14:paraId="00B9BEE6" w14:textId="77777777" w:rsidR="00257337" w:rsidRDefault="00257337" w:rsidP="00FF689D">
            <w:pPr>
              <w:jc w:val="both"/>
              <w:rPr>
                <w:rFonts w:cs="Times New Roman"/>
                <w:sz w:val="20"/>
                <w:szCs w:val="20"/>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7"/>
            </w:tblGrid>
            <w:tr w:rsidR="00975A4D" w:rsidRPr="004E3F12" w14:paraId="6E6D0B92" w14:textId="77777777" w:rsidTr="008D3BD3">
              <w:tc>
                <w:tcPr>
                  <w:tcW w:w="10207" w:type="dxa"/>
                  <w:tcBorders>
                    <w:top w:val="nil"/>
                    <w:left w:val="nil"/>
                    <w:bottom w:val="nil"/>
                    <w:right w:val="nil"/>
                  </w:tcBorders>
                </w:tcPr>
                <w:p w14:paraId="70DD21F8" w14:textId="77777777" w:rsidR="00975A4D" w:rsidRPr="00372C27" w:rsidRDefault="00975A4D" w:rsidP="00872F81">
                  <w:pPr>
                    <w:ind w:right="963"/>
                    <w:jc w:val="both"/>
                    <w:rPr>
                      <w:sz w:val="22"/>
                      <w:u w:val="single"/>
                    </w:rPr>
                  </w:pPr>
                  <w:r w:rsidRPr="00372C27">
                    <w:rPr>
                      <w:sz w:val="22"/>
                    </w:rPr>
                    <w:t xml:space="preserve">Uzziņu iesniedza </w:t>
                  </w:r>
                  <w:r w:rsidR="007926B5">
                    <w:rPr>
                      <w:sz w:val="22"/>
                      <w:u w:val="single"/>
                    </w:rPr>
                    <w:t>Netiešo nodokļu departamenta direktore</w:t>
                  </w:r>
                  <w:r w:rsidR="00872F81">
                    <w:rPr>
                      <w:sz w:val="22"/>
                      <w:u w:val="single"/>
                    </w:rPr>
                    <w:t>s vietniece, Muitas un akcīzes nodokļa nodaļas vadītāja</w:t>
                  </w:r>
                  <w:r w:rsidR="003E4832">
                    <w:rPr>
                      <w:sz w:val="22"/>
                      <w:u w:val="single"/>
                    </w:rPr>
                    <w:t xml:space="preserve"> </w:t>
                  </w:r>
                  <w:proofErr w:type="spellStart"/>
                  <w:r w:rsidR="00872F81">
                    <w:rPr>
                      <w:sz w:val="22"/>
                      <w:u w:val="single"/>
                    </w:rPr>
                    <w:t>J.Krastiņa</w:t>
                  </w:r>
                  <w:proofErr w:type="spellEnd"/>
                </w:p>
              </w:tc>
            </w:tr>
            <w:tr w:rsidR="00975A4D" w:rsidRPr="004E3F12" w14:paraId="38FF71FC" w14:textId="77777777" w:rsidTr="008D3BD3">
              <w:tc>
                <w:tcPr>
                  <w:tcW w:w="10207" w:type="dxa"/>
                  <w:tcBorders>
                    <w:top w:val="nil"/>
                    <w:left w:val="nil"/>
                    <w:bottom w:val="nil"/>
                    <w:right w:val="nil"/>
                  </w:tcBorders>
                </w:tcPr>
                <w:p w14:paraId="6861DBBE" w14:textId="77777777" w:rsidR="00975A4D" w:rsidRDefault="00681278" w:rsidP="007926B5">
                  <w:pPr>
                    <w:jc w:val="both"/>
                    <w:rPr>
                      <w:sz w:val="22"/>
                      <w:u w:val="single"/>
                    </w:rPr>
                  </w:pPr>
                  <w:r>
                    <w:rPr>
                      <w:sz w:val="22"/>
                    </w:rPr>
                    <w:t>T</w:t>
                  </w:r>
                  <w:r w:rsidR="00975A4D" w:rsidRPr="00372C27">
                    <w:rPr>
                      <w:sz w:val="22"/>
                    </w:rPr>
                    <w:t xml:space="preserve">ālrunis, e-pasts: </w:t>
                  </w:r>
                  <w:r w:rsidR="00872F81" w:rsidRPr="00872F81">
                    <w:rPr>
                      <w:sz w:val="22"/>
                      <w:u w:val="single"/>
                    </w:rPr>
                    <w:t>67095564,</w:t>
                  </w:r>
                  <w:r w:rsidR="00872F81" w:rsidRPr="00872F81">
                    <w:rPr>
                      <w:sz w:val="22"/>
                    </w:rPr>
                    <w:t xml:space="preserve"> </w:t>
                  </w:r>
                  <w:hyperlink r:id="rId11" w:history="1">
                    <w:r w:rsidR="00872F81" w:rsidRPr="00BF723C">
                      <w:rPr>
                        <w:rStyle w:val="Hyperlink"/>
                        <w:sz w:val="22"/>
                      </w:rPr>
                      <w:t>Jolanta.Krastina@fm.gov.lv</w:t>
                    </w:r>
                  </w:hyperlink>
                  <w:r w:rsidR="00872F81">
                    <w:rPr>
                      <w:sz w:val="22"/>
                      <w:u w:val="single"/>
                    </w:rPr>
                    <w:t xml:space="preserve"> </w:t>
                  </w:r>
                </w:p>
                <w:p w14:paraId="0D380408" w14:textId="77777777" w:rsidR="00350CB5" w:rsidRPr="00372C27" w:rsidRDefault="00E93C84" w:rsidP="00C15412">
                  <w:pPr>
                    <w:jc w:val="both"/>
                    <w:rPr>
                      <w:sz w:val="22"/>
                    </w:rPr>
                  </w:pPr>
                  <w:r>
                    <w:rPr>
                      <w:sz w:val="22"/>
                      <w:u w:val="single"/>
                    </w:rPr>
                    <w:t xml:space="preserve">Uzziņa iesniegta </w:t>
                  </w:r>
                  <w:r w:rsidR="00C15412">
                    <w:rPr>
                      <w:sz w:val="22"/>
                      <w:u w:val="single"/>
                    </w:rPr>
                    <w:t>15</w:t>
                  </w:r>
                  <w:r w:rsidR="00123108">
                    <w:rPr>
                      <w:sz w:val="22"/>
                      <w:u w:val="single"/>
                    </w:rPr>
                    <w:t>.04</w:t>
                  </w:r>
                  <w:r w:rsidR="002E4376">
                    <w:rPr>
                      <w:sz w:val="22"/>
                      <w:u w:val="single"/>
                    </w:rPr>
                    <w:t>.202</w:t>
                  </w:r>
                  <w:r w:rsidR="00123108">
                    <w:rPr>
                      <w:sz w:val="22"/>
                      <w:u w:val="single"/>
                    </w:rPr>
                    <w:t>1</w:t>
                  </w:r>
                  <w:r w:rsidR="00C048F9">
                    <w:rPr>
                      <w:sz w:val="22"/>
                      <w:u w:val="single"/>
                    </w:rPr>
                    <w:t>.</w:t>
                  </w:r>
                </w:p>
              </w:tc>
            </w:tr>
          </w:tbl>
          <w:p w14:paraId="3AC4AA89" w14:textId="77777777" w:rsidR="00FF689D" w:rsidRPr="00257337" w:rsidRDefault="00FF689D" w:rsidP="00A36276">
            <w:pPr>
              <w:tabs>
                <w:tab w:val="left" w:pos="1500"/>
              </w:tabs>
              <w:rPr>
                <w:rFonts w:eastAsia="Times New Roman" w:cs="Times New Roman"/>
                <w:sz w:val="20"/>
                <w:szCs w:val="20"/>
              </w:rPr>
            </w:pPr>
          </w:p>
        </w:tc>
      </w:tr>
    </w:tbl>
    <w:p w14:paraId="17733F63" w14:textId="77777777" w:rsidR="00E45D47" w:rsidRDefault="00E93C84" w:rsidP="00E93C84">
      <w:pPr>
        <w:tabs>
          <w:tab w:val="left" w:pos="1185"/>
        </w:tabs>
      </w:pPr>
      <w:r>
        <w:tab/>
      </w:r>
    </w:p>
    <w:sectPr w:rsidR="00E45D47" w:rsidSect="00054E7E">
      <w:headerReference w:type="default" r:id="rId12"/>
      <w:footerReference w:type="default" r:id="rId13"/>
      <w:headerReference w:type="first" r:id="rId14"/>
      <w:footerReference w:type="first" r:id="rId15"/>
      <w:pgSz w:w="11906" w:h="16838"/>
      <w:pgMar w:top="567"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A6906" w14:textId="77777777" w:rsidR="005B4262" w:rsidRDefault="005B4262" w:rsidP="00D326F8">
      <w:r>
        <w:separator/>
      </w:r>
    </w:p>
  </w:endnote>
  <w:endnote w:type="continuationSeparator" w:id="0">
    <w:p w14:paraId="044C047E" w14:textId="77777777" w:rsidR="005B4262" w:rsidRDefault="005B4262" w:rsidP="00D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9C3A" w14:textId="77777777" w:rsidR="00D326F8" w:rsidRPr="001D3CBA" w:rsidRDefault="001D3CBA" w:rsidP="001D3CBA">
    <w:pPr>
      <w:pStyle w:val="Footer"/>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005F1DEA">
      <w:rPr>
        <w:noProof/>
        <w:sz w:val="20"/>
        <w:szCs w:val="20"/>
      </w:rPr>
      <w:t>VK_uzzina_</w:t>
    </w:r>
    <w:r w:rsidR="00C15412">
      <w:rPr>
        <w:noProof/>
        <w:sz w:val="20"/>
        <w:szCs w:val="20"/>
      </w:rPr>
      <w:t>15</w:t>
    </w:r>
    <w:r w:rsidR="00872F81">
      <w:rPr>
        <w:noProof/>
        <w:sz w:val="20"/>
        <w:szCs w:val="20"/>
      </w:rPr>
      <w:t>0421_</w:t>
    </w:r>
    <w:r w:rsidR="005F1DEA">
      <w:rPr>
        <w:noProof/>
        <w:sz w:val="20"/>
        <w:szCs w:val="20"/>
      </w:rPr>
      <w:t>PVN</w:t>
    </w:r>
    <w:r w:rsidR="00872F81">
      <w:rPr>
        <w:noProof/>
        <w:sz w:val="20"/>
        <w:szCs w:val="20"/>
      </w:rPr>
      <w:t>aizs</w:t>
    </w:r>
    <w:r>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292F" w14:textId="77777777" w:rsidR="00031EF6" w:rsidRPr="00E93C84" w:rsidRDefault="001D3CBA">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F1DEA">
      <w:rPr>
        <w:noProof/>
        <w:sz w:val="20"/>
        <w:szCs w:val="20"/>
      </w:rPr>
      <w:t>VK_uzzina_</w:t>
    </w:r>
    <w:r w:rsidR="00C15412">
      <w:rPr>
        <w:noProof/>
        <w:sz w:val="20"/>
        <w:szCs w:val="20"/>
      </w:rPr>
      <w:t>15</w:t>
    </w:r>
    <w:r w:rsidR="00872F81">
      <w:rPr>
        <w:noProof/>
        <w:sz w:val="20"/>
        <w:szCs w:val="20"/>
      </w:rPr>
      <w:t>0421</w:t>
    </w:r>
    <w:r w:rsidR="005F1DEA">
      <w:rPr>
        <w:noProof/>
        <w:sz w:val="20"/>
        <w:szCs w:val="20"/>
      </w:rPr>
      <w:t>_</w:t>
    </w:r>
    <w:r w:rsidR="00872F81">
      <w:rPr>
        <w:noProof/>
        <w:sz w:val="20"/>
        <w:szCs w:val="20"/>
      </w:rPr>
      <w:t>P</w:t>
    </w:r>
    <w:r w:rsidR="005F1DEA">
      <w:rPr>
        <w:noProof/>
        <w:sz w:val="20"/>
        <w:szCs w:val="20"/>
      </w:rPr>
      <w:t>VN</w:t>
    </w:r>
    <w:r w:rsidR="00872F81">
      <w:rPr>
        <w:noProof/>
        <w:sz w:val="20"/>
        <w:szCs w:val="20"/>
      </w:rPr>
      <w:t>aizs</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D288" w14:textId="77777777" w:rsidR="005B4262" w:rsidRDefault="005B4262" w:rsidP="00D326F8">
      <w:r>
        <w:separator/>
      </w:r>
    </w:p>
  </w:footnote>
  <w:footnote w:type="continuationSeparator" w:id="0">
    <w:p w14:paraId="451F78CF" w14:textId="77777777" w:rsidR="005B4262" w:rsidRDefault="005B4262" w:rsidP="00D3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ED43" w14:textId="77777777" w:rsidR="00054E7E" w:rsidRPr="00872F81" w:rsidRDefault="00054E7E" w:rsidP="00054E7E">
    <w:pPr>
      <w:pStyle w:val="Header"/>
      <w:jc w:val="center"/>
      <w:rPr>
        <w:sz w:val="24"/>
      </w:rPr>
    </w:pPr>
    <w:r w:rsidRPr="00872F81">
      <w:rPr>
        <w:sz w:val="24"/>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4048" w14:textId="77777777" w:rsidR="00054E7E" w:rsidRDefault="00054E7E">
    <w:pPr>
      <w:pStyle w:val="Header"/>
      <w:jc w:val="center"/>
    </w:pPr>
  </w:p>
  <w:p w14:paraId="1488E80B" w14:textId="77777777" w:rsidR="00054E7E" w:rsidRDefault="00054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E19"/>
    <w:multiLevelType w:val="hybridMultilevel"/>
    <w:tmpl w:val="60CCF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261D86"/>
    <w:multiLevelType w:val="hybridMultilevel"/>
    <w:tmpl w:val="5FC68AB8"/>
    <w:lvl w:ilvl="0" w:tplc="1B02A4B2">
      <w:start w:val="1"/>
      <w:numFmt w:val="decimal"/>
      <w:lvlText w:val="%1)"/>
      <w:lvlJc w:val="left"/>
      <w:pPr>
        <w:ind w:left="928" w:hanging="360"/>
      </w:pPr>
      <w:rPr>
        <w:rFonts w:ascii="Times New Roman" w:eastAsia="Calibri" w:hAnsi="Times New Roman" w:cs="Times New Roman"/>
        <w:i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3ECD00C9"/>
    <w:multiLevelType w:val="hybridMultilevel"/>
    <w:tmpl w:val="F06E49D6"/>
    <w:lvl w:ilvl="0" w:tplc="0426000F">
      <w:start w:val="1"/>
      <w:numFmt w:val="decimal"/>
      <w:lvlText w:val="%1."/>
      <w:lvlJc w:val="left"/>
      <w:pPr>
        <w:ind w:left="644"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03A48"/>
    <w:multiLevelType w:val="hybridMultilevel"/>
    <w:tmpl w:val="7F7EA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AA68B8"/>
    <w:multiLevelType w:val="hybridMultilevel"/>
    <w:tmpl w:val="062AD0F4"/>
    <w:lvl w:ilvl="0" w:tplc="BB08A10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2D17D8"/>
    <w:multiLevelType w:val="hybridMultilevel"/>
    <w:tmpl w:val="341C8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486600"/>
    <w:multiLevelType w:val="hybridMultilevel"/>
    <w:tmpl w:val="149604DC"/>
    <w:lvl w:ilvl="0" w:tplc="BB4E563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3DC5693"/>
    <w:multiLevelType w:val="hybridMultilevel"/>
    <w:tmpl w:val="1E3648E8"/>
    <w:lvl w:ilvl="0" w:tplc="0426000F">
      <w:start w:val="1"/>
      <w:numFmt w:val="decimal"/>
      <w:lvlText w:val="%1."/>
      <w:lvlJc w:val="left"/>
      <w:pPr>
        <w:ind w:left="1004" w:hanging="360"/>
      </w:pPr>
      <w:rPr>
        <w:rFonts w:hint="default"/>
        <w:b w:val="0"/>
        <w:i w:val="0"/>
        <w:sz w:val="24"/>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8" w15:restartNumberingAfterBreak="0">
    <w:nsid w:val="55BE2665"/>
    <w:multiLevelType w:val="hybridMultilevel"/>
    <w:tmpl w:val="E33C1D6C"/>
    <w:lvl w:ilvl="0" w:tplc="73F29DEC">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E008CF"/>
    <w:multiLevelType w:val="hybridMultilevel"/>
    <w:tmpl w:val="2B9C70A8"/>
    <w:lvl w:ilvl="0" w:tplc="683085AC">
      <w:start w:val="1"/>
      <w:numFmt w:val="decimal"/>
      <w:lvlText w:val="%1)"/>
      <w:lvlJc w:val="left"/>
      <w:pPr>
        <w:ind w:left="720" w:hanging="360"/>
      </w:pPr>
      <w:rPr>
        <w:rFonts w:ascii="Times New Roman" w:eastAsia="Calibri" w:hAnsi="Times New Roman" w:cs="Times New Roman"/>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9B2B74"/>
    <w:multiLevelType w:val="hybridMultilevel"/>
    <w:tmpl w:val="44781BE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8D0DB1"/>
    <w:multiLevelType w:val="hybridMultilevel"/>
    <w:tmpl w:val="CC72DA1E"/>
    <w:lvl w:ilvl="0" w:tplc="F000CF36">
      <w:start w:val="1"/>
      <w:numFmt w:val="lowerLetter"/>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6A1C7154"/>
    <w:multiLevelType w:val="hybridMultilevel"/>
    <w:tmpl w:val="8970EF3C"/>
    <w:lvl w:ilvl="0" w:tplc="D6E6F0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D2992"/>
    <w:multiLevelType w:val="hybridMultilevel"/>
    <w:tmpl w:val="109EC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3"/>
  </w:num>
  <w:num w:numId="6">
    <w:abstractNumId w:val="5"/>
  </w:num>
  <w:num w:numId="7">
    <w:abstractNumId w:val="4"/>
  </w:num>
  <w:num w:numId="8">
    <w:abstractNumId w:val="11"/>
  </w:num>
  <w:num w:numId="9">
    <w:abstractNumId w:val="7"/>
  </w:num>
  <w:num w:numId="10">
    <w:abstractNumId w:val="12"/>
  </w:num>
  <w:num w:numId="11">
    <w:abstractNumId w:val="13"/>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C"/>
    <w:rsid w:val="00001CF5"/>
    <w:rsid w:val="00002FC2"/>
    <w:rsid w:val="00013A91"/>
    <w:rsid w:val="00015B92"/>
    <w:rsid w:val="000220F6"/>
    <w:rsid w:val="00031EF6"/>
    <w:rsid w:val="000422DF"/>
    <w:rsid w:val="00046575"/>
    <w:rsid w:val="00054E7E"/>
    <w:rsid w:val="00055870"/>
    <w:rsid w:val="00063E42"/>
    <w:rsid w:val="000819AE"/>
    <w:rsid w:val="000831CF"/>
    <w:rsid w:val="00094ED1"/>
    <w:rsid w:val="000A0085"/>
    <w:rsid w:val="000A68EA"/>
    <w:rsid w:val="000B63CD"/>
    <w:rsid w:val="000D3DA1"/>
    <w:rsid w:val="000D6016"/>
    <w:rsid w:val="000F1464"/>
    <w:rsid w:val="000F4390"/>
    <w:rsid w:val="00105D5D"/>
    <w:rsid w:val="00106411"/>
    <w:rsid w:val="0011225B"/>
    <w:rsid w:val="001203BF"/>
    <w:rsid w:val="00123108"/>
    <w:rsid w:val="001234FE"/>
    <w:rsid w:val="00124464"/>
    <w:rsid w:val="001250BF"/>
    <w:rsid w:val="00135A0B"/>
    <w:rsid w:val="00136216"/>
    <w:rsid w:val="00140F32"/>
    <w:rsid w:val="00147400"/>
    <w:rsid w:val="00150356"/>
    <w:rsid w:val="0016107E"/>
    <w:rsid w:val="00175E09"/>
    <w:rsid w:val="00183C61"/>
    <w:rsid w:val="001922F6"/>
    <w:rsid w:val="001A331B"/>
    <w:rsid w:val="001B192E"/>
    <w:rsid w:val="001B2C39"/>
    <w:rsid w:val="001B2E64"/>
    <w:rsid w:val="001B6DAB"/>
    <w:rsid w:val="001C5BA8"/>
    <w:rsid w:val="001C7B02"/>
    <w:rsid w:val="001D186B"/>
    <w:rsid w:val="001D2107"/>
    <w:rsid w:val="001D33E2"/>
    <w:rsid w:val="001D3CBA"/>
    <w:rsid w:val="001D5D22"/>
    <w:rsid w:val="001E096D"/>
    <w:rsid w:val="001E1924"/>
    <w:rsid w:val="00237076"/>
    <w:rsid w:val="002371F5"/>
    <w:rsid w:val="0024559C"/>
    <w:rsid w:val="00247D09"/>
    <w:rsid w:val="00253B0A"/>
    <w:rsid w:val="00257337"/>
    <w:rsid w:val="00273437"/>
    <w:rsid w:val="00276FEF"/>
    <w:rsid w:val="002A26B6"/>
    <w:rsid w:val="002B20FC"/>
    <w:rsid w:val="002B4DDE"/>
    <w:rsid w:val="002B743E"/>
    <w:rsid w:val="002C4C4D"/>
    <w:rsid w:val="002C6448"/>
    <w:rsid w:val="002E4376"/>
    <w:rsid w:val="003038A6"/>
    <w:rsid w:val="00306C99"/>
    <w:rsid w:val="00311E3E"/>
    <w:rsid w:val="00314D61"/>
    <w:rsid w:val="00317297"/>
    <w:rsid w:val="003230D9"/>
    <w:rsid w:val="00325C66"/>
    <w:rsid w:val="00337734"/>
    <w:rsid w:val="00340313"/>
    <w:rsid w:val="00350CB5"/>
    <w:rsid w:val="003561EA"/>
    <w:rsid w:val="00360F32"/>
    <w:rsid w:val="00361A4C"/>
    <w:rsid w:val="00365E27"/>
    <w:rsid w:val="00372C27"/>
    <w:rsid w:val="00373404"/>
    <w:rsid w:val="0037365D"/>
    <w:rsid w:val="003775E6"/>
    <w:rsid w:val="00382479"/>
    <w:rsid w:val="00386110"/>
    <w:rsid w:val="003903BD"/>
    <w:rsid w:val="003C3BC7"/>
    <w:rsid w:val="003D0E74"/>
    <w:rsid w:val="003D5793"/>
    <w:rsid w:val="003D703D"/>
    <w:rsid w:val="003E22B6"/>
    <w:rsid w:val="003E4832"/>
    <w:rsid w:val="003F3066"/>
    <w:rsid w:val="003F369B"/>
    <w:rsid w:val="00412095"/>
    <w:rsid w:val="00412335"/>
    <w:rsid w:val="0044190F"/>
    <w:rsid w:val="00460333"/>
    <w:rsid w:val="00470F5E"/>
    <w:rsid w:val="00472AE4"/>
    <w:rsid w:val="00477203"/>
    <w:rsid w:val="00485316"/>
    <w:rsid w:val="004918FD"/>
    <w:rsid w:val="00493155"/>
    <w:rsid w:val="00494D4A"/>
    <w:rsid w:val="004C116B"/>
    <w:rsid w:val="004C1961"/>
    <w:rsid w:val="004C6ED8"/>
    <w:rsid w:val="004D2585"/>
    <w:rsid w:val="004E0537"/>
    <w:rsid w:val="004E3147"/>
    <w:rsid w:val="004F0C41"/>
    <w:rsid w:val="004F235B"/>
    <w:rsid w:val="004F7797"/>
    <w:rsid w:val="00514EA3"/>
    <w:rsid w:val="005157E3"/>
    <w:rsid w:val="00523C61"/>
    <w:rsid w:val="005272AB"/>
    <w:rsid w:val="00527711"/>
    <w:rsid w:val="00531C22"/>
    <w:rsid w:val="005326E7"/>
    <w:rsid w:val="00534BCC"/>
    <w:rsid w:val="005420C0"/>
    <w:rsid w:val="00544FE2"/>
    <w:rsid w:val="00545722"/>
    <w:rsid w:val="00546D4C"/>
    <w:rsid w:val="0056511B"/>
    <w:rsid w:val="00566363"/>
    <w:rsid w:val="00580102"/>
    <w:rsid w:val="005B4262"/>
    <w:rsid w:val="005B6044"/>
    <w:rsid w:val="005B70A8"/>
    <w:rsid w:val="005C7159"/>
    <w:rsid w:val="005D142D"/>
    <w:rsid w:val="005D287C"/>
    <w:rsid w:val="005D55FE"/>
    <w:rsid w:val="005E0FE8"/>
    <w:rsid w:val="005E715C"/>
    <w:rsid w:val="005F1DEA"/>
    <w:rsid w:val="005F2388"/>
    <w:rsid w:val="00605096"/>
    <w:rsid w:val="006067E9"/>
    <w:rsid w:val="00615092"/>
    <w:rsid w:val="006216AB"/>
    <w:rsid w:val="00634C57"/>
    <w:rsid w:val="00645C28"/>
    <w:rsid w:val="00656A6B"/>
    <w:rsid w:val="00663235"/>
    <w:rsid w:val="0066392F"/>
    <w:rsid w:val="0066789E"/>
    <w:rsid w:val="00674E94"/>
    <w:rsid w:val="00677246"/>
    <w:rsid w:val="00681278"/>
    <w:rsid w:val="006A3C12"/>
    <w:rsid w:val="006B08F0"/>
    <w:rsid w:val="006E1576"/>
    <w:rsid w:val="006E37FF"/>
    <w:rsid w:val="006E776B"/>
    <w:rsid w:val="006F5EFB"/>
    <w:rsid w:val="006F71A2"/>
    <w:rsid w:val="00700059"/>
    <w:rsid w:val="00710C4C"/>
    <w:rsid w:val="007145F3"/>
    <w:rsid w:val="00714E95"/>
    <w:rsid w:val="0071590B"/>
    <w:rsid w:val="00720C80"/>
    <w:rsid w:val="00741E4E"/>
    <w:rsid w:val="0075029E"/>
    <w:rsid w:val="00753E03"/>
    <w:rsid w:val="00770DA7"/>
    <w:rsid w:val="0077372C"/>
    <w:rsid w:val="00773AF7"/>
    <w:rsid w:val="0077419B"/>
    <w:rsid w:val="00775CB3"/>
    <w:rsid w:val="00786A88"/>
    <w:rsid w:val="007926B5"/>
    <w:rsid w:val="00793BF8"/>
    <w:rsid w:val="00794FE8"/>
    <w:rsid w:val="007C036B"/>
    <w:rsid w:val="007C31C0"/>
    <w:rsid w:val="007C5B28"/>
    <w:rsid w:val="007D193E"/>
    <w:rsid w:val="007E11F4"/>
    <w:rsid w:val="007F0BA4"/>
    <w:rsid w:val="007F7E38"/>
    <w:rsid w:val="0080229B"/>
    <w:rsid w:val="00821947"/>
    <w:rsid w:val="00824ADF"/>
    <w:rsid w:val="00827CC5"/>
    <w:rsid w:val="008332F5"/>
    <w:rsid w:val="00837FB9"/>
    <w:rsid w:val="008420B6"/>
    <w:rsid w:val="008712E1"/>
    <w:rsid w:val="00872BDA"/>
    <w:rsid w:val="00872F81"/>
    <w:rsid w:val="00886125"/>
    <w:rsid w:val="008865AF"/>
    <w:rsid w:val="00894741"/>
    <w:rsid w:val="00896BBC"/>
    <w:rsid w:val="008A456D"/>
    <w:rsid w:val="008A75E2"/>
    <w:rsid w:val="008B44A0"/>
    <w:rsid w:val="008E5320"/>
    <w:rsid w:val="008E5C30"/>
    <w:rsid w:val="009014EE"/>
    <w:rsid w:val="0090755F"/>
    <w:rsid w:val="009174C8"/>
    <w:rsid w:val="00921459"/>
    <w:rsid w:val="0092188C"/>
    <w:rsid w:val="00925D7B"/>
    <w:rsid w:val="00926EE8"/>
    <w:rsid w:val="009319A9"/>
    <w:rsid w:val="009350F9"/>
    <w:rsid w:val="00940A2E"/>
    <w:rsid w:val="0095039E"/>
    <w:rsid w:val="00962494"/>
    <w:rsid w:val="00967B5E"/>
    <w:rsid w:val="00975A4D"/>
    <w:rsid w:val="00987241"/>
    <w:rsid w:val="009944EE"/>
    <w:rsid w:val="0099616A"/>
    <w:rsid w:val="009A4CDB"/>
    <w:rsid w:val="009A62F8"/>
    <w:rsid w:val="009A7630"/>
    <w:rsid w:val="009C3261"/>
    <w:rsid w:val="009D69B0"/>
    <w:rsid w:val="009D6E16"/>
    <w:rsid w:val="009E52EE"/>
    <w:rsid w:val="009F0303"/>
    <w:rsid w:val="009F181F"/>
    <w:rsid w:val="00A05668"/>
    <w:rsid w:val="00A22A04"/>
    <w:rsid w:val="00A27332"/>
    <w:rsid w:val="00A30343"/>
    <w:rsid w:val="00A30F2F"/>
    <w:rsid w:val="00A36276"/>
    <w:rsid w:val="00A4158C"/>
    <w:rsid w:val="00A439F0"/>
    <w:rsid w:val="00A47024"/>
    <w:rsid w:val="00A53DA5"/>
    <w:rsid w:val="00A57234"/>
    <w:rsid w:val="00A6122A"/>
    <w:rsid w:val="00A64084"/>
    <w:rsid w:val="00A65F11"/>
    <w:rsid w:val="00A7024D"/>
    <w:rsid w:val="00A75F96"/>
    <w:rsid w:val="00A80A58"/>
    <w:rsid w:val="00AA2C5F"/>
    <w:rsid w:val="00AC49DB"/>
    <w:rsid w:val="00AC4BA5"/>
    <w:rsid w:val="00AD4E2B"/>
    <w:rsid w:val="00AD6E7F"/>
    <w:rsid w:val="00AD7AC6"/>
    <w:rsid w:val="00AE76A2"/>
    <w:rsid w:val="00B06DA6"/>
    <w:rsid w:val="00B131A3"/>
    <w:rsid w:val="00B157D8"/>
    <w:rsid w:val="00B21098"/>
    <w:rsid w:val="00B51E1D"/>
    <w:rsid w:val="00B624B7"/>
    <w:rsid w:val="00B62E1F"/>
    <w:rsid w:val="00B659FF"/>
    <w:rsid w:val="00B7061D"/>
    <w:rsid w:val="00B73FC1"/>
    <w:rsid w:val="00B82031"/>
    <w:rsid w:val="00B975BA"/>
    <w:rsid w:val="00BA0BF2"/>
    <w:rsid w:val="00BA1024"/>
    <w:rsid w:val="00BA683C"/>
    <w:rsid w:val="00BB1806"/>
    <w:rsid w:val="00BC5A8E"/>
    <w:rsid w:val="00BC7CA3"/>
    <w:rsid w:val="00BE7D9C"/>
    <w:rsid w:val="00BF2FC7"/>
    <w:rsid w:val="00BF7CCD"/>
    <w:rsid w:val="00C048F9"/>
    <w:rsid w:val="00C1020E"/>
    <w:rsid w:val="00C11190"/>
    <w:rsid w:val="00C15412"/>
    <w:rsid w:val="00C22CB4"/>
    <w:rsid w:val="00C46DBF"/>
    <w:rsid w:val="00C51453"/>
    <w:rsid w:val="00C52646"/>
    <w:rsid w:val="00C6330D"/>
    <w:rsid w:val="00C66240"/>
    <w:rsid w:val="00C80C8A"/>
    <w:rsid w:val="00C82286"/>
    <w:rsid w:val="00CA6D21"/>
    <w:rsid w:val="00CB0FEC"/>
    <w:rsid w:val="00CB142C"/>
    <w:rsid w:val="00CB22E4"/>
    <w:rsid w:val="00CC11DA"/>
    <w:rsid w:val="00CE2514"/>
    <w:rsid w:val="00CE66BE"/>
    <w:rsid w:val="00D22A6E"/>
    <w:rsid w:val="00D326F8"/>
    <w:rsid w:val="00D3565F"/>
    <w:rsid w:val="00D3576C"/>
    <w:rsid w:val="00D56172"/>
    <w:rsid w:val="00D567CC"/>
    <w:rsid w:val="00D729A1"/>
    <w:rsid w:val="00D73AE2"/>
    <w:rsid w:val="00D8619B"/>
    <w:rsid w:val="00DB17AB"/>
    <w:rsid w:val="00DB2CDA"/>
    <w:rsid w:val="00DC5485"/>
    <w:rsid w:val="00DD0414"/>
    <w:rsid w:val="00DD3730"/>
    <w:rsid w:val="00DE5174"/>
    <w:rsid w:val="00DF4423"/>
    <w:rsid w:val="00E07390"/>
    <w:rsid w:val="00E07BB7"/>
    <w:rsid w:val="00E20856"/>
    <w:rsid w:val="00E2151E"/>
    <w:rsid w:val="00E365D3"/>
    <w:rsid w:val="00E45D47"/>
    <w:rsid w:val="00E6195F"/>
    <w:rsid w:val="00E72DE0"/>
    <w:rsid w:val="00E74AED"/>
    <w:rsid w:val="00E763BC"/>
    <w:rsid w:val="00E87D86"/>
    <w:rsid w:val="00E93C84"/>
    <w:rsid w:val="00E9673A"/>
    <w:rsid w:val="00EA3543"/>
    <w:rsid w:val="00EA400E"/>
    <w:rsid w:val="00EA4E87"/>
    <w:rsid w:val="00EB4744"/>
    <w:rsid w:val="00EB4A52"/>
    <w:rsid w:val="00EB7B4C"/>
    <w:rsid w:val="00EF6AE6"/>
    <w:rsid w:val="00F22EB2"/>
    <w:rsid w:val="00F24AF5"/>
    <w:rsid w:val="00F35639"/>
    <w:rsid w:val="00F36B6E"/>
    <w:rsid w:val="00F465D4"/>
    <w:rsid w:val="00F56FB7"/>
    <w:rsid w:val="00F64AB6"/>
    <w:rsid w:val="00F80765"/>
    <w:rsid w:val="00F839E2"/>
    <w:rsid w:val="00F96802"/>
    <w:rsid w:val="00FA19CB"/>
    <w:rsid w:val="00FA53C3"/>
    <w:rsid w:val="00FD5303"/>
    <w:rsid w:val="00FE1DE4"/>
    <w:rsid w:val="00FE3B5D"/>
    <w:rsid w:val="00FE6CE0"/>
    <w:rsid w:val="00FE7EED"/>
    <w:rsid w:val="00FF1808"/>
    <w:rsid w:val="00FF60F1"/>
    <w:rsid w:val="00FF689D"/>
    <w:rsid w:val="288D5733"/>
    <w:rsid w:val="2E802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E1D0E"/>
  <w15:chartTrackingRefBased/>
  <w15:docId w15:val="{CBB09B17-668E-4CA7-B4CB-2797D99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4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9872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7B4C"/>
    <w:rPr>
      <w:color w:val="0000FF"/>
      <w:u w:val="single"/>
    </w:rPr>
  </w:style>
  <w:style w:type="paragraph" w:styleId="NormalWeb">
    <w:name w:val="Normal (Web)"/>
    <w:basedOn w:val="Normal"/>
    <w:uiPriority w:val="99"/>
    <w:unhideWhenUsed/>
    <w:rsid w:val="00EB7B4C"/>
    <w:pPr>
      <w:spacing w:before="75" w:after="75"/>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EB7B4C"/>
    <w:rPr>
      <w:sz w:val="16"/>
      <w:szCs w:val="16"/>
    </w:rPr>
  </w:style>
  <w:style w:type="paragraph" w:styleId="CommentText">
    <w:name w:val="annotation text"/>
    <w:basedOn w:val="Normal"/>
    <w:link w:val="CommentTextChar"/>
    <w:uiPriority w:val="99"/>
    <w:unhideWhenUsed/>
    <w:rsid w:val="00EB7B4C"/>
    <w:rPr>
      <w:sz w:val="20"/>
      <w:szCs w:val="20"/>
    </w:rPr>
  </w:style>
  <w:style w:type="character" w:customStyle="1" w:styleId="CommentTextChar">
    <w:name w:val="Comment Text Char"/>
    <w:basedOn w:val="DefaultParagraphFont"/>
    <w:link w:val="CommentText"/>
    <w:uiPriority w:val="99"/>
    <w:rsid w:val="00EB7B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7B4C"/>
    <w:rPr>
      <w:b/>
      <w:bCs/>
    </w:rPr>
  </w:style>
  <w:style w:type="character" w:customStyle="1" w:styleId="CommentSubjectChar">
    <w:name w:val="Comment Subject Char"/>
    <w:basedOn w:val="CommentTextChar"/>
    <w:link w:val="CommentSubject"/>
    <w:uiPriority w:val="99"/>
    <w:semiHidden/>
    <w:rsid w:val="00EB7B4C"/>
    <w:rPr>
      <w:rFonts w:ascii="Times New Roman" w:hAnsi="Times New Roman"/>
      <w:b/>
      <w:bCs/>
      <w:sz w:val="20"/>
      <w:szCs w:val="20"/>
    </w:rPr>
  </w:style>
  <w:style w:type="paragraph" w:styleId="BalloonText">
    <w:name w:val="Balloon Text"/>
    <w:basedOn w:val="Normal"/>
    <w:link w:val="BalloonTextChar"/>
    <w:uiPriority w:val="99"/>
    <w:semiHidden/>
    <w:unhideWhenUsed/>
    <w:rsid w:val="00EB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4C"/>
    <w:rPr>
      <w:rFonts w:ascii="Segoe UI" w:hAnsi="Segoe UI" w:cs="Segoe UI"/>
      <w:sz w:val="18"/>
      <w:szCs w:val="18"/>
    </w:rPr>
  </w:style>
  <w:style w:type="paragraph" w:styleId="ListParagraph">
    <w:name w:val="List Paragraph"/>
    <w:basedOn w:val="Normal"/>
    <w:uiPriority w:val="34"/>
    <w:qFormat/>
    <w:rsid w:val="00D326F8"/>
    <w:pPr>
      <w:ind w:left="720"/>
      <w:contextualSpacing/>
    </w:pPr>
  </w:style>
  <w:style w:type="paragraph" w:styleId="Header">
    <w:name w:val="header"/>
    <w:basedOn w:val="Normal"/>
    <w:link w:val="HeaderChar"/>
    <w:uiPriority w:val="99"/>
    <w:unhideWhenUsed/>
    <w:rsid w:val="00D326F8"/>
    <w:pPr>
      <w:tabs>
        <w:tab w:val="center" w:pos="4153"/>
        <w:tab w:val="right" w:pos="8306"/>
      </w:tabs>
    </w:pPr>
  </w:style>
  <w:style w:type="character" w:customStyle="1" w:styleId="HeaderChar">
    <w:name w:val="Header Char"/>
    <w:basedOn w:val="DefaultParagraphFont"/>
    <w:link w:val="Header"/>
    <w:uiPriority w:val="99"/>
    <w:rsid w:val="00D326F8"/>
    <w:rPr>
      <w:rFonts w:ascii="Times New Roman" w:hAnsi="Times New Roman"/>
      <w:sz w:val="28"/>
    </w:rPr>
  </w:style>
  <w:style w:type="paragraph" w:styleId="Footer">
    <w:name w:val="footer"/>
    <w:basedOn w:val="Normal"/>
    <w:link w:val="FooterChar"/>
    <w:uiPriority w:val="99"/>
    <w:unhideWhenUsed/>
    <w:rsid w:val="00D326F8"/>
    <w:pPr>
      <w:tabs>
        <w:tab w:val="center" w:pos="4153"/>
        <w:tab w:val="right" w:pos="8306"/>
      </w:tabs>
    </w:pPr>
  </w:style>
  <w:style w:type="character" w:customStyle="1" w:styleId="FooterChar">
    <w:name w:val="Footer Char"/>
    <w:basedOn w:val="DefaultParagraphFont"/>
    <w:link w:val="Footer"/>
    <w:uiPriority w:val="99"/>
    <w:rsid w:val="00D326F8"/>
    <w:rPr>
      <w:rFonts w:ascii="Times New Roman" w:hAnsi="Times New Roman"/>
      <w:sz w:val="28"/>
    </w:rPr>
  </w:style>
  <w:style w:type="character" w:customStyle="1" w:styleId="Heading1Char">
    <w:name w:val="Heading 1 Char"/>
    <w:basedOn w:val="DefaultParagraphFont"/>
    <w:link w:val="Heading1"/>
    <w:uiPriority w:val="9"/>
    <w:rsid w:val="00987241"/>
    <w:rPr>
      <w:rFonts w:asciiTheme="majorHAnsi" w:eastAsiaTheme="majorEastAsia" w:hAnsiTheme="majorHAnsi" w:cstheme="majorBidi"/>
      <w:color w:val="2E74B5" w:themeColor="accent1" w:themeShade="BF"/>
      <w:sz w:val="32"/>
      <w:szCs w:val="32"/>
    </w:rPr>
  </w:style>
  <w:style w:type="paragraph" w:customStyle="1" w:styleId="naiskr">
    <w:name w:val="naiskr"/>
    <w:basedOn w:val="Normal"/>
    <w:rsid w:val="00FF689D"/>
    <w:pPr>
      <w:spacing w:before="75" w:after="75"/>
    </w:pPr>
    <w:rPr>
      <w:rFonts w:eastAsia="Times New Roman" w:cs="Times New Roman"/>
      <w:sz w:val="24"/>
      <w:szCs w:val="24"/>
      <w:lang w:eastAsia="lv-LV"/>
    </w:rPr>
  </w:style>
  <w:style w:type="character" w:customStyle="1" w:styleId="Bodytext">
    <w:name w:val="Body text_"/>
    <w:basedOn w:val="DefaultParagraphFont"/>
    <w:link w:val="BodyText2"/>
    <w:rsid w:val="00FF689D"/>
    <w:rPr>
      <w:sz w:val="28"/>
      <w:szCs w:val="28"/>
      <w:shd w:val="clear" w:color="auto" w:fill="FFFFFF"/>
    </w:rPr>
  </w:style>
  <w:style w:type="paragraph" w:customStyle="1" w:styleId="BodyText2">
    <w:name w:val="Body Text2"/>
    <w:basedOn w:val="Normal"/>
    <w:link w:val="Bodytext"/>
    <w:rsid w:val="00FF689D"/>
    <w:pPr>
      <w:widowControl w:val="0"/>
      <w:shd w:val="clear" w:color="auto" w:fill="FFFFFF"/>
      <w:spacing w:before="180" w:after="480" w:line="339" w:lineRule="exact"/>
    </w:pPr>
    <w:rPr>
      <w:rFonts w:asciiTheme="minorHAnsi" w:hAnsiTheme="minorHAnsi"/>
      <w:szCs w:val="28"/>
    </w:rPr>
  </w:style>
  <w:style w:type="paragraph" w:styleId="FootnoteText">
    <w:name w:val="footnote text"/>
    <w:basedOn w:val="Normal"/>
    <w:link w:val="FootnoteTextChar"/>
    <w:uiPriority w:val="99"/>
    <w:semiHidden/>
    <w:unhideWhenUsed/>
    <w:rsid w:val="004C116B"/>
    <w:rPr>
      <w:sz w:val="20"/>
      <w:szCs w:val="20"/>
    </w:rPr>
  </w:style>
  <w:style w:type="character" w:customStyle="1" w:styleId="FootnoteTextChar">
    <w:name w:val="Footnote Text Char"/>
    <w:basedOn w:val="DefaultParagraphFont"/>
    <w:link w:val="FootnoteText"/>
    <w:uiPriority w:val="99"/>
    <w:semiHidden/>
    <w:rsid w:val="004C116B"/>
    <w:rPr>
      <w:rFonts w:ascii="Times New Roman" w:hAnsi="Times New Roman"/>
      <w:sz w:val="20"/>
      <w:szCs w:val="20"/>
    </w:rPr>
  </w:style>
  <w:style w:type="character" w:styleId="FootnoteReference">
    <w:name w:val="footnote reference"/>
    <w:basedOn w:val="DefaultParagraphFont"/>
    <w:uiPriority w:val="99"/>
    <w:semiHidden/>
    <w:unhideWhenUsed/>
    <w:rsid w:val="004C116B"/>
    <w:rPr>
      <w:vertAlign w:val="superscript"/>
    </w:rPr>
  </w:style>
  <w:style w:type="character" w:styleId="Strong">
    <w:name w:val="Strong"/>
    <w:uiPriority w:val="22"/>
    <w:qFormat/>
    <w:rsid w:val="00544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570">
      <w:bodyDiv w:val="1"/>
      <w:marLeft w:val="0"/>
      <w:marRight w:val="0"/>
      <w:marTop w:val="0"/>
      <w:marBottom w:val="0"/>
      <w:divBdr>
        <w:top w:val="none" w:sz="0" w:space="0" w:color="auto"/>
        <w:left w:val="none" w:sz="0" w:space="0" w:color="auto"/>
        <w:bottom w:val="none" w:sz="0" w:space="0" w:color="auto"/>
        <w:right w:val="none" w:sz="0" w:space="0" w:color="auto"/>
      </w:divBdr>
    </w:div>
    <w:div w:id="625044390">
      <w:bodyDiv w:val="1"/>
      <w:marLeft w:val="0"/>
      <w:marRight w:val="0"/>
      <w:marTop w:val="0"/>
      <w:marBottom w:val="0"/>
      <w:divBdr>
        <w:top w:val="none" w:sz="0" w:space="0" w:color="auto"/>
        <w:left w:val="none" w:sz="0" w:space="0" w:color="auto"/>
        <w:bottom w:val="none" w:sz="0" w:space="0" w:color="auto"/>
        <w:right w:val="none" w:sz="0" w:space="0" w:color="auto"/>
      </w:divBdr>
    </w:div>
    <w:div w:id="689650545">
      <w:bodyDiv w:val="1"/>
      <w:marLeft w:val="0"/>
      <w:marRight w:val="0"/>
      <w:marTop w:val="0"/>
      <w:marBottom w:val="0"/>
      <w:divBdr>
        <w:top w:val="none" w:sz="0" w:space="0" w:color="auto"/>
        <w:left w:val="none" w:sz="0" w:space="0" w:color="auto"/>
        <w:bottom w:val="none" w:sz="0" w:space="0" w:color="auto"/>
        <w:right w:val="none" w:sz="0" w:space="0" w:color="auto"/>
      </w:divBdr>
    </w:div>
    <w:div w:id="760299787">
      <w:bodyDiv w:val="1"/>
      <w:marLeft w:val="0"/>
      <w:marRight w:val="0"/>
      <w:marTop w:val="0"/>
      <w:marBottom w:val="0"/>
      <w:divBdr>
        <w:top w:val="none" w:sz="0" w:space="0" w:color="auto"/>
        <w:left w:val="none" w:sz="0" w:space="0" w:color="auto"/>
        <w:bottom w:val="none" w:sz="0" w:space="0" w:color="auto"/>
        <w:right w:val="none" w:sz="0" w:space="0" w:color="auto"/>
      </w:divBdr>
    </w:div>
    <w:div w:id="797719634">
      <w:bodyDiv w:val="1"/>
      <w:marLeft w:val="0"/>
      <w:marRight w:val="0"/>
      <w:marTop w:val="0"/>
      <w:marBottom w:val="0"/>
      <w:divBdr>
        <w:top w:val="none" w:sz="0" w:space="0" w:color="auto"/>
        <w:left w:val="none" w:sz="0" w:space="0" w:color="auto"/>
        <w:bottom w:val="none" w:sz="0" w:space="0" w:color="auto"/>
        <w:right w:val="none" w:sz="0" w:space="0" w:color="auto"/>
      </w:divBdr>
    </w:div>
    <w:div w:id="831528289">
      <w:bodyDiv w:val="1"/>
      <w:marLeft w:val="0"/>
      <w:marRight w:val="0"/>
      <w:marTop w:val="0"/>
      <w:marBottom w:val="0"/>
      <w:divBdr>
        <w:top w:val="none" w:sz="0" w:space="0" w:color="auto"/>
        <w:left w:val="none" w:sz="0" w:space="0" w:color="auto"/>
        <w:bottom w:val="none" w:sz="0" w:space="0" w:color="auto"/>
        <w:right w:val="none" w:sz="0" w:space="0" w:color="auto"/>
      </w:divBdr>
    </w:div>
    <w:div w:id="1381443605">
      <w:bodyDiv w:val="1"/>
      <w:marLeft w:val="0"/>
      <w:marRight w:val="0"/>
      <w:marTop w:val="0"/>
      <w:marBottom w:val="0"/>
      <w:divBdr>
        <w:top w:val="none" w:sz="0" w:space="0" w:color="auto"/>
        <w:left w:val="none" w:sz="0" w:space="0" w:color="auto"/>
        <w:bottom w:val="none" w:sz="0" w:space="0" w:color="auto"/>
        <w:right w:val="none" w:sz="0" w:space="0" w:color="auto"/>
      </w:divBdr>
    </w:div>
    <w:div w:id="1400202579">
      <w:bodyDiv w:val="1"/>
      <w:marLeft w:val="0"/>
      <w:marRight w:val="0"/>
      <w:marTop w:val="0"/>
      <w:marBottom w:val="0"/>
      <w:divBdr>
        <w:top w:val="none" w:sz="0" w:space="0" w:color="auto"/>
        <w:left w:val="none" w:sz="0" w:space="0" w:color="auto"/>
        <w:bottom w:val="none" w:sz="0" w:space="0" w:color="auto"/>
        <w:right w:val="none" w:sz="0" w:space="0" w:color="auto"/>
      </w:divBdr>
    </w:div>
    <w:div w:id="20450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anta.Krastina@fm.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Zinotajs xmlns="076bee50-7a25-411a-a5a6-8097026bde27">S. Āmare-Pilka</Zinotajs>
    <NPK xmlns="bf0a44d4-cc3b-414c-aa68-884178465e3a">2.</NPK>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2542-5278-44DA-A228-A604BECD5F2A}">
  <ds:schemaRefs>
    <ds:schemaRef ds:uri="http://schemas.microsoft.com/sharepoint/v3/contenttype/forms"/>
  </ds:schemaRefs>
</ds:datastoreItem>
</file>

<file path=customXml/itemProps2.xml><?xml version="1.0" encoding="utf-8"?>
<ds:datastoreItem xmlns:ds="http://schemas.openxmlformats.org/officeDocument/2006/customXml" ds:itemID="{B705AE24-C759-4189-B73C-0F25179EE587}">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bf0a44d4-cc3b-414c-aa68-884178465e3a"/>
    <ds:schemaRef ds:uri="http://schemas.microsoft.com/office/infopath/2007/PartnerControls"/>
    <ds:schemaRef ds:uri="http://purl.org/dc/elements/1.1/"/>
    <ds:schemaRef ds:uri="076bee50-7a25-411a-a5a6-8097026bde27"/>
    <ds:schemaRef ds:uri="http://www.w3.org/XML/1998/namespace"/>
    <ds:schemaRef ds:uri="http://purl.org/dc/dcmitype/"/>
  </ds:schemaRefs>
</ds:datastoreItem>
</file>

<file path=customXml/itemProps3.xml><?xml version="1.0" encoding="utf-8"?>
<ds:datastoreItem xmlns:ds="http://schemas.openxmlformats.org/officeDocument/2006/customXml" ds:itemID="{D77CF28D-9C91-4B61-82DA-C7AAD3F6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08ADB-FB20-4DAC-ADAA-871329FC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3398</Words>
  <Characters>1937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Llikumprojekts "Grozījumi Pievienotās vērtības nodokļa likumā"</vt:lpstr>
    </vt:vector>
  </TitlesOfParts>
  <Manager>Solvita Āmare Pilka</Manager>
  <Company>FM</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Llikumprojekts "Grozījumi Pievienotās vērtības nodokļa likumā"</dc:title>
  <dc:subject>Uzziņa Vadības komitejai</dc:subject>
  <dc:creator>J. Kuhaļska</dc:creator>
  <cp:keywords/>
  <dc:description>tālr. Nr.67083849_x000d_
Jelena.Kuhalska@fm.gov.lv</dc:description>
  <cp:lastModifiedBy>Inguna Dancīte</cp:lastModifiedBy>
  <cp:revision>3</cp:revision>
  <cp:lastPrinted>2019-06-19T05:59:00Z</cp:lastPrinted>
  <dcterms:created xsi:type="dcterms:W3CDTF">2021-04-16T08:19:00Z</dcterms:created>
  <dcterms:modified xsi:type="dcterms:W3CDTF">2021-04-18T06:10:00Z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