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943AC" w14:textId="77777777" w:rsidR="002C442C" w:rsidRDefault="002C442C" w:rsidP="003A1AAE">
      <w:pPr>
        <w:jc w:val="right"/>
      </w:pPr>
    </w:p>
    <w:p w14:paraId="7A56CC45" w14:textId="77777777" w:rsidR="002C442C" w:rsidRDefault="002C442C" w:rsidP="003A1AAE">
      <w:pPr>
        <w:jc w:val="right"/>
      </w:pPr>
    </w:p>
    <w:p w14:paraId="4AD31C3C" w14:textId="0BF61380" w:rsidR="00247B1E" w:rsidRPr="003A1AAE" w:rsidRDefault="003A1AAE" w:rsidP="003A1AAE">
      <w:pPr>
        <w:jc w:val="right"/>
      </w:pPr>
      <w:r w:rsidRPr="003A1AAE">
        <w:t>Pielikums</w:t>
      </w:r>
    </w:p>
    <w:p w14:paraId="1FEF085C" w14:textId="54F5520E" w:rsidR="003A1AAE" w:rsidRPr="003A1AAE" w:rsidRDefault="003A1AAE" w:rsidP="003A1AAE">
      <w:pPr>
        <w:jc w:val="right"/>
        <w:rPr>
          <w:szCs w:val="24"/>
        </w:rPr>
      </w:pPr>
      <w:r w:rsidRPr="003A1AAE">
        <w:rPr>
          <w:szCs w:val="24"/>
        </w:rPr>
        <w:t xml:space="preserve">Informatīvajam ziņojumam </w:t>
      </w:r>
      <w:r w:rsidRPr="003A1AAE">
        <w:rPr>
          <w:szCs w:val="24"/>
        </w:rPr>
        <w:br/>
      </w:r>
      <w:r w:rsidR="009278D1">
        <w:rPr>
          <w:szCs w:val="24"/>
        </w:rPr>
        <w:t>“P</w:t>
      </w:r>
      <w:r w:rsidRPr="003A1AAE">
        <w:rPr>
          <w:szCs w:val="24"/>
        </w:rPr>
        <w:t xml:space="preserve">ar sabiedriskā labuma organizāciju </w:t>
      </w:r>
    </w:p>
    <w:p w14:paraId="30206DBE" w14:textId="78D62556" w:rsidR="003A1AAE" w:rsidRPr="003A1AAE" w:rsidRDefault="003A1AAE" w:rsidP="003A1AAE">
      <w:pPr>
        <w:jc w:val="right"/>
        <w:rPr>
          <w:szCs w:val="24"/>
        </w:rPr>
      </w:pPr>
      <w:r w:rsidRPr="003A1AAE">
        <w:rPr>
          <w:szCs w:val="24"/>
        </w:rPr>
        <w:t>darbību un attīstību</w:t>
      </w:r>
      <w:r w:rsidR="009278D1">
        <w:rPr>
          <w:szCs w:val="24"/>
        </w:rPr>
        <w:t>”</w:t>
      </w:r>
    </w:p>
    <w:p w14:paraId="671ECDF7" w14:textId="77777777" w:rsidR="003A1AAE" w:rsidRDefault="003A1AAE" w:rsidP="003A1AAE">
      <w:pPr>
        <w:jc w:val="right"/>
      </w:pPr>
    </w:p>
    <w:p w14:paraId="23D0628F" w14:textId="77777777" w:rsidR="003A1AAE" w:rsidRPr="00032BA3" w:rsidRDefault="00032BA3" w:rsidP="003A1AAE">
      <w:pPr>
        <w:jc w:val="center"/>
        <w:rPr>
          <w:b/>
        </w:rPr>
      </w:pPr>
      <w:r w:rsidRPr="00032BA3">
        <w:rPr>
          <w:b/>
        </w:rPr>
        <w:t>NAP2027 prioritāšu pamatojuma avotos konstatēto problēmu sasaiste ar Labklājības indeksā iekļautajiem virzieniem</w:t>
      </w:r>
    </w:p>
    <w:p w14:paraId="0C61DC06" w14:textId="77777777" w:rsidR="00032BA3" w:rsidRPr="004D33D6" w:rsidRDefault="00032BA3" w:rsidP="003A1AAE">
      <w:pPr>
        <w:jc w:val="center"/>
        <w:rPr>
          <w:rFonts w:cs="Times New Roman"/>
          <w:b/>
          <w:iCs/>
        </w:rPr>
      </w:pPr>
    </w:p>
    <w:p w14:paraId="21427E04" w14:textId="77777777" w:rsidR="003A1AAE" w:rsidRPr="004D33D6" w:rsidRDefault="00032BA3" w:rsidP="00032BA3">
      <w:pPr>
        <w:ind w:firstLine="709"/>
        <w:jc w:val="both"/>
        <w:rPr>
          <w:rFonts w:cs="Times New Roman"/>
          <w:b/>
          <w:iCs/>
        </w:rPr>
      </w:pPr>
      <w:r>
        <w:rPr>
          <w:rFonts w:cs="Times New Roman"/>
        </w:rPr>
        <w:t xml:space="preserve">Šajā pielikumā ir </w:t>
      </w:r>
      <w:r w:rsidRPr="00297B78">
        <w:rPr>
          <w:rFonts w:cs="Times New Roman"/>
        </w:rPr>
        <w:t>apkopotas NAP2027 prioritāšu pamatojuma avotos konstatētās problēmas, kas ir saist</w:t>
      </w:r>
      <w:r>
        <w:rPr>
          <w:rFonts w:cs="Times New Roman"/>
        </w:rPr>
        <w:t>ītas</w:t>
      </w:r>
      <w:r w:rsidRPr="00297B78">
        <w:rPr>
          <w:rFonts w:cs="Times New Roman"/>
        </w:rPr>
        <w:t xml:space="preserve"> ar Labklājības indeksa rādītājiem, kuros Latvijas vērtējums ir zemāks par 100 no </w:t>
      </w:r>
      <w:proofErr w:type="spellStart"/>
      <w:r w:rsidRPr="00297B78">
        <w:rPr>
          <w:rFonts w:cs="Times New Roman"/>
        </w:rPr>
        <w:t>Legatuma</w:t>
      </w:r>
      <w:proofErr w:type="spellEnd"/>
      <w:r w:rsidRPr="00297B78">
        <w:rPr>
          <w:rFonts w:cs="Times New Roman"/>
        </w:rPr>
        <w:t xml:space="preserve"> Labklājības indeksa ietvaros 167 izvērtētajām valstīm</w:t>
      </w:r>
      <w:r>
        <w:rPr>
          <w:rFonts w:cs="Times New Roman"/>
        </w:rPr>
        <w:t>.</w:t>
      </w:r>
    </w:p>
    <w:p w14:paraId="0EE91CE6" w14:textId="77777777" w:rsidR="003A1AAE" w:rsidRPr="00AC2B25" w:rsidRDefault="003A1AAE" w:rsidP="003A1AAE">
      <w:pPr>
        <w:pStyle w:val="ListParagraph"/>
        <w:numPr>
          <w:ilvl w:val="0"/>
          <w:numId w:val="1"/>
        </w:numPr>
        <w:ind w:left="0" w:firstLine="360"/>
        <w:contextualSpacing w:val="0"/>
        <w:jc w:val="both"/>
        <w:rPr>
          <w:rFonts w:ascii="Times New Roman" w:hAnsi="Times New Roman" w:cs="Times New Roman"/>
          <w:iCs/>
        </w:rPr>
      </w:pPr>
      <w:r w:rsidRPr="004D33D6">
        <w:rPr>
          <w:rFonts w:ascii="Times New Roman" w:hAnsi="Times New Roman" w:cs="Times New Roman"/>
          <w:iCs/>
        </w:rPr>
        <w:t xml:space="preserve">NAP2027 </w:t>
      </w:r>
      <w:r w:rsidRPr="004D33D6">
        <w:rPr>
          <w:rFonts w:ascii="Times New Roman" w:hAnsi="Times New Roman" w:cs="Times New Roman"/>
        </w:rPr>
        <w:t xml:space="preserve">Rīcības virzienā “Saliedētība”, kā arī </w:t>
      </w:r>
      <w:r w:rsidRPr="004D33D6">
        <w:rPr>
          <w:rFonts w:ascii="Times New Roman" w:hAnsi="Times New Roman" w:cs="Times New Roman"/>
          <w:bCs/>
        </w:rPr>
        <w:t>Rīcības virzienā “Tiesiskums un pārvaldība”</w:t>
      </w:r>
      <w:r w:rsidRPr="004D33D6">
        <w:rPr>
          <w:rFonts w:ascii="Times New Roman" w:hAnsi="Times New Roman" w:cs="Times New Roman"/>
        </w:rPr>
        <w:t xml:space="preserve"> konstatēto prioritāro problēmu izv</w:t>
      </w:r>
      <w:r>
        <w:rPr>
          <w:rFonts w:ascii="Times New Roman" w:hAnsi="Times New Roman" w:cs="Times New Roman"/>
        </w:rPr>
        <w:t>ē</w:t>
      </w:r>
      <w:r w:rsidRPr="004D33D6">
        <w:rPr>
          <w:rFonts w:ascii="Times New Roman" w:hAnsi="Times New Roman" w:cs="Times New Roman"/>
        </w:rPr>
        <w:t>rtējums korelācijā ar Labklājības indeksā iekļautajiem virzieniem:</w:t>
      </w:r>
    </w:p>
    <w:p w14:paraId="200654EF" w14:textId="77777777" w:rsidR="003A1AAE" w:rsidRPr="00AC2B25" w:rsidRDefault="003A1AAE" w:rsidP="003A1AAE">
      <w:pPr>
        <w:pStyle w:val="ListParagraph"/>
        <w:numPr>
          <w:ilvl w:val="1"/>
          <w:numId w:val="1"/>
        </w:numPr>
        <w:ind w:left="0" w:firstLine="709"/>
        <w:contextualSpacing w:val="0"/>
        <w:jc w:val="both"/>
        <w:rPr>
          <w:rFonts w:ascii="Times New Roman" w:hAnsi="Times New Roman" w:cs="Times New Roman"/>
          <w:sz w:val="22"/>
          <w:szCs w:val="22"/>
        </w:rPr>
      </w:pPr>
      <w:r w:rsidRPr="004D33D6">
        <w:rPr>
          <w:rFonts w:ascii="Times New Roman" w:hAnsi="Times New Roman" w:cs="Times New Roman"/>
        </w:rPr>
        <w:t>NAP2027 konstatētā problēma Rīcības virzienā “Saliedētība” korelē ar Labklājības indeksa virzienu Personas brīvība – Sabiedrības tolerance (</w:t>
      </w:r>
      <w:proofErr w:type="spellStart"/>
      <w:r w:rsidRPr="00690A4B">
        <w:rPr>
          <w:rFonts w:ascii="Times New Roman" w:hAnsi="Times New Roman" w:cs="Times New Roman"/>
        </w:rPr>
        <w:t>ang</w:t>
      </w:r>
      <w:proofErr w:type="spellEnd"/>
      <w:r w:rsidRPr="004D33D6">
        <w:rPr>
          <w:rFonts w:ascii="Times New Roman" w:hAnsi="Times New Roman" w:cs="Times New Roman"/>
        </w:rPr>
        <w:t xml:space="preserve">. </w:t>
      </w:r>
      <w:proofErr w:type="spellStart"/>
      <w:r w:rsidRPr="00690A4B">
        <w:rPr>
          <w:rFonts w:ascii="Times New Roman" w:hAnsi="Times New Roman" w:cs="Times New Roman"/>
          <w:i/>
        </w:rPr>
        <w:t>Personal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Freedom</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Social</w:t>
      </w:r>
      <w:proofErr w:type="spellEnd"/>
      <w:r w:rsidRPr="00690A4B">
        <w:rPr>
          <w:rFonts w:ascii="Times New Roman" w:hAnsi="Times New Roman" w:cs="Times New Roman"/>
          <w:i/>
        </w:rPr>
        <w:t xml:space="preserve"> Tolerance</w:t>
      </w:r>
      <w:r w:rsidRPr="004D33D6">
        <w:rPr>
          <w:rFonts w:ascii="Times New Roman" w:hAnsi="Times New Roman" w:cs="Times New Roman"/>
        </w:rPr>
        <w:t xml:space="preserve">) – pielikuma “NAP2027 prioritāšu pamatojuma avoti” 131.punktā konstatētais attiecībā uz augsto neiecietību pret dažādību: </w:t>
      </w:r>
    </w:p>
    <w:p w14:paraId="2DF52333" w14:textId="77777777" w:rsidR="003A1AAE" w:rsidRPr="004D33D6" w:rsidRDefault="003A1AAE" w:rsidP="003A1AAE">
      <w:pPr>
        <w:pStyle w:val="Default"/>
        <w:ind w:firstLine="709"/>
        <w:jc w:val="both"/>
      </w:pPr>
      <w:r w:rsidRPr="004D33D6">
        <w:t>“</w:t>
      </w:r>
      <w:r w:rsidRPr="004D33D6">
        <w:rPr>
          <w:i/>
        </w:rPr>
        <w:t xml:space="preserve">131. </w:t>
      </w:r>
      <w:r w:rsidRPr="004D33D6">
        <w:rPr>
          <w:b/>
          <w:bCs/>
          <w:i/>
        </w:rPr>
        <w:t xml:space="preserve">Augsta neiecietība pret dažādību. </w:t>
      </w:r>
      <w:r w:rsidRPr="004D33D6">
        <w:rPr>
          <w:i/>
        </w:rPr>
        <w:t>Aptaujas rezultāti liecina, ka aptuveni piektajai daļai Latvijas iedzīvotāju raksturīga zema tolerance pret dažādību: 20 % Latvijas iedzīvotāju pauž viedokli, ka viņiem nebūtu problēmu dzīvot kaimiņos, strādāt kopā vai būt tuvos draugos ar diskriminācijas riskam pakļauto sociālo grupu pārstāvjiem. Kopumā kaimiņu, kolēģu un draugu izvēlē Latvijas iedzīvotāju tolerances līmenis ir līdzīgs.</w:t>
      </w:r>
      <w:r w:rsidRPr="004D33D6">
        <w:t xml:space="preserve"> (</w:t>
      </w:r>
      <w:r w:rsidRPr="004D33D6">
        <w:rPr>
          <w:i/>
          <w:iCs/>
        </w:rPr>
        <w:t xml:space="preserve">Datu avots: 2017. gada Izpētes ziņojums par pašreizējo sabiedrības izpratnes un informētības līmeni un efektīvākajiem informācijas sniegšanas mehānismiem, Sabiedrības integrācijas fonds, </w:t>
      </w:r>
      <w:hyperlink r:id="rId10" w:history="1">
        <w:r w:rsidRPr="004D33D6">
          <w:rPr>
            <w:rStyle w:val="Hyperlink"/>
            <w:i/>
            <w:iCs/>
          </w:rPr>
          <w:t>http://petijumi.mk.gov.lv/sites/default/files/title_file/SIF_izpetes_zinojums_par_pasreiej_sabiedrib_izpratnes_un_informet_limeni_un_efektivakajiem_sniegsanas_mehanismiem.pdf</w:t>
        </w:r>
      </w:hyperlink>
      <w:r w:rsidRPr="004D33D6">
        <w:rPr>
          <w:i/>
          <w:iCs/>
        </w:rPr>
        <w:t xml:space="preserve">).”. </w:t>
      </w:r>
    </w:p>
    <w:p w14:paraId="30543538" w14:textId="77777777" w:rsidR="003A1AAE" w:rsidRPr="004D33D6" w:rsidRDefault="003A1AAE" w:rsidP="003A1AAE">
      <w:pPr>
        <w:ind w:firstLine="709"/>
        <w:jc w:val="both"/>
        <w:rPr>
          <w:rFonts w:cs="Times New Roman"/>
        </w:rPr>
      </w:pPr>
      <w:r w:rsidRPr="004D33D6">
        <w:rPr>
          <w:rFonts w:cs="Times New Roman"/>
        </w:rPr>
        <w:t xml:space="preserve">Minētais būtiski ietekmē </w:t>
      </w:r>
      <w:proofErr w:type="spellStart"/>
      <w:r w:rsidRPr="004D33D6">
        <w:rPr>
          <w:rFonts w:cs="Times New Roman"/>
        </w:rPr>
        <w:t>Legatuma</w:t>
      </w:r>
      <w:proofErr w:type="spellEnd"/>
      <w:r w:rsidRPr="004D33D6">
        <w:rPr>
          <w:rFonts w:cs="Times New Roman"/>
        </w:rPr>
        <w:t xml:space="preserve"> </w:t>
      </w:r>
      <w:r w:rsidRPr="004D33D6">
        <w:rPr>
          <w:rFonts w:cs="Times New Roman"/>
          <w:bCs/>
        </w:rPr>
        <w:t>Labklājības indeksa</w:t>
      </w:r>
      <w:r>
        <w:rPr>
          <w:rStyle w:val="FootnoteReference"/>
          <w:rFonts w:cs="Times New Roman"/>
          <w:bCs/>
        </w:rPr>
        <w:footnoteReference w:id="1"/>
      </w:r>
      <w:r w:rsidRPr="004D33D6">
        <w:rPr>
          <w:rFonts w:cs="Times New Roman"/>
        </w:rPr>
        <w:t xml:space="preserve"> rezultātu, jo </w:t>
      </w:r>
      <w:r w:rsidRPr="000E1D01">
        <w:rPr>
          <w:rFonts w:cs="Times New Roman"/>
        </w:rPr>
        <w:t xml:space="preserve">virzienā “Sociālā tolerance” 2019.gadā Latvijai ir </w:t>
      </w:r>
      <w:r w:rsidRPr="000E1D01">
        <w:rPr>
          <w:rFonts w:cs="Times New Roman"/>
          <w:b/>
        </w:rPr>
        <w:t>159. vietā (no 167)</w:t>
      </w:r>
      <w:r w:rsidRPr="000E1D01">
        <w:rPr>
          <w:rFonts w:cs="Times New Roman"/>
        </w:rPr>
        <w:t xml:space="preserve">. </w:t>
      </w:r>
    </w:p>
    <w:p w14:paraId="298A6915" w14:textId="77777777" w:rsidR="003A1AAE" w:rsidRPr="004D33D6" w:rsidRDefault="003A1AAE" w:rsidP="003A1AAE">
      <w:pPr>
        <w:pStyle w:val="ListParagraph"/>
        <w:numPr>
          <w:ilvl w:val="1"/>
          <w:numId w:val="1"/>
        </w:numPr>
        <w:ind w:left="0" w:firstLine="709"/>
        <w:contextualSpacing w:val="0"/>
        <w:jc w:val="both"/>
        <w:rPr>
          <w:rFonts w:ascii="Times New Roman" w:hAnsi="Times New Roman" w:cs="Times New Roman"/>
          <w:iCs/>
        </w:rPr>
      </w:pPr>
      <w:r w:rsidRPr="004D33D6">
        <w:rPr>
          <w:rFonts w:ascii="Times New Roman" w:hAnsi="Times New Roman" w:cs="Times New Roman"/>
          <w:iCs/>
        </w:rPr>
        <w:t xml:space="preserve">NAP2027 </w:t>
      </w:r>
      <w:r w:rsidRPr="004D33D6">
        <w:rPr>
          <w:rFonts w:ascii="Times New Roman" w:hAnsi="Times New Roman" w:cs="Times New Roman"/>
        </w:rPr>
        <w:t>konstatētās problēmas Rīcības virzienā “Saliedētība</w:t>
      </w:r>
      <w:r>
        <w:rPr>
          <w:rFonts w:ascii="Times New Roman" w:hAnsi="Times New Roman" w:cs="Times New Roman"/>
        </w:rPr>
        <w:t>”</w:t>
      </w:r>
      <w:r w:rsidRPr="004D33D6">
        <w:rPr>
          <w:rFonts w:ascii="Times New Roman" w:hAnsi="Times New Roman" w:cs="Times New Roman"/>
        </w:rPr>
        <w:t xml:space="preserve"> korelē ar Labklājības indeksa virzienu Sociālais kapitāls – </w:t>
      </w:r>
      <w:proofErr w:type="spellStart"/>
      <w:r w:rsidRPr="004D33D6">
        <w:rPr>
          <w:rFonts w:ascii="Times New Roman" w:hAnsi="Times New Roman" w:cs="Times New Roman"/>
        </w:rPr>
        <w:t>Starppersonu</w:t>
      </w:r>
      <w:proofErr w:type="spellEnd"/>
      <w:r w:rsidRPr="004D33D6">
        <w:rPr>
          <w:rFonts w:ascii="Times New Roman" w:hAnsi="Times New Roman" w:cs="Times New Roman"/>
        </w:rPr>
        <w:t xml:space="preserve"> uzticība (</w:t>
      </w:r>
      <w:proofErr w:type="spellStart"/>
      <w:r w:rsidRPr="00690A4B">
        <w:rPr>
          <w:rFonts w:ascii="Times New Roman" w:hAnsi="Times New Roman" w:cs="Times New Roman"/>
        </w:rPr>
        <w:t>ang</w:t>
      </w:r>
      <w:proofErr w:type="spellEnd"/>
      <w:r w:rsidRPr="00690A4B">
        <w:rPr>
          <w:rFonts w:ascii="Times New Roman" w:hAnsi="Times New Roman" w:cs="Times New Roman"/>
        </w:rPr>
        <w:t>.</w:t>
      </w:r>
      <w:r w:rsidRPr="004D33D6">
        <w:rPr>
          <w:rFonts w:ascii="Times New Roman" w:hAnsi="Times New Roman" w:cs="Times New Roman"/>
        </w:rPr>
        <w:t xml:space="preserve"> </w:t>
      </w:r>
      <w:proofErr w:type="spellStart"/>
      <w:r w:rsidRPr="00690A4B">
        <w:rPr>
          <w:rFonts w:ascii="Times New Roman" w:hAnsi="Times New Roman" w:cs="Times New Roman"/>
          <w:i/>
        </w:rPr>
        <w:t>Social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Capital</w:t>
      </w:r>
      <w:proofErr w:type="spellEnd"/>
      <w:r w:rsidRPr="00690A4B">
        <w:rPr>
          <w:rFonts w:ascii="Times New Roman" w:hAnsi="Times New Roman" w:cs="Times New Roman"/>
          <w:i/>
        </w:rPr>
        <w:t xml:space="preserve"> – </w:t>
      </w:r>
      <w:proofErr w:type="spellStart"/>
      <w:r w:rsidRPr="00690A4B">
        <w:rPr>
          <w:rFonts w:ascii="Times New Roman" w:hAnsi="Times New Roman" w:cs="Times New Roman"/>
          <w:i/>
        </w:rPr>
        <w:t>Interpersonal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Trust</w:t>
      </w:r>
      <w:proofErr w:type="spellEnd"/>
      <w:r w:rsidRPr="004D33D6">
        <w:rPr>
          <w:rFonts w:ascii="Times New Roman" w:hAnsi="Times New Roman" w:cs="Times New Roman"/>
        </w:rPr>
        <w:t xml:space="preserve">) </w:t>
      </w:r>
      <w:r>
        <w:rPr>
          <w:rFonts w:ascii="Times New Roman" w:hAnsi="Times New Roman" w:cs="Times New Roman"/>
        </w:rPr>
        <w:t>–</w:t>
      </w:r>
      <w:r w:rsidRPr="004D33D6">
        <w:rPr>
          <w:rFonts w:ascii="Times New Roman" w:hAnsi="Times New Roman" w:cs="Times New Roman"/>
        </w:rPr>
        <w:t xml:space="preserve"> pielikuma “NAP2027 prioritāšu pamatojuma avoti” 130. punkts:</w:t>
      </w:r>
    </w:p>
    <w:p w14:paraId="3DEE05E6" w14:textId="77777777" w:rsidR="003A1AAE" w:rsidRPr="004D33D6" w:rsidRDefault="003A1AAE" w:rsidP="003A1AAE">
      <w:pPr>
        <w:jc w:val="both"/>
        <w:rPr>
          <w:rFonts w:cs="Times New Roman"/>
          <w:iCs/>
        </w:rPr>
      </w:pPr>
      <w:r w:rsidRPr="004D33D6">
        <w:rPr>
          <w:rFonts w:cs="Times New Roman"/>
          <w:bCs/>
          <w:color w:val="000000"/>
        </w:rPr>
        <w:t>“130.</w:t>
      </w:r>
      <w:r w:rsidRPr="004D33D6">
        <w:rPr>
          <w:rFonts w:cs="Times New Roman"/>
          <w:b/>
          <w:bCs/>
          <w:color w:val="000000"/>
        </w:rPr>
        <w:t xml:space="preserve"> Iedzīvotāji maz uzticas viens otram salīdzinājumā ar Ziemeļvalstīm</w:t>
      </w:r>
      <w:r w:rsidRPr="004D33D6">
        <w:rPr>
          <w:rFonts w:cs="Times New Roman"/>
          <w:color w:val="000000"/>
        </w:rPr>
        <w:t>. Atbilstoši 2015.gada Eiropas Sociālā pētījuma datiem Latvijas iedzīvotāju savstarpējās uzticēšanās īpatsvars ir 51 %. Salīdzinājumam: augstākais rādītājs ir Norvēģijā – 88 %, Somijā – 87 %, Dānijā – 86 %. Ziemeļvalstīs sociālā uzticēšanās tiek dēvēta par “Ziemeļu zeltu”. (</w:t>
      </w:r>
      <w:r w:rsidRPr="004D33D6">
        <w:rPr>
          <w:rFonts w:cs="Times New Roman"/>
          <w:i/>
          <w:iCs/>
          <w:color w:val="000000"/>
        </w:rPr>
        <w:t xml:space="preserve">Datu avoti: 2017. gada Nacionālā attīstības plāna 2014.–2020. gadam un Latvijas ilgtspējīgas attīstības stratēģijas līdz 2030. gadam īstenošanas uzraudzības ziņojums, </w:t>
      </w:r>
      <w:proofErr w:type="spellStart"/>
      <w:r w:rsidRPr="004D33D6">
        <w:rPr>
          <w:rFonts w:cs="Times New Roman"/>
          <w:color w:val="000000"/>
        </w:rPr>
        <w:t>Pārresoru</w:t>
      </w:r>
      <w:proofErr w:type="spellEnd"/>
      <w:r w:rsidRPr="004D33D6">
        <w:rPr>
          <w:rFonts w:cs="Times New Roman"/>
          <w:color w:val="000000"/>
        </w:rPr>
        <w:t xml:space="preserve"> koordinācijas centrs, 61. lpp. https://www.pkc.gov.lv/sites/default/files/inlinefiles/NAP2020%20vidusposma%20zinojums%20final_1.pdf)” </w:t>
      </w:r>
    </w:p>
    <w:p w14:paraId="6F651607" w14:textId="77777777" w:rsidR="003A1AAE" w:rsidRPr="00AC2B25" w:rsidRDefault="003A1AAE" w:rsidP="003A1AAE">
      <w:pPr>
        <w:ind w:firstLine="360"/>
        <w:jc w:val="both"/>
        <w:rPr>
          <w:rFonts w:cs="Times New Roman"/>
          <w:lang w:eastAsia="lv-LV"/>
        </w:rPr>
      </w:pPr>
      <w:r w:rsidRPr="004D33D6">
        <w:rPr>
          <w:rFonts w:cs="Times New Roman"/>
        </w:rPr>
        <w:lastRenderedPageBreak/>
        <w:t xml:space="preserve">Minētais būtiski ietekmē </w:t>
      </w:r>
      <w:r w:rsidRPr="004D33D6">
        <w:rPr>
          <w:rFonts w:cs="Times New Roman"/>
          <w:bCs/>
        </w:rPr>
        <w:t>Labklājības indeksa</w:t>
      </w:r>
      <w:r w:rsidRPr="004D33D6">
        <w:rPr>
          <w:rStyle w:val="FootnoteReference"/>
          <w:rFonts w:cs="Times New Roman"/>
        </w:rPr>
        <w:footnoteReference w:customMarkFollows="1" w:id="2"/>
        <w:t>[1]</w:t>
      </w:r>
      <w:r w:rsidRPr="004D33D6">
        <w:rPr>
          <w:rFonts w:cs="Times New Roman"/>
        </w:rPr>
        <w:t xml:space="preserve"> rezultātu, jo virzienā “</w:t>
      </w:r>
      <w:proofErr w:type="spellStart"/>
      <w:r w:rsidRPr="004D33D6">
        <w:rPr>
          <w:rFonts w:cs="Times New Roman"/>
        </w:rPr>
        <w:t>Starppersonu</w:t>
      </w:r>
      <w:proofErr w:type="spellEnd"/>
      <w:r w:rsidRPr="004D33D6">
        <w:rPr>
          <w:rFonts w:cs="Times New Roman"/>
        </w:rPr>
        <w:t xml:space="preserve"> uzticība</w:t>
      </w:r>
      <w:r w:rsidRPr="004D33D6">
        <w:rPr>
          <w:rStyle w:val="FootnoteReference"/>
          <w:rFonts w:cs="Times New Roman"/>
        </w:rPr>
        <w:footnoteReference w:id="3"/>
      </w:r>
      <w:r w:rsidRPr="004D33D6">
        <w:rPr>
          <w:rFonts w:cs="Times New Roman"/>
        </w:rPr>
        <w:t xml:space="preserve">” Latvija izvirzās </w:t>
      </w:r>
      <w:r w:rsidRPr="004D33D6">
        <w:rPr>
          <w:rFonts w:cs="Times New Roman"/>
          <w:b/>
        </w:rPr>
        <w:t>130. vietā (no 167)</w:t>
      </w:r>
      <w:r w:rsidRPr="004D33D6">
        <w:rPr>
          <w:rFonts w:cs="Times New Roman"/>
        </w:rPr>
        <w:t xml:space="preserve">.  </w:t>
      </w:r>
    </w:p>
    <w:p w14:paraId="140B03B4" w14:textId="77777777" w:rsidR="003A1AAE" w:rsidRPr="004D33D6" w:rsidRDefault="003A1AAE" w:rsidP="003A1AAE">
      <w:pPr>
        <w:pStyle w:val="ListParagraph"/>
        <w:numPr>
          <w:ilvl w:val="1"/>
          <w:numId w:val="1"/>
        </w:numPr>
        <w:ind w:left="0" w:firstLine="709"/>
        <w:contextualSpacing w:val="0"/>
        <w:jc w:val="both"/>
        <w:rPr>
          <w:rFonts w:ascii="Times New Roman" w:hAnsi="Times New Roman" w:cs="Times New Roman"/>
        </w:rPr>
      </w:pPr>
      <w:r w:rsidRPr="004D33D6">
        <w:rPr>
          <w:rFonts w:ascii="Times New Roman" w:hAnsi="Times New Roman" w:cs="Times New Roman"/>
          <w:iCs/>
        </w:rPr>
        <w:t xml:space="preserve">NAP2027 konstatētās problēmas </w:t>
      </w:r>
      <w:r w:rsidRPr="004D33D6">
        <w:rPr>
          <w:rFonts w:ascii="Times New Roman" w:hAnsi="Times New Roman" w:cs="Times New Roman"/>
        </w:rPr>
        <w:t>Rīcības virzienā</w:t>
      </w:r>
      <w:r w:rsidRPr="000E1D01">
        <w:rPr>
          <w:rFonts w:ascii="Times New Roman" w:hAnsi="Times New Roman" w:cs="Times New Roman"/>
        </w:rPr>
        <w:t xml:space="preserve"> “Saliedētība” un </w:t>
      </w:r>
      <w:r w:rsidRPr="000E1D01">
        <w:rPr>
          <w:rFonts w:ascii="Times New Roman" w:hAnsi="Times New Roman" w:cs="Times New Roman"/>
          <w:bCs/>
        </w:rPr>
        <w:t>Rīcības virzienā “Tiesiskums un pārvaldība” korelē ar Labk</w:t>
      </w:r>
      <w:r w:rsidRPr="000E1D01">
        <w:rPr>
          <w:rFonts w:ascii="Times New Roman" w:hAnsi="Times New Roman" w:cs="Times New Roman"/>
        </w:rPr>
        <w:t>lājības indeksa virzienu Sociālais kapitāls – Uzticēšanās institūcijām</w:t>
      </w:r>
      <w:r w:rsidRPr="004D33D6">
        <w:rPr>
          <w:rFonts w:ascii="Times New Roman" w:hAnsi="Times New Roman" w:cs="Times New Roman"/>
        </w:rPr>
        <w:t xml:space="preserve"> (</w:t>
      </w:r>
      <w:proofErr w:type="spellStart"/>
      <w:r w:rsidRPr="00690A4B">
        <w:rPr>
          <w:rFonts w:ascii="Times New Roman" w:hAnsi="Times New Roman" w:cs="Times New Roman"/>
        </w:rPr>
        <w:t>ang</w:t>
      </w:r>
      <w:proofErr w:type="spellEnd"/>
      <w:r w:rsidRPr="00690A4B">
        <w:rPr>
          <w:rFonts w:ascii="Times New Roman" w:hAnsi="Times New Roman" w:cs="Times New Roman"/>
        </w:rPr>
        <w:t>.</w:t>
      </w:r>
      <w:r w:rsidRPr="004D33D6">
        <w:rPr>
          <w:rFonts w:ascii="Times New Roman" w:hAnsi="Times New Roman" w:cs="Times New Roman"/>
        </w:rPr>
        <w:t xml:space="preserve"> </w:t>
      </w:r>
      <w:proofErr w:type="spellStart"/>
      <w:r w:rsidRPr="00690A4B">
        <w:rPr>
          <w:rFonts w:ascii="Times New Roman" w:hAnsi="Times New Roman" w:cs="Times New Roman"/>
          <w:i/>
        </w:rPr>
        <w:t>Social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Capital</w:t>
      </w:r>
      <w:proofErr w:type="spellEnd"/>
      <w:r w:rsidRPr="00690A4B">
        <w:rPr>
          <w:rFonts w:ascii="Times New Roman" w:hAnsi="Times New Roman" w:cs="Times New Roman"/>
          <w:i/>
        </w:rPr>
        <w:t xml:space="preserve"> – </w:t>
      </w:r>
      <w:proofErr w:type="spellStart"/>
      <w:r w:rsidRPr="00690A4B">
        <w:rPr>
          <w:rFonts w:ascii="Times New Roman" w:hAnsi="Times New Roman" w:cs="Times New Roman"/>
          <w:i/>
        </w:rPr>
        <w:t>Institutional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Trust</w:t>
      </w:r>
      <w:proofErr w:type="spellEnd"/>
      <w:r w:rsidRPr="004D33D6">
        <w:rPr>
          <w:rFonts w:ascii="Times New Roman" w:hAnsi="Times New Roman" w:cs="Times New Roman"/>
        </w:rPr>
        <w:t>) – pielikuma “NAP2027 prioritāšu pamatojuma avoti” 142. un 143.punkts:</w:t>
      </w:r>
    </w:p>
    <w:p w14:paraId="0599DF4B" w14:textId="77777777" w:rsidR="003A1AAE" w:rsidRPr="000E1D01" w:rsidRDefault="003A1AAE" w:rsidP="003A1AAE">
      <w:pPr>
        <w:autoSpaceDE w:val="0"/>
        <w:autoSpaceDN w:val="0"/>
        <w:adjustRightInd w:val="0"/>
        <w:spacing w:after="62"/>
        <w:ind w:firstLine="709"/>
        <w:jc w:val="both"/>
        <w:rPr>
          <w:rFonts w:cs="Times New Roman"/>
          <w:color w:val="000000"/>
        </w:rPr>
      </w:pPr>
      <w:r w:rsidRPr="000E1D01">
        <w:rPr>
          <w:rFonts w:cs="Times New Roman"/>
          <w:i/>
          <w:color w:val="000000"/>
        </w:rPr>
        <w:t xml:space="preserve">“142. </w:t>
      </w:r>
      <w:r w:rsidRPr="000E1D01">
        <w:rPr>
          <w:rFonts w:cs="Times New Roman"/>
          <w:b/>
          <w:bCs/>
          <w:i/>
          <w:color w:val="000000"/>
        </w:rPr>
        <w:t xml:space="preserve">Korupcijas uztverē nav būtisku izmaiņu. </w:t>
      </w:r>
      <w:r w:rsidRPr="000E1D01">
        <w:rPr>
          <w:rFonts w:cs="Times New Roman"/>
          <w:i/>
          <w:color w:val="000000"/>
        </w:rPr>
        <w:t>Latvijas Korupcijas uztvere 2018. gadā saglabājās 2017. gada vērtību līmenī – 58 punkti skalā no 0 līdz 100, kur 0 nozīmē, ka valstī ir augsta korupcijas uztvere, bet 100, ka korupcijas uztvere ir zema, ierindojot Latviju 41. vietā kopā ar Gruziju un Spāniju. Korupcijas uztveri mēra 180 valstīs. Eiropas Savienības valstu vidējais rādītājs ir 65 punkti. (</w:t>
      </w:r>
      <w:r w:rsidRPr="000E1D01">
        <w:rPr>
          <w:rFonts w:cs="Times New Roman"/>
          <w:i/>
          <w:iCs/>
          <w:color w:val="000000"/>
        </w:rPr>
        <w:t xml:space="preserve">Datu avoti: </w:t>
      </w:r>
      <w:proofErr w:type="spellStart"/>
      <w:r w:rsidRPr="000E1D01">
        <w:rPr>
          <w:rFonts w:cs="Times New Roman"/>
          <w:i/>
          <w:iCs/>
          <w:color w:val="000000"/>
        </w:rPr>
        <w:t>Transparency</w:t>
      </w:r>
      <w:proofErr w:type="spellEnd"/>
      <w:r w:rsidRPr="000E1D01">
        <w:rPr>
          <w:rFonts w:cs="Times New Roman"/>
          <w:i/>
          <w:iCs/>
          <w:color w:val="000000"/>
        </w:rPr>
        <w:t xml:space="preserve"> </w:t>
      </w:r>
      <w:proofErr w:type="spellStart"/>
      <w:r w:rsidRPr="000E1D01">
        <w:rPr>
          <w:rFonts w:cs="Times New Roman"/>
          <w:i/>
          <w:iCs/>
          <w:color w:val="000000"/>
        </w:rPr>
        <w:t>International</w:t>
      </w:r>
      <w:proofErr w:type="spellEnd"/>
      <w:r w:rsidRPr="000E1D01">
        <w:rPr>
          <w:rFonts w:cs="Times New Roman"/>
          <w:i/>
          <w:iCs/>
          <w:color w:val="000000"/>
        </w:rPr>
        <w:t xml:space="preserve"> oficiālās nodaļas Latvijā (Delnas) mājas lapa https://delna.lv/lv/2019/01/29/2018-gada-korupcijas-uztveres-indeksa-rezultati-liecina-par-latvijas-nespeju-mazinat-korupciju/; </w:t>
      </w:r>
      <w:proofErr w:type="spellStart"/>
      <w:r w:rsidRPr="000E1D01">
        <w:rPr>
          <w:rFonts w:cs="Times New Roman"/>
          <w:i/>
          <w:iCs/>
          <w:color w:val="000000"/>
        </w:rPr>
        <w:t>Transparency</w:t>
      </w:r>
      <w:proofErr w:type="spellEnd"/>
      <w:r w:rsidRPr="000E1D01">
        <w:rPr>
          <w:rFonts w:cs="Times New Roman"/>
          <w:i/>
          <w:iCs/>
          <w:color w:val="000000"/>
        </w:rPr>
        <w:t xml:space="preserve"> </w:t>
      </w:r>
      <w:proofErr w:type="spellStart"/>
      <w:r w:rsidRPr="000E1D01">
        <w:rPr>
          <w:rFonts w:cs="Times New Roman"/>
          <w:i/>
          <w:iCs/>
          <w:color w:val="000000"/>
        </w:rPr>
        <w:t>International</w:t>
      </w:r>
      <w:proofErr w:type="spellEnd"/>
      <w:r w:rsidRPr="000E1D01">
        <w:rPr>
          <w:rFonts w:cs="Times New Roman"/>
          <w:i/>
          <w:iCs/>
          <w:color w:val="000000"/>
        </w:rPr>
        <w:t xml:space="preserve"> oficiālā mājas lapa https://www.transparency.org/cpi2018)</w:t>
      </w:r>
      <w:r>
        <w:rPr>
          <w:rFonts w:cs="Times New Roman"/>
          <w:i/>
          <w:iCs/>
          <w:color w:val="000000"/>
        </w:rPr>
        <w:t>.</w:t>
      </w:r>
      <w:r w:rsidRPr="000E1D01">
        <w:rPr>
          <w:rFonts w:cs="Times New Roman"/>
          <w:i/>
          <w:iCs/>
          <w:color w:val="000000"/>
        </w:rPr>
        <w:t xml:space="preserve"> </w:t>
      </w:r>
    </w:p>
    <w:p w14:paraId="7B17FDFC" w14:textId="77777777" w:rsidR="003A1AAE" w:rsidRPr="00AC2B25" w:rsidRDefault="003A1AAE" w:rsidP="003A1AAE">
      <w:pPr>
        <w:autoSpaceDE w:val="0"/>
        <w:autoSpaceDN w:val="0"/>
        <w:adjustRightInd w:val="0"/>
        <w:ind w:firstLine="720"/>
        <w:jc w:val="both"/>
        <w:rPr>
          <w:rFonts w:cs="Times New Roman"/>
          <w:color w:val="000000"/>
        </w:rPr>
      </w:pPr>
      <w:r w:rsidRPr="000E1D01">
        <w:rPr>
          <w:rFonts w:cs="Times New Roman"/>
          <w:i/>
          <w:color w:val="000000"/>
        </w:rPr>
        <w:t xml:space="preserve">143. </w:t>
      </w:r>
      <w:r w:rsidRPr="000E1D01">
        <w:rPr>
          <w:rFonts w:cs="Times New Roman"/>
          <w:b/>
          <w:bCs/>
          <w:i/>
          <w:color w:val="000000"/>
        </w:rPr>
        <w:t xml:space="preserve">Politiskā uzticēšanās zema. </w:t>
      </w:r>
      <w:r w:rsidRPr="000E1D01">
        <w:rPr>
          <w:rFonts w:cs="Times New Roman"/>
          <w:i/>
          <w:color w:val="000000"/>
        </w:rPr>
        <w:t xml:space="preserve">Viszemākie uzticēšanās rādītāji ir politiķiem, politiskajām partijām un Saeimai, savukārt augstāks šis rādītājs ir attiecībā uz policiju un tieslietu sistēmu. </w:t>
      </w:r>
      <w:r w:rsidRPr="000E1D01">
        <w:rPr>
          <w:rFonts w:cs="Times New Roman"/>
          <w:i/>
          <w:iCs/>
          <w:color w:val="000000"/>
        </w:rPr>
        <w:t xml:space="preserve">(Datu avots: 2015. gada Eiropas Sociālais pētījums). </w:t>
      </w:r>
      <w:r w:rsidRPr="000E1D01">
        <w:rPr>
          <w:rFonts w:cs="Times New Roman"/>
          <w:i/>
          <w:color w:val="000000"/>
        </w:rPr>
        <w:t xml:space="preserve">Uzticēšanās armijai (66 %), policijai (62 %), radio (62 %) un pašvaldībām (51 %) ir salīdzinoši augsta, tomēr tikai trešdaļa respondentu “uzticas” vai “drīzāk uzticas” valsts pārvaldei (32 %), valdībai (32 %), drukātai presei (36 %), bet interneta sociālajiem tīkliem uzticas tikai piektā daļa (21 %) respondentu. </w:t>
      </w:r>
      <w:r w:rsidRPr="000E1D01">
        <w:rPr>
          <w:rFonts w:cs="Times New Roman"/>
          <w:i/>
          <w:iCs/>
          <w:color w:val="000000"/>
        </w:rPr>
        <w:t xml:space="preserve">(Datu avots: 2018. gada Standard </w:t>
      </w:r>
      <w:proofErr w:type="spellStart"/>
      <w:r w:rsidRPr="000E1D01">
        <w:rPr>
          <w:rFonts w:cs="Times New Roman"/>
          <w:i/>
          <w:iCs/>
          <w:color w:val="000000"/>
        </w:rPr>
        <w:t>Eurobarometer</w:t>
      </w:r>
      <w:proofErr w:type="spellEnd"/>
      <w:r w:rsidRPr="000E1D01">
        <w:rPr>
          <w:rFonts w:cs="Times New Roman"/>
          <w:i/>
          <w:iCs/>
          <w:color w:val="000000"/>
        </w:rPr>
        <w:t xml:space="preserve"> 90, https://data.europa.eu/euodp/lv/data/dataset/S2215_90_3_STD90_ENG.”. </w:t>
      </w:r>
    </w:p>
    <w:p w14:paraId="6277A029" w14:textId="77777777" w:rsidR="003A1AAE" w:rsidRPr="006F0630" w:rsidRDefault="003A1AAE" w:rsidP="003A1AAE">
      <w:pPr>
        <w:ind w:firstLine="360"/>
        <w:jc w:val="both"/>
        <w:rPr>
          <w:rFonts w:cs="Times New Roman"/>
        </w:rPr>
      </w:pPr>
      <w:r w:rsidRPr="004D33D6">
        <w:rPr>
          <w:rFonts w:cs="Times New Roman"/>
        </w:rPr>
        <w:t xml:space="preserve">Minētais būtiski ietekmē </w:t>
      </w:r>
      <w:proofErr w:type="spellStart"/>
      <w:r w:rsidRPr="004D33D6">
        <w:rPr>
          <w:rFonts w:cs="Times New Roman"/>
        </w:rPr>
        <w:t>Legatuma</w:t>
      </w:r>
      <w:proofErr w:type="spellEnd"/>
      <w:r w:rsidRPr="004D33D6">
        <w:rPr>
          <w:rFonts w:cs="Times New Roman"/>
        </w:rPr>
        <w:t xml:space="preserve"> </w:t>
      </w:r>
      <w:r w:rsidRPr="004D33D6">
        <w:rPr>
          <w:rFonts w:cs="Times New Roman"/>
          <w:bCs/>
        </w:rPr>
        <w:t>Labklājības indeksa</w:t>
      </w:r>
      <w:r>
        <w:rPr>
          <w:rStyle w:val="FootnoteReference"/>
          <w:rFonts w:cs="Times New Roman"/>
          <w:bCs/>
        </w:rPr>
        <w:footnoteReference w:id="4"/>
      </w:r>
      <w:r w:rsidRPr="004D33D6">
        <w:rPr>
          <w:rFonts w:cs="Times New Roman"/>
        </w:rPr>
        <w:t xml:space="preserve"> rezultātu, jo virzienā “Uzticēšanās institūcijām” 2019.gadā Latvijai ir </w:t>
      </w:r>
      <w:r w:rsidRPr="004D33D6">
        <w:rPr>
          <w:rFonts w:cs="Times New Roman"/>
          <w:b/>
        </w:rPr>
        <w:t>149. vietā (no 167)</w:t>
      </w:r>
      <w:r w:rsidRPr="004D33D6">
        <w:rPr>
          <w:rFonts w:cs="Times New Roman"/>
        </w:rPr>
        <w:t xml:space="preserve">. </w:t>
      </w:r>
    </w:p>
    <w:p w14:paraId="2248293A" w14:textId="77777777" w:rsidR="003A1AAE" w:rsidRPr="004D33D6" w:rsidRDefault="003A1AAE" w:rsidP="003A1AAE">
      <w:pPr>
        <w:pStyle w:val="ListParagraph"/>
        <w:numPr>
          <w:ilvl w:val="1"/>
          <w:numId w:val="1"/>
        </w:numPr>
        <w:ind w:left="142" w:firstLine="567"/>
        <w:contextualSpacing w:val="0"/>
        <w:jc w:val="both"/>
        <w:rPr>
          <w:rFonts w:ascii="Times New Roman" w:hAnsi="Times New Roman" w:cs="Times New Roman"/>
          <w:iCs/>
        </w:rPr>
      </w:pPr>
      <w:r w:rsidRPr="004D33D6">
        <w:rPr>
          <w:rFonts w:ascii="Times New Roman" w:hAnsi="Times New Roman" w:cs="Times New Roman"/>
          <w:iCs/>
        </w:rPr>
        <w:t xml:space="preserve">NAP2027 </w:t>
      </w:r>
      <w:r w:rsidRPr="004D33D6">
        <w:rPr>
          <w:rFonts w:ascii="Times New Roman" w:hAnsi="Times New Roman" w:cs="Times New Roman"/>
        </w:rPr>
        <w:t xml:space="preserve">konstatētās problēmas Rīcības virzienā “Saliedētība” un </w:t>
      </w:r>
      <w:r w:rsidRPr="004D33D6">
        <w:rPr>
          <w:rFonts w:ascii="Times New Roman" w:hAnsi="Times New Roman" w:cs="Times New Roman"/>
          <w:bCs/>
        </w:rPr>
        <w:t>Rīcības virzienā “Tiesiskums un pārvaldība”</w:t>
      </w:r>
      <w:r w:rsidRPr="00690A4B">
        <w:rPr>
          <w:rFonts w:ascii="Times New Roman" w:hAnsi="Times New Roman" w:cs="Times New Roman"/>
          <w:bCs/>
        </w:rPr>
        <w:t xml:space="preserve"> </w:t>
      </w:r>
      <w:r w:rsidRPr="004D33D6">
        <w:rPr>
          <w:rFonts w:ascii="Times New Roman" w:hAnsi="Times New Roman" w:cs="Times New Roman"/>
          <w:bCs/>
        </w:rPr>
        <w:t xml:space="preserve">korelē ar </w:t>
      </w:r>
      <w:r w:rsidRPr="004D33D6">
        <w:rPr>
          <w:rFonts w:ascii="Times New Roman" w:hAnsi="Times New Roman" w:cs="Times New Roman"/>
        </w:rPr>
        <w:t>Labklājības indeksa virzienu Sociālais kapitāls – Pilsoniskā un sabiedrības līdzdalība (</w:t>
      </w:r>
      <w:proofErr w:type="spellStart"/>
      <w:r w:rsidRPr="00690A4B">
        <w:rPr>
          <w:rFonts w:ascii="Times New Roman" w:hAnsi="Times New Roman" w:cs="Times New Roman"/>
        </w:rPr>
        <w:t>ang</w:t>
      </w:r>
      <w:proofErr w:type="spellEnd"/>
      <w:r w:rsidRPr="00690A4B">
        <w:rPr>
          <w:rFonts w:ascii="Times New Roman" w:hAnsi="Times New Roman" w:cs="Times New Roman"/>
        </w:rPr>
        <w:t>.</w:t>
      </w:r>
      <w:r w:rsidRPr="004D33D6">
        <w:rPr>
          <w:rFonts w:ascii="Times New Roman" w:hAnsi="Times New Roman" w:cs="Times New Roman"/>
        </w:rPr>
        <w:t xml:space="preserve"> </w:t>
      </w:r>
      <w:proofErr w:type="spellStart"/>
      <w:r w:rsidRPr="00690A4B">
        <w:rPr>
          <w:rFonts w:ascii="Times New Roman" w:hAnsi="Times New Roman" w:cs="Times New Roman"/>
          <w:i/>
        </w:rPr>
        <w:t>Social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Capital</w:t>
      </w:r>
      <w:proofErr w:type="spellEnd"/>
      <w:r w:rsidRPr="00690A4B">
        <w:rPr>
          <w:rFonts w:ascii="Times New Roman" w:hAnsi="Times New Roman" w:cs="Times New Roman"/>
          <w:i/>
        </w:rPr>
        <w:t xml:space="preserve"> – </w:t>
      </w:r>
      <w:proofErr w:type="spellStart"/>
      <w:r w:rsidRPr="00690A4B">
        <w:rPr>
          <w:rFonts w:ascii="Times New Roman" w:hAnsi="Times New Roman" w:cs="Times New Roman"/>
          <w:i/>
        </w:rPr>
        <w:t>Civil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and</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Social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Participation</w:t>
      </w:r>
      <w:proofErr w:type="spellEnd"/>
      <w:r w:rsidRPr="004D33D6">
        <w:rPr>
          <w:rFonts w:ascii="Times New Roman" w:hAnsi="Times New Roman" w:cs="Times New Roman"/>
        </w:rPr>
        <w:t xml:space="preserve">)- pielikuma “NAP2027 prioritāšu pamatojuma avoti” 132., 133. un 145.punkts: </w:t>
      </w:r>
    </w:p>
    <w:p w14:paraId="456251DD" w14:textId="77777777" w:rsidR="003A1AAE" w:rsidRPr="004D33D6" w:rsidRDefault="003A1AAE" w:rsidP="003A1AAE">
      <w:pPr>
        <w:pStyle w:val="Default"/>
        <w:spacing w:after="62"/>
        <w:ind w:firstLine="709"/>
        <w:jc w:val="both"/>
        <w:rPr>
          <w:i/>
        </w:rPr>
      </w:pPr>
      <w:r w:rsidRPr="000E1D01">
        <w:t>“</w:t>
      </w:r>
      <w:r w:rsidRPr="000E1D01">
        <w:rPr>
          <w:i/>
        </w:rPr>
        <w:t xml:space="preserve">132. </w:t>
      </w:r>
      <w:r w:rsidRPr="000E1D01">
        <w:rPr>
          <w:b/>
          <w:bCs/>
          <w:i/>
        </w:rPr>
        <w:t>Ne visi piedalās demokrātiskajos procesos</w:t>
      </w:r>
      <w:r w:rsidRPr="000E1D01">
        <w:rPr>
          <w:i/>
        </w:rPr>
        <w:t xml:space="preserve">. Saskaņā ar Sabiedriskās politikas centra </w:t>
      </w:r>
      <w:proofErr w:type="spellStart"/>
      <w:r w:rsidRPr="000E1D01">
        <w:rPr>
          <w:i/>
          <w:iCs/>
        </w:rPr>
        <w:t>Providus</w:t>
      </w:r>
      <w:proofErr w:type="spellEnd"/>
      <w:r w:rsidRPr="000E1D01">
        <w:rPr>
          <w:i/>
          <w:iCs/>
        </w:rPr>
        <w:t xml:space="preserve"> </w:t>
      </w:r>
      <w:proofErr w:type="spellStart"/>
      <w:r w:rsidRPr="000E1D01">
        <w:rPr>
          <w:i/>
        </w:rPr>
        <w:t>pēcvēlēšanu</w:t>
      </w:r>
      <w:proofErr w:type="spellEnd"/>
      <w:r w:rsidRPr="000E1D01">
        <w:rPr>
          <w:i/>
        </w:rPr>
        <w:t xml:space="preserve"> aptaujas datiem 2018. gada 6. oktobra vēlēšanās viszemākā aktivitāte bija vīriešiem, pilsoņiem vecumā no 18 līdz 34 gadiem, ar pamatizglītību, kas ģimenē sarunājas krievu valodā un kam ir zemi ienākumi. (</w:t>
      </w:r>
      <w:r w:rsidRPr="000E1D01">
        <w:rPr>
          <w:i/>
          <w:iCs/>
        </w:rPr>
        <w:t xml:space="preserve">Datu avots: Pārskats: Partiju šķirotava - vērtību maiņas pazīmes Latvijas sabiedrībā, Iveta Kažoka, </w:t>
      </w:r>
      <w:hyperlink r:id="rId11" w:history="1">
        <w:r w:rsidRPr="004D33D6">
          <w:rPr>
            <w:rStyle w:val="Hyperlink"/>
            <w:i/>
            <w:iCs/>
          </w:rPr>
          <w:t>http://providus.lv/article/parskats-partiju-skirotava-vertibu-mainas-pazimes-latvijas-sabiedriba</w:t>
        </w:r>
      </w:hyperlink>
      <w:r>
        <w:rPr>
          <w:rStyle w:val="Hyperlink"/>
          <w:i/>
          <w:iCs/>
        </w:rPr>
        <w:t>.</w:t>
      </w:r>
      <w:r w:rsidRPr="004D33D6">
        <w:rPr>
          <w:i/>
          <w:iCs/>
        </w:rPr>
        <w:t xml:space="preserve">) </w:t>
      </w:r>
    </w:p>
    <w:p w14:paraId="67EB632D" w14:textId="77777777" w:rsidR="003A1AAE" w:rsidRPr="004D33D6" w:rsidRDefault="003A1AAE" w:rsidP="003A1AAE">
      <w:pPr>
        <w:pStyle w:val="Default"/>
        <w:ind w:firstLine="709"/>
        <w:jc w:val="both"/>
        <w:rPr>
          <w:i/>
        </w:rPr>
      </w:pPr>
      <w:r w:rsidRPr="004D33D6">
        <w:rPr>
          <w:i/>
        </w:rPr>
        <w:t xml:space="preserve">133. </w:t>
      </w:r>
      <w:r w:rsidRPr="004D33D6">
        <w:rPr>
          <w:b/>
          <w:bCs/>
          <w:i/>
        </w:rPr>
        <w:t xml:space="preserve">Jauniešiem trūkst pilsoniskās līdzdalības prasmes. </w:t>
      </w:r>
      <w:r w:rsidRPr="004D33D6">
        <w:rPr>
          <w:i/>
        </w:rPr>
        <w:t xml:space="preserve">Aptuveni 25 % jauniešu apgalvo, ka regulāri (vismaz 12 reizes gadā) piedalās kādās sociālās, sabiedriskās vai interešu aktivitātēs, t. sk. tikai 6 % – sabiedriskās un sociālās aktivitātēs (dalība nevalstiskajās organizācijās, labdarības pasākumos, brīvprātīgajā darbā, vides sakopšanā u. tml.). Viszemākā ir jauniešu iesaiste politiskajās aktivitātēs (dalība partiju darbā, politiskās diskusijās u. tml.) – tikai 2 % tādās iesaistās regulāri. </w:t>
      </w:r>
      <w:r w:rsidRPr="004D33D6">
        <w:rPr>
          <w:i/>
        </w:rPr>
        <w:lastRenderedPageBreak/>
        <w:t>(</w:t>
      </w:r>
      <w:r w:rsidRPr="004D33D6">
        <w:rPr>
          <w:i/>
          <w:iCs/>
        </w:rPr>
        <w:t>Datu avots: 2013</w:t>
      </w:r>
      <w:r w:rsidRPr="004D33D6">
        <w:rPr>
          <w:i/>
        </w:rPr>
        <w:t xml:space="preserve">. gada pētījums </w:t>
      </w:r>
      <w:r w:rsidRPr="004D33D6">
        <w:rPr>
          <w:i/>
          <w:iCs/>
        </w:rPr>
        <w:t xml:space="preserve">Jaunieši Latvijā: Aktivitāte, mobilitāte, līdzdalība, IZM, </w:t>
      </w:r>
      <w:hyperlink r:id="rId12" w:history="1">
        <w:r w:rsidRPr="004D33D6">
          <w:rPr>
            <w:rStyle w:val="Hyperlink"/>
            <w:i/>
            <w:iCs/>
          </w:rPr>
          <w:t>https://www.izm.gov.lv/images/statistika/petijumi/Jauniesi_Latvija_2008-2013.pdf</w:t>
        </w:r>
      </w:hyperlink>
      <w:r w:rsidRPr="004D33D6">
        <w:rPr>
          <w:i/>
          <w:iCs/>
        </w:rPr>
        <w:t>)</w:t>
      </w:r>
      <w:r>
        <w:rPr>
          <w:i/>
          <w:iCs/>
        </w:rPr>
        <w:t>.</w:t>
      </w:r>
    </w:p>
    <w:p w14:paraId="4C4891A9" w14:textId="77777777" w:rsidR="003A1AAE" w:rsidRPr="004D33D6" w:rsidRDefault="003A1AAE" w:rsidP="003A1AAE">
      <w:pPr>
        <w:pStyle w:val="Default"/>
        <w:ind w:firstLine="720"/>
        <w:jc w:val="both"/>
      </w:pPr>
      <w:r w:rsidRPr="004D33D6">
        <w:rPr>
          <w:i/>
        </w:rPr>
        <w:t xml:space="preserve">145. </w:t>
      </w:r>
      <w:r w:rsidRPr="004D33D6">
        <w:rPr>
          <w:b/>
          <w:bCs/>
          <w:i/>
        </w:rPr>
        <w:t xml:space="preserve">Cilvēki ir mazaktīvi pilsoniskajā līdzdalībā. </w:t>
      </w:r>
      <w:r w:rsidRPr="004D33D6">
        <w:rPr>
          <w:i/>
        </w:rPr>
        <w:t xml:space="preserve">Pilsoniskās līdzdalības rādītājs Latvijā ir 9, kas ir zems rezultāts salīdzinājumā ar Zviedriju (44), Somiju (36), Vāciju (30) un Īriju (22). Atbilstoši Latvijas Pilsoniskās alianses 2017. gada Pilsoniskās sabiedrības monitoringa datiem samazinās iedzīvotāju iesaistīšanās </w:t>
      </w:r>
      <w:r w:rsidRPr="004D33D6">
        <w:rPr>
          <w:i/>
          <w:color w:val="auto"/>
        </w:rPr>
        <w:t xml:space="preserve">tradicionālajās pilsoniskās līdzdalības formās, nemainīgi zems – 17 % – ir to iedzīvotāju īpatsvars, kas uzskata, ka spēj ietekmēt lēmumu pieņemšanas procesus Latvijā. </w:t>
      </w:r>
      <w:r w:rsidRPr="004D33D6">
        <w:rPr>
          <w:i/>
          <w:iCs/>
          <w:color w:val="auto"/>
        </w:rPr>
        <w:t xml:space="preserve">(Datu avoti: PKC aprēķini, balstoties uz 2015. gada Eiropas Sociālā pētījuma datiem; 2019. gada Informatīvais ziņojums “Par Nacionālās identitātes, pilsoniskās sabiedrības un integrācijas politikas veidošanu”, Kultūras ministrija, </w:t>
      </w:r>
      <w:hyperlink r:id="rId13" w:history="1">
        <w:r w:rsidRPr="004D33D6">
          <w:rPr>
            <w:rStyle w:val="Hyperlink"/>
            <w:i/>
            <w:iCs/>
          </w:rPr>
          <w:t>http://tap.mk.gov.lv/doc/2019_04/KMZin_110419_NIPSIP.703.docx</w:t>
        </w:r>
      </w:hyperlink>
      <w:r w:rsidRPr="004D33D6">
        <w:rPr>
          <w:i/>
          <w:iCs/>
          <w:color w:val="auto"/>
        </w:rPr>
        <w:t xml:space="preserve">;).”. </w:t>
      </w:r>
    </w:p>
    <w:p w14:paraId="1708D1D8" w14:textId="77777777" w:rsidR="003A1AAE" w:rsidRPr="000E1D01" w:rsidRDefault="003A1AAE" w:rsidP="003A1AAE">
      <w:pPr>
        <w:ind w:firstLine="720"/>
        <w:jc w:val="both"/>
        <w:rPr>
          <w:rFonts w:cs="Times New Roman"/>
        </w:rPr>
      </w:pPr>
      <w:r w:rsidRPr="004D33D6">
        <w:rPr>
          <w:rFonts w:cs="Times New Roman"/>
        </w:rPr>
        <w:t xml:space="preserve">Konstatētās problēmas būtiski ietekmē </w:t>
      </w:r>
      <w:proofErr w:type="spellStart"/>
      <w:r w:rsidRPr="004D33D6">
        <w:rPr>
          <w:rFonts w:cs="Times New Roman"/>
        </w:rPr>
        <w:t>Legatuma</w:t>
      </w:r>
      <w:proofErr w:type="spellEnd"/>
      <w:r w:rsidRPr="004D33D6">
        <w:rPr>
          <w:rFonts w:cs="Times New Roman"/>
        </w:rPr>
        <w:t xml:space="preserve"> </w:t>
      </w:r>
      <w:r w:rsidRPr="004D33D6">
        <w:rPr>
          <w:rFonts w:cs="Times New Roman"/>
          <w:bCs/>
        </w:rPr>
        <w:t>Labklājības indeksa</w:t>
      </w:r>
      <w:r>
        <w:rPr>
          <w:rStyle w:val="FootnoteReference"/>
          <w:rFonts w:cs="Times New Roman"/>
          <w:bCs/>
        </w:rPr>
        <w:footnoteReference w:id="5"/>
      </w:r>
      <w:r w:rsidRPr="004D33D6">
        <w:rPr>
          <w:rFonts w:cs="Times New Roman"/>
        </w:rPr>
        <w:t xml:space="preserve"> rezultātu, jo </w:t>
      </w:r>
      <w:r w:rsidRPr="000E1D01">
        <w:rPr>
          <w:rFonts w:cs="Times New Roman"/>
        </w:rPr>
        <w:t xml:space="preserve">virzienā “Pilsoniskā un sabiedrības līdzdalība” 2019.gadā Latvijai ir </w:t>
      </w:r>
      <w:r w:rsidRPr="000E1D01">
        <w:rPr>
          <w:rFonts w:cs="Times New Roman"/>
          <w:b/>
        </w:rPr>
        <w:t>135</w:t>
      </w:r>
      <w:r>
        <w:rPr>
          <w:rFonts w:cs="Times New Roman"/>
          <w:b/>
        </w:rPr>
        <w:t>.</w:t>
      </w:r>
      <w:r w:rsidRPr="000E1D01">
        <w:rPr>
          <w:rFonts w:cs="Times New Roman"/>
          <w:b/>
        </w:rPr>
        <w:t xml:space="preserve"> vietā (no 167)</w:t>
      </w:r>
      <w:r w:rsidRPr="000E1D01">
        <w:rPr>
          <w:rFonts w:cs="Times New Roman"/>
        </w:rPr>
        <w:t xml:space="preserve">. </w:t>
      </w:r>
    </w:p>
    <w:p w14:paraId="48670FF4" w14:textId="77777777" w:rsidR="003A1AAE" w:rsidRPr="004D33D6" w:rsidRDefault="003A1AAE" w:rsidP="003A1AAE">
      <w:pPr>
        <w:jc w:val="both"/>
        <w:rPr>
          <w:rFonts w:cs="Times New Roman"/>
        </w:rPr>
      </w:pPr>
    </w:p>
    <w:p w14:paraId="34DBDE3B" w14:textId="77777777" w:rsidR="003A1AAE" w:rsidRPr="004D33D6" w:rsidRDefault="003A1AAE" w:rsidP="003A1AAE">
      <w:pPr>
        <w:ind w:firstLine="720"/>
        <w:jc w:val="both"/>
        <w:rPr>
          <w:rFonts w:cs="Times New Roman"/>
        </w:rPr>
      </w:pPr>
      <w:r w:rsidRPr="004D33D6">
        <w:rPr>
          <w:rFonts w:cs="Times New Roman"/>
        </w:rPr>
        <w:t xml:space="preserve">Papildu NAP2027 konstatētajām attiecībā uz sabiedrības līdzdalības jautājumiem Labklājības indeksa ietvaros tiek vērtēta iedzīvotāju intensitāte, veicot ziedojumus vai piedaloties brīvprātīgajā darbā. Intensitāte dotāciju veikšanā un dalībā brīvprātīgajā darbā ietekmē rezultātus </w:t>
      </w:r>
      <w:r w:rsidRPr="004D33D6">
        <w:rPr>
          <w:rFonts w:cs="Times New Roman"/>
          <w:b/>
        </w:rPr>
        <w:t>Pasaules laimes indeksā</w:t>
      </w:r>
      <w:r w:rsidRPr="004D33D6">
        <w:rPr>
          <w:rFonts w:cs="Times New Roman"/>
        </w:rPr>
        <w:t xml:space="preserve">, ka arī </w:t>
      </w:r>
      <w:r w:rsidRPr="004D33D6">
        <w:rPr>
          <w:rFonts w:cs="Times New Roman"/>
          <w:b/>
        </w:rPr>
        <w:t>NVO ilgtspējas indeksā</w:t>
      </w:r>
      <w:r w:rsidRPr="004D33D6">
        <w:rPr>
          <w:rFonts w:cs="Times New Roman"/>
        </w:rPr>
        <w:t xml:space="preserve">. </w:t>
      </w:r>
      <w:r>
        <w:rPr>
          <w:rFonts w:cs="Times New Roman"/>
          <w:b/>
        </w:rPr>
        <w:t>Vispasaules ziedošanas indeksa</w:t>
      </w:r>
      <w:r w:rsidRPr="004D33D6">
        <w:rPr>
          <w:rFonts w:cs="Times New Roman"/>
          <w:b/>
        </w:rPr>
        <w:t xml:space="preserve"> </w:t>
      </w:r>
      <w:r w:rsidRPr="004D33D6">
        <w:rPr>
          <w:rFonts w:cs="Times New Roman"/>
        </w:rPr>
        <w:t>ietvaros 2019.gadā Latvija, skatoties vienkopus gatavību palīdzēt nepazīstamam cilvēkam, ziedojumu apjom</w:t>
      </w:r>
      <w:r>
        <w:rPr>
          <w:rFonts w:cs="Times New Roman"/>
        </w:rPr>
        <w:t>u</w:t>
      </w:r>
      <w:r w:rsidRPr="004D33D6">
        <w:rPr>
          <w:rFonts w:cs="Times New Roman"/>
        </w:rPr>
        <w:t>, kā arī dalīb</w:t>
      </w:r>
      <w:r>
        <w:rPr>
          <w:rFonts w:cs="Times New Roman"/>
        </w:rPr>
        <w:t>u</w:t>
      </w:r>
      <w:r w:rsidRPr="004D33D6">
        <w:rPr>
          <w:rFonts w:cs="Times New Roman"/>
        </w:rPr>
        <w:t xml:space="preserve"> brīvprātīgajā darbā izvirz</w:t>
      </w:r>
      <w:r>
        <w:rPr>
          <w:rFonts w:cs="Times New Roman"/>
        </w:rPr>
        <w:t>ījās</w:t>
      </w:r>
      <w:r w:rsidRPr="004D33D6">
        <w:rPr>
          <w:rFonts w:cs="Times New Roman"/>
        </w:rPr>
        <w:t xml:space="preserve"> 110. vietā no 126.aptaujātajām valstīm.</w:t>
      </w:r>
      <w:r>
        <w:rPr>
          <w:rFonts w:cs="Times New Roman"/>
        </w:rPr>
        <w:t xml:space="preserve"> Kritiska ir gatavība palīdzēt nepazīstamam cilvēkam – Latvija ir 116.vietā no 126 </w:t>
      </w:r>
      <w:proofErr w:type="spellStart"/>
      <w:r>
        <w:rPr>
          <w:rFonts w:cs="Times New Roman"/>
        </w:rPr>
        <w:t>aptautājatām</w:t>
      </w:r>
      <w:proofErr w:type="spellEnd"/>
      <w:r>
        <w:rPr>
          <w:rFonts w:cs="Times New Roman"/>
        </w:rPr>
        <w:t xml:space="preserve"> valstīm. </w:t>
      </w:r>
    </w:p>
    <w:p w14:paraId="71E9480F" w14:textId="77777777" w:rsidR="003A1AAE" w:rsidRPr="004D33D6" w:rsidRDefault="003A1AAE" w:rsidP="003A1AAE">
      <w:pPr>
        <w:ind w:firstLine="720"/>
        <w:jc w:val="both"/>
        <w:rPr>
          <w:rFonts w:cs="Times New Roman"/>
        </w:rPr>
      </w:pPr>
      <w:r w:rsidRPr="004D33D6">
        <w:rPr>
          <w:rFonts w:cs="Times New Roman"/>
        </w:rPr>
        <w:t>Gatavība palīdzēt citiem</w:t>
      </w:r>
      <w:r>
        <w:rPr>
          <w:rFonts w:cs="Times New Roman"/>
        </w:rPr>
        <w:t xml:space="preserve"> ar laiku, naudu, darbu</w:t>
      </w:r>
      <w:r w:rsidRPr="004D33D6">
        <w:rPr>
          <w:rFonts w:cs="Times New Roman"/>
        </w:rPr>
        <w:t xml:space="preserve"> ir </w:t>
      </w:r>
      <w:r w:rsidRPr="004D33D6">
        <w:rPr>
          <w:rFonts w:cs="Times New Roman"/>
          <w:b/>
        </w:rPr>
        <w:t>Pasaules laimes indeksa</w:t>
      </w:r>
      <w:r w:rsidRPr="004D33D6">
        <w:rPr>
          <w:rFonts w:cs="Times New Roman"/>
        </w:rPr>
        <w:t xml:space="preserve"> viena no svarīgākajām komponentēm, kas ietekmē </w:t>
      </w:r>
      <w:r>
        <w:rPr>
          <w:rFonts w:cs="Times New Roman"/>
        </w:rPr>
        <w:t xml:space="preserve">iedzīvotāju </w:t>
      </w:r>
      <w:r w:rsidRPr="004D33D6">
        <w:rPr>
          <w:rFonts w:cs="Times New Roman"/>
        </w:rPr>
        <w:t xml:space="preserve">laimes sajūtu, un tas ir saistīts ar šī fenomena </w:t>
      </w:r>
      <w:r>
        <w:rPr>
          <w:rFonts w:cs="Times New Roman"/>
        </w:rPr>
        <w:t xml:space="preserve">visaptverošo </w:t>
      </w:r>
      <w:r w:rsidRPr="004D33D6">
        <w:rPr>
          <w:rFonts w:cs="Times New Roman"/>
        </w:rPr>
        <w:t>ietekmi uz psiholoģiskiem aspektiem un cilvēces evolūcij</w:t>
      </w:r>
      <w:r>
        <w:rPr>
          <w:rFonts w:cs="Times New Roman"/>
        </w:rPr>
        <w:t>u</w:t>
      </w:r>
      <w:r w:rsidRPr="004D33D6">
        <w:rPr>
          <w:rStyle w:val="FootnoteReference"/>
          <w:rFonts w:cs="Times New Roman"/>
        </w:rPr>
        <w:footnoteReference w:id="6"/>
      </w:r>
      <w:r w:rsidRPr="004D33D6">
        <w:rPr>
          <w:rFonts w:cs="Times New Roman"/>
        </w:rPr>
        <w:t xml:space="preserve">. </w:t>
      </w:r>
    </w:p>
    <w:p w14:paraId="1D7E645B" w14:textId="77777777" w:rsidR="003A1AAE" w:rsidRPr="004D33D6" w:rsidRDefault="003A1AAE" w:rsidP="003A1AAE">
      <w:pPr>
        <w:jc w:val="both"/>
        <w:rPr>
          <w:rFonts w:cs="Times New Roman"/>
        </w:rPr>
      </w:pPr>
    </w:p>
    <w:p w14:paraId="14DCC91C" w14:textId="77777777" w:rsidR="003A1AAE" w:rsidRPr="00AC2B25" w:rsidRDefault="003A1AAE" w:rsidP="003A1AAE">
      <w:pPr>
        <w:pStyle w:val="ListParagraph"/>
        <w:numPr>
          <w:ilvl w:val="0"/>
          <w:numId w:val="1"/>
        </w:numPr>
        <w:ind w:left="0" w:firstLine="360"/>
        <w:contextualSpacing w:val="0"/>
        <w:jc w:val="both"/>
        <w:rPr>
          <w:rFonts w:ascii="Times New Roman" w:hAnsi="Times New Roman" w:cs="Times New Roman"/>
          <w:bCs/>
          <w:sz w:val="22"/>
          <w:szCs w:val="22"/>
        </w:rPr>
      </w:pPr>
      <w:r w:rsidRPr="004D33D6">
        <w:rPr>
          <w:rFonts w:ascii="Times New Roman" w:hAnsi="Times New Roman" w:cs="Times New Roman"/>
          <w:iCs/>
        </w:rPr>
        <w:t xml:space="preserve">NAP2027 </w:t>
      </w:r>
      <w:r w:rsidRPr="004D33D6">
        <w:rPr>
          <w:rFonts w:ascii="Times New Roman" w:hAnsi="Times New Roman" w:cs="Times New Roman"/>
        </w:rPr>
        <w:t xml:space="preserve">Rīcības virzienā </w:t>
      </w:r>
      <w:r w:rsidRPr="00690A4B">
        <w:rPr>
          <w:rFonts w:ascii="Times New Roman" w:hAnsi="Times New Roman" w:cs="Times New Roman"/>
          <w:bCs/>
        </w:rPr>
        <w:t>“P</w:t>
      </w:r>
      <w:r w:rsidRPr="004D33D6">
        <w:rPr>
          <w:rFonts w:ascii="Times New Roman" w:hAnsi="Times New Roman" w:cs="Times New Roman"/>
          <w:bCs/>
        </w:rPr>
        <w:t xml:space="preserve">siholoģiskā un emocionālā labklājība”, kā arī Rīcības virzienā “Psiholoģiskā un emocionālā labklājība” un Rīcības virzienā “Sociālā iekļaušana” konstatēto prioritāro problēmu </w:t>
      </w:r>
      <w:r w:rsidRPr="000E1D01">
        <w:rPr>
          <w:rFonts w:ascii="Times New Roman" w:hAnsi="Times New Roman" w:cs="Times New Roman"/>
        </w:rPr>
        <w:t>izvērtējums korelācijā ar Labklājības indeksā iekļautajiem virzieniem:</w:t>
      </w:r>
    </w:p>
    <w:p w14:paraId="751BE6AC" w14:textId="77777777" w:rsidR="003A1AAE" w:rsidRDefault="003A1AAE" w:rsidP="003A1AAE">
      <w:pPr>
        <w:ind w:firstLine="720"/>
        <w:jc w:val="both"/>
        <w:rPr>
          <w:rFonts w:eastAsia="Times New Roman" w:cs="Times New Roman"/>
          <w:bCs/>
        </w:rPr>
      </w:pPr>
      <w:r w:rsidRPr="000E1D01">
        <w:rPr>
          <w:rFonts w:cs="Times New Roman"/>
          <w:iCs/>
        </w:rPr>
        <w:t xml:space="preserve">NAP2027 konstatētās problēmas </w:t>
      </w:r>
      <w:r w:rsidRPr="000E1D01">
        <w:rPr>
          <w:rFonts w:cs="Times New Roman"/>
        </w:rPr>
        <w:t>Rīcības virzienā</w:t>
      </w:r>
      <w:r w:rsidRPr="000E1D01">
        <w:rPr>
          <w:rFonts w:cs="Times New Roman"/>
          <w:bCs/>
        </w:rPr>
        <w:t xml:space="preserve"> “Psiholoģiskā un emocionālā labklājība” korelē ar </w:t>
      </w:r>
      <w:r w:rsidRPr="000E1D01">
        <w:rPr>
          <w:rFonts w:cs="Times New Roman"/>
        </w:rPr>
        <w:t>Labklājības indeksa virzienu Veselība – Uzvedības riska faktori (</w:t>
      </w:r>
      <w:proofErr w:type="spellStart"/>
      <w:r w:rsidRPr="00690A4B">
        <w:rPr>
          <w:rFonts w:cs="Times New Roman"/>
        </w:rPr>
        <w:t>ang</w:t>
      </w:r>
      <w:proofErr w:type="spellEnd"/>
      <w:r w:rsidRPr="00690A4B">
        <w:rPr>
          <w:rFonts w:cs="Times New Roman"/>
        </w:rPr>
        <w:t>.</w:t>
      </w:r>
      <w:r w:rsidRPr="004D33D6">
        <w:rPr>
          <w:rFonts w:cs="Times New Roman"/>
        </w:rPr>
        <w:t xml:space="preserve"> </w:t>
      </w:r>
      <w:r w:rsidRPr="00690A4B">
        <w:rPr>
          <w:rFonts w:cs="Times New Roman"/>
          <w:i/>
        </w:rPr>
        <w:t xml:space="preserve">Health- </w:t>
      </w:r>
      <w:proofErr w:type="spellStart"/>
      <w:r w:rsidRPr="00690A4B">
        <w:rPr>
          <w:rFonts w:cs="Times New Roman"/>
          <w:i/>
        </w:rPr>
        <w:t>Behavioural</w:t>
      </w:r>
      <w:proofErr w:type="spellEnd"/>
      <w:r w:rsidRPr="00690A4B">
        <w:rPr>
          <w:rFonts w:cs="Times New Roman"/>
          <w:i/>
        </w:rPr>
        <w:t xml:space="preserve"> Risk </w:t>
      </w:r>
      <w:proofErr w:type="spellStart"/>
      <w:r w:rsidRPr="00690A4B">
        <w:rPr>
          <w:rFonts w:cs="Times New Roman"/>
          <w:i/>
        </w:rPr>
        <w:t>Factors</w:t>
      </w:r>
      <w:proofErr w:type="spellEnd"/>
      <w:r w:rsidRPr="004D33D6">
        <w:rPr>
          <w:rFonts w:cs="Times New Roman"/>
        </w:rPr>
        <w:t xml:space="preserve">) </w:t>
      </w:r>
      <w:r>
        <w:rPr>
          <w:rFonts w:cs="Times New Roman"/>
        </w:rPr>
        <w:t>–</w:t>
      </w:r>
      <w:r w:rsidRPr="004D33D6">
        <w:rPr>
          <w:rFonts w:cs="Times New Roman"/>
        </w:rPr>
        <w:t xml:space="preserve"> pielikuma “NAP2027 prioritāšu pamatojuma avoti” 12., 13. un 16.punkts: </w:t>
      </w:r>
    </w:p>
    <w:p w14:paraId="4A6D5AD5" w14:textId="77777777" w:rsidR="003A1AAE" w:rsidRDefault="003A1AAE" w:rsidP="003A1AAE">
      <w:pPr>
        <w:ind w:firstLine="720"/>
        <w:jc w:val="both"/>
        <w:rPr>
          <w:rFonts w:eastAsia="Times New Roman" w:cs="Times New Roman"/>
          <w:bCs/>
        </w:rPr>
      </w:pPr>
      <w:r w:rsidRPr="004D33D6">
        <w:rPr>
          <w:rFonts w:cs="Times New Roman"/>
          <w:color w:val="000000"/>
        </w:rPr>
        <w:t>“</w:t>
      </w:r>
      <w:r w:rsidRPr="004D33D6">
        <w:rPr>
          <w:rFonts w:cs="Times New Roman"/>
          <w:i/>
          <w:color w:val="000000"/>
        </w:rPr>
        <w:t xml:space="preserve">12. </w:t>
      </w:r>
      <w:r w:rsidRPr="004D33D6">
        <w:rPr>
          <w:rFonts w:cs="Times New Roman"/>
          <w:b/>
          <w:bCs/>
          <w:i/>
          <w:color w:val="000000"/>
        </w:rPr>
        <w:t>Paredzamais mūža ilgums Latvijā ir viens no īsākajiem Eiropā</w:t>
      </w:r>
      <w:r w:rsidRPr="004D33D6">
        <w:rPr>
          <w:rFonts w:cs="Times New Roman"/>
          <w:i/>
          <w:color w:val="000000"/>
        </w:rPr>
        <w:t xml:space="preserve">, it īpaši vīriešiem un iedzīvotājiem ar zemāku izglītības un ienākumu līmeni, kā arī sociālekonomisko stāvokli. Iemesli tam – </w:t>
      </w:r>
      <w:r w:rsidRPr="004D33D6">
        <w:rPr>
          <w:rFonts w:cs="Times New Roman"/>
          <w:b/>
          <w:bCs/>
          <w:i/>
          <w:color w:val="000000"/>
        </w:rPr>
        <w:t>dzīvesveida paradumu atšķirības, smēķēšana, alkohola lietošana</w:t>
      </w:r>
      <w:r w:rsidRPr="004D33D6">
        <w:rPr>
          <w:rFonts w:cs="Times New Roman"/>
          <w:i/>
          <w:color w:val="000000"/>
        </w:rPr>
        <w:t>. Piemēram, 2014. gadā regulāri smēķēja ka</w:t>
      </w:r>
      <w:r w:rsidRPr="000E1D01">
        <w:rPr>
          <w:rFonts w:cs="Times New Roman"/>
          <w:i/>
          <w:color w:val="000000"/>
        </w:rPr>
        <w:t xml:space="preserve">trs ceturtais iedzīvotājs, aptuveni katrs piektais iedzīvotājs regulāri patērē alkoholu lielā apjomā, bet katrs piektais iedzīvotājs 2017. gadā bija aptaukojies. </w:t>
      </w:r>
      <w:r w:rsidRPr="000E1D01">
        <w:rPr>
          <w:rFonts w:cs="Times New Roman"/>
          <w:i/>
          <w:iCs/>
          <w:color w:val="000000"/>
        </w:rPr>
        <w:t xml:space="preserve">(Datu avots: Latvijas valsts </w:t>
      </w:r>
      <w:r w:rsidRPr="000E1D01">
        <w:rPr>
          <w:rFonts w:cs="Times New Roman"/>
          <w:i/>
          <w:iCs/>
          <w:color w:val="000000"/>
        </w:rPr>
        <w:lastRenderedPageBreak/>
        <w:t>veselības pārskats 2017, OECD, https://read.oecd-ilibrary.org/social-issues-migration-health/latvija-valsts-veselibas-parskats-2017_9789264285262-lv#page18)</w:t>
      </w:r>
      <w:r>
        <w:rPr>
          <w:rFonts w:cs="Times New Roman"/>
          <w:i/>
          <w:iCs/>
          <w:color w:val="000000"/>
        </w:rPr>
        <w:t>.</w:t>
      </w:r>
    </w:p>
    <w:p w14:paraId="60426B14" w14:textId="77777777" w:rsidR="003A1AAE" w:rsidRDefault="003A1AAE" w:rsidP="003A1AAE">
      <w:pPr>
        <w:ind w:firstLine="720"/>
        <w:jc w:val="both"/>
        <w:rPr>
          <w:rFonts w:eastAsia="Times New Roman" w:cs="Times New Roman"/>
          <w:bCs/>
        </w:rPr>
      </w:pPr>
      <w:r w:rsidRPr="000E1D01">
        <w:rPr>
          <w:rFonts w:cs="Times New Roman"/>
          <w:i/>
          <w:color w:val="000000"/>
        </w:rPr>
        <w:t xml:space="preserve">13. Ir augsti </w:t>
      </w:r>
      <w:r w:rsidRPr="000E1D01">
        <w:rPr>
          <w:rFonts w:cs="Times New Roman"/>
          <w:b/>
          <w:bCs/>
          <w:i/>
          <w:color w:val="000000"/>
        </w:rPr>
        <w:t>priekšlaicīgas mirstības rādītāji satiksmes negadījumu, plaušu vēža un ar alkoholu saistītu saslimšanu dēļ</w:t>
      </w:r>
      <w:r w:rsidRPr="000E1D01">
        <w:rPr>
          <w:rFonts w:cs="Times New Roman"/>
          <w:i/>
          <w:color w:val="000000"/>
        </w:rPr>
        <w:t xml:space="preserve">, īpaši vīriešu vidū. Aptuveni 51 % no visiem nāves gadījumiem ir saistīti ar neveselīgu dzīvesveidu – ēšanas paradumiem, smēķēšanu, alkohola lietošanu un mazu fizisko aktivitāti. </w:t>
      </w:r>
      <w:r w:rsidRPr="000E1D01">
        <w:rPr>
          <w:rFonts w:cs="Times New Roman"/>
          <w:i/>
          <w:iCs/>
          <w:color w:val="000000"/>
        </w:rPr>
        <w:t>(Datu avots: Latvijas Valsts veselības pārskats 2017, OECD, https://read.oecd-ilibrary.org/social-issues-migration-health/latvija-valsts-veselibas-parskats-2017_9789264285262-lv#page18)</w:t>
      </w:r>
      <w:r>
        <w:rPr>
          <w:rFonts w:cs="Times New Roman"/>
          <w:i/>
          <w:iCs/>
          <w:color w:val="000000"/>
        </w:rPr>
        <w:t>.</w:t>
      </w:r>
      <w:r w:rsidRPr="000E1D01">
        <w:rPr>
          <w:rFonts w:cs="Times New Roman"/>
          <w:i/>
          <w:iCs/>
          <w:color w:val="000000"/>
        </w:rPr>
        <w:t xml:space="preserve"> </w:t>
      </w:r>
    </w:p>
    <w:p w14:paraId="6F12C5F7" w14:textId="77777777" w:rsidR="003A1AAE" w:rsidRPr="00AC2B25" w:rsidRDefault="003A1AAE" w:rsidP="003A1AAE">
      <w:pPr>
        <w:ind w:firstLine="568"/>
        <w:jc w:val="both"/>
        <w:rPr>
          <w:rFonts w:eastAsia="Times New Roman" w:cs="Times New Roman"/>
          <w:bCs/>
          <w:highlight w:val="yellow"/>
        </w:rPr>
      </w:pPr>
      <w:r w:rsidRPr="000E1D01">
        <w:rPr>
          <w:rFonts w:cs="Times New Roman"/>
          <w:bCs/>
          <w:i/>
          <w:color w:val="000000"/>
        </w:rPr>
        <w:t>16.</w:t>
      </w:r>
      <w:r w:rsidRPr="000E1D01">
        <w:rPr>
          <w:rFonts w:cs="Times New Roman"/>
          <w:b/>
          <w:bCs/>
          <w:i/>
          <w:color w:val="000000"/>
        </w:rPr>
        <w:t xml:space="preserve"> Latvijā ir starp Eiropas valstīm augstākais skolēnu īpatsvars, kuri tiešsaistē spēlē azartspēles uz naudu. </w:t>
      </w:r>
      <w:r w:rsidRPr="000E1D01">
        <w:rPr>
          <w:rFonts w:cs="Times New Roman"/>
          <w:i/>
          <w:color w:val="000000"/>
        </w:rPr>
        <w:t>Kopumā pēdējā gada laikā kaut reizi azartspēles uz naudu spēlējuši 15,5 % 15 gadus vec</w:t>
      </w:r>
      <w:r>
        <w:rPr>
          <w:rFonts w:cs="Times New Roman"/>
          <w:i/>
          <w:color w:val="000000"/>
        </w:rPr>
        <w:t>i</w:t>
      </w:r>
      <w:r w:rsidRPr="000E1D01">
        <w:rPr>
          <w:rFonts w:cs="Times New Roman"/>
          <w:i/>
          <w:color w:val="000000"/>
        </w:rPr>
        <w:t xml:space="preserve"> jaunieš</w:t>
      </w:r>
      <w:r>
        <w:rPr>
          <w:rFonts w:cs="Times New Roman"/>
          <w:i/>
          <w:color w:val="000000"/>
        </w:rPr>
        <w:t>i</w:t>
      </w:r>
      <w:r w:rsidRPr="000E1D01">
        <w:rPr>
          <w:rFonts w:cs="Times New Roman"/>
          <w:i/>
          <w:color w:val="000000"/>
        </w:rPr>
        <w:t xml:space="preserve">, bet četras vai vairāk dienas pēdējās nedēļas laikā to darījuši 7,7 % skolēnu, kamēr citās Eiropas valstīs šādu skolēnu īpatsvars ir uz pusi mazāks (3,5 %). Visbiežāk tiešsaistē tiek spēlētas kāršu spēles (pokers, bridžs), bet vienlaikus jaunieši piedalās arī interneta vidē pieejamās loterijās un liek likmes uz sporta spēļu rezultātiem vai dzīvnieku sacensībās. </w:t>
      </w:r>
      <w:r w:rsidRPr="000E1D01">
        <w:rPr>
          <w:rFonts w:cs="Times New Roman"/>
          <w:i/>
          <w:iCs/>
          <w:color w:val="000000"/>
        </w:rPr>
        <w:t>(Datu avots: “Atkarību izraisošo vielu lietošanas paradumi un tendences skolēnu vidū”, SPKC, 2015,https://www.spkc.gov.lv/upload/Petijumi%20un%20zinojumi/Atkaribu%20slimibu%20petijumi/espad2015_ziojums.pdf)”</w:t>
      </w:r>
    </w:p>
    <w:p w14:paraId="3E417D8E" w14:textId="77777777" w:rsidR="003A1AAE" w:rsidRPr="000E1D01" w:rsidRDefault="003A1AAE" w:rsidP="003A1AAE">
      <w:pPr>
        <w:ind w:firstLine="568"/>
        <w:jc w:val="both"/>
        <w:rPr>
          <w:rFonts w:cs="Times New Roman"/>
        </w:rPr>
      </w:pPr>
      <w:r w:rsidRPr="000E1D01">
        <w:rPr>
          <w:rFonts w:cs="Times New Roman"/>
        </w:rPr>
        <w:t xml:space="preserve">Konstatētās problēmas būtiski ietekmē </w:t>
      </w:r>
      <w:proofErr w:type="spellStart"/>
      <w:r w:rsidRPr="000E1D01">
        <w:rPr>
          <w:rFonts w:cs="Times New Roman"/>
        </w:rPr>
        <w:t>Legatuma</w:t>
      </w:r>
      <w:proofErr w:type="spellEnd"/>
      <w:r w:rsidRPr="000E1D01">
        <w:rPr>
          <w:rFonts w:cs="Times New Roman"/>
        </w:rPr>
        <w:t xml:space="preserve"> </w:t>
      </w:r>
      <w:r w:rsidRPr="000E1D01">
        <w:rPr>
          <w:rFonts w:cs="Times New Roman"/>
          <w:bCs/>
        </w:rPr>
        <w:t>Labklājības indeksa</w:t>
      </w:r>
      <w:r>
        <w:rPr>
          <w:rStyle w:val="FootnoteReference"/>
          <w:rFonts w:cs="Times New Roman"/>
          <w:bCs/>
        </w:rPr>
        <w:footnoteReference w:id="7"/>
      </w:r>
      <w:r w:rsidRPr="000E1D01">
        <w:rPr>
          <w:rFonts w:cs="Times New Roman"/>
        </w:rPr>
        <w:t xml:space="preserve"> rezultātu, jo virzienā “Uzvedības riska faktori” Latvija izvirzās </w:t>
      </w:r>
      <w:r w:rsidRPr="000E1D01">
        <w:rPr>
          <w:rFonts w:cs="Times New Roman"/>
          <w:b/>
        </w:rPr>
        <w:t>166</w:t>
      </w:r>
      <w:r>
        <w:rPr>
          <w:rFonts w:cs="Times New Roman"/>
          <w:b/>
        </w:rPr>
        <w:t>.</w:t>
      </w:r>
      <w:r w:rsidRPr="000E1D01">
        <w:rPr>
          <w:rFonts w:cs="Times New Roman"/>
          <w:b/>
        </w:rPr>
        <w:t xml:space="preserve"> vietā (no 167)</w:t>
      </w:r>
      <w:r w:rsidRPr="000E1D01">
        <w:rPr>
          <w:rFonts w:cs="Times New Roman"/>
        </w:rPr>
        <w:t xml:space="preserve">. </w:t>
      </w:r>
    </w:p>
    <w:p w14:paraId="717A8EEB" w14:textId="77777777" w:rsidR="003A1AAE" w:rsidRPr="00AC2B25" w:rsidRDefault="003A1AAE" w:rsidP="003A1AAE">
      <w:pPr>
        <w:pStyle w:val="ListParagraph"/>
        <w:numPr>
          <w:ilvl w:val="1"/>
          <w:numId w:val="1"/>
        </w:numPr>
        <w:ind w:left="142" w:firstLine="426"/>
        <w:contextualSpacing w:val="0"/>
        <w:jc w:val="both"/>
        <w:rPr>
          <w:rFonts w:ascii="Times New Roman" w:hAnsi="Times New Roman" w:cs="Times New Roman"/>
          <w:b/>
          <w:bCs/>
        </w:rPr>
      </w:pPr>
      <w:r w:rsidRPr="004D33D6">
        <w:rPr>
          <w:rFonts w:ascii="Times New Roman" w:hAnsi="Times New Roman" w:cs="Times New Roman"/>
          <w:iCs/>
        </w:rPr>
        <w:t xml:space="preserve">NAP2027 konstatētās problēmas </w:t>
      </w:r>
      <w:r w:rsidRPr="004D33D6">
        <w:rPr>
          <w:rFonts w:ascii="Times New Roman" w:hAnsi="Times New Roman" w:cs="Times New Roman"/>
        </w:rPr>
        <w:t xml:space="preserve">Rīcības virzienā </w:t>
      </w:r>
      <w:r w:rsidRPr="00690A4B">
        <w:rPr>
          <w:rFonts w:ascii="Times New Roman" w:hAnsi="Times New Roman" w:cs="Times New Roman"/>
          <w:bCs/>
        </w:rPr>
        <w:t>“P</w:t>
      </w:r>
      <w:r w:rsidRPr="004D33D6">
        <w:rPr>
          <w:rFonts w:ascii="Times New Roman" w:hAnsi="Times New Roman" w:cs="Times New Roman"/>
          <w:bCs/>
        </w:rPr>
        <w:t xml:space="preserve">siholoģiskā un emocionālā labklājība”, kā arī Rīcības virziens “Psiholoģiskā un emocionālā labklājība” un Rīcības virzienā “Sociālā iekļaušana” korelē ar </w:t>
      </w:r>
      <w:r w:rsidRPr="004D33D6">
        <w:rPr>
          <w:rFonts w:ascii="Times New Roman" w:hAnsi="Times New Roman" w:cs="Times New Roman"/>
        </w:rPr>
        <w:t>Labklājības indeksa virzienu Veselība – Mentālā veselība (</w:t>
      </w:r>
      <w:proofErr w:type="spellStart"/>
      <w:r w:rsidRPr="00690A4B">
        <w:rPr>
          <w:rFonts w:ascii="Times New Roman" w:hAnsi="Times New Roman" w:cs="Times New Roman"/>
        </w:rPr>
        <w:t>ang</w:t>
      </w:r>
      <w:proofErr w:type="spellEnd"/>
      <w:r w:rsidRPr="00690A4B">
        <w:rPr>
          <w:rFonts w:ascii="Times New Roman" w:hAnsi="Times New Roman" w:cs="Times New Roman"/>
        </w:rPr>
        <w:t>.</w:t>
      </w:r>
      <w:r w:rsidRPr="004D33D6">
        <w:rPr>
          <w:rFonts w:ascii="Times New Roman" w:hAnsi="Times New Roman" w:cs="Times New Roman"/>
        </w:rPr>
        <w:t xml:space="preserve"> </w:t>
      </w:r>
      <w:r w:rsidRPr="00690A4B">
        <w:rPr>
          <w:rFonts w:ascii="Times New Roman" w:hAnsi="Times New Roman" w:cs="Times New Roman"/>
          <w:i/>
        </w:rPr>
        <w:t xml:space="preserve">Health- </w:t>
      </w:r>
      <w:proofErr w:type="spellStart"/>
      <w:r w:rsidRPr="00690A4B">
        <w:rPr>
          <w:rFonts w:ascii="Times New Roman" w:hAnsi="Times New Roman" w:cs="Times New Roman"/>
          <w:i/>
        </w:rPr>
        <w:t>Mental</w:t>
      </w:r>
      <w:proofErr w:type="spellEnd"/>
      <w:r w:rsidRPr="00690A4B">
        <w:rPr>
          <w:rFonts w:ascii="Times New Roman" w:hAnsi="Times New Roman" w:cs="Times New Roman"/>
          <w:i/>
        </w:rPr>
        <w:t xml:space="preserve"> </w:t>
      </w:r>
      <w:proofErr w:type="spellStart"/>
      <w:r w:rsidRPr="00690A4B">
        <w:rPr>
          <w:rFonts w:ascii="Times New Roman" w:hAnsi="Times New Roman" w:cs="Times New Roman"/>
          <w:i/>
        </w:rPr>
        <w:t>health</w:t>
      </w:r>
      <w:proofErr w:type="spellEnd"/>
      <w:r w:rsidRPr="004D33D6">
        <w:rPr>
          <w:rFonts w:ascii="Times New Roman" w:hAnsi="Times New Roman" w:cs="Times New Roman"/>
          <w:bCs/>
        </w:rPr>
        <w:t xml:space="preserve">) </w:t>
      </w:r>
      <w:r>
        <w:rPr>
          <w:rFonts w:ascii="Times New Roman" w:hAnsi="Times New Roman" w:cs="Times New Roman"/>
          <w:bCs/>
        </w:rPr>
        <w:t>–</w:t>
      </w:r>
      <w:r w:rsidRPr="004D33D6">
        <w:rPr>
          <w:rFonts w:ascii="Times New Roman" w:hAnsi="Times New Roman" w:cs="Times New Roman"/>
        </w:rPr>
        <w:t xml:space="preserve"> pielikuma “NAP2027 prioritāšu pamatojuma avoti” 4., 17. un 41.punkts:</w:t>
      </w:r>
    </w:p>
    <w:p w14:paraId="05C9C184" w14:textId="77777777" w:rsidR="003A1AAE" w:rsidRPr="004D33D6" w:rsidRDefault="003A1AAE" w:rsidP="003A1AAE">
      <w:pPr>
        <w:ind w:firstLine="720"/>
        <w:jc w:val="both"/>
        <w:rPr>
          <w:rFonts w:cs="Times New Roman"/>
          <w:i/>
        </w:rPr>
      </w:pPr>
      <w:r w:rsidRPr="004D33D6">
        <w:rPr>
          <w:rFonts w:cs="Times New Roman"/>
        </w:rPr>
        <w:t xml:space="preserve">“4. </w:t>
      </w:r>
      <w:r w:rsidRPr="004D33D6">
        <w:rPr>
          <w:rFonts w:cs="Times New Roman"/>
          <w:b/>
          <w:i/>
        </w:rPr>
        <w:t>Depresiju Latvijā diagnosticē pārāk reti</w:t>
      </w:r>
      <w:r w:rsidRPr="004D33D6">
        <w:rPr>
          <w:rFonts w:cs="Times New Roman"/>
          <w:i/>
        </w:rPr>
        <w:t xml:space="preserve">. 2011. gada datos par veiktajiem maksājumiem diagnoze „Depresija” uzrādīta mazāk nekā 1 % iedzīvotāju, lai gan depresijas izplatība sabiedrībā ir 3–6 %, bet PVO pētījumi liecina, ka ar depresiju slimo viens cilvēks no 20. Depresiju ārkārtīgi reti diagnosticē arī pacientiem ar vēzi un sievietēm </w:t>
      </w:r>
      <w:proofErr w:type="spellStart"/>
      <w:r w:rsidRPr="004D33D6">
        <w:rPr>
          <w:rFonts w:cs="Times New Roman"/>
          <w:i/>
        </w:rPr>
        <w:t>pēcdzemdību</w:t>
      </w:r>
      <w:proofErr w:type="spellEnd"/>
      <w:r w:rsidRPr="004D33D6">
        <w:rPr>
          <w:rFonts w:cs="Times New Roman"/>
          <w:i/>
        </w:rPr>
        <w:t xml:space="preserve"> periodā. </w:t>
      </w:r>
      <w:proofErr w:type="spellStart"/>
      <w:r w:rsidRPr="004D33D6">
        <w:rPr>
          <w:rFonts w:cs="Times New Roman"/>
          <w:i/>
        </w:rPr>
        <w:t>Pēcdzemdību</w:t>
      </w:r>
      <w:proofErr w:type="spellEnd"/>
      <w:r w:rsidRPr="004D33D6">
        <w:rPr>
          <w:rFonts w:cs="Times New Roman"/>
          <w:i/>
        </w:rPr>
        <w:t xml:space="preserve"> depresijas gadījumu skaits Latvijā ir ne tikai ievērojami zemāks par starptautisko rādītāju, kas ir 10–15 %, bet arī proporcionāli neliels attiecībā pret kopējo iedzīvotāju skaitu. Vēl jo vairāk – ar psihisko veselību saistītas diagnozes nav iekļautas piecu visbiežāk uzstādīto diagnožu sarakstā pacientiem, kas izdarījuši pašnāvību. (Datu avots: Latvijas veselības aprūpes sistēmas izvērtējums, Pasaules Banka, </w:t>
      </w:r>
      <w:hyperlink r:id="rId14" w:history="1">
        <w:r w:rsidRPr="004D33D6">
          <w:rPr>
            <w:rStyle w:val="Hyperlink"/>
            <w:rFonts w:cs="Times New Roman"/>
            <w:i/>
          </w:rPr>
          <w:t>http://www.vmnvd.gov.lv/uploads/files/58a6f1c336572.pdf</w:t>
        </w:r>
      </w:hyperlink>
      <w:r w:rsidRPr="004D33D6">
        <w:rPr>
          <w:rFonts w:cs="Times New Roman"/>
          <w:i/>
        </w:rPr>
        <w:t>)</w:t>
      </w:r>
      <w:r>
        <w:rPr>
          <w:rFonts w:cs="Times New Roman"/>
          <w:i/>
        </w:rPr>
        <w:t>.</w:t>
      </w:r>
      <w:r w:rsidRPr="004D33D6">
        <w:rPr>
          <w:rFonts w:cs="Times New Roman"/>
          <w:i/>
        </w:rPr>
        <w:t xml:space="preserve">  </w:t>
      </w:r>
    </w:p>
    <w:p w14:paraId="2811870C" w14:textId="77777777" w:rsidR="003A1AAE" w:rsidRPr="004D33D6" w:rsidRDefault="003A1AAE" w:rsidP="003A1AAE">
      <w:pPr>
        <w:ind w:firstLine="720"/>
        <w:jc w:val="both"/>
        <w:rPr>
          <w:rFonts w:cs="Times New Roman"/>
          <w:b/>
          <w:i/>
        </w:rPr>
      </w:pPr>
      <w:r w:rsidRPr="004D33D6">
        <w:rPr>
          <w:rFonts w:cs="Times New Roman"/>
          <w:i/>
        </w:rPr>
        <w:t>17. Psihiskie veselības traucējumi rada ievērojamu slogu gan veselības  aprūpes,</w:t>
      </w:r>
      <w:r>
        <w:rPr>
          <w:rFonts w:cs="Times New Roman"/>
          <w:i/>
        </w:rPr>
        <w:t xml:space="preserve"> </w:t>
      </w:r>
      <w:r w:rsidRPr="004D33D6">
        <w:rPr>
          <w:rFonts w:cs="Times New Roman"/>
          <w:i/>
        </w:rPr>
        <w:t xml:space="preserve">gan labklājības sistēmai. </w:t>
      </w:r>
      <w:r w:rsidRPr="004D33D6">
        <w:rPr>
          <w:rFonts w:cs="Times New Roman"/>
          <w:b/>
          <w:i/>
        </w:rPr>
        <w:t>Latvijā ir otrs augstākais pašnāvību gadījumu skaits Eiropas Savienībā.</w:t>
      </w:r>
    </w:p>
    <w:p w14:paraId="4376A3A3" w14:textId="77777777" w:rsidR="003A1AAE" w:rsidRPr="00AC2B25" w:rsidRDefault="003A1AAE" w:rsidP="003A1AAE">
      <w:pPr>
        <w:ind w:firstLine="720"/>
        <w:jc w:val="both"/>
        <w:rPr>
          <w:rFonts w:eastAsia="Times New Roman" w:cs="Times New Roman"/>
          <w:highlight w:val="yellow"/>
        </w:rPr>
      </w:pPr>
      <w:r w:rsidRPr="004D33D6">
        <w:rPr>
          <w:rFonts w:cs="Times New Roman"/>
          <w:i/>
        </w:rPr>
        <w:t>41</w:t>
      </w:r>
      <w:r>
        <w:rPr>
          <w:rFonts w:cs="Times New Roman"/>
          <w:i/>
        </w:rPr>
        <w:t>.</w:t>
      </w:r>
      <w:r w:rsidRPr="004D33D6">
        <w:rPr>
          <w:rFonts w:cs="Times New Roman"/>
          <w:i/>
        </w:rPr>
        <w:t xml:space="preserve"> 931 personai ar garīga rakstura traucējumiem 2018. gadā tika nodrošināts dienas aprūpes centra pakalpojums, 253 personām – grupu mājas pakalpojums, lai gan 2017. gadā Latvijā psihiskie un uzvedības traucējumi bija reģistrēti vairāk nekā </w:t>
      </w:r>
      <w:r w:rsidRPr="004D33D6">
        <w:rPr>
          <w:rFonts w:cs="Times New Roman"/>
          <w:b/>
          <w:i/>
        </w:rPr>
        <w:t>89 000 personu</w:t>
      </w:r>
      <w:r w:rsidRPr="004D33D6">
        <w:rPr>
          <w:rFonts w:cs="Times New Roman"/>
          <w:i/>
        </w:rPr>
        <w:t xml:space="preserve"> un no tām 26 132 personām bija noteikta invaliditāte</w:t>
      </w:r>
      <w:r w:rsidRPr="004D33D6">
        <w:rPr>
          <w:rFonts w:cs="Times New Roman"/>
        </w:rPr>
        <w:t>.”</w:t>
      </w:r>
      <w:r>
        <w:rPr>
          <w:rFonts w:cs="Times New Roman"/>
        </w:rPr>
        <w:t>.</w:t>
      </w:r>
    </w:p>
    <w:p w14:paraId="39707A9C" w14:textId="77777777" w:rsidR="003A1AAE" w:rsidRPr="00AC2B25" w:rsidRDefault="003A1AAE" w:rsidP="003A1AAE">
      <w:pPr>
        <w:jc w:val="both"/>
        <w:rPr>
          <w:rFonts w:cs="Times New Roman"/>
        </w:rPr>
      </w:pPr>
      <w:r w:rsidRPr="00AC2B25">
        <w:rPr>
          <w:rFonts w:cs="Times New Roman"/>
        </w:rPr>
        <w:tab/>
      </w:r>
      <w:r w:rsidRPr="004D33D6">
        <w:rPr>
          <w:rFonts w:cs="Times New Roman"/>
        </w:rPr>
        <w:t xml:space="preserve">Konstatētās problēmas būtiski ietekmē </w:t>
      </w:r>
      <w:proofErr w:type="spellStart"/>
      <w:r w:rsidRPr="004D33D6">
        <w:rPr>
          <w:rFonts w:cs="Times New Roman"/>
        </w:rPr>
        <w:t>Legatuma</w:t>
      </w:r>
      <w:proofErr w:type="spellEnd"/>
      <w:r w:rsidRPr="004D33D6">
        <w:rPr>
          <w:rFonts w:cs="Times New Roman"/>
        </w:rPr>
        <w:t xml:space="preserve"> </w:t>
      </w:r>
      <w:r w:rsidRPr="004D33D6">
        <w:rPr>
          <w:rFonts w:cs="Times New Roman"/>
          <w:bCs/>
        </w:rPr>
        <w:t>Labklājības indeksa</w:t>
      </w:r>
      <w:r>
        <w:rPr>
          <w:rStyle w:val="FootnoteReference"/>
          <w:rFonts w:cs="Times New Roman"/>
          <w:bCs/>
        </w:rPr>
        <w:footnoteReference w:id="8"/>
      </w:r>
      <w:r w:rsidRPr="004D33D6">
        <w:rPr>
          <w:rFonts w:cs="Times New Roman"/>
        </w:rPr>
        <w:t xml:space="preserve"> rezultātu, jo virzienā “Mentālā veselība” 2019.gadā Latvijai ir </w:t>
      </w:r>
      <w:r w:rsidRPr="004D33D6">
        <w:rPr>
          <w:rFonts w:cs="Times New Roman"/>
          <w:b/>
        </w:rPr>
        <w:t>102</w:t>
      </w:r>
      <w:r>
        <w:rPr>
          <w:rFonts w:cs="Times New Roman"/>
          <w:b/>
        </w:rPr>
        <w:t>.</w:t>
      </w:r>
      <w:r w:rsidRPr="004D33D6">
        <w:rPr>
          <w:rFonts w:cs="Times New Roman"/>
          <w:b/>
        </w:rPr>
        <w:t xml:space="preserve"> vietā (no 167)</w:t>
      </w:r>
      <w:r w:rsidRPr="004D33D6">
        <w:rPr>
          <w:rFonts w:cs="Times New Roman"/>
        </w:rPr>
        <w:t xml:space="preserve">. </w:t>
      </w:r>
    </w:p>
    <w:p w14:paraId="2B1C76B5" w14:textId="77777777" w:rsidR="003A1AAE" w:rsidRPr="004D33D6" w:rsidRDefault="003A1AAE" w:rsidP="003A1AAE">
      <w:pPr>
        <w:ind w:firstLine="720"/>
        <w:jc w:val="both"/>
        <w:rPr>
          <w:rFonts w:cs="Times New Roman"/>
        </w:rPr>
      </w:pPr>
      <w:r w:rsidRPr="004D33D6">
        <w:rPr>
          <w:rFonts w:cs="Times New Roman"/>
        </w:rPr>
        <w:t xml:space="preserve">Minētie informācijas un </w:t>
      </w:r>
      <w:proofErr w:type="spellStart"/>
      <w:r w:rsidRPr="004D33D6">
        <w:rPr>
          <w:rFonts w:cs="Times New Roman"/>
        </w:rPr>
        <w:t>izvē</w:t>
      </w:r>
      <w:r>
        <w:rPr>
          <w:rFonts w:cs="Times New Roman"/>
        </w:rPr>
        <w:t>r</w:t>
      </w:r>
      <w:r w:rsidRPr="004D33D6">
        <w:rPr>
          <w:rFonts w:cs="Times New Roman"/>
        </w:rPr>
        <w:t>tējuma</w:t>
      </w:r>
      <w:proofErr w:type="spellEnd"/>
      <w:r w:rsidRPr="004D33D6">
        <w:rPr>
          <w:rFonts w:cs="Times New Roman"/>
        </w:rPr>
        <w:t xml:space="preserve"> avoti dod iespēju vispusīgi ieskatīties vairākās sabiedrības aktivitāšu jom</w:t>
      </w:r>
      <w:r>
        <w:rPr>
          <w:rFonts w:cs="Times New Roman"/>
        </w:rPr>
        <w:t>ā</w:t>
      </w:r>
      <w:r w:rsidRPr="004D33D6">
        <w:rPr>
          <w:rFonts w:cs="Times New Roman"/>
        </w:rPr>
        <w:t>s, kur būtu nepieciešam</w:t>
      </w:r>
      <w:r>
        <w:rPr>
          <w:rFonts w:cs="Times New Roman"/>
        </w:rPr>
        <w:t>s</w:t>
      </w:r>
      <w:r w:rsidRPr="004D33D6">
        <w:rPr>
          <w:rFonts w:cs="Times New Roman"/>
        </w:rPr>
        <w:t xml:space="preserve"> papildu</w:t>
      </w:r>
      <w:r>
        <w:rPr>
          <w:rFonts w:cs="Times New Roman"/>
        </w:rPr>
        <w:t>s</w:t>
      </w:r>
      <w:r w:rsidRPr="004D33D6">
        <w:rPr>
          <w:rFonts w:cs="Times New Roman"/>
        </w:rPr>
        <w:t xml:space="preserve"> atbalsts </w:t>
      </w:r>
      <w:r w:rsidRPr="004D33D6">
        <w:rPr>
          <w:rFonts w:cs="Times New Roman"/>
        </w:rPr>
        <w:lastRenderedPageBreak/>
        <w:t>tu</w:t>
      </w:r>
      <w:r>
        <w:rPr>
          <w:rFonts w:cs="Times New Roman"/>
        </w:rPr>
        <w:t>r</w:t>
      </w:r>
      <w:r w:rsidRPr="004D33D6">
        <w:rPr>
          <w:rFonts w:cs="Times New Roman"/>
        </w:rPr>
        <w:t>pmākajos septiņos gados, iesaistot SLO (NVO) sektoru. Tā ir sabiedrības funkciju ievainojamības matrica, k</w:t>
      </w:r>
      <w:r w:rsidR="00032BA3">
        <w:rPr>
          <w:rFonts w:cs="Times New Roman"/>
        </w:rPr>
        <w:t>uras līdzsvarošanu var veicināt</w:t>
      </w:r>
      <w:r w:rsidRPr="004D33D6">
        <w:rPr>
          <w:rFonts w:cs="Times New Roman"/>
        </w:rPr>
        <w:t xml:space="preserve"> </w:t>
      </w:r>
      <w:r w:rsidR="00032BA3">
        <w:rPr>
          <w:rFonts w:cs="Times New Roman"/>
        </w:rPr>
        <w:t>v</w:t>
      </w:r>
      <w:r w:rsidRPr="004D33D6">
        <w:rPr>
          <w:rFonts w:cs="Times New Roman"/>
        </w:rPr>
        <w:t xml:space="preserve">ar </w:t>
      </w:r>
      <w:r w:rsidR="00032BA3">
        <w:rPr>
          <w:rFonts w:cs="Times New Roman"/>
        </w:rPr>
        <w:t>ar SLO (</w:t>
      </w:r>
      <w:r w:rsidRPr="004D33D6">
        <w:rPr>
          <w:rFonts w:cs="Times New Roman"/>
        </w:rPr>
        <w:t>NVO</w:t>
      </w:r>
      <w:r w:rsidR="00032BA3">
        <w:rPr>
          <w:rFonts w:cs="Times New Roman"/>
        </w:rPr>
        <w:t>)</w:t>
      </w:r>
      <w:r w:rsidRPr="004D33D6">
        <w:rPr>
          <w:rFonts w:cs="Times New Roman"/>
        </w:rPr>
        <w:t xml:space="preserve"> aktivitātēm, uzlabojot visas sabiedrības labklājību. </w:t>
      </w:r>
    </w:p>
    <w:p w14:paraId="7E02D4E4" w14:textId="77777777" w:rsidR="003A1AAE" w:rsidRPr="004D33D6" w:rsidRDefault="003A1AAE" w:rsidP="003A1AAE">
      <w:pPr>
        <w:jc w:val="both"/>
        <w:rPr>
          <w:rFonts w:cs="Times New Roman"/>
        </w:rPr>
      </w:pPr>
    </w:p>
    <w:p w14:paraId="4DAE388C" w14:textId="77777777" w:rsidR="003A1AAE" w:rsidRPr="000E1D01" w:rsidRDefault="003A1AAE" w:rsidP="003A1AAE">
      <w:pPr>
        <w:ind w:firstLine="720"/>
        <w:jc w:val="both"/>
        <w:rPr>
          <w:rFonts w:cs="Times New Roman"/>
        </w:rPr>
      </w:pPr>
      <w:r w:rsidRPr="000E1D01">
        <w:rPr>
          <w:rFonts w:cs="Times New Roman"/>
        </w:rPr>
        <w:t>SLO darbības rezultatī</w:t>
      </w:r>
      <w:r>
        <w:rPr>
          <w:rFonts w:cs="Times New Roman"/>
        </w:rPr>
        <w:t>vajiem rādītājiem</w:t>
      </w:r>
      <w:r w:rsidRPr="000E1D01">
        <w:rPr>
          <w:rFonts w:cs="Times New Roman"/>
        </w:rPr>
        <w:t xml:space="preserve"> konkrētajā jomā ir jābūt sasaistītiem ar Pasaules indeksiem, kas raksturo globālā līmenī Latvijas sabiedrības segmenta efektivitāti, (piemēram, </w:t>
      </w:r>
      <w:r>
        <w:rPr>
          <w:rFonts w:cs="Times New Roman"/>
        </w:rPr>
        <w:t xml:space="preserve">svarīga ir </w:t>
      </w:r>
      <w:r w:rsidRPr="000E1D01">
        <w:rPr>
          <w:rFonts w:cs="Times New Roman"/>
        </w:rPr>
        <w:t>SLO rezultatīvo rezultātu sasaist</w:t>
      </w:r>
      <w:r>
        <w:rPr>
          <w:rFonts w:cs="Times New Roman"/>
        </w:rPr>
        <w:t>e</w:t>
      </w:r>
      <w:r w:rsidRPr="000E1D01">
        <w:rPr>
          <w:rFonts w:cs="Times New Roman"/>
        </w:rPr>
        <w:t xml:space="preserve"> ar </w:t>
      </w:r>
      <w:proofErr w:type="spellStart"/>
      <w:r w:rsidRPr="000E1D01">
        <w:rPr>
          <w:rFonts w:cs="Times New Roman"/>
          <w:b/>
        </w:rPr>
        <w:t>Legatum</w:t>
      </w:r>
      <w:r w:rsidRPr="000E1D01">
        <w:rPr>
          <w:rFonts w:cs="Times New Roman"/>
        </w:rPr>
        <w:t>a</w:t>
      </w:r>
      <w:proofErr w:type="spellEnd"/>
      <w:r w:rsidRPr="000E1D01">
        <w:rPr>
          <w:rFonts w:cs="Times New Roman"/>
        </w:rPr>
        <w:t xml:space="preserve"> </w:t>
      </w:r>
      <w:r w:rsidRPr="000E1D01">
        <w:rPr>
          <w:rFonts w:cs="Times New Roman"/>
          <w:b/>
        </w:rPr>
        <w:t>Labklājības indeksa</w:t>
      </w:r>
      <w:r w:rsidRPr="000E1D01">
        <w:rPr>
          <w:rFonts w:cs="Times New Roman"/>
        </w:rPr>
        <w:t xml:space="preserve"> datiem, </w:t>
      </w:r>
      <w:r w:rsidRPr="003A1AAE">
        <w:rPr>
          <w:rFonts w:cs="Times New Roman"/>
          <w:b/>
        </w:rPr>
        <w:t>OECD Labklājības indeksa datiem</w:t>
      </w:r>
      <w:r w:rsidRPr="000E1D01">
        <w:rPr>
          <w:rFonts w:cs="Times New Roman"/>
        </w:rPr>
        <w:t xml:space="preserve">, </w:t>
      </w:r>
      <w:r>
        <w:rPr>
          <w:rFonts w:cs="Times New Roman"/>
          <w:b/>
        </w:rPr>
        <w:t>Vispasaules ziedošanas indeksa datiem,</w:t>
      </w:r>
      <w:r w:rsidRPr="004D33D6">
        <w:rPr>
          <w:rFonts w:cs="Times New Roman"/>
          <w:b/>
        </w:rPr>
        <w:t xml:space="preserve"> </w:t>
      </w:r>
      <w:r w:rsidRPr="000E1D01">
        <w:rPr>
          <w:rFonts w:cs="Times New Roman"/>
          <w:b/>
        </w:rPr>
        <w:t>Pasaules laimes indeks</w:t>
      </w:r>
      <w:r>
        <w:rPr>
          <w:rFonts w:cs="Times New Roman"/>
          <w:b/>
        </w:rPr>
        <w:t>u</w:t>
      </w:r>
      <w:r>
        <w:rPr>
          <w:rFonts w:cs="Times New Roman"/>
        </w:rPr>
        <w:t xml:space="preserve">, </w:t>
      </w:r>
      <w:r w:rsidRPr="000E1D01">
        <w:rPr>
          <w:rFonts w:cs="Times New Roman"/>
        </w:rPr>
        <w:t xml:space="preserve">kā arī </w:t>
      </w:r>
      <w:r w:rsidRPr="000E1D01">
        <w:rPr>
          <w:rFonts w:cs="Times New Roman"/>
          <w:b/>
        </w:rPr>
        <w:t xml:space="preserve">NVO ilgtspējas indeksa </w:t>
      </w:r>
      <w:r w:rsidRPr="000E1D01">
        <w:rPr>
          <w:rFonts w:cs="Times New Roman"/>
        </w:rPr>
        <w:t>datiem</w:t>
      </w:r>
      <w:r>
        <w:rPr>
          <w:rFonts w:cs="Times New Roman"/>
        </w:rPr>
        <w:t>)</w:t>
      </w:r>
      <w:r w:rsidRPr="000E1D01">
        <w:rPr>
          <w:rFonts w:cs="Times New Roman"/>
        </w:rPr>
        <w:t>. Nodrošinot SLO darbības efektivitātes monitoringu kontekstā ar minēto Pasaules indeksu datiem, politikas veidotāji varēs efektīvi reaģēt uz izmaiņām sabiedrības vajadzībās un</w:t>
      </w:r>
      <w:r w:rsidR="00032BA3">
        <w:rPr>
          <w:rFonts w:cs="Times New Roman"/>
        </w:rPr>
        <w:t xml:space="preserve"> arī</w:t>
      </w:r>
      <w:r w:rsidRPr="000E1D01">
        <w:rPr>
          <w:rFonts w:cs="Times New Roman"/>
        </w:rPr>
        <w:t xml:space="preserve"> aicināt SLO </w:t>
      </w:r>
      <w:r w:rsidR="00032BA3">
        <w:rPr>
          <w:rFonts w:cs="Times New Roman"/>
        </w:rPr>
        <w:t>iesaistīties konstatēto problēmu risināšanā</w:t>
      </w:r>
      <w:r w:rsidRPr="000E1D01">
        <w:rPr>
          <w:rFonts w:cs="Times New Roman"/>
        </w:rPr>
        <w:t xml:space="preserve">. </w:t>
      </w:r>
    </w:p>
    <w:p w14:paraId="2FBC274E" w14:textId="77777777" w:rsidR="003A1AAE" w:rsidRDefault="003A1AAE" w:rsidP="003A1AAE">
      <w:pPr>
        <w:jc w:val="both"/>
      </w:pPr>
    </w:p>
    <w:sectPr w:rsidR="003A1AAE" w:rsidSect="003A1AAE">
      <w:headerReference w:type="default" r:id="rId15"/>
      <w:footerReference w:type="default" r:id="rId16"/>
      <w:footerReference w:type="first" r:id="rId1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BF975" w14:textId="77777777" w:rsidR="003A1AAE" w:rsidRDefault="003A1AAE" w:rsidP="003A1AAE">
      <w:r>
        <w:separator/>
      </w:r>
    </w:p>
  </w:endnote>
  <w:endnote w:type="continuationSeparator" w:id="0">
    <w:p w14:paraId="3E4272A0" w14:textId="77777777" w:rsidR="003A1AAE" w:rsidRDefault="003A1AAE" w:rsidP="003A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1A6F" w14:textId="70711BD8" w:rsidR="008626BF" w:rsidRPr="008626BF" w:rsidRDefault="008626BF">
    <w:pPr>
      <w:pStyle w:val="Footer"/>
      <w:rPr>
        <w:sz w:val="20"/>
        <w:szCs w:val="20"/>
      </w:rPr>
    </w:pPr>
    <w:r w:rsidRPr="008626BF">
      <w:rPr>
        <w:sz w:val="20"/>
        <w:szCs w:val="20"/>
      </w:rPr>
      <w:fldChar w:fldCharType="begin"/>
    </w:r>
    <w:r w:rsidRPr="008626BF">
      <w:rPr>
        <w:sz w:val="20"/>
        <w:szCs w:val="20"/>
      </w:rPr>
      <w:instrText xml:space="preserve"> FILENAME   \* MERGEFORMAT </w:instrText>
    </w:r>
    <w:r w:rsidRPr="008626BF">
      <w:rPr>
        <w:sz w:val="20"/>
        <w:szCs w:val="20"/>
      </w:rPr>
      <w:fldChar w:fldCharType="separate"/>
    </w:r>
    <w:r w:rsidRPr="008626BF">
      <w:rPr>
        <w:noProof/>
        <w:sz w:val="20"/>
        <w:szCs w:val="20"/>
      </w:rPr>
      <w:t>FMpielikums_020621_SLO.docx</w:t>
    </w:r>
    <w:r w:rsidRPr="008626BF">
      <w:rPr>
        <w:sz w:val="20"/>
        <w:szCs w:val="20"/>
      </w:rPr>
      <w:fldChar w:fldCharType="end"/>
    </w:r>
  </w:p>
  <w:p w14:paraId="74D7138A" w14:textId="77777777" w:rsidR="008626BF" w:rsidRDefault="00862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BA605" w14:textId="7FDB3208" w:rsidR="008626BF" w:rsidRPr="008626BF" w:rsidRDefault="008626BF">
    <w:pPr>
      <w:pStyle w:val="Footer"/>
      <w:rPr>
        <w:sz w:val="20"/>
        <w:szCs w:val="20"/>
      </w:rPr>
    </w:pPr>
    <w:r w:rsidRPr="008626BF">
      <w:rPr>
        <w:sz w:val="20"/>
        <w:szCs w:val="20"/>
      </w:rPr>
      <w:fldChar w:fldCharType="begin"/>
    </w:r>
    <w:r w:rsidRPr="008626BF">
      <w:rPr>
        <w:sz w:val="20"/>
        <w:szCs w:val="20"/>
      </w:rPr>
      <w:instrText xml:space="preserve"> FILENAME   \* MERGEFORMAT </w:instrText>
    </w:r>
    <w:r w:rsidRPr="008626BF">
      <w:rPr>
        <w:sz w:val="20"/>
        <w:szCs w:val="20"/>
      </w:rPr>
      <w:fldChar w:fldCharType="separate"/>
    </w:r>
    <w:r w:rsidRPr="008626BF">
      <w:rPr>
        <w:noProof/>
        <w:sz w:val="20"/>
        <w:szCs w:val="20"/>
      </w:rPr>
      <w:t>FMpielikums_020621_SLO.docx</w:t>
    </w:r>
    <w:r w:rsidRPr="008626BF">
      <w:rPr>
        <w:sz w:val="20"/>
        <w:szCs w:val="20"/>
      </w:rPr>
      <w:fldChar w:fldCharType="end"/>
    </w:r>
  </w:p>
  <w:p w14:paraId="29FDD5B1" w14:textId="77777777" w:rsidR="008626BF" w:rsidRDefault="0086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CAA02" w14:textId="77777777" w:rsidR="003A1AAE" w:rsidRDefault="003A1AAE" w:rsidP="003A1AAE">
      <w:r>
        <w:separator/>
      </w:r>
    </w:p>
  </w:footnote>
  <w:footnote w:type="continuationSeparator" w:id="0">
    <w:p w14:paraId="15D86480" w14:textId="77777777" w:rsidR="003A1AAE" w:rsidRDefault="003A1AAE" w:rsidP="003A1AAE">
      <w:r>
        <w:continuationSeparator/>
      </w:r>
    </w:p>
  </w:footnote>
  <w:footnote w:id="1">
    <w:p w14:paraId="3F849497" w14:textId="77777777" w:rsidR="003A1AAE" w:rsidRDefault="003A1AAE" w:rsidP="003A1AAE">
      <w:pPr>
        <w:pStyle w:val="FootnoteText"/>
      </w:pPr>
      <w:r>
        <w:rPr>
          <w:rStyle w:val="FootnoteReference"/>
        </w:rPr>
        <w:footnoteRef/>
      </w:r>
      <w:r>
        <w:t xml:space="preserve"> </w:t>
      </w:r>
      <w:r>
        <w:rPr>
          <w:rFonts w:ascii="Times New Roman" w:hAnsi="Times New Roman" w:cs="Times New Roman"/>
        </w:rPr>
        <w:t xml:space="preserve">Pieejams: </w:t>
      </w:r>
      <w:hyperlink r:id="rId1" w:history="1">
        <w:r>
          <w:rPr>
            <w:rStyle w:val="Hyperlink"/>
            <w:rFonts w:ascii="Times New Roman" w:hAnsi="Times New Roman" w:cs="Times New Roman"/>
            <w:color w:val="0000FF"/>
          </w:rPr>
          <w:t>https://www.prosperity.com/</w:t>
        </w:r>
      </w:hyperlink>
    </w:p>
  </w:footnote>
  <w:footnote w:id="2">
    <w:p w14:paraId="5C45296A" w14:textId="77777777" w:rsidR="003A1AAE" w:rsidRDefault="003A1AAE" w:rsidP="003A1AAE"/>
  </w:footnote>
  <w:footnote w:id="3">
    <w:p w14:paraId="6452A910" w14:textId="77777777" w:rsidR="003A1AAE" w:rsidRDefault="003A1AAE" w:rsidP="003A1AAE">
      <w:pPr>
        <w:pStyle w:val="FootnoteText"/>
        <w:jc w:val="both"/>
      </w:pPr>
      <w:r>
        <w:rPr>
          <w:rStyle w:val="FootnoteReference"/>
        </w:rPr>
        <w:footnoteRef/>
      </w:r>
      <w:r>
        <w:t xml:space="preserve"> </w:t>
      </w:r>
      <w:proofErr w:type="spellStart"/>
      <w:r w:rsidRPr="00AD7F1F">
        <w:rPr>
          <w:rFonts w:ascii="Times New Roman" w:hAnsi="Times New Roman" w:cs="Times New Roman"/>
        </w:rPr>
        <w:t>Starppersonu</w:t>
      </w:r>
      <w:proofErr w:type="spellEnd"/>
      <w:r w:rsidRPr="00AD7F1F">
        <w:rPr>
          <w:rFonts w:ascii="Times New Roman" w:hAnsi="Times New Roman" w:cs="Times New Roman"/>
        </w:rPr>
        <w:t xml:space="preserve"> un </w:t>
      </w:r>
      <w:proofErr w:type="spellStart"/>
      <w:r w:rsidRPr="00AD7F1F">
        <w:rPr>
          <w:rFonts w:ascii="Times New Roman" w:hAnsi="Times New Roman" w:cs="Times New Roman"/>
        </w:rPr>
        <w:t>starpinstitūcionāla</w:t>
      </w:r>
      <w:r>
        <w:rPr>
          <w:rFonts w:ascii="Times New Roman" w:hAnsi="Times New Roman" w:cs="Times New Roman"/>
        </w:rPr>
        <w:t>s</w:t>
      </w:r>
      <w:proofErr w:type="spellEnd"/>
      <w:r w:rsidRPr="00AD7F1F">
        <w:rPr>
          <w:rFonts w:ascii="Times New Roman" w:hAnsi="Times New Roman" w:cs="Times New Roman"/>
        </w:rPr>
        <w:t xml:space="preserve"> uzticības jēdzien</w:t>
      </w:r>
      <w:r>
        <w:rPr>
          <w:rFonts w:ascii="Times New Roman" w:hAnsi="Times New Roman" w:cs="Times New Roman"/>
        </w:rPr>
        <w:t>s</w:t>
      </w:r>
      <w:r w:rsidRPr="00AD7F1F">
        <w:rPr>
          <w:rFonts w:ascii="Times New Roman" w:hAnsi="Times New Roman" w:cs="Times New Roman"/>
        </w:rPr>
        <w:t xml:space="preserve"> ir iekļaut</w:t>
      </w:r>
      <w:r>
        <w:rPr>
          <w:rFonts w:ascii="Times New Roman" w:hAnsi="Times New Roman" w:cs="Times New Roman"/>
        </w:rPr>
        <w:t>s un padziļināti skaidrots</w:t>
      </w:r>
      <w:r w:rsidRPr="00AD7F1F">
        <w:rPr>
          <w:rFonts w:ascii="Times New Roman" w:hAnsi="Times New Roman" w:cs="Times New Roman"/>
        </w:rPr>
        <w:t xml:space="preserve"> OECD vadlīnijās “</w:t>
      </w:r>
      <w:proofErr w:type="spellStart"/>
      <w:r w:rsidRPr="00AD7F1F">
        <w:rPr>
          <w:rFonts w:ascii="Times New Roman" w:hAnsi="Times New Roman" w:cs="Times New Roman"/>
        </w:rPr>
        <w:t>Guidelines</w:t>
      </w:r>
      <w:proofErr w:type="spellEnd"/>
      <w:r w:rsidRPr="00AD7F1F">
        <w:rPr>
          <w:rFonts w:ascii="Times New Roman" w:hAnsi="Times New Roman" w:cs="Times New Roman"/>
        </w:rPr>
        <w:t xml:space="preserve"> </w:t>
      </w:r>
      <w:proofErr w:type="spellStart"/>
      <w:r w:rsidRPr="00AD7F1F">
        <w:rPr>
          <w:rFonts w:ascii="Times New Roman" w:hAnsi="Times New Roman" w:cs="Times New Roman"/>
        </w:rPr>
        <w:t>on</w:t>
      </w:r>
      <w:proofErr w:type="spellEnd"/>
      <w:r w:rsidRPr="00AD7F1F">
        <w:rPr>
          <w:rFonts w:ascii="Times New Roman" w:hAnsi="Times New Roman" w:cs="Times New Roman"/>
        </w:rPr>
        <w:t xml:space="preserve"> </w:t>
      </w:r>
      <w:proofErr w:type="spellStart"/>
      <w:r w:rsidRPr="00AD7F1F">
        <w:rPr>
          <w:rFonts w:ascii="Times New Roman" w:hAnsi="Times New Roman" w:cs="Times New Roman"/>
        </w:rPr>
        <w:t>Measuring</w:t>
      </w:r>
      <w:proofErr w:type="spellEnd"/>
      <w:r w:rsidRPr="00AD7F1F">
        <w:rPr>
          <w:rFonts w:ascii="Times New Roman" w:hAnsi="Times New Roman" w:cs="Times New Roman"/>
        </w:rPr>
        <w:t xml:space="preserve"> </w:t>
      </w:r>
      <w:proofErr w:type="spellStart"/>
      <w:r w:rsidRPr="00AD7F1F">
        <w:rPr>
          <w:rFonts w:ascii="Times New Roman" w:hAnsi="Times New Roman" w:cs="Times New Roman"/>
        </w:rPr>
        <w:t>Trust</w:t>
      </w:r>
      <w:proofErr w:type="spellEnd"/>
      <w:r w:rsidRPr="00AD7F1F">
        <w:rPr>
          <w:rFonts w:ascii="Times New Roman" w:hAnsi="Times New Roman" w:cs="Times New Roman"/>
        </w:rPr>
        <w:t>”; Pieejamas: https://www.oecd.org/governance/oecd-guidelines-on-measuring-trust-9789264278219-en.htm</w:t>
      </w:r>
    </w:p>
  </w:footnote>
  <w:footnote w:id="4">
    <w:p w14:paraId="522CB7AF" w14:textId="77777777" w:rsidR="003A1AAE" w:rsidRDefault="003A1AAE" w:rsidP="003A1AAE">
      <w:pPr>
        <w:pStyle w:val="FootnoteText"/>
      </w:pPr>
      <w:r>
        <w:rPr>
          <w:rStyle w:val="FootnoteReference"/>
        </w:rPr>
        <w:footnoteRef/>
      </w:r>
      <w:r>
        <w:t xml:space="preserve"> </w:t>
      </w:r>
      <w:r>
        <w:rPr>
          <w:rFonts w:ascii="Times New Roman" w:hAnsi="Times New Roman" w:cs="Times New Roman"/>
        </w:rPr>
        <w:t xml:space="preserve">Pieejams: </w:t>
      </w:r>
      <w:hyperlink r:id="rId2" w:history="1">
        <w:r>
          <w:rPr>
            <w:rStyle w:val="Hyperlink"/>
            <w:rFonts w:ascii="Times New Roman" w:hAnsi="Times New Roman" w:cs="Times New Roman"/>
            <w:color w:val="0000FF"/>
          </w:rPr>
          <w:t>https://www.prosperity.com/</w:t>
        </w:r>
      </w:hyperlink>
    </w:p>
  </w:footnote>
  <w:footnote w:id="5">
    <w:p w14:paraId="188F8B7E" w14:textId="77777777" w:rsidR="003A1AAE" w:rsidRDefault="003A1AAE" w:rsidP="003A1AAE">
      <w:pPr>
        <w:pStyle w:val="FootnoteText"/>
      </w:pPr>
      <w:r>
        <w:rPr>
          <w:rStyle w:val="FootnoteReference"/>
        </w:rPr>
        <w:footnoteRef/>
      </w:r>
      <w:r>
        <w:t xml:space="preserve"> </w:t>
      </w:r>
      <w:r>
        <w:rPr>
          <w:rFonts w:ascii="Times New Roman" w:hAnsi="Times New Roman" w:cs="Times New Roman"/>
        </w:rPr>
        <w:t xml:space="preserve">Pieejams: </w:t>
      </w:r>
      <w:hyperlink r:id="rId3" w:history="1">
        <w:r w:rsidRPr="00D46831">
          <w:rPr>
            <w:rStyle w:val="Hyperlink"/>
            <w:rFonts w:ascii="Times New Roman" w:hAnsi="Times New Roman" w:cs="Times New Roman"/>
            <w:color w:val="0000FF"/>
          </w:rPr>
          <w:t>https://www.prosperity.com/</w:t>
        </w:r>
      </w:hyperlink>
    </w:p>
  </w:footnote>
  <w:footnote w:id="6">
    <w:p w14:paraId="55E72F39" w14:textId="77777777" w:rsidR="003A1AAE" w:rsidRPr="004D33D6" w:rsidRDefault="003A1AAE" w:rsidP="003A1AAE">
      <w:pPr>
        <w:autoSpaceDE w:val="0"/>
        <w:autoSpaceDN w:val="0"/>
        <w:adjustRightInd w:val="0"/>
        <w:jc w:val="both"/>
        <w:rPr>
          <w:rFonts w:cs="Times New Roman"/>
          <w:iCs/>
          <w:sz w:val="20"/>
          <w:szCs w:val="20"/>
        </w:rPr>
      </w:pPr>
      <w:r w:rsidRPr="00AC2B25">
        <w:rPr>
          <w:rStyle w:val="FootnoteReference"/>
          <w:rFonts w:cs="Times New Roman"/>
          <w:sz w:val="20"/>
          <w:szCs w:val="20"/>
        </w:rPr>
        <w:footnoteRef/>
      </w:r>
      <w:r w:rsidRPr="00AC2B25">
        <w:rPr>
          <w:rFonts w:cs="Times New Roman"/>
          <w:sz w:val="20"/>
          <w:szCs w:val="20"/>
        </w:rPr>
        <w:t xml:space="preserve"> </w:t>
      </w:r>
      <w:proofErr w:type="spellStart"/>
      <w:r w:rsidRPr="00AC2B25">
        <w:rPr>
          <w:rFonts w:cs="Times New Roman"/>
          <w:sz w:val="20"/>
          <w:szCs w:val="20"/>
        </w:rPr>
        <w:t>Bekkers</w:t>
      </w:r>
      <w:proofErr w:type="spellEnd"/>
      <w:r w:rsidRPr="00AC2B25">
        <w:rPr>
          <w:rFonts w:cs="Times New Roman"/>
          <w:sz w:val="20"/>
          <w:szCs w:val="20"/>
        </w:rPr>
        <w:t xml:space="preserve"> R.  </w:t>
      </w:r>
      <w:proofErr w:type="spellStart"/>
      <w:r w:rsidRPr="00AC2B25">
        <w:rPr>
          <w:rFonts w:cs="Times New Roman"/>
          <w:sz w:val="20"/>
          <w:szCs w:val="20"/>
        </w:rPr>
        <w:t>Generosity</w:t>
      </w:r>
      <w:proofErr w:type="spellEnd"/>
      <w:r w:rsidRPr="00AC2B25">
        <w:rPr>
          <w:rFonts w:cs="Times New Roman"/>
          <w:sz w:val="20"/>
          <w:szCs w:val="20"/>
        </w:rPr>
        <w:t xml:space="preserve"> </w:t>
      </w:r>
      <w:proofErr w:type="spellStart"/>
      <w:r w:rsidRPr="00AC2B25">
        <w:rPr>
          <w:rFonts w:cs="Times New Roman"/>
          <w:sz w:val="20"/>
          <w:szCs w:val="20"/>
        </w:rPr>
        <w:t>and</w:t>
      </w:r>
      <w:proofErr w:type="spellEnd"/>
      <w:r w:rsidRPr="00AC2B25">
        <w:rPr>
          <w:rFonts w:cs="Times New Roman"/>
          <w:sz w:val="20"/>
          <w:szCs w:val="20"/>
        </w:rPr>
        <w:t xml:space="preserve"> </w:t>
      </w:r>
      <w:proofErr w:type="spellStart"/>
      <w:r w:rsidRPr="00AC2B25">
        <w:rPr>
          <w:rFonts w:cs="Times New Roman"/>
          <w:sz w:val="20"/>
          <w:szCs w:val="20"/>
        </w:rPr>
        <w:t>Philanthropy</w:t>
      </w:r>
      <w:proofErr w:type="spellEnd"/>
      <w:r w:rsidRPr="00AC2B25">
        <w:rPr>
          <w:rFonts w:cs="Times New Roman"/>
          <w:sz w:val="20"/>
          <w:szCs w:val="20"/>
        </w:rPr>
        <w:t xml:space="preserve">: A </w:t>
      </w:r>
      <w:proofErr w:type="spellStart"/>
      <w:r w:rsidRPr="00AC2B25">
        <w:rPr>
          <w:rFonts w:cs="Times New Roman"/>
          <w:sz w:val="20"/>
          <w:szCs w:val="20"/>
        </w:rPr>
        <w:t>Literature</w:t>
      </w:r>
      <w:proofErr w:type="spellEnd"/>
      <w:r w:rsidRPr="00AC2B25">
        <w:rPr>
          <w:rFonts w:cs="Times New Roman"/>
          <w:sz w:val="20"/>
          <w:szCs w:val="20"/>
        </w:rPr>
        <w:t xml:space="preserve"> </w:t>
      </w:r>
      <w:proofErr w:type="spellStart"/>
      <w:r w:rsidRPr="00AC2B25">
        <w:rPr>
          <w:rFonts w:cs="Times New Roman"/>
          <w:sz w:val="20"/>
          <w:szCs w:val="20"/>
        </w:rPr>
        <w:t>Review</w:t>
      </w:r>
      <w:proofErr w:type="spellEnd"/>
      <w:r w:rsidRPr="00AC2B25">
        <w:rPr>
          <w:rFonts w:cs="Times New Roman"/>
          <w:sz w:val="20"/>
          <w:szCs w:val="20"/>
        </w:rPr>
        <w:t xml:space="preserve">. </w:t>
      </w:r>
      <w:r w:rsidRPr="004D33D6">
        <w:rPr>
          <w:rFonts w:cs="Times New Roman"/>
          <w:iCs/>
          <w:sz w:val="20"/>
          <w:szCs w:val="20"/>
        </w:rPr>
        <w:t>ICS/</w:t>
      </w:r>
      <w:proofErr w:type="spellStart"/>
      <w:r w:rsidRPr="004D33D6">
        <w:rPr>
          <w:rFonts w:cs="Times New Roman"/>
          <w:iCs/>
          <w:sz w:val="20"/>
          <w:szCs w:val="20"/>
        </w:rPr>
        <w:t>Department</w:t>
      </w:r>
      <w:proofErr w:type="spellEnd"/>
      <w:r w:rsidRPr="004D33D6">
        <w:rPr>
          <w:rFonts w:cs="Times New Roman"/>
          <w:iCs/>
          <w:sz w:val="20"/>
          <w:szCs w:val="20"/>
        </w:rPr>
        <w:t xml:space="preserve"> </w:t>
      </w:r>
      <w:proofErr w:type="spellStart"/>
      <w:r w:rsidRPr="004D33D6">
        <w:rPr>
          <w:rFonts w:cs="Times New Roman"/>
          <w:iCs/>
          <w:sz w:val="20"/>
          <w:szCs w:val="20"/>
        </w:rPr>
        <w:t>of</w:t>
      </w:r>
      <w:proofErr w:type="spellEnd"/>
      <w:r w:rsidRPr="004D33D6">
        <w:rPr>
          <w:rFonts w:cs="Times New Roman"/>
          <w:iCs/>
          <w:sz w:val="20"/>
          <w:szCs w:val="20"/>
        </w:rPr>
        <w:t xml:space="preserve"> </w:t>
      </w:r>
      <w:proofErr w:type="spellStart"/>
      <w:r w:rsidRPr="004D33D6">
        <w:rPr>
          <w:rFonts w:cs="Times New Roman"/>
          <w:iCs/>
          <w:sz w:val="20"/>
          <w:szCs w:val="20"/>
        </w:rPr>
        <w:t>Sociology</w:t>
      </w:r>
      <w:proofErr w:type="spellEnd"/>
      <w:r w:rsidRPr="004D33D6">
        <w:rPr>
          <w:rFonts w:cs="Times New Roman"/>
          <w:iCs/>
          <w:sz w:val="20"/>
          <w:szCs w:val="20"/>
        </w:rPr>
        <w:t xml:space="preserve">, </w:t>
      </w:r>
      <w:proofErr w:type="spellStart"/>
      <w:r w:rsidRPr="004D33D6">
        <w:rPr>
          <w:rFonts w:cs="Times New Roman"/>
          <w:iCs/>
          <w:sz w:val="20"/>
          <w:szCs w:val="20"/>
        </w:rPr>
        <w:t>Utrecht</w:t>
      </w:r>
      <w:proofErr w:type="spellEnd"/>
      <w:r w:rsidRPr="004D33D6">
        <w:rPr>
          <w:rFonts w:cs="Times New Roman"/>
          <w:iCs/>
          <w:sz w:val="20"/>
          <w:szCs w:val="20"/>
        </w:rPr>
        <w:t xml:space="preserve"> </w:t>
      </w:r>
      <w:proofErr w:type="spellStart"/>
      <w:r w:rsidRPr="004D33D6">
        <w:rPr>
          <w:rFonts w:cs="Times New Roman"/>
          <w:iCs/>
          <w:sz w:val="20"/>
          <w:szCs w:val="20"/>
        </w:rPr>
        <w:t>University</w:t>
      </w:r>
      <w:proofErr w:type="spellEnd"/>
      <w:r w:rsidRPr="004D33D6">
        <w:rPr>
          <w:rFonts w:cs="Times New Roman"/>
          <w:iCs/>
          <w:sz w:val="20"/>
          <w:szCs w:val="20"/>
        </w:rPr>
        <w:t xml:space="preserve"> </w:t>
      </w:r>
      <w:proofErr w:type="spellStart"/>
      <w:r w:rsidRPr="004D33D6">
        <w:rPr>
          <w:rFonts w:cs="Times New Roman"/>
          <w:iCs/>
          <w:sz w:val="20"/>
          <w:szCs w:val="20"/>
        </w:rPr>
        <w:t>Department</w:t>
      </w:r>
      <w:proofErr w:type="spellEnd"/>
      <w:r w:rsidRPr="004D33D6">
        <w:rPr>
          <w:rFonts w:cs="Times New Roman"/>
          <w:iCs/>
          <w:sz w:val="20"/>
          <w:szCs w:val="20"/>
        </w:rPr>
        <w:t xml:space="preserve"> </w:t>
      </w:r>
      <w:proofErr w:type="spellStart"/>
      <w:r w:rsidRPr="004D33D6">
        <w:rPr>
          <w:rFonts w:cs="Times New Roman"/>
          <w:iCs/>
          <w:sz w:val="20"/>
          <w:szCs w:val="20"/>
        </w:rPr>
        <w:t>of</w:t>
      </w:r>
      <w:proofErr w:type="spellEnd"/>
      <w:r w:rsidRPr="004D33D6">
        <w:rPr>
          <w:rFonts w:cs="Times New Roman"/>
          <w:iCs/>
          <w:sz w:val="20"/>
          <w:szCs w:val="20"/>
        </w:rPr>
        <w:t xml:space="preserve"> </w:t>
      </w:r>
      <w:proofErr w:type="spellStart"/>
      <w:r w:rsidRPr="004D33D6">
        <w:rPr>
          <w:rFonts w:cs="Times New Roman"/>
          <w:iCs/>
          <w:sz w:val="20"/>
          <w:szCs w:val="20"/>
        </w:rPr>
        <w:t>Philanthropic</w:t>
      </w:r>
      <w:proofErr w:type="spellEnd"/>
      <w:r w:rsidRPr="004D33D6">
        <w:rPr>
          <w:rFonts w:cs="Times New Roman"/>
          <w:iCs/>
          <w:sz w:val="20"/>
          <w:szCs w:val="20"/>
        </w:rPr>
        <w:t xml:space="preserve"> </w:t>
      </w:r>
      <w:proofErr w:type="spellStart"/>
      <w:r w:rsidRPr="004D33D6">
        <w:rPr>
          <w:rFonts w:cs="Times New Roman"/>
          <w:iCs/>
          <w:sz w:val="20"/>
          <w:szCs w:val="20"/>
        </w:rPr>
        <w:t>Studies</w:t>
      </w:r>
      <w:proofErr w:type="spellEnd"/>
      <w:r w:rsidRPr="004D33D6">
        <w:rPr>
          <w:rFonts w:cs="Times New Roman"/>
          <w:iCs/>
          <w:sz w:val="20"/>
          <w:szCs w:val="20"/>
        </w:rPr>
        <w:t xml:space="preserve">, </w:t>
      </w:r>
      <w:proofErr w:type="spellStart"/>
      <w:r w:rsidRPr="004D33D6">
        <w:rPr>
          <w:rFonts w:cs="Times New Roman"/>
          <w:iCs/>
          <w:sz w:val="20"/>
          <w:szCs w:val="20"/>
        </w:rPr>
        <w:t>Vrije</w:t>
      </w:r>
      <w:proofErr w:type="spellEnd"/>
      <w:r w:rsidRPr="004D33D6">
        <w:rPr>
          <w:rFonts w:cs="Times New Roman"/>
          <w:iCs/>
          <w:sz w:val="20"/>
          <w:szCs w:val="20"/>
        </w:rPr>
        <w:t xml:space="preserve"> </w:t>
      </w:r>
      <w:proofErr w:type="spellStart"/>
      <w:r w:rsidRPr="004D33D6">
        <w:rPr>
          <w:rFonts w:cs="Times New Roman"/>
          <w:iCs/>
          <w:sz w:val="20"/>
          <w:szCs w:val="20"/>
        </w:rPr>
        <w:t>Universiteit</w:t>
      </w:r>
      <w:proofErr w:type="spellEnd"/>
      <w:r w:rsidRPr="004D33D6">
        <w:rPr>
          <w:rFonts w:cs="Times New Roman"/>
          <w:iCs/>
          <w:sz w:val="20"/>
          <w:szCs w:val="20"/>
        </w:rPr>
        <w:t xml:space="preserve"> </w:t>
      </w:r>
      <w:proofErr w:type="spellStart"/>
      <w:r w:rsidRPr="004D33D6">
        <w:rPr>
          <w:rFonts w:cs="Times New Roman"/>
          <w:iCs/>
          <w:sz w:val="20"/>
          <w:szCs w:val="20"/>
        </w:rPr>
        <w:t>Amsterdam</w:t>
      </w:r>
      <w:proofErr w:type="spellEnd"/>
      <w:r w:rsidRPr="004D33D6">
        <w:rPr>
          <w:rFonts w:cs="Times New Roman"/>
          <w:iCs/>
          <w:sz w:val="20"/>
          <w:szCs w:val="20"/>
        </w:rPr>
        <w:t xml:space="preserve">. </w:t>
      </w:r>
      <w:proofErr w:type="spellStart"/>
      <w:r w:rsidRPr="004D33D6">
        <w:rPr>
          <w:rFonts w:cs="Times New Roman"/>
          <w:sz w:val="20"/>
          <w:szCs w:val="20"/>
        </w:rPr>
        <w:t>November</w:t>
      </w:r>
      <w:proofErr w:type="spellEnd"/>
      <w:r w:rsidRPr="004D33D6">
        <w:rPr>
          <w:rFonts w:cs="Times New Roman"/>
          <w:sz w:val="20"/>
          <w:szCs w:val="20"/>
        </w:rPr>
        <w:t xml:space="preserve"> 8, 2007; Pieejams: </w:t>
      </w:r>
      <w:hyperlink r:id="rId4" w:history="1">
        <w:r w:rsidRPr="00AC2B25">
          <w:rPr>
            <w:rStyle w:val="Hyperlink"/>
            <w:rFonts w:cs="Times New Roman"/>
            <w:sz w:val="20"/>
            <w:szCs w:val="20"/>
          </w:rPr>
          <w:t>https://generosityresearch.nd.edu/other-resources/publications-2/literature-reviews/</w:t>
        </w:r>
      </w:hyperlink>
      <w:r w:rsidRPr="004D33D6">
        <w:rPr>
          <w:rFonts w:cs="Times New Roman"/>
          <w:sz w:val="20"/>
          <w:szCs w:val="20"/>
        </w:rPr>
        <w:t xml:space="preserve">   </w:t>
      </w:r>
      <w:r w:rsidRPr="004D33D6">
        <w:rPr>
          <w:rFonts w:cs="Times New Roman"/>
          <w:b/>
          <w:bCs/>
          <w:color w:val="808080"/>
          <w:sz w:val="20"/>
          <w:szCs w:val="20"/>
        </w:rPr>
        <w:t xml:space="preserve"> </w:t>
      </w:r>
    </w:p>
    <w:p w14:paraId="210B7E5E" w14:textId="77777777" w:rsidR="003A1AAE" w:rsidRPr="00AC2B25" w:rsidRDefault="003A1AAE" w:rsidP="003A1AAE">
      <w:pPr>
        <w:pStyle w:val="FootnoteText"/>
        <w:jc w:val="both"/>
        <w:rPr>
          <w:rFonts w:ascii="Times New Roman" w:hAnsi="Times New Roman" w:cs="Times New Roman"/>
        </w:rPr>
      </w:pPr>
      <w:r w:rsidRPr="004D33D6">
        <w:rPr>
          <w:rFonts w:ascii="Times New Roman" w:hAnsi="Times New Roman" w:cs="Times New Roman"/>
          <w:b/>
          <w:bCs/>
          <w:color w:val="808080"/>
        </w:rPr>
        <w:t xml:space="preserve"> </w:t>
      </w:r>
    </w:p>
  </w:footnote>
  <w:footnote w:id="7">
    <w:p w14:paraId="50FB9BC3" w14:textId="77777777" w:rsidR="003A1AAE" w:rsidRDefault="003A1AAE" w:rsidP="003A1AAE">
      <w:pPr>
        <w:pStyle w:val="FootnoteText"/>
      </w:pPr>
      <w:r>
        <w:rPr>
          <w:rStyle w:val="FootnoteReference"/>
        </w:rPr>
        <w:footnoteRef/>
      </w:r>
      <w:r>
        <w:t xml:space="preserve"> </w:t>
      </w:r>
      <w:r>
        <w:rPr>
          <w:rFonts w:ascii="Times New Roman" w:hAnsi="Times New Roman" w:cs="Times New Roman"/>
        </w:rPr>
        <w:t xml:space="preserve">Pieejams: </w:t>
      </w:r>
      <w:hyperlink r:id="rId5" w:history="1">
        <w:r w:rsidRPr="00D46831">
          <w:rPr>
            <w:rStyle w:val="Hyperlink"/>
            <w:rFonts w:ascii="Times New Roman" w:hAnsi="Times New Roman" w:cs="Times New Roman"/>
            <w:color w:val="0000FF"/>
          </w:rPr>
          <w:t>https://www.prosperity.com/</w:t>
        </w:r>
      </w:hyperlink>
    </w:p>
  </w:footnote>
  <w:footnote w:id="8">
    <w:p w14:paraId="5F9369D8" w14:textId="77777777" w:rsidR="003A1AAE" w:rsidRDefault="003A1AAE" w:rsidP="003A1AAE">
      <w:pPr>
        <w:pStyle w:val="FootnoteText"/>
      </w:pPr>
      <w:r>
        <w:rPr>
          <w:rStyle w:val="FootnoteReference"/>
        </w:rPr>
        <w:footnoteRef/>
      </w:r>
      <w:r>
        <w:t xml:space="preserve"> </w:t>
      </w:r>
      <w:r>
        <w:rPr>
          <w:rFonts w:ascii="Times New Roman" w:hAnsi="Times New Roman" w:cs="Times New Roman"/>
        </w:rPr>
        <w:t xml:space="preserve">Pieejams: </w:t>
      </w:r>
      <w:hyperlink r:id="rId6" w:history="1">
        <w:r w:rsidRPr="00D46831">
          <w:rPr>
            <w:rStyle w:val="Hyperlink"/>
            <w:rFonts w:ascii="Times New Roman" w:hAnsi="Times New Roman" w:cs="Times New Roman"/>
            <w:color w:val="0000FF"/>
          </w:rPr>
          <w:t>https://www.prosperity.com/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933576"/>
      <w:docPartObj>
        <w:docPartGallery w:val="Page Numbers (Top of Page)"/>
        <w:docPartUnique/>
      </w:docPartObj>
    </w:sdtPr>
    <w:sdtEndPr>
      <w:rPr>
        <w:noProof/>
      </w:rPr>
    </w:sdtEndPr>
    <w:sdtContent>
      <w:p w14:paraId="6EA9EDD9" w14:textId="77777777" w:rsidR="003A1AAE" w:rsidRDefault="003A1AAE">
        <w:pPr>
          <w:pStyle w:val="Header"/>
          <w:jc w:val="center"/>
        </w:pPr>
        <w:r>
          <w:fldChar w:fldCharType="begin"/>
        </w:r>
        <w:r>
          <w:instrText xml:space="preserve"> PAGE   \* MERGEFORMAT </w:instrText>
        </w:r>
        <w:r>
          <w:fldChar w:fldCharType="separate"/>
        </w:r>
        <w:r w:rsidR="00FD2625">
          <w:rPr>
            <w:noProof/>
          </w:rPr>
          <w:t>5</w:t>
        </w:r>
        <w:r>
          <w:rPr>
            <w:noProof/>
          </w:rPr>
          <w:fldChar w:fldCharType="end"/>
        </w:r>
      </w:p>
    </w:sdtContent>
  </w:sdt>
  <w:p w14:paraId="081680D1" w14:textId="77777777" w:rsidR="003A1AAE" w:rsidRDefault="003A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E1D14"/>
    <w:multiLevelType w:val="multilevel"/>
    <w:tmpl w:val="83EC71E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928" w:hanging="360"/>
      </w:pPr>
      <w:rPr>
        <w:rFonts w:ascii="Times New Roman" w:hAnsi="Times New Roman" w:cs="Times New Roman" w:hint="default"/>
        <w:b w:val="0"/>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AE"/>
    <w:rsid w:val="00032BA3"/>
    <w:rsid w:val="00247B1E"/>
    <w:rsid w:val="002C442C"/>
    <w:rsid w:val="003A1AAE"/>
    <w:rsid w:val="008626BF"/>
    <w:rsid w:val="009278D1"/>
    <w:rsid w:val="00981A01"/>
    <w:rsid w:val="00A21368"/>
    <w:rsid w:val="00B47CA1"/>
    <w:rsid w:val="00B9089F"/>
    <w:rsid w:val="00FD2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3A19"/>
  <w15:chartTrackingRefBased/>
  <w15:docId w15:val="{FB9EA657-EA0B-4181-9706-0B94B794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3A1AAE"/>
    <w:pPr>
      <w:ind w:left="720"/>
      <w:contextualSpacing/>
    </w:pPr>
    <w:rPr>
      <w:rFonts w:asciiTheme="minorHAnsi" w:eastAsiaTheme="minorEastAsia" w:hAnsiTheme="minorHAnsi"/>
      <w:szCs w:val="24"/>
    </w:rPr>
  </w:style>
  <w:style w:type="character" w:styleId="Hyperlink">
    <w:name w:val="Hyperlink"/>
    <w:basedOn w:val="DefaultParagraphFont"/>
    <w:uiPriority w:val="99"/>
    <w:unhideWhenUsed/>
    <w:rsid w:val="003A1AAE"/>
    <w:rPr>
      <w:color w:val="0563C1"/>
      <w:u w:val="single"/>
    </w:rPr>
  </w:style>
  <w:style w:type="paragraph" w:styleId="FootnoteText">
    <w:name w:val="footnote text"/>
    <w:basedOn w:val="Normal"/>
    <w:link w:val="FootnoteTextChar"/>
    <w:uiPriority w:val="99"/>
    <w:unhideWhenUsed/>
    <w:rsid w:val="003A1AAE"/>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qFormat/>
    <w:rsid w:val="003A1AAE"/>
    <w:rPr>
      <w:rFonts w:asciiTheme="minorHAnsi" w:eastAsiaTheme="minorEastAsia" w:hAnsiTheme="minorHAnsi"/>
      <w:sz w:val="20"/>
      <w:szCs w:val="20"/>
    </w:rPr>
  </w:style>
  <w:style w:type="character" w:styleId="FootnoteReference">
    <w:name w:val="footnote reference"/>
    <w:basedOn w:val="DefaultParagraphFont"/>
    <w:uiPriority w:val="99"/>
    <w:unhideWhenUsed/>
    <w:qFormat/>
    <w:rsid w:val="003A1AAE"/>
    <w:rPr>
      <w:vertAlign w:val="superscript"/>
    </w:rPr>
  </w:style>
  <w:style w:type="character" w:customStyle="1" w:styleId="ListParagraphChar">
    <w:name w:val="List Paragraph Char"/>
    <w:aliases w:val="2 Char,Strip Char"/>
    <w:link w:val="ListParagraph"/>
    <w:uiPriority w:val="34"/>
    <w:locked/>
    <w:rsid w:val="003A1AAE"/>
    <w:rPr>
      <w:rFonts w:asciiTheme="minorHAnsi" w:eastAsiaTheme="minorEastAsia" w:hAnsiTheme="minorHAnsi"/>
      <w:szCs w:val="24"/>
    </w:rPr>
  </w:style>
  <w:style w:type="paragraph" w:customStyle="1" w:styleId="Default">
    <w:name w:val="Default"/>
    <w:rsid w:val="003A1AAE"/>
    <w:pPr>
      <w:autoSpaceDE w:val="0"/>
      <w:autoSpaceDN w:val="0"/>
      <w:adjustRightInd w:val="0"/>
    </w:pPr>
    <w:rPr>
      <w:rFonts w:cs="Times New Roman"/>
      <w:color w:val="000000"/>
      <w:szCs w:val="24"/>
    </w:rPr>
  </w:style>
  <w:style w:type="paragraph" w:styleId="BalloonText">
    <w:name w:val="Balloon Text"/>
    <w:basedOn w:val="Normal"/>
    <w:link w:val="BalloonTextChar"/>
    <w:uiPriority w:val="99"/>
    <w:semiHidden/>
    <w:unhideWhenUsed/>
    <w:rsid w:val="003A1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E"/>
    <w:rPr>
      <w:rFonts w:ascii="Segoe UI" w:hAnsi="Segoe UI" w:cs="Segoe UI"/>
      <w:sz w:val="18"/>
      <w:szCs w:val="18"/>
    </w:rPr>
  </w:style>
  <w:style w:type="paragraph" w:styleId="Header">
    <w:name w:val="header"/>
    <w:basedOn w:val="Normal"/>
    <w:link w:val="HeaderChar"/>
    <w:uiPriority w:val="99"/>
    <w:unhideWhenUsed/>
    <w:rsid w:val="003A1AAE"/>
    <w:pPr>
      <w:tabs>
        <w:tab w:val="center" w:pos="4153"/>
        <w:tab w:val="right" w:pos="8306"/>
      </w:tabs>
    </w:pPr>
  </w:style>
  <w:style w:type="character" w:customStyle="1" w:styleId="HeaderChar">
    <w:name w:val="Header Char"/>
    <w:basedOn w:val="DefaultParagraphFont"/>
    <w:link w:val="Header"/>
    <w:uiPriority w:val="99"/>
    <w:rsid w:val="003A1AAE"/>
  </w:style>
  <w:style w:type="paragraph" w:styleId="Footer">
    <w:name w:val="footer"/>
    <w:basedOn w:val="Normal"/>
    <w:link w:val="FooterChar"/>
    <w:uiPriority w:val="99"/>
    <w:unhideWhenUsed/>
    <w:rsid w:val="003A1AAE"/>
    <w:pPr>
      <w:tabs>
        <w:tab w:val="center" w:pos="4153"/>
        <w:tab w:val="right" w:pos="8306"/>
      </w:tabs>
    </w:pPr>
  </w:style>
  <w:style w:type="character" w:customStyle="1" w:styleId="FooterChar">
    <w:name w:val="Footer Char"/>
    <w:basedOn w:val="DefaultParagraphFont"/>
    <w:link w:val="Footer"/>
    <w:uiPriority w:val="99"/>
    <w:rsid w:val="003A1AAE"/>
  </w:style>
  <w:style w:type="paragraph" w:styleId="Title">
    <w:name w:val="Title"/>
    <w:basedOn w:val="Normal"/>
    <w:next w:val="Normal"/>
    <w:link w:val="TitleChar"/>
    <w:uiPriority w:val="10"/>
    <w:qFormat/>
    <w:rsid w:val="003A1AAE"/>
    <w:pPr>
      <w:spacing w:after="160" w:line="259" w:lineRule="auto"/>
      <w:jc w:val="center"/>
    </w:pPr>
    <w:rPr>
      <w:rFonts w:cs="Times New Roman"/>
      <w:b/>
      <w:bCs/>
      <w:sz w:val="32"/>
      <w:szCs w:val="32"/>
    </w:rPr>
  </w:style>
  <w:style w:type="character" w:customStyle="1" w:styleId="TitleChar">
    <w:name w:val="Title Char"/>
    <w:basedOn w:val="DefaultParagraphFont"/>
    <w:link w:val="Title"/>
    <w:uiPriority w:val="10"/>
    <w:rsid w:val="003A1AAE"/>
    <w:rPr>
      <w:rFonts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ap.mk.gov.lv/doc/2019_04/KMZin_110419_NIPSIP.70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zm.gov.lv/images/statistika/petijumi/Jauniesi_Latvija_2008-201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rovidus.lv/article/parskats-partiju-skirotava-vertibu-mainas-pazimes-latvijas-sabiedrib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petijumi.mk.gov.lv/sites/default/files/title_file/SIF_izpetes_zinojums_par_pasreiej_sabiedrib_izpratnes_un_informet_limeni_un_efektivakajiem_sniegsanas_mehanismiem.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mnvd.gov.lv/uploads/files/58a6f1c33657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osperity.com/" TargetMode="External"/><Relationship Id="rId2" Type="http://schemas.openxmlformats.org/officeDocument/2006/relationships/hyperlink" Target="https://www.prosperity.com/" TargetMode="External"/><Relationship Id="rId1" Type="http://schemas.openxmlformats.org/officeDocument/2006/relationships/hyperlink" Target="https://www.prosperity.com/" TargetMode="External"/><Relationship Id="rId6" Type="http://schemas.openxmlformats.org/officeDocument/2006/relationships/hyperlink" Target="https://www.prosperity.com/" TargetMode="External"/><Relationship Id="rId5" Type="http://schemas.openxmlformats.org/officeDocument/2006/relationships/hyperlink" Target="https://www.prosperity.com/" TargetMode="External"/><Relationship Id="rId4" Type="http://schemas.openxmlformats.org/officeDocument/2006/relationships/hyperlink" Target="https://generosityresearch.nd.edu/other-resources/publications-2/literature-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PK xmlns="b6da864e-06a3-40ee-a61e-0cd067b16413">1</NPK>
    <DKP xmlns="2e5bb04e-596e-45bd-9003-43ca78b1ba16" xsi:nil="true"/>
    <Vad_x012b_t_x0101_js xmlns="2e5bb04e-596e-45bd-9003-43ca78b1ba16">Olga Bogdanova</Vad_x012b_t_x0101_js>
    <Kategorija xmlns="2e5bb04e-596e-45bd-9003-43ca78b1ba16">Informatīvais ziņojums</Kategorij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31052-E318-45FD-9F3B-C2BA0155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3891E-3519-4E42-8068-D4DFE1DD1B39}">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2e5bb04e-596e-45bd-9003-43ca78b1ba16"/>
    <ds:schemaRef ds:uri="http://schemas.microsoft.com/office/infopath/2007/PartnerControls"/>
    <ds:schemaRef ds:uri="http://schemas.openxmlformats.org/package/2006/metadata/core-properties"/>
    <ds:schemaRef ds:uri="b6da864e-06a3-40ee-a61e-0cd067b16413"/>
    <ds:schemaRef ds:uri="http://www.w3.org/XML/1998/namespace"/>
  </ds:schemaRefs>
</ds:datastoreItem>
</file>

<file path=customXml/itemProps3.xml><?xml version="1.0" encoding="utf-8"?>
<ds:datastoreItem xmlns:ds="http://schemas.openxmlformats.org/officeDocument/2006/customXml" ds:itemID="{7DC47504-0F9C-4FA6-B431-761EFABB5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9062</Words>
  <Characters>5166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Ingūna Vitenburga</dc:creator>
  <cp:keywords/>
  <dc:description/>
  <cp:lastModifiedBy>Inguna Dancīte</cp:lastModifiedBy>
  <cp:revision>2</cp:revision>
  <dcterms:created xsi:type="dcterms:W3CDTF">2021-06-04T07:33:00Z</dcterms:created>
  <dcterms:modified xsi:type="dcterms:W3CDTF">2021-06-04T07:33:00Z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