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3CD43" w14:textId="7EE4C117" w:rsidR="00BD5588" w:rsidRPr="00B652F2" w:rsidRDefault="00B652F2" w:rsidP="00B652F2">
      <w:pPr>
        <w:pStyle w:val="NoSpacing"/>
        <w:jc w:val="center"/>
        <w:rPr>
          <w:b/>
          <w:sz w:val="28"/>
          <w:szCs w:val="28"/>
        </w:rPr>
      </w:pPr>
      <w:r w:rsidRPr="00B652F2">
        <w:rPr>
          <w:b/>
        </w:rPr>
        <w:t>Ministru kabineta noteikumu projekta “Grozījumi Ministru kabineta 2003. gada 29. aprīļa noteikumos Nr. 239 “Finanšu ministrijas nolikums”</w:t>
      </w:r>
      <w:r w:rsidR="00BD5588" w:rsidRPr="00B652F2">
        <w:rPr>
          <w:b/>
        </w:rPr>
        <w:t xml:space="preserve"> sākotnējās ietekmes novērtējuma ziņojums (anotācija)</w:t>
      </w:r>
    </w:p>
    <w:p w14:paraId="2EF66952" w14:textId="77777777" w:rsidR="00BD5588" w:rsidRPr="0095667D" w:rsidRDefault="00BD5588" w:rsidP="0095667D">
      <w:pPr>
        <w:pStyle w:val="NoSpacing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52"/>
        <w:gridCol w:w="5992"/>
      </w:tblGrid>
      <w:tr w:rsidR="00BD5588" w:rsidRPr="0095667D" w14:paraId="4BEFAE47" w14:textId="77777777" w:rsidTr="009E0502">
        <w:trPr>
          <w:cantSplit/>
        </w:trPr>
        <w:tc>
          <w:tcPr>
            <w:tcW w:w="9581" w:type="dxa"/>
            <w:gridSpan w:val="2"/>
            <w:shd w:val="clear" w:color="auto" w:fill="FFFFFF"/>
            <w:vAlign w:val="center"/>
            <w:hideMark/>
          </w:tcPr>
          <w:p w14:paraId="3E332A6F" w14:textId="77777777" w:rsidR="00BD5588" w:rsidRPr="00B652F2" w:rsidRDefault="00BD5588" w:rsidP="00B652F2">
            <w:pPr>
              <w:pStyle w:val="NoSpacing"/>
              <w:jc w:val="center"/>
              <w:rPr>
                <w:b/>
              </w:rPr>
            </w:pPr>
            <w:r w:rsidRPr="00B652F2">
              <w:rPr>
                <w:b/>
              </w:rPr>
              <w:t>Tiesību akta projekta anotācijas kopsavilkums</w:t>
            </w:r>
          </w:p>
        </w:tc>
      </w:tr>
      <w:tr w:rsidR="00BD5588" w:rsidRPr="0095667D" w14:paraId="17D85770" w14:textId="77777777" w:rsidTr="009E0502">
        <w:trPr>
          <w:cantSplit/>
        </w:trPr>
        <w:tc>
          <w:tcPr>
            <w:tcW w:w="3430" w:type="dxa"/>
            <w:shd w:val="clear" w:color="auto" w:fill="FFFFFF"/>
            <w:hideMark/>
          </w:tcPr>
          <w:p w14:paraId="44FDBE59" w14:textId="77777777" w:rsidR="00BD5588" w:rsidRPr="0095667D" w:rsidRDefault="00BD5588" w:rsidP="0095667D">
            <w:pPr>
              <w:pStyle w:val="NoSpacing"/>
            </w:pPr>
            <w:r w:rsidRPr="0095667D">
              <w:t>Mērķis, risinājums un projekta spēkā stāšanās laiks (500 zīmes bez atstarpēm)</w:t>
            </w:r>
          </w:p>
        </w:tc>
        <w:tc>
          <w:tcPr>
            <w:tcW w:w="6151" w:type="dxa"/>
            <w:shd w:val="clear" w:color="auto" w:fill="FFFFFF"/>
            <w:hideMark/>
          </w:tcPr>
          <w:p w14:paraId="557C2D07" w14:textId="77777777" w:rsidR="00BD5588" w:rsidRPr="0095667D" w:rsidRDefault="00AB640F" w:rsidP="0095667D">
            <w:pPr>
              <w:pStyle w:val="NoSpacing"/>
            </w:pPr>
            <w:r w:rsidRPr="0095667D">
              <w:t>Ņemot vērā veiktos grozījumus normatīvajos aktos un no tiem izrietošās funkcionālās izmaiņas, ir nepieciešams precizēt Finanšu ministrijas nolikumu.</w:t>
            </w:r>
          </w:p>
        </w:tc>
      </w:tr>
    </w:tbl>
    <w:p w14:paraId="619F1AC2" w14:textId="77777777" w:rsidR="00BD5588" w:rsidRPr="00814A33" w:rsidRDefault="00BD5588" w:rsidP="0095667D">
      <w:pPr>
        <w:pStyle w:val="NoSpacing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"/>
        <w:gridCol w:w="3189"/>
        <w:gridCol w:w="5759"/>
      </w:tblGrid>
      <w:tr w:rsidR="0095667D" w14:paraId="3761999A" w14:textId="77777777" w:rsidTr="0095667D">
        <w:tc>
          <w:tcPr>
            <w:tcW w:w="0" w:type="auto"/>
            <w:gridSpan w:val="3"/>
          </w:tcPr>
          <w:p w14:paraId="2FD271B9" w14:textId="77777777" w:rsidR="0095667D" w:rsidRPr="00B652F2" w:rsidRDefault="0095667D" w:rsidP="00B652F2">
            <w:pPr>
              <w:pStyle w:val="NoSpacing"/>
              <w:jc w:val="center"/>
              <w:rPr>
                <w:b/>
              </w:rPr>
            </w:pPr>
            <w:r w:rsidRPr="00B652F2">
              <w:rPr>
                <w:b/>
              </w:rPr>
              <w:t>I. Tiesību akta projekta izstrādes nepieciešamība</w:t>
            </w:r>
          </w:p>
        </w:tc>
      </w:tr>
      <w:tr w:rsidR="0019654C" w14:paraId="0BE472EA" w14:textId="77777777" w:rsidTr="0095667D">
        <w:tc>
          <w:tcPr>
            <w:tcW w:w="0" w:type="auto"/>
          </w:tcPr>
          <w:p w14:paraId="364E8927" w14:textId="77777777" w:rsidR="0019654C" w:rsidRPr="0095667D" w:rsidRDefault="0019654C" w:rsidP="0019654C">
            <w:pPr>
              <w:pStyle w:val="NoSpacing"/>
            </w:pPr>
            <w:r w:rsidRPr="0095667D">
              <w:t>1.</w:t>
            </w:r>
          </w:p>
        </w:tc>
        <w:tc>
          <w:tcPr>
            <w:tcW w:w="0" w:type="auto"/>
          </w:tcPr>
          <w:p w14:paraId="7DF07FB2" w14:textId="77777777" w:rsidR="0019654C" w:rsidRPr="0095667D" w:rsidRDefault="0019654C" w:rsidP="0019654C">
            <w:pPr>
              <w:pStyle w:val="NoSpacing"/>
            </w:pPr>
            <w:r w:rsidRPr="0095667D">
              <w:t>Pamatojums</w:t>
            </w:r>
          </w:p>
        </w:tc>
        <w:tc>
          <w:tcPr>
            <w:tcW w:w="0" w:type="auto"/>
          </w:tcPr>
          <w:p w14:paraId="0E5FCA66" w14:textId="3C7312DF" w:rsidR="00336829" w:rsidRPr="0095667D" w:rsidRDefault="00612932" w:rsidP="0019654C">
            <w:pPr>
              <w:pStyle w:val="NoSpacing"/>
              <w:jc w:val="both"/>
            </w:pPr>
            <w:r w:rsidRPr="00612932">
              <w:t xml:space="preserve">Eiropas Birojam krāpšanas apkarošanai sniedzamā atbalsta likums un </w:t>
            </w:r>
            <w:r>
              <w:t>Komercdarbības atbalsta kontroles likums</w:t>
            </w:r>
            <w:r w:rsidR="0019654C" w:rsidRPr="00612932">
              <w:t>, kuros ir papildinātas un mainītas Finanšu ministrijas funkcijas</w:t>
            </w:r>
            <w:r w:rsidR="0019654C" w:rsidRPr="0095667D">
              <w:t>.</w:t>
            </w:r>
          </w:p>
        </w:tc>
      </w:tr>
      <w:tr w:rsidR="0095667D" w14:paraId="0257BA4B" w14:textId="77777777" w:rsidTr="0095667D">
        <w:tc>
          <w:tcPr>
            <w:tcW w:w="0" w:type="auto"/>
          </w:tcPr>
          <w:p w14:paraId="561935E7" w14:textId="77777777" w:rsidR="0095667D" w:rsidRPr="0095667D" w:rsidRDefault="0095667D" w:rsidP="0095667D">
            <w:pPr>
              <w:pStyle w:val="NoSpacing"/>
            </w:pPr>
            <w:r w:rsidRPr="0095667D">
              <w:t>2.</w:t>
            </w:r>
          </w:p>
        </w:tc>
        <w:tc>
          <w:tcPr>
            <w:tcW w:w="0" w:type="auto"/>
          </w:tcPr>
          <w:p w14:paraId="2035AFEB" w14:textId="77777777" w:rsidR="0095667D" w:rsidRPr="0095667D" w:rsidRDefault="0095667D" w:rsidP="0095667D">
            <w:pPr>
              <w:pStyle w:val="NoSpacing"/>
            </w:pPr>
            <w:r w:rsidRPr="0095667D">
              <w:t>Pašreizējā situācija un problēmas, kuru risināšanai tiesību akta projekts izstrādāts, tiesiskā regulējuma mērķis un būtība</w:t>
            </w:r>
          </w:p>
        </w:tc>
        <w:tc>
          <w:tcPr>
            <w:tcW w:w="0" w:type="auto"/>
          </w:tcPr>
          <w:p w14:paraId="02BD6A69" w14:textId="545C26E9" w:rsidR="00612932" w:rsidRDefault="00612932" w:rsidP="00612932">
            <w:pPr>
              <w:pStyle w:val="NoSpacing"/>
              <w:jc w:val="both"/>
            </w:pPr>
            <w:r w:rsidRPr="0095667D">
              <w:t>Ir nepieciešams precizēt nolikuma 1. punktu un 5.1. apakšpunktu,</w:t>
            </w:r>
            <w:r>
              <w:t xml:space="preserve"> lai nodrošinātu atbilstību </w:t>
            </w:r>
            <w:r w:rsidRPr="0095667D">
              <w:t>grozījumiem Komercdarbības atbalsta kontroles likuma 9. pantā</w:t>
            </w:r>
            <w:r>
              <w:t xml:space="preserve">, kas </w:t>
            </w:r>
            <w:r w:rsidR="00984DE9">
              <w:t xml:space="preserve">stājās </w:t>
            </w:r>
            <w:r>
              <w:t>spēkā 2021. gada 8. jūnijā, ar kuru</w:t>
            </w:r>
            <w:r w:rsidRPr="0095667D">
              <w:t xml:space="preserve"> precizētas Finanšu ministrijas un Zemkopības ministrijas kompetences.</w:t>
            </w:r>
          </w:p>
          <w:p w14:paraId="4A9A38B0" w14:textId="77777777" w:rsidR="0095667D" w:rsidRDefault="0095667D" w:rsidP="00815E47">
            <w:pPr>
              <w:pStyle w:val="NoSpacing"/>
              <w:jc w:val="both"/>
            </w:pPr>
          </w:p>
          <w:p w14:paraId="6C227E64" w14:textId="03929225" w:rsidR="004A5410" w:rsidRPr="0095667D" w:rsidRDefault="004A5410" w:rsidP="004A5410">
            <w:pPr>
              <w:pStyle w:val="NoSpacing"/>
              <w:jc w:val="both"/>
            </w:pPr>
            <w:r w:rsidRPr="0095667D">
              <w:t xml:space="preserve">Ir nepieciešams </w:t>
            </w:r>
            <w:r>
              <w:t>papildināt nolikumu ar</w:t>
            </w:r>
            <w:r w:rsidRPr="0095667D">
              <w:t xml:space="preserve"> </w:t>
            </w:r>
            <w:r>
              <w:t>jaunu 5.21.</w:t>
            </w:r>
            <w:r w:rsidRPr="0095667D">
              <w:t>apakšpunktu,</w:t>
            </w:r>
            <w:r>
              <w:t xml:space="preserve"> lai nodrošinātu atbilstību </w:t>
            </w:r>
            <w:r w:rsidRPr="0095667D">
              <w:t>Eiropas Birojam krāpšanas apkar</w:t>
            </w:r>
            <w:r>
              <w:t>ošanai sniedzamā atbalsta likumam</w:t>
            </w:r>
            <w:r w:rsidR="00411396">
              <w:t xml:space="preserve"> (3.pants)</w:t>
            </w:r>
            <w:r>
              <w:t xml:space="preserve">, </w:t>
            </w:r>
            <w:r w:rsidR="00411396">
              <w:t xml:space="preserve">kas stājās spēkā 2021.gada 16.februārī un </w:t>
            </w:r>
            <w:r>
              <w:t xml:space="preserve">kurā </w:t>
            </w:r>
            <w:r w:rsidRPr="0095667D">
              <w:t xml:space="preserve">ir </w:t>
            </w:r>
            <w:r w:rsidR="00411396">
              <w:t>noteikts</w:t>
            </w:r>
            <w:r w:rsidRPr="0095667D">
              <w:t>, ka Finanšu ministrija pilda kompetentās iestādes funkcijas</w:t>
            </w:r>
            <w:r>
              <w:t xml:space="preserve"> un</w:t>
            </w:r>
            <w:r w:rsidRPr="004A5410">
              <w:rPr>
                <w:color w:val="000000"/>
              </w:rPr>
              <w:t xml:space="preserve"> </w:t>
            </w:r>
            <w:r w:rsidR="00411396">
              <w:rPr>
                <w:color w:val="000000"/>
              </w:rPr>
              <w:t xml:space="preserve">kas noteiktas minētajā likumā un </w:t>
            </w:r>
            <w:r w:rsidRPr="004F5DB9">
              <w:rPr>
                <w:color w:val="000000"/>
              </w:rPr>
              <w:t xml:space="preserve">Eiropas Parlamenta un Padomes </w:t>
            </w:r>
            <w:r w:rsidR="00411396">
              <w:rPr>
                <w:color w:val="000000"/>
              </w:rPr>
              <w:t>2013. gada 11. septembra Regulā</w:t>
            </w:r>
            <w:r w:rsidRPr="00393B4F">
              <w:rPr>
                <w:color w:val="000000"/>
              </w:rPr>
              <w:t xml:space="preserve"> (ES, Euratom) Nr. 883/2013 </w:t>
            </w:r>
            <w:r w:rsidRPr="004F5DB9">
              <w:rPr>
                <w:color w:val="000000"/>
              </w:rPr>
              <w:t>par izmeklēšanu, ko veic Eiropas Birojs krāpšanas apkarošanai (OLAF), un ar ko atceļ Eiropas Parlamenta un Padomes Regulu (EK) Nr. 1073/1999 un Padomes</w:t>
            </w:r>
            <w:r>
              <w:rPr>
                <w:color w:val="000000"/>
              </w:rPr>
              <w:t xml:space="preserve"> Regulu (Euratom) Nr. 1074/1999.</w:t>
            </w:r>
          </w:p>
        </w:tc>
      </w:tr>
      <w:tr w:rsidR="0095667D" w14:paraId="5BE3F582" w14:textId="77777777" w:rsidTr="0095667D">
        <w:tc>
          <w:tcPr>
            <w:tcW w:w="0" w:type="auto"/>
          </w:tcPr>
          <w:p w14:paraId="7A927B60" w14:textId="77777777" w:rsidR="0095667D" w:rsidRPr="0095667D" w:rsidRDefault="0095667D" w:rsidP="0095667D">
            <w:pPr>
              <w:pStyle w:val="NoSpacing"/>
            </w:pPr>
            <w:r w:rsidRPr="0095667D">
              <w:t>3.</w:t>
            </w:r>
          </w:p>
        </w:tc>
        <w:tc>
          <w:tcPr>
            <w:tcW w:w="0" w:type="auto"/>
          </w:tcPr>
          <w:p w14:paraId="6094118E" w14:textId="77777777" w:rsidR="0095667D" w:rsidRPr="0095667D" w:rsidRDefault="0095667D" w:rsidP="0095667D">
            <w:pPr>
              <w:pStyle w:val="NoSpacing"/>
            </w:pPr>
            <w:r w:rsidRPr="0095667D">
              <w:t>Projekta izstrādē iesaistītās institūcijas un publiskas personas kapitālsabiedrības</w:t>
            </w:r>
          </w:p>
        </w:tc>
        <w:tc>
          <w:tcPr>
            <w:tcW w:w="0" w:type="auto"/>
          </w:tcPr>
          <w:p w14:paraId="2B7252EC" w14:textId="77777777" w:rsidR="0095667D" w:rsidRPr="0095667D" w:rsidRDefault="00815E47" w:rsidP="0095667D">
            <w:pPr>
              <w:pStyle w:val="NoSpacing"/>
            </w:pPr>
            <w:r w:rsidRPr="0095667D">
              <w:t>Projekts šo jomu neskar</w:t>
            </w:r>
            <w:r>
              <w:t>.</w:t>
            </w:r>
          </w:p>
        </w:tc>
      </w:tr>
      <w:tr w:rsidR="0095667D" w14:paraId="7AD44A4D" w14:textId="77777777" w:rsidTr="0095667D">
        <w:tc>
          <w:tcPr>
            <w:tcW w:w="0" w:type="auto"/>
          </w:tcPr>
          <w:p w14:paraId="534E6AE5" w14:textId="77777777" w:rsidR="0095667D" w:rsidRPr="0095667D" w:rsidRDefault="0095667D" w:rsidP="0095667D">
            <w:pPr>
              <w:pStyle w:val="NoSpacing"/>
            </w:pPr>
            <w:r w:rsidRPr="0095667D">
              <w:t>4.</w:t>
            </w:r>
          </w:p>
        </w:tc>
        <w:tc>
          <w:tcPr>
            <w:tcW w:w="0" w:type="auto"/>
          </w:tcPr>
          <w:p w14:paraId="0267B7E6" w14:textId="77777777" w:rsidR="0095667D" w:rsidRPr="0095667D" w:rsidRDefault="0095667D" w:rsidP="0095667D">
            <w:pPr>
              <w:pStyle w:val="NoSpacing"/>
            </w:pPr>
            <w:r w:rsidRPr="0095667D">
              <w:t>Cita informācija</w:t>
            </w:r>
          </w:p>
        </w:tc>
        <w:tc>
          <w:tcPr>
            <w:tcW w:w="0" w:type="auto"/>
          </w:tcPr>
          <w:p w14:paraId="6006AAD3" w14:textId="77777777" w:rsidR="0095667D" w:rsidRPr="0095667D" w:rsidRDefault="0095667D" w:rsidP="0095667D">
            <w:pPr>
              <w:pStyle w:val="NoSpacing"/>
            </w:pPr>
            <w:r w:rsidRPr="0095667D">
              <w:t>Nav</w:t>
            </w:r>
          </w:p>
        </w:tc>
      </w:tr>
    </w:tbl>
    <w:p w14:paraId="3D336129" w14:textId="77777777" w:rsidR="00BD5588" w:rsidRPr="00814A33" w:rsidRDefault="00BD5588" w:rsidP="0095667D">
      <w:pPr>
        <w:pStyle w:val="NoSpacing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2764"/>
        <w:gridCol w:w="5999"/>
      </w:tblGrid>
      <w:tr w:rsidR="00BD5588" w:rsidRPr="0095667D" w14:paraId="1E35E748" w14:textId="77777777" w:rsidTr="009E0502">
        <w:trPr>
          <w:cantSplit/>
        </w:trPr>
        <w:tc>
          <w:tcPr>
            <w:tcW w:w="5000" w:type="pct"/>
            <w:gridSpan w:val="3"/>
            <w:vAlign w:val="center"/>
            <w:hideMark/>
          </w:tcPr>
          <w:p w14:paraId="77233F07" w14:textId="77777777" w:rsidR="00BD5588" w:rsidRPr="00B652F2" w:rsidRDefault="00BD5588" w:rsidP="00B652F2">
            <w:pPr>
              <w:pStyle w:val="NoSpacing"/>
              <w:jc w:val="center"/>
              <w:rPr>
                <w:b/>
              </w:rPr>
            </w:pPr>
            <w:r w:rsidRPr="00B652F2">
              <w:rPr>
                <w:b/>
              </w:rPr>
              <w:t>II. Tiesību akta projekta ietekme uz sabiedrību, tautsaimniecības attīstību un administratīvo slogu</w:t>
            </w:r>
          </w:p>
        </w:tc>
      </w:tr>
      <w:tr w:rsidR="00BD5588" w:rsidRPr="0095667D" w14:paraId="56CC7257" w14:textId="77777777" w:rsidTr="009E0502">
        <w:trPr>
          <w:cantSplit/>
        </w:trPr>
        <w:tc>
          <w:tcPr>
            <w:tcW w:w="311" w:type="pct"/>
            <w:hideMark/>
          </w:tcPr>
          <w:p w14:paraId="14F672D3" w14:textId="77777777" w:rsidR="00BD5588" w:rsidRPr="0095667D" w:rsidRDefault="00BD5588" w:rsidP="0095667D">
            <w:pPr>
              <w:pStyle w:val="NoSpacing"/>
            </w:pPr>
            <w:r w:rsidRPr="0095667D">
              <w:t>1.</w:t>
            </w:r>
          </w:p>
        </w:tc>
        <w:tc>
          <w:tcPr>
            <w:tcW w:w="1479" w:type="pct"/>
            <w:hideMark/>
          </w:tcPr>
          <w:p w14:paraId="4D9FCEEF" w14:textId="77777777" w:rsidR="00BD5588" w:rsidRPr="0095667D" w:rsidRDefault="00BD5588" w:rsidP="0095667D">
            <w:pPr>
              <w:pStyle w:val="NoSpacing"/>
            </w:pPr>
            <w:r w:rsidRPr="0095667D">
              <w:t>Sabiedrības mērķgrupas, kuras tiesiskais regulējums ietekmē vai varētu ietekmēt</w:t>
            </w:r>
          </w:p>
        </w:tc>
        <w:tc>
          <w:tcPr>
            <w:tcW w:w="3210" w:type="pct"/>
            <w:hideMark/>
          </w:tcPr>
          <w:p w14:paraId="06D28F34" w14:textId="77777777" w:rsidR="00BD5588" w:rsidRPr="0095667D" w:rsidRDefault="00815E47" w:rsidP="0095667D">
            <w:pPr>
              <w:pStyle w:val="NoSpacing"/>
            </w:pPr>
            <w:r>
              <w:t>Valsts un pašvaldību iestādes</w:t>
            </w:r>
          </w:p>
        </w:tc>
      </w:tr>
      <w:tr w:rsidR="00BD5588" w:rsidRPr="0095667D" w14:paraId="3FCA5E0E" w14:textId="77777777" w:rsidTr="009E0502">
        <w:trPr>
          <w:cantSplit/>
        </w:trPr>
        <w:tc>
          <w:tcPr>
            <w:tcW w:w="311" w:type="pct"/>
            <w:hideMark/>
          </w:tcPr>
          <w:p w14:paraId="7C4B5323" w14:textId="77777777" w:rsidR="00BD5588" w:rsidRPr="0095667D" w:rsidRDefault="00BD5588" w:rsidP="0095667D">
            <w:pPr>
              <w:pStyle w:val="NoSpacing"/>
            </w:pPr>
            <w:r w:rsidRPr="0095667D">
              <w:t>2.</w:t>
            </w:r>
          </w:p>
        </w:tc>
        <w:tc>
          <w:tcPr>
            <w:tcW w:w="1479" w:type="pct"/>
            <w:hideMark/>
          </w:tcPr>
          <w:p w14:paraId="70C15641" w14:textId="77777777" w:rsidR="00BD5588" w:rsidRPr="0095667D" w:rsidRDefault="00BD5588" w:rsidP="0095667D">
            <w:pPr>
              <w:pStyle w:val="NoSpacing"/>
            </w:pPr>
            <w:r w:rsidRPr="0095667D">
              <w:t>Tiesiskā regulējuma ietekme uz tautsaimniecību un administratīvo slogu</w:t>
            </w:r>
          </w:p>
        </w:tc>
        <w:tc>
          <w:tcPr>
            <w:tcW w:w="3210" w:type="pct"/>
            <w:hideMark/>
          </w:tcPr>
          <w:p w14:paraId="4416F539" w14:textId="77777777" w:rsidR="00BD5588" w:rsidRPr="0095667D" w:rsidRDefault="00815E47" w:rsidP="0095667D">
            <w:pPr>
              <w:pStyle w:val="NoSpacing"/>
            </w:pPr>
            <w:r>
              <w:t>Administratīvais slogs nemainās.</w:t>
            </w:r>
          </w:p>
        </w:tc>
      </w:tr>
      <w:tr w:rsidR="00BD5588" w:rsidRPr="0095667D" w14:paraId="24186919" w14:textId="77777777" w:rsidTr="009E0502">
        <w:trPr>
          <w:cantSplit/>
        </w:trPr>
        <w:tc>
          <w:tcPr>
            <w:tcW w:w="311" w:type="pct"/>
            <w:hideMark/>
          </w:tcPr>
          <w:p w14:paraId="51870A77" w14:textId="77777777" w:rsidR="00BD5588" w:rsidRPr="0095667D" w:rsidRDefault="00BD5588" w:rsidP="0095667D">
            <w:pPr>
              <w:pStyle w:val="NoSpacing"/>
            </w:pPr>
            <w:r w:rsidRPr="0095667D">
              <w:t>3.</w:t>
            </w:r>
          </w:p>
        </w:tc>
        <w:tc>
          <w:tcPr>
            <w:tcW w:w="1479" w:type="pct"/>
            <w:hideMark/>
          </w:tcPr>
          <w:p w14:paraId="44A946BB" w14:textId="77777777" w:rsidR="00BD5588" w:rsidRPr="0095667D" w:rsidRDefault="00BD5588" w:rsidP="0095667D">
            <w:pPr>
              <w:pStyle w:val="NoSpacing"/>
            </w:pPr>
            <w:r w:rsidRPr="0095667D">
              <w:t>Administratīvo izmaksu monetārs novērtējums</w:t>
            </w:r>
          </w:p>
        </w:tc>
        <w:tc>
          <w:tcPr>
            <w:tcW w:w="3210" w:type="pct"/>
            <w:hideMark/>
          </w:tcPr>
          <w:p w14:paraId="2D0B430F" w14:textId="77777777" w:rsidR="00BD5588" w:rsidRPr="0095667D" w:rsidRDefault="00815E47" w:rsidP="0095667D">
            <w:pPr>
              <w:pStyle w:val="NoSpacing"/>
            </w:pPr>
            <w:r w:rsidRPr="0095667D">
              <w:t>Projekts šo jomu neskar</w:t>
            </w:r>
            <w:r>
              <w:t>.</w:t>
            </w:r>
          </w:p>
        </w:tc>
      </w:tr>
      <w:tr w:rsidR="00BD5588" w:rsidRPr="0095667D" w14:paraId="0F64FDB1" w14:textId="77777777" w:rsidTr="009E0502">
        <w:trPr>
          <w:cantSplit/>
        </w:trPr>
        <w:tc>
          <w:tcPr>
            <w:tcW w:w="311" w:type="pct"/>
            <w:hideMark/>
          </w:tcPr>
          <w:p w14:paraId="5784A4F8" w14:textId="77777777" w:rsidR="00BD5588" w:rsidRPr="0095667D" w:rsidRDefault="00BD5588" w:rsidP="0095667D">
            <w:pPr>
              <w:pStyle w:val="NoSpacing"/>
            </w:pPr>
            <w:r w:rsidRPr="0095667D">
              <w:t>4.</w:t>
            </w:r>
          </w:p>
        </w:tc>
        <w:tc>
          <w:tcPr>
            <w:tcW w:w="1479" w:type="pct"/>
            <w:hideMark/>
          </w:tcPr>
          <w:p w14:paraId="16B9A379" w14:textId="77777777" w:rsidR="00BD5588" w:rsidRPr="0095667D" w:rsidRDefault="00BD5588" w:rsidP="0095667D">
            <w:pPr>
              <w:pStyle w:val="NoSpacing"/>
            </w:pPr>
            <w:r w:rsidRPr="0095667D">
              <w:t>Atbilstības izmaksu monetārs novērtējums</w:t>
            </w:r>
          </w:p>
        </w:tc>
        <w:tc>
          <w:tcPr>
            <w:tcW w:w="3210" w:type="pct"/>
            <w:hideMark/>
          </w:tcPr>
          <w:p w14:paraId="6AC12994" w14:textId="77777777" w:rsidR="00BD5588" w:rsidRPr="0095667D" w:rsidRDefault="00815E47" w:rsidP="0095667D">
            <w:pPr>
              <w:pStyle w:val="NoSpacing"/>
            </w:pPr>
            <w:r w:rsidRPr="0095667D">
              <w:t>Projekts šo jomu neskar</w:t>
            </w:r>
            <w:r>
              <w:t>.</w:t>
            </w:r>
          </w:p>
        </w:tc>
      </w:tr>
      <w:tr w:rsidR="00BD5588" w:rsidRPr="0095667D" w14:paraId="1D0BA660" w14:textId="77777777" w:rsidTr="009E0502">
        <w:trPr>
          <w:cantSplit/>
        </w:trPr>
        <w:tc>
          <w:tcPr>
            <w:tcW w:w="311" w:type="pct"/>
            <w:hideMark/>
          </w:tcPr>
          <w:p w14:paraId="30652A7F" w14:textId="77777777" w:rsidR="00BD5588" w:rsidRPr="0095667D" w:rsidRDefault="00BD5588" w:rsidP="0095667D">
            <w:pPr>
              <w:pStyle w:val="NoSpacing"/>
            </w:pPr>
            <w:r w:rsidRPr="0095667D">
              <w:t>5.</w:t>
            </w:r>
          </w:p>
        </w:tc>
        <w:tc>
          <w:tcPr>
            <w:tcW w:w="1479" w:type="pct"/>
            <w:hideMark/>
          </w:tcPr>
          <w:p w14:paraId="341C10A5" w14:textId="77777777" w:rsidR="00BD5588" w:rsidRPr="0095667D" w:rsidRDefault="00BD5588" w:rsidP="0095667D">
            <w:pPr>
              <w:pStyle w:val="NoSpacing"/>
            </w:pPr>
            <w:r w:rsidRPr="0095667D">
              <w:t>Cita informācija</w:t>
            </w:r>
          </w:p>
        </w:tc>
        <w:tc>
          <w:tcPr>
            <w:tcW w:w="3210" w:type="pct"/>
            <w:hideMark/>
          </w:tcPr>
          <w:p w14:paraId="33B760DC" w14:textId="77777777" w:rsidR="00BD5588" w:rsidRPr="0095667D" w:rsidRDefault="00D875DC" w:rsidP="0095667D">
            <w:pPr>
              <w:pStyle w:val="NoSpacing"/>
            </w:pPr>
            <w:r w:rsidRPr="0095667D">
              <w:t>Nav</w:t>
            </w:r>
          </w:p>
        </w:tc>
      </w:tr>
    </w:tbl>
    <w:p w14:paraId="62FA6B2B" w14:textId="77777777" w:rsidR="00BD5588" w:rsidRPr="00814A33" w:rsidRDefault="00BD5588" w:rsidP="0095667D">
      <w:pPr>
        <w:pStyle w:val="NoSpacing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344"/>
      </w:tblGrid>
      <w:tr w:rsidR="00BD5588" w:rsidRPr="0095667D" w14:paraId="3CB16D97" w14:textId="77777777" w:rsidTr="00815E47">
        <w:trPr>
          <w:cantSplit/>
        </w:trPr>
        <w:tc>
          <w:tcPr>
            <w:tcW w:w="5000" w:type="pct"/>
            <w:shd w:val="clear" w:color="auto" w:fill="auto"/>
            <w:vAlign w:val="center"/>
            <w:hideMark/>
          </w:tcPr>
          <w:p w14:paraId="3BEE3699" w14:textId="77777777" w:rsidR="00BD5588" w:rsidRPr="00B652F2" w:rsidRDefault="00BD5588" w:rsidP="00B652F2">
            <w:pPr>
              <w:pStyle w:val="NoSpacing"/>
              <w:jc w:val="center"/>
              <w:rPr>
                <w:b/>
              </w:rPr>
            </w:pPr>
            <w:r w:rsidRPr="0095667D">
              <w:br w:type="page"/>
            </w:r>
            <w:r w:rsidRPr="00B652F2">
              <w:rPr>
                <w:b/>
              </w:rPr>
              <w:t>III. Tiesību akta projekta ietekme uz valsts budžetu un pašvaldību budžetiem</w:t>
            </w:r>
          </w:p>
        </w:tc>
      </w:tr>
      <w:tr w:rsidR="00D875DC" w:rsidRPr="0095667D" w14:paraId="308D00C1" w14:textId="77777777" w:rsidTr="00997827">
        <w:trPr>
          <w:cantSplit/>
          <w:trHeight w:val="464"/>
        </w:trPr>
        <w:tc>
          <w:tcPr>
            <w:tcW w:w="5000" w:type="pct"/>
            <w:shd w:val="clear" w:color="auto" w:fill="FFFFFF"/>
            <w:vAlign w:val="center"/>
          </w:tcPr>
          <w:p w14:paraId="7DC603CE" w14:textId="77777777" w:rsidR="00D875DC" w:rsidRPr="00997827" w:rsidRDefault="00D875DC" w:rsidP="00997827">
            <w:pPr>
              <w:pStyle w:val="NoSpacing"/>
              <w:jc w:val="center"/>
            </w:pPr>
            <w:r w:rsidRPr="00997827">
              <w:t>Projekts šo jomu neskar</w:t>
            </w:r>
          </w:p>
        </w:tc>
      </w:tr>
    </w:tbl>
    <w:p w14:paraId="153AD1B2" w14:textId="6BD0BE53" w:rsidR="00BD5588" w:rsidRPr="00814A33" w:rsidRDefault="00BD5588" w:rsidP="0095667D">
      <w:pPr>
        <w:pStyle w:val="NoSpacing"/>
        <w:rPr>
          <w:sz w:val="12"/>
          <w:szCs w:val="12"/>
        </w:rPr>
      </w:pPr>
    </w:p>
    <w:tbl>
      <w:tblPr>
        <w:tblW w:w="5006" w:type="pct"/>
        <w:tblInd w:w="-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355"/>
      </w:tblGrid>
      <w:tr w:rsidR="00041335" w:rsidRPr="00041335" w14:paraId="2FE0A1BB" w14:textId="77777777" w:rsidTr="006F081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4CF9" w14:textId="6AF8D6D6" w:rsidR="00041335" w:rsidRPr="00041335" w:rsidRDefault="00041335" w:rsidP="006F081B">
            <w:pPr>
              <w:pStyle w:val="NoSpacing"/>
              <w:jc w:val="center"/>
              <w:rPr>
                <w:b/>
                <w:bCs/>
              </w:rPr>
            </w:pPr>
            <w:r w:rsidRPr="00041335">
              <w:rPr>
                <w:b/>
                <w:bCs/>
              </w:rPr>
              <w:t>IV. Tiesību akta projekta ietekme uz spēkā esošo tiesību normu sistēmu</w:t>
            </w:r>
          </w:p>
        </w:tc>
      </w:tr>
      <w:tr w:rsidR="00041335" w:rsidRPr="00041335" w14:paraId="18307FE8" w14:textId="77777777" w:rsidTr="006F081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14:paraId="57A96264" w14:textId="77777777" w:rsidR="00041335" w:rsidRPr="00041335" w:rsidRDefault="00041335" w:rsidP="006F081B">
            <w:pPr>
              <w:pStyle w:val="NoSpacing"/>
              <w:jc w:val="center"/>
              <w:rPr>
                <w:bCs/>
              </w:rPr>
            </w:pPr>
            <w:r w:rsidRPr="00041335">
              <w:rPr>
                <w:bCs/>
              </w:rPr>
              <w:t>Projekts šo jomu neskar.</w:t>
            </w:r>
          </w:p>
        </w:tc>
      </w:tr>
    </w:tbl>
    <w:p w14:paraId="5743DCDA" w14:textId="77777777" w:rsidR="00041335" w:rsidRPr="00814A33" w:rsidRDefault="00041335" w:rsidP="0095667D">
      <w:pPr>
        <w:pStyle w:val="NoSpacing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44"/>
      </w:tblGrid>
      <w:tr w:rsidR="00BD5588" w:rsidRPr="0095667D" w14:paraId="563AF9D6" w14:textId="77777777" w:rsidTr="009E0502">
        <w:trPr>
          <w:cantSplit/>
        </w:trPr>
        <w:tc>
          <w:tcPr>
            <w:tcW w:w="5000" w:type="pct"/>
            <w:vAlign w:val="center"/>
            <w:hideMark/>
          </w:tcPr>
          <w:p w14:paraId="0C8B474D" w14:textId="77777777" w:rsidR="00BD5588" w:rsidRPr="00B652F2" w:rsidRDefault="00BD5588" w:rsidP="00B652F2">
            <w:pPr>
              <w:pStyle w:val="NoSpacing"/>
              <w:jc w:val="center"/>
              <w:rPr>
                <w:b/>
              </w:rPr>
            </w:pPr>
            <w:r w:rsidRPr="00B652F2">
              <w:rPr>
                <w:b/>
              </w:rPr>
              <w:t>V. Tiesību akta projekta atbilstība Latvijas Republikas starptautiskajām saistībām</w:t>
            </w:r>
          </w:p>
        </w:tc>
      </w:tr>
      <w:tr w:rsidR="00041335" w:rsidRPr="0095667D" w14:paraId="69A5E010" w14:textId="77777777" w:rsidTr="009E0502">
        <w:trPr>
          <w:cantSplit/>
        </w:trPr>
        <w:tc>
          <w:tcPr>
            <w:tcW w:w="5000" w:type="pct"/>
            <w:vAlign w:val="center"/>
          </w:tcPr>
          <w:p w14:paraId="7D98CAB8" w14:textId="30760E62" w:rsidR="00041335" w:rsidRPr="00B652F2" w:rsidRDefault="00041335" w:rsidP="00B652F2">
            <w:pPr>
              <w:pStyle w:val="NoSpacing"/>
              <w:jc w:val="center"/>
              <w:rPr>
                <w:b/>
              </w:rPr>
            </w:pPr>
            <w:r w:rsidRPr="0095667D">
              <w:t>Projekts šo jomu neskar</w:t>
            </w:r>
          </w:p>
        </w:tc>
      </w:tr>
    </w:tbl>
    <w:p w14:paraId="15E02870" w14:textId="77777777" w:rsidR="00BD5588" w:rsidRPr="00814A33" w:rsidRDefault="00BD5588" w:rsidP="0095667D">
      <w:pPr>
        <w:pStyle w:val="NoSpacing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0"/>
        <w:gridCol w:w="1559"/>
        <w:gridCol w:w="7365"/>
      </w:tblGrid>
      <w:tr w:rsidR="00BD5588" w:rsidRPr="0095667D" w14:paraId="75B46EAA" w14:textId="77777777" w:rsidTr="006F081B">
        <w:trPr>
          <w:cantSplit/>
        </w:trPr>
        <w:tc>
          <w:tcPr>
            <w:tcW w:w="5000" w:type="pct"/>
            <w:gridSpan w:val="3"/>
            <w:vAlign w:val="center"/>
            <w:hideMark/>
          </w:tcPr>
          <w:p w14:paraId="378EA09D" w14:textId="77777777" w:rsidR="00BD5588" w:rsidRPr="00B652F2" w:rsidRDefault="00BD5588" w:rsidP="00B652F2">
            <w:pPr>
              <w:pStyle w:val="NoSpacing"/>
              <w:jc w:val="center"/>
              <w:rPr>
                <w:b/>
              </w:rPr>
            </w:pPr>
            <w:r w:rsidRPr="00B652F2">
              <w:rPr>
                <w:b/>
              </w:rPr>
              <w:t>VI. Sabiedrības līdzdalība un komunikācijas aktivitātes</w:t>
            </w:r>
          </w:p>
        </w:tc>
      </w:tr>
      <w:tr w:rsidR="00B652F2" w:rsidRPr="0095667D" w14:paraId="0825A0CD" w14:textId="77777777" w:rsidTr="006F081B">
        <w:trPr>
          <w:cantSplit/>
        </w:trPr>
        <w:tc>
          <w:tcPr>
            <w:tcW w:w="225" w:type="pct"/>
            <w:hideMark/>
          </w:tcPr>
          <w:p w14:paraId="2606627A" w14:textId="77777777" w:rsidR="00B652F2" w:rsidRPr="0095667D" w:rsidRDefault="00B652F2" w:rsidP="00B652F2">
            <w:pPr>
              <w:pStyle w:val="NoSpacing"/>
            </w:pPr>
            <w:r w:rsidRPr="0095667D">
              <w:t>1.</w:t>
            </w:r>
          </w:p>
        </w:tc>
        <w:tc>
          <w:tcPr>
            <w:tcW w:w="834" w:type="pct"/>
            <w:hideMark/>
          </w:tcPr>
          <w:p w14:paraId="5DFC9964" w14:textId="77777777" w:rsidR="00B652F2" w:rsidRPr="0095667D" w:rsidRDefault="00B652F2" w:rsidP="00B652F2">
            <w:pPr>
              <w:pStyle w:val="NoSpacing"/>
            </w:pPr>
            <w:r w:rsidRPr="0095667D">
              <w:t>Plānotās sabiedrības līdzdalības un komunikācijas aktivitātes saistībā ar projektu</w:t>
            </w:r>
          </w:p>
        </w:tc>
        <w:tc>
          <w:tcPr>
            <w:tcW w:w="3940" w:type="pct"/>
            <w:hideMark/>
          </w:tcPr>
          <w:p w14:paraId="3E957E93" w14:textId="112129B3" w:rsidR="00B652F2" w:rsidRPr="0095667D" w:rsidRDefault="00B652F2" w:rsidP="00B652F2">
            <w:pPr>
              <w:pStyle w:val="NoSpacing"/>
              <w:jc w:val="both"/>
            </w:pPr>
            <w:r>
              <w:t>Informācija par projekta izstrādi ir publicēta Finanšu ministrijas tīmekļvietnē sadaļā “Sabiedrības līdzdalība” – “Tiesību aktu projekti” – “Nodokļu politika”. L</w:t>
            </w:r>
            <w:r>
              <w:rPr>
                <w:spacing w:val="-2"/>
              </w:rPr>
              <w:t>īdz ar to sabiedrības pārstāvji varēja līdzdarboties projekta izstrādē, rakstveidā sniedzot viedokļus par projektu.</w:t>
            </w:r>
            <w:r>
              <w:t xml:space="preserve"> </w:t>
            </w:r>
            <w:r>
              <w:rPr>
                <w:spacing w:val="-2"/>
              </w:rPr>
              <w:t>Tāpat sabiedrības pārstāvji varēs sniegt viedokļus par projektu pēc tā izsludināšanas Valsts sekretāru sanāksmē.</w:t>
            </w:r>
          </w:p>
        </w:tc>
      </w:tr>
      <w:tr w:rsidR="00B652F2" w:rsidRPr="0095667D" w14:paraId="0A1370BC" w14:textId="77777777" w:rsidTr="006F081B">
        <w:trPr>
          <w:cantSplit/>
        </w:trPr>
        <w:tc>
          <w:tcPr>
            <w:tcW w:w="225" w:type="pct"/>
            <w:hideMark/>
          </w:tcPr>
          <w:p w14:paraId="26969252" w14:textId="77777777" w:rsidR="00B652F2" w:rsidRPr="0095667D" w:rsidRDefault="00B652F2" w:rsidP="00B652F2">
            <w:pPr>
              <w:pStyle w:val="NoSpacing"/>
            </w:pPr>
            <w:r w:rsidRPr="0095667D">
              <w:t>2.</w:t>
            </w:r>
          </w:p>
        </w:tc>
        <w:tc>
          <w:tcPr>
            <w:tcW w:w="834" w:type="pct"/>
            <w:hideMark/>
          </w:tcPr>
          <w:p w14:paraId="79780FF4" w14:textId="77777777" w:rsidR="00B652F2" w:rsidRPr="0095667D" w:rsidRDefault="00B652F2" w:rsidP="00B652F2">
            <w:pPr>
              <w:pStyle w:val="NoSpacing"/>
            </w:pPr>
            <w:r w:rsidRPr="0095667D">
              <w:t>Sabiedrības līdzdalība projekta izstrādē</w:t>
            </w:r>
          </w:p>
        </w:tc>
        <w:tc>
          <w:tcPr>
            <w:tcW w:w="3940" w:type="pct"/>
            <w:hideMark/>
          </w:tcPr>
          <w:p w14:paraId="0E08FE60" w14:textId="56AC85C5" w:rsidR="00B652F2" w:rsidRPr="0095667D" w:rsidRDefault="00B652F2" w:rsidP="00997827">
            <w:pPr>
              <w:pStyle w:val="NormalWeb"/>
              <w:spacing w:line="252" w:lineRule="auto"/>
              <w:jc w:val="both"/>
            </w:pPr>
            <w:r>
              <w:rPr>
                <w:spacing w:val="-2"/>
              </w:rPr>
              <w:t xml:space="preserve">Sabiedrības pārstāvji varēja līdzdarboties projekta izstrādē, rakstveidā sniedzot viedokļus par projektu, kas </w:t>
            </w:r>
            <w:r w:rsidR="006F081B">
              <w:t>202</w:t>
            </w:r>
            <w:r w:rsidR="00AB006A">
              <w:t>1</w:t>
            </w:r>
            <w:r w:rsidR="006F081B">
              <w:t xml:space="preserve">. gada </w:t>
            </w:r>
            <w:r w:rsidR="00984DE9">
              <w:t>31.</w:t>
            </w:r>
            <w:r w:rsidR="00AB006A">
              <w:t xml:space="preserve"> maijā</w:t>
            </w:r>
            <w:r>
              <w:t xml:space="preserve"> publicēts Finanšu ministrijas tīmekļvietnē sadaļā “Sabiedrības līdzdalība” – “Tiesību aktu projekti” – “</w:t>
            </w:r>
            <w:r w:rsidR="006F081B">
              <w:t xml:space="preserve">Valsts budžeta </w:t>
            </w:r>
            <w:r>
              <w:t>politika”, adrese:</w:t>
            </w:r>
            <w:r w:rsidR="00997827">
              <w:t xml:space="preserve"> </w:t>
            </w:r>
            <w:hyperlink r:id="rId9" w:history="1">
              <w:r w:rsidR="00997827" w:rsidRPr="00D83B11">
                <w:rPr>
                  <w:rStyle w:val="Hyperlink"/>
                </w:rPr>
                <w:t>https://www.fm.gov.lv/lv/mk-noteikumu-projekts-grozijumi-ministru-kabineta-2003-gada-29-aprila-noteikumos-nr-239-finansu-ministrijas-nolikums</w:t>
              </w:r>
            </w:hyperlink>
            <w:r w:rsidR="00997827">
              <w:t xml:space="preserve"> </w:t>
            </w:r>
            <w:r>
              <w:t xml:space="preserve">un Ministru kabineta tīmekļvietnē sadaļā “Valsts kanceleja” – “Sabiedrības līdzdalība”, adrese: </w:t>
            </w:r>
            <w:hyperlink r:id="rId10" w:history="1">
              <w:r w:rsidR="00997827">
                <w:rPr>
                  <w:rStyle w:val="Hyperlink"/>
                </w:rPr>
                <w:t>Ministru kabineta diskusiju dokumenti | Ministru kabinets (mk.gov.lv)</w:t>
              </w:r>
            </w:hyperlink>
          </w:p>
        </w:tc>
      </w:tr>
      <w:tr w:rsidR="00B652F2" w:rsidRPr="0095667D" w14:paraId="576FBE8A" w14:textId="77777777" w:rsidTr="006F081B">
        <w:trPr>
          <w:cantSplit/>
        </w:trPr>
        <w:tc>
          <w:tcPr>
            <w:tcW w:w="225" w:type="pct"/>
            <w:hideMark/>
          </w:tcPr>
          <w:p w14:paraId="26D89731" w14:textId="77777777" w:rsidR="00B652F2" w:rsidRPr="0095667D" w:rsidRDefault="00B652F2" w:rsidP="00B652F2">
            <w:pPr>
              <w:pStyle w:val="NoSpacing"/>
            </w:pPr>
            <w:r w:rsidRPr="0095667D">
              <w:t>3.</w:t>
            </w:r>
          </w:p>
        </w:tc>
        <w:tc>
          <w:tcPr>
            <w:tcW w:w="834" w:type="pct"/>
            <w:hideMark/>
          </w:tcPr>
          <w:p w14:paraId="5E2D03CC" w14:textId="77777777" w:rsidR="00B652F2" w:rsidRPr="0095667D" w:rsidRDefault="00B652F2" w:rsidP="00B652F2">
            <w:pPr>
              <w:pStyle w:val="NoSpacing"/>
            </w:pPr>
            <w:r w:rsidRPr="0095667D">
              <w:t>Sabiedrības līdzdalības rezultāti</w:t>
            </w:r>
          </w:p>
        </w:tc>
        <w:tc>
          <w:tcPr>
            <w:tcW w:w="3940" w:type="pct"/>
            <w:hideMark/>
          </w:tcPr>
          <w:p w14:paraId="7FF79082" w14:textId="691C0AD0" w:rsidR="00B652F2" w:rsidRPr="0095667D" w:rsidRDefault="00B652F2" w:rsidP="00B652F2">
            <w:pPr>
              <w:pStyle w:val="NoSpacing"/>
            </w:pPr>
            <w:r>
              <w:t xml:space="preserve">Sabiedrības pārstāvju iebildumi un priekšlikumi nav saņemti. </w:t>
            </w:r>
          </w:p>
        </w:tc>
      </w:tr>
      <w:tr w:rsidR="00BD5588" w:rsidRPr="0095667D" w14:paraId="017401FC" w14:textId="77777777" w:rsidTr="006F081B">
        <w:trPr>
          <w:cantSplit/>
        </w:trPr>
        <w:tc>
          <w:tcPr>
            <w:tcW w:w="225" w:type="pct"/>
            <w:hideMark/>
          </w:tcPr>
          <w:p w14:paraId="74EDA2F3" w14:textId="77777777" w:rsidR="00BD5588" w:rsidRPr="0095667D" w:rsidRDefault="00BD5588" w:rsidP="0095667D">
            <w:pPr>
              <w:pStyle w:val="NoSpacing"/>
            </w:pPr>
            <w:r w:rsidRPr="0095667D">
              <w:t>4.</w:t>
            </w:r>
          </w:p>
        </w:tc>
        <w:tc>
          <w:tcPr>
            <w:tcW w:w="834" w:type="pct"/>
            <w:hideMark/>
          </w:tcPr>
          <w:p w14:paraId="5B9136EB" w14:textId="77777777" w:rsidR="00BD5588" w:rsidRPr="0095667D" w:rsidRDefault="00BD5588" w:rsidP="0095667D">
            <w:pPr>
              <w:pStyle w:val="NoSpacing"/>
            </w:pPr>
            <w:r w:rsidRPr="0095667D">
              <w:t>Cita informācija</w:t>
            </w:r>
          </w:p>
        </w:tc>
        <w:tc>
          <w:tcPr>
            <w:tcW w:w="3940" w:type="pct"/>
            <w:hideMark/>
          </w:tcPr>
          <w:p w14:paraId="6CF4ABE9" w14:textId="77777777" w:rsidR="00BD5588" w:rsidRPr="0095667D" w:rsidRDefault="00D875DC" w:rsidP="0095667D">
            <w:pPr>
              <w:pStyle w:val="NoSpacing"/>
            </w:pPr>
            <w:r w:rsidRPr="0095667D">
              <w:t>Nav</w:t>
            </w:r>
          </w:p>
        </w:tc>
      </w:tr>
    </w:tbl>
    <w:p w14:paraId="5A7CC93B" w14:textId="77777777" w:rsidR="00BD5588" w:rsidRPr="00814A33" w:rsidRDefault="00BD5588" w:rsidP="0095667D">
      <w:pPr>
        <w:pStyle w:val="NoSpacing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2"/>
        <w:gridCol w:w="3240"/>
        <w:gridCol w:w="5522"/>
      </w:tblGrid>
      <w:tr w:rsidR="00BD5588" w:rsidRPr="0095667D" w14:paraId="513DEECB" w14:textId="77777777" w:rsidTr="009E0502">
        <w:trPr>
          <w:cantSplit/>
        </w:trPr>
        <w:tc>
          <w:tcPr>
            <w:tcW w:w="5000" w:type="pct"/>
            <w:gridSpan w:val="3"/>
            <w:vAlign w:val="center"/>
            <w:hideMark/>
          </w:tcPr>
          <w:p w14:paraId="0040CE7B" w14:textId="77777777" w:rsidR="00BD5588" w:rsidRPr="00B652F2" w:rsidRDefault="00BD5588" w:rsidP="00B652F2">
            <w:pPr>
              <w:pStyle w:val="NoSpacing"/>
              <w:jc w:val="center"/>
              <w:rPr>
                <w:b/>
              </w:rPr>
            </w:pPr>
            <w:r w:rsidRPr="00B652F2">
              <w:rPr>
                <w:b/>
              </w:rPr>
              <w:t>VII. Tiesību akta projekta izpildes nodrošināšana un tās ietekme uz institūcijām</w:t>
            </w:r>
          </w:p>
        </w:tc>
      </w:tr>
      <w:tr w:rsidR="00BD5588" w:rsidRPr="0095667D" w14:paraId="4CAAA921" w14:textId="77777777" w:rsidTr="00997827">
        <w:trPr>
          <w:cantSplit/>
        </w:trPr>
        <w:tc>
          <w:tcPr>
            <w:tcW w:w="311" w:type="pct"/>
            <w:hideMark/>
          </w:tcPr>
          <w:p w14:paraId="4FFEBEBC" w14:textId="77777777" w:rsidR="00BD5588" w:rsidRPr="0095667D" w:rsidRDefault="00BD5588" w:rsidP="0095667D">
            <w:pPr>
              <w:pStyle w:val="NoSpacing"/>
            </w:pPr>
            <w:r w:rsidRPr="0095667D">
              <w:t>1.</w:t>
            </w:r>
          </w:p>
        </w:tc>
        <w:tc>
          <w:tcPr>
            <w:tcW w:w="1734" w:type="pct"/>
            <w:hideMark/>
          </w:tcPr>
          <w:p w14:paraId="7AE8041E" w14:textId="77777777" w:rsidR="00BD5588" w:rsidRPr="0095667D" w:rsidRDefault="00BD5588" w:rsidP="0095667D">
            <w:pPr>
              <w:pStyle w:val="NoSpacing"/>
            </w:pPr>
            <w:r w:rsidRPr="0095667D">
              <w:t>Projekta izpildē iesaistītās institūcijas</w:t>
            </w:r>
          </w:p>
        </w:tc>
        <w:tc>
          <w:tcPr>
            <w:tcW w:w="2954" w:type="pct"/>
            <w:hideMark/>
          </w:tcPr>
          <w:p w14:paraId="31F2DA3A" w14:textId="77777777" w:rsidR="00BD5588" w:rsidRPr="0095667D" w:rsidRDefault="00F244DC" w:rsidP="0095667D">
            <w:pPr>
              <w:pStyle w:val="NoSpacing"/>
            </w:pPr>
            <w:r>
              <w:t>Finanšu ministrija</w:t>
            </w:r>
          </w:p>
        </w:tc>
      </w:tr>
      <w:tr w:rsidR="00BD5588" w:rsidRPr="0095667D" w14:paraId="7D7C2E81" w14:textId="77777777" w:rsidTr="00997827">
        <w:trPr>
          <w:cantSplit/>
        </w:trPr>
        <w:tc>
          <w:tcPr>
            <w:tcW w:w="311" w:type="pct"/>
            <w:hideMark/>
          </w:tcPr>
          <w:p w14:paraId="4A272A75" w14:textId="77777777" w:rsidR="00BD5588" w:rsidRPr="0095667D" w:rsidRDefault="00BD5588" w:rsidP="0095667D">
            <w:pPr>
              <w:pStyle w:val="NoSpacing"/>
            </w:pPr>
            <w:r w:rsidRPr="0095667D">
              <w:t>2.</w:t>
            </w:r>
          </w:p>
        </w:tc>
        <w:tc>
          <w:tcPr>
            <w:tcW w:w="1734" w:type="pct"/>
            <w:hideMark/>
          </w:tcPr>
          <w:p w14:paraId="5B94B1AE" w14:textId="77777777" w:rsidR="00BD5588" w:rsidRPr="0095667D" w:rsidRDefault="00BD5588" w:rsidP="0095667D">
            <w:pPr>
              <w:pStyle w:val="NoSpacing"/>
            </w:pPr>
            <w:r w:rsidRPr="0095667D">
              <w:t>Projekta izpildes ietekme uz pārvaldes funkcijām un institucionālo struktūru.</w:t>
            </w:r>
            <w:r w:rsidRPr="0095667D">
              <w:br/>
              <w:t>Jaunu institūciju izveide, esošu institūciju likvidācija vai reorganizācija, to ietekme uz institūcijas cilvēkresursiem</w:t>
            </w:r>
          </w:p>
        </w:tc>
        <w:tc>
          <w:tcPr>
            <w:tcW w:w="2954" w:type="pct"/>
            <w:hideMark/>
          </w:tcPr>
          <w:p w14:paraId="72713E9E" w14:textId="77777777" w:rsidR="00BD5588" w:rsidRPr="0095667D" w:rsidRDefault="00F244DC" w:rsidP="00F244DC">
            <w:r w:rsidRPr="003D31EA">
              <w:rPr>
                <w:shd w:val="clear" w:color="auto" w:fill="FFFFFF"/>
              </w:rPr>
              <w:t>Projekta izpilde neietekmēs pārvaldes funkcijas vai institucionālo struktūru</w:t>
            </w:r>
            <w:r w:rsidRPr="003D31EA">
              <w:t>, papildus cilvēkresursi nav nepieciešami.</w:t>
            </w:r>
          </w:p>
        </w:tc>
      </w:tr>
      <w:tr w:rsidR="00BD5588" w:rsidRPr="0095667D" w14:paraId="6A96EA6D" w14:textId="77777777" w:rsidTr="00997827">
        <w:trPr>
          <w:cantSplit/>
        </w:trPr>
        <w:tc>
          <w:tcPr>
            <w:tcW w:w="311" w:type="pct"/>
            <w:hideMark/>
          </w:tcPr>
          <w:p w14:paraId="2010F57D" w14:textId="77777777" w:rsidR="00BD5588" w:rsidRPr="0095667D" w:rsidRDefault="00BD5588" w:rsidP="0095667D">
            <w:pPr>
              <w:pStyle w:val="NoSpacing"/>
            </w:pPr>
            <w:r w:rsidRPr="0095667D">
              <w:t>3.</w:t>
            </w:r>
          </w:p>
        </w:tc>
        <w:tc>
          <w:tcPr>
            <w:tcW w:w="1734" w:type="pct"/>
            <w:hideMark/>
          </w:tcPr>
          <w:p w14:paraId="45A6822B" w14:textId="77777777" w:rsidR="00BD5588" w:rsidRPr="0095667D" w:rsidRDefault="00BD5588" w:rsidP="0095667D">
            <w:pPr>
              <w:pStyle w:val="NoSpacing"/>
            </w:pPr>
            <w:r w:rsidRPr="0095667D">
              <w:t>Cita informācija</w:t>
            </w:r>
          </w:p>
        </w:tc>
        <w:tc>
          <w:tcPr>
            <w:tcW w:w="2954" w:type="pct"/>
            <w:hideMark/>
          </w:tcPr>
          <w:p w14:paraId="1FDC8995" w14:textId="77777777" w:rsidR="00BD5588" w:rsidRPr="0095667D" w:rsidRDefault="00D875DC" w:rsidP="0095667D">
            <w:pPr>
              <w:pStyle w:val="NoSpacing"/>
            </w:pPr>
            <w:r w:rsidRPr="0095667D">
              <w:t>Nav</w:t>
            </w:r>
          </w:p>
        </w:tc>
      </w:tr>
    </w:tbl>
    <w:p w14:paraId="3AAC3482" w14:textId="77777777" w:rsidR="00E44472" w:rsidRDefault="00E44472" w:rsidP="0095667D">
      <w:pPr>
        <w:pStyle w:val="NoSpacing"/>
      </w:pPr>
    </w:p>
    <w:p w14:paraId="435E0354" w14:textId="77777777" w:rsidR="00F244DC" w:rsidRPr="003D31EA" w:rsidRDefault="00F244DC" w:rsidP="00F244DC">
      <w:r w:rsidRPr="003D31EA">
        <w:t>Finanšu ministrs</w:t>
      </w:r>
      <w:r w:rsidRPr="003D31EA">
        <w:tab/>
        <w:t xml:space="preserve"> </w:t>
      </w:r>
      <w:r w:rsidRPr="003D31EA">
        <w:tab/>
      </w:r>
      <w:r w:rsidRPr="003D31EA">
        <w:tab/>
        <w:t xml:space="preserve"> </w:t>
      </w:r>
      <w:r w:rsidRPr="003D31EA">
        <w:tab/>
      </w:r>
      <w:r w:rsidRPr="003D31EA">
        <w:tab/>
      </w:r>
      <w:r w:rsidRPr="003D31EA">
        <w:tab/>
      </w:r>
      <w:r w:rsidRPr="003D31EA">
        <w:tab/>
        <w:t>Jānis Reirs</w:t>
      </w:r>
      <w:r w:rsidRPr="003D31EA">
        <w:tab/>
      </w:r>
    </w:p>
    <w:p w14:paraId="08B28B41" w14:textId="77777777" w:rsidR="00F244DC" w:rsidRDefault="00F244DC" w:rsidP="00F244DC"/>
    <w:p w14:paraId="7AEA42EB" w14:textId="2A8C0B07" w:rsidR="00F244DC" w:rsidRPr="003D31EA" w:rsidRDefault="00F244DC" w:rsidP="00F244DC">
      <w:r w:rsidRPr="003D31EA">
        <w:t>Vīza: Valsts sekretārs</w:t>
      </w:r>
      <w:r w:rsidRPr="003D31EA">
        <w:tab/>
      </w:r>
      <w:r w:rsidRPr="003D31EA">
        <w:tab/>
      </w:r>
      <w:r w:rsidRPr="003D31EA">
        <w:tab/>
        <w:t xml:space="preserve"> </w:t>
      </w:r>
      <w:r w:rsidR="00997827">
        <w:tab/>
      </w:r>
      <w:r w:rsidRPr="003D31EA">
        <w:tab/>
      </w:r>
      <w:r w:rsidRPr="003D31EA">
        <w:tab/>
      </w:r>
      <w:r w:rsidRPr="003D31EA">
        <w:tab/>
        <w:t>Baiba Bāne</w:t>
      </w:r>
    </w:p>
    <w:p w14:paraId="08162C2F" w14:textId="77777777" w:rsidR="00F244DC" w:rsidRDefault="00F244DC" w:rsidP="0095667D">
      <w:pPr>
        <w:pStyle w:val="NoSpacing"/>
      </w:pPr>
    </w:p>
    <w:p w14:paraId="164FE6C4" w14:textId="77777777" w:rsidR="00F244DC" w:rsidRPr="00F244DC" w:rsidRDefault="00F244DC" w:rsidP="0095667D">
      <w:pPr>
        <w:pStyle w:val="NoSpacing"/>
        <w:rPr>
          <w:sz w:val="16"/>
          <w:szCs w:val="16"/>
        </w:rPr>
      </w:pPr>
      <w:r w:rsidRPr="00F244DC">
        <w:rPr>
          <w:sz w:val="16"/>
          <w:szCs w:val="16"/>
        </w:rPr>
        <w:t>Vucēne, 67095608</w:t>
      </w:r>
    </w:p>
    <w:p w14:paraId="1254AA59" w14:textId="77777777" w:rsidR="00F244DC" w:rsidRPr="00F244DC" w:rsidRDefault="00F244DC" w:rsidP="0095667D">
      <w:pPr>
        <w:pStyle w:val="NoSpacing"/>
        <w:rPr>
          <w:sz w:val="16"/>
          <w:szCs w:val="16"/>
        </w:rPr>
      </w:pPr>
      <w:r w:rsidRPr="00F244DC">
        <w:rPr>
          <w:sz w:val="16"/>
          <w:szCs w:val="16"/>
        </w:rPr>
        <w:t>Liga.Vucene@fm.gov.lv</w:t>
      </w:r>
    </w:p>
    <w:sectPr w:rsidR="00F244DC" w:rsidRPr="00F244DC" w:rsidSect="00B652F2">
      <w:footerReference w:type="default" r:id="rId11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984A7" w14:textId="77777777" w:rsidR="00B652F2" w:rsidRDefault="00B652F2" w:rsidP="00B652F2">
      <w:r>
        <w:separator/>
      </w:r>
    </w:p>
  </w:endnote>
  <w:endnote w:type="continuationSeparator" w:id="0">
    <w:p w14:paraId="47B82EF3" w14:textId="77777777" w:rsidR="00B652F2" w:rsidRDefault="00B652F2" w:rsidP="00B6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2984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47BF18" w14:textId="611C9C99" w:rsidR="00F15DE5" w:rsidRDefault="00F15D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13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E1C629" w14:textId="6055871A" w:rsidR="00B652F2" w:rsidRPr="006F081B" w:rsidRDefault="00013B36">
    <w:pPr>
      <w:pStyle w:val="Footer"/>
      <w:rPr>
        <w:sz w:val="20"/>
        <w:szCs w:val="20"/>
      </w:rPr>
    </w:pPr>
    <w:r w:rsidRPr="006F081B">
      <w:rPr>
        <w:sz w:val="20"/>
        <w:szCs w:val="20"/>
      </w:rPr>
      <w:t>FMAnot_</w:t>
    </w:r>
    <w:r w:rsidR="006877A2">
      <w:rPr>
        <w:sz w:val="20"/>
        <w:szCs w:val="20"/>
      </w:rPr>
      <w:t>2501</w:t>
    </w:r>
    <w:r w:rsidR="006F081B" w:rsidRPr="006F081B">
      <w:rPr>
        <w:sz w:val="20"/>
        <w:szCs w:val="20"/>
      </w:rPr>
      <w:t>202</w:t>
    </w:r>
    <w:r w:rsidR="006877A2">
      <w:rPr>
        <w:sz w:val="20"/>
        <w:szCs w:val="20"/>
      </w:rPr>
      <w:t>1</w:t>
    </w:r>
    <w:r w:rsidRPr="006F081B">
      <w:rPr>
        <w:sz w:val="20"/>
        <w:szCs w:val="20"/>
      </w:rPr>
      <w:t>_FMnolikums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ECE44" w14:textId="77777777" w:rsidR="00B652F2" w:rsidRDefault="00B652F2" w:rsidP="00B652F2">
      <w:r>
        <w:separator/>
      </w:r>
    </w:p>
  </w:footnote>
  <w:footnote w:type="continuationSeparator" w:id="0">
    <w:p w14:paraId="75974737" w14:textId="77777777" w:rsidR="00B652F2" w:rsidRDefault="00B652F2" w:rsidP="00B65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588"/>
    <w:rsid w:val="00013B36"/>
    <w:rsid w:val="00041335"/>
    <w:rsid w:val="001459E3"/>
    <w:rsid w:val="00195793"/>
    <w:rsid w:val="0019654C"/>
    <w:rsid w:val="002040D8"/>
    <w:rsid w:val="00290413"/>
    <w:rsid w:val="00293301"/>
    <w:rsid w:val="00336829"/>
    <w:rsid w:val="00411396"/>
    <w:rsid w:val="004A5410"/>
    <w:rsid w:val="00605B9E"/>
    <w:rsid w:val="00612932"/>
    <w:rsid w:val="006877A2"/>
    <w:rsid w:val="006B700B"/>
    <w:rsid w:val="006F081B"/>
    <w:rsid w:val="00727E37"/>
    <w:rsid w:val="0078050A"/>
    <w:rsid w:val="00814A33"/>
    <w:rsid w:val="00815E47"/>
    <w:rsid w:val="00836FF8"/>
    <w:rsid w:val="008E7339"/>
    <w:rsid w:val="009314A4"/>
    <w:rsid w:val="0095667D"/>
    <w:rsid w:val="00984DE9"/>
    <w:rsid w:val="00997827"/>
    <w:rsid w:val="00A043B5"/>
    <w:rsid w:val="00AB006A"/>
    <w:rsid w:val="00AB640F"/>
    <w:rsid w:val="00B46E24"/>
    <w:rsid w:val="00B652F2"/>
    <w:rsid w:val="00B94112"/>
    <w:rsid w:val="00BB0706"/>
    <w:rsid w:val="00BD5588"/>
    <w:rsid w:val="00C22A34"/>
    <w:rsid w:val="00C84BE6"/>
    <w:rsid w:val="00C9778D"/>
    <w:rsid w:val="00D210DF"/>
    <w:rsid w:val="00D875DC"/>
    <w:rsid w:val="00E44472"/>
    <w:rsid w:val="00E71E07"/>
    <w:rsid w:val="00F15DE5"/>
    <w:rsid w:val="00F2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D83B"/>
  <w15:docId w15:val="{4FE732A8-C4B4-48AB-AC7A-58F496D5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5588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D5588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BD5588"/>
    <w:rPr>
      <w:color w:val="0000FF"/>
      <w:u w:val="single"/>
    </w:rPr>
  </w:style>
  <w:style w:type="paragraph" w:styleId="NoSpacing">
    <w:name w:val="No Spacing"/>
    <w:uiPriority w:val="1"/>
    <w:qFormat/>
    <w:rsid w:val="0095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956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5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E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E4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E4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E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E47"/>
    <w:rPr>
      <w:rFonts w:ascii="Segoe UI" w:eastAsia="Times New Roman" w:hAnsi="Segoe UI" w:cs="Segoe UI"/>
      <w:sz w:val="18"/>
      <w:szCs w:val="18"/>
      <w:lang w:eastAsia="lv-LV"/>
    </w:rPr>
  </w:style>
  <w:style w:type="paragraph" w:styleId="NormalWeb">
    <w:name w:val="Normal (Web)"/>
    <w:basedOn w:val="Normal"/>
    <w:uiPriority w:val="99"/>
    <w:unhideWhenUsed/>
    <w:rsid w:val="00B652F2"/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B652F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2F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B652F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2F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9978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4D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mk.gov.lv/lv/ministru-kabineta-diskusiju-dokumenti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m.gov.lv/lv/mk-noteikumu-projekts-grozijumi-ministru-kabineta-2003-gada-29-aprila-noteikumos-nr-239-finansu-ministrijas-no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d_x012b_t_x0101_js xmlns="2e5bb04e-596e-45bd-9003-43ca78b1ba16">E.Strazdiņa (JD)</Vad_x012b_t_x0101_js>
    <NPK xmlns="b6da864e-06a3-40ee-a61e-0cd067b16413">3</NPK>
    <Kategorija xmlns="2e5bb04e-596e-45bd-9003-43ca78b1ba16">Anotācija</Kategorija>
    <DKP xmlns="2e5bb04e-596e-45bd-9003-43ca78b1ba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DC893E7AF5C747B4CCAAAFF895F576" ma:contentTypeVersion="" ma:contentTypeDescription="Izveidot jaunu dokumentu." ma:contentTypeScope="" ma:versionID="9f1539b3d5108452a9ea80bfe0519997">
  <xsd:schema xmlns:xsd="http://www.w3.org/2001/XMLSchema" xmlns:xs="http://www.w3.org/2001/XMLSchema" xmlns:p="http://schemas.microsoft.com/office/2006/metadata/properties" xmlns:ns1="2e5bb04e-596e-45bd-9003-43ca78b1ba16" xmlns:ns4="b6da864e-06a3-40ee-a61e-0cd067b16413" targetNamespace="http://schemas.microsoft.com/office/2006/metadata/properties" ma:root="true" ma:fieldsID="e9eed20271ecb2536a695533ff28fcf1" ns1:_="" ns4:_="">
    <xsd:import namespace="2e5bb04e-596e-45bd-9003-43ca78b1ba16"/>
    <xsd:import namespace="b6da864e-06a3-40ee-a61e-0cd067b16413"/>
    <xsd:element name="properties">
      <xsd:complexType>
        <xsd:sequence>
          <xsd:element name="documentManagement">
            <xsd:complexType>
              <xsd:all>
                <xsd:element ref="ns1:DKP" minOccurs="0"/>
                <xsd:element ref="ns1:Kategorija"/>
                <xsd:element ref="ns1:Vad_x012b_t_x0101_js" minOccurs="0"/>
                <xsd:element ref="ns4:NP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bb04e-596e-45bd-9003-43ca78b1ba16" elementFormDefault="qualified">
    <xsd:import namespace="http://schemas.microsoft.com/office/2006/documentManagement/types"/>
    <xsd:import namespace="http://schemas.microsoft.com/office/infopath/2007/PartnerControls"/>
    <xsd:element name="DKP" ma:index="0" nillable="true" ma:displayName="TAP" ma:list="{23469F43-269A-47E0-8057-9F80EA2D130B}" ma:internalName="DKP" ma:readOnly="false" ma:showField="NPK">
      <xsd:simpleType>
        <xsd:restriction base="dms:Lookup"/>
      </xsd:simpleType>
    </xsd:element>
    <xsd:element name="Kategorija" ma:index="3" ma:displayName="Kategorija" ma:default="Likumprojekts" ma:format="Dropdown" ma:internalName="Kategorija">
      <xsd:simpleType>
        <xsd:union memberTypes="dms:Text">
          <xsd:simpleType>
            <xsd:restriction base="dms:Choice">
              <xsd:enumeration value="Likumprojekts"/>
              <xsd:enumeration value="MK ieteikumu projekts"/>
              <xsd:enumeration value="MK instrukcijas projekts"/>
              <xsd:enumeration value="MK noteikumu projekts"/>
              <xsd:enumeration value="MK protokollēmuma projekts"/>
              <xsd:enumeration value="Saeimas lēmumprojekts"/>
              <xsd:enumeration value="Starptautiskā līguma projekts"/>
              <xsd:enumeration value="Koncepcijas projekts"/>
              <xsd:enumeration value="Pamatnostādņu projekts"/>
              <xsd:enumeration value="Plāna projekts"/>
              <xsd:enumeration value="Programmas projekts"/>
              <xsd:enumeration value="Tiešās pārvaldes iestādes darbības stratēģijas projekts"/>
              <xsd:enumeration value="Nacionālās pozīcijas projekts"/>
              <xsd:enumeration value="Nostājas projekts"/>
              <xsd:enumeration value="Informatīvais ziņojums"/>
              <xsd:enumeration value="MK rīkojuma projekts"/>
              <xsd:enumeration value="MP rīkojuma projekts"/>
              <xsd:enumeration value="Anotācija"/>
              <xsd:enumeration value="Iebildums par protokolu"/>
              <xsd:enumeration value="Paskaidrojuma raksts"/>
              <xsd:enumeration value="Pavadvēstule"/>
              <xsd:enumeration value="Politikas dokumenta kopsavilkums"/>
              <xsd:enumeration value="Politikas dokumenta satura rādītājs"/>
              <xsd:enumeration value="Darba kārtība"/>
              <xsd:enumeration value="Protokols"/>
              <xsd:enumeration value="Informācija"/>
              <xsd:enumeration value="Pieteikums VSS"/>
            </xsd:restriction>
          </xsd:simpleType>
        </xsd:union>
      </xsd:simpleType>
    </xsd:element>
    <xsd:element name="Vad_x012b_t_x0101_js" ma:index="4" nillable="true" ma:displayName="Vadītājs" ma:internalName="Vad_x012b_t_x0101_j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864e-06a3-40ee-a61e-0cd067b16413" elementFormDefault="qualified">
    <xsd:import namespace="http://schemas.microsoft.com/office/2006/documentManagement/types"/>
    <xsd:import namespace="http://schemas.microsoft.com/office/infopath/2007/PartnerControls"/>
    <xsd:element name="NPK" ma:index="12" nillable="true" ma:displayName="NPK" ma:default="1" ma:format="Dropdown" ma:internalName="NPK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A67B23-25BE-4EDB-8626-8C7884823675}">
  <ds:schemaRefs>
    <ds:schemaRef ds:uri="2e5bb04e-596e-45bd-9003-43ca78b1ba16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b6da864e-06a3-40ee-a61e-0cd067b1641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90869BE-3769-40E1-9667-E4E6B3718E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DA51C-4597-49B0-968D-2C15E8BBC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bb04e-596e-45bd-9003-43ca78b1ba16"/>
    <ds:schemaRef ds:uri="b6da864e-06a3-40ee-a61e-0cd067b16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3044</Words>
  <Characters>1736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L,Vucēne (JD)</dc:creator>
  <cp:lastModifiedBy>Inguna Dancīte</cp:lastModifiedBy>
  <cp:revision>2</cp:revision>
  <dcterms:created xsi:type="dcterms:W3CDTF">2021-06-10T13:57:00Z</dcterms:created>
  <dcterms:modified xsi:type="dcterms:W3CDTF">2021-06-10T13:57:00Z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0x01010078DC893E7AF5C747B4CCAAAFF895F576</vt:lpwstr>
  </property>
</Properties>
</file>