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0E" w:rsidRPr="00B361B7" w:rsidRDefault="00BA1F0E" w:rsidP="00BA1F0E">
      <w:pPr>
        <w:jc w:val="right"/>
        <w:rPr>
          <w:rFonts w:ascii="Times New Roman" w:eastAsia="Times New Roman" w:hAnsi="Times New Roman" w:cs="Times New Roman"/>
          <w:sz w:val="28"/>
          <w:szCs w:val="28"/>
          <w:lang w:val="lv-LV" w:eastAsia="lv-LV"/>
        </w:rPr>
      </w:pPr>
      <w:r w:rsidRPr="00B361B7">
        <w:rPr>
          <w:rFonts w:ascii="Times New Roman" w:eastAsia="Times New Roman" w:hAnsi="Times New Roman" w:cs="Times New Roman"/>
          <w:sz w:val="28"/>
          <w:szCs w:val="28"/>
          <w:lang w:val="lv-LV" w:eastAsia="lv-LV"/>
        </w:rPr>
        <w:t>1. pielikums</w:t>
      </w:r>
    </w:p>
    <w:p w:rsidR="00BA1F0E" w:rsidRPr="00B361B7" w:rsidRDefault="00BA1F0E" w:rsidP="00BA1F0E">
      <w:pPr>
        <w:jc w:val="right"/>
        <w:rPr>
          <w:rFonts w:ascii="Times New Roman" w:eastAsia="Times New Roman" w:hAnsi="Times New Roman" w:cs="Times New Roman"/>
          <w:sz w:val="28"/>
          <w:szCs w:val="28"/>
          <w:lang w:val="lv-LV" w:eastAsia="lv-LV"/>
        </w:rPr>
      </w:pPr>
      <w:r w:rsidRPr="00B361B7">
        <w:rPr>
          <w:rFonts w:ascii="Times New Roman" w:eastAsia="Times New Roman" w:hAnsi="Times New Roman" w:cs="Times New Roman"/>
          <w:sz w:val="28"/>
          <w:szCs w:val="28"/>
          <w:lang w:val="lv-LV" w:eastAsia="lv-LV"/>
        </w:rPr>
        <w:t>Ministru kabineta</w:t>
      </w:r>
    </w:p>
    <w:p w:rsidR="00BA1F0E" w:rsidRPr="00B361B7" w:rsidRDefault="00BA1F0E" w:rsidP="00BA1F0E">
      <w:pPr>
        <w:jc w:val="right"/>
        <w:rPr>
          <w:rFonts w:ascii="Times New Roman" w:eastAsia="Times New Roman" w:hAnsi="Times New Roman" w:cs="Times New Roman"/>
          <w:sz w:val="28"/>
          <w:szCs w:val="28"/>
          <w:lang w:val="lv-LV" w:eastAsia="lv-LV"/>
        </w:rPr>
      </w:pPr>
      <w:r w:rsidRPr="00B361B7">
        <w:rPr>
          <w:rFonts w:ascii="Times New Roman" w:eastAsia="Times New Roman" w:hAnsi="Times New Roman" w:cs="Times New Roman"/>
          <w:sz w:val="28"/>
          <w:szCs w:val="28"/>
          <w:lang w:val="lv-LV" w:eastAsia="lv-LV"/>
        </w:rPr>
        <w:t xml:space="preserve">2018. gada 10. aprīļa </w:t>
      </w:r>
    </w:p>
    <w:p w:rsidR="00BA1F0E" w:rsidRDefault="00BA1F0E" w:rsidP="00BA1F0E">
      <w:pPr>
        <w:jc w:val="right"/>
        <w:rPr>
          <w:rFonts w:ascii="Times New Roman" w:eastAsia="Times New Roman" w:hAnsi="Times New Roman" w:cs="Times New Roman"/>
          <w:sz w:val="28"/>
          <w:szCs w:val="28"/>
          <w:lang w:val="lv-LV" w:eastAsia="lv-LV"/>
        </w:rPr>
      </w:pPr>
      <w:r w:rsidRPr="00B361B7">
        <w:rPr>
          <w:rFonts w:ascii="Times New Roman" w:eastAsia="Times New Roman" w:hAnsi="Times New Roman" w:cs="Times New Roman"/>
          <w:sz w:val="28"/>
          <w:szCs w:val="28"/>
          <w:lang w:val="lv-LV" w:eastAsia="lv-LV"/>
        </w:rPr>
        <w:t>instrukcijai Nr. 2</w:t>
      </w:r>
    </w:p>
    <w:p w:rsidR="00C77A57" w:rsidRPr="00B361B7" w:rsidRDefault="00C77A57" w:rsidP="00BA1F0E">
      <w:pPr>
        <w:jc w:val="right"/>
        <w:rPr>
          <w:rFonts w:ascii="Times New Roman" w:eastAsia="Times New Roman" w:hAnsi="Times New Roman" w:cs="Times New Roman"/>
          <w:sz w:val="28"/>
          <w:szCs w:val="28"/>
          <w:lang w:val="lv-LV" w:eastAsia="lv-LV"/>
        </w:rPr>
      </w:pPr>
    </w:p>
    <w:p w:rsidR="00BA1F0E" w:rsidRPr="00B361B7" w:rsidRDefault="00BA1F0E" w:rsidP="00BA1F0E">
      <w:pPr>
        <w:ind w:firstLine="720"/>
        <w:jc w:val="both"/>
        <w:rPr>
          <w:rFonts w:ascii="Times New Roman" w:eastAsia="Times New Roman" w:hAnsi="Times New Roman" w:cs="Times New Roman"/>
          <w:sz w:val="28"/>
          <w:szCs w:val="28"/>
          <w:lang w:val="lv-LV" w:eastAsia="lv-LV"/>
        </w:rPr>
      </w:pPr>
    </w:p>
    <w:p w:rsidR="00BA1F0E" w:rsidRPr="00B361B7" w:rsidRDefault="00BA1F0E" w:rsidP="00BA1F0E">
      <w:pPr>
        <w:tabs>
          <w:tab w:val="left" w:pos="5387"/>
        </w:tabs>
        <w:rPr>
          <w:rFonts w:ascii="Times New Roman" w:eastAsia="Times New Roman" w:hAnsi="Times New Roman" w:cs="Times New Roman"/>
          <w:sz w:val="24"/>
          <w:szCs w:val="24"/>
          <w:u w:val="single"/>
          <w:lang w:val="lv-LV" w:eastAsia="lv-LV"/>
        </w:rPr>
      </w:pPr>
      <w:r w:rsidRPr="00B361B7">
        <w:rPr>
          <w:rFonts w:ascii="Times New Roman" w:eastAsia="Times New Roman" w:hAnsi="Times New Roman" w:cs="Times New Roman"/>
          <w:sz w:val="24"/>
          <w:szCs w:val="24"/>
          <w:u w:val="single"/>
          <w:lang w:val="lv-LV" w:eastAsia="lv-LV"/>
        </w:rPr>
        <w:tab/>
      </w:r>
    </w:p>
    <w:p w:rsidR="00BA1F0E" w:rsidRPr="00B361B7" w:rsidRDefault="00BA1F0E" w:rsidP="00BA1F0E">
      <w:pPr>
        <w:ind w:firstLine="567"/>
        <w:rPr>
          <w:rFonts w:ascii="Times New Roman" w:eastAsia="Times New Roman" w:hAnsi="Times New Roman" w:cs="Times New Roman"/>
          <w:sz w:val="20"/>
          <w:szCs w:val="20"/>
          <w:lang w:val="lv-LV" w:eastAsia="lv-LV"/>
        </w:rPr>
      </w:pPr>
      <w:r w:rsidRPr="00B361B7">
        <w:rPr>
          <w:rFonts w:ascii="Times New Roman" w:eastAsia="Times New Roman" w:hAnsi="Times New Roman" w:cs="Times New Roman"/>
          <w:sz w:val="20"/>
          <w:szCs w:val="20"/>
          <w:lang w:val="lv-LV" w:eastAsia="lv-LV"/>
        </w:rPr>
        <w:t>(ministrijas, citas centrālās valsts iestādes nosaukums)</w:t>
      </w:r>
    </w:p>
    <w:p w:rsidR="00BA1F0E" w:rsidRPr="00B361B7" w:rsidRDefault="00BA1F0E" w:rsidP="00BA1F0E">
      <w:pPr>
        <w:ind w:firstLine="720"/>
        <w:jc w:val="both"/>
        <w:rPr>
          <w:rFonts w:ascii="Times New Roman" w:eastAsia="Times New Roman" w:hAnsi="Times New Roman" w:cs="Times New Roman"/>
          <w:sz w:val="28"/>
          <w:szCs w:val="28"/>
          <w:lang w:val="lv-LV" w:eastAsia="lv-LV"/>
        </w:rPr>
      </w:pPr>
    </w:p>
    <w:p w:rsidR="00186766" w:rsidRPr="00186766" w:rsidRDefault="00186766" w:rsidP="00BA1F0E">
      <w:pPr>
        <w:jc w:val="center"/>
        <w:rPr>
          <w:rFonts w:ascii="Times New Roman" w:hAnsi="Times New Roman" w:cs="Times New Roman"/>
          <w:b/>
          <w:sz w:val="16"/>
          <w:szCs w:val="16"/>
          <w:lang w:val="lv-LV"/>
        </w:rPr>
      </w:pPr>
    </w:p>
    <w:p w:rsidR="00BA1F0E" w:rsidRPr="00B361B7" w:rsidRDefault="00BA1F0E" w:rsidP="00BA1F0E">
      <w:pPr>
        <w:jc w:val="center"/>
        <w:rPr>
          <w:rFonts w:ascii="Times New Roman" w:hAnsi="Times New Roman" w:cs="Times New Roman"/>
          <w:b/>
          <w:sz w:val="28"/>
          <w:szCs w:val="28"/>
          <w:lang w:val="lv-LV"/>
        </w:rPr>
      </w:pPr>
      <w:r w:rsidRPr="00B361B7">
        <w:rPr>
          <w:rFonts w:ascii="Times New Roman" w:hAnsi="Times New Roman" w:cs="Times New Roman"/>
          <w:b/>
          <w:sz w:val="28"/>
          <w:szCs w:val="28"/>
          <w:lang w:val="lv-LV"/>
        </w:rPr>
        <w:t>Paskaidrojums par valsts budžeta izpildi 20__. gada __ mēnešos</w:t>
      </w:r>
    </w:p>
    <w:p w:rsidR="00BA1F0E" w:rsidRPr="00B361B7" w:rsidRDefault="00BA1F0E" w:rsidP="00BA1F0E">
      <w:pPr>
        <w:ind w:firstLine="720"/>
        <w:jc w:val="both"/>
        <w:rPr>
          <w:rFonts w:ascii="Times New Roman" w:eastAsia="Times New Roman" w:hAnsi="Times New Roman" w:cs="Times New Roman"/>
          <w:sz w:val="28"/>
          <w:szCs w:val="28"/>
          <w:lang w:val="lv-LV" w:eastAsia="lv-LV"/>
        </w:rPr>
      </w:pPr>
    </w:p>
    <w:p w:rsidR="00BA1F0E" w:rsidRPr="00B361B7" w:rsidRDefault="00BA1F0E" w:rsidP="00BA1F0E">
      <w:pPr>
        <w:jc w:val="both"/>
        <w:rPr>
          <w:rFonts w:ascii="Times New Roman" w:hAnsi="Times New Roman" w:cs="Times New Roman"/>
          <w:b/>
          <w:sz w:val="24"/>
          <w:szCs w:val="24"/>
          <w:lang w:val="lv-LV"/>
        </w:rPr>
      </w:pPr>
      <w:bookmarkStart w:id="0" w:name="_Hlk74233240"/>
      <w:r w:rsidRPr="00B361B7">
        <w:rPr>
          <w:rFonts w:ascii="Times New Roman" w:hAnsi="Times New Roman" w:cs="Times New Roman"/>
          <w:b/>
          <w:sz w:val="24"/>
          <w:szCs w:val="24"/>
          <w:lang w:val="lv-LV"/>
        </w:rPr>
        <w:t>Galvenie pārskata perioda pasākumi, kuriem ir novirzīti ministrijas izdevumi</w:t>
      </w:r>
      <w:bookmarkEnd w:id="0"/>
      <w:r w:rsidRPr="00B361B7">
        <w:rPr>
          <w:rFonts w:ascii="Times New Roman" w:hAnsi="Times New Roman" w:cs="Times New Roman"/>
          <w:b/>
          <w:sz w:val="24"/>
          <w:szCs w:val="24"/>
          <w:lang w:val="lv-LV"/>
        </w:rPr>
        <w:t>:</w:t>
      </w:r>
    </w:p>
    <w:p w:rsidR="00BA1F0E" w:rsidRPr="00B361B7" w:rsidRDefault="00BA1F0E" w:rsidP="00BA1F0E">
      <w:pPr>
        <w:pStyle w:val="ListParagraph"/>
        <w:numPr>
          <w:ilvl w:val="0"/>
          <w:numId w:val="1"/>
        </w:numPr>
        <w:jc w:val="both"/>
        <w:rPr>
          <w:rFonts w:ascii="Times New Roman" w:hAnsi="Times New Roman" w:cs="Times New Roman"/>
          <w:sz w:val="24"/>
          <w:szCs w:val="24"/>
          <w:lang w:val="lv-LV"/>
        </w:rPr>
      </w:pPr>
      <w:r w:rsidRPr="00B361B7">
        <w:rPr>
          <w:rFonts w:ascii="Times New Roman" w:hAnsi="Times New Roman" w:cs="Times New Roman"/>
          <w:sz w:val="24"/>
          <w:szCs w:val="24"/>
          <w:lang w:val="lv-LV"/>
        </w:rPr>
        <w:t>…</w:t>
      </w:r>
    </w:p>
    <w:p w:rsidR="00BA1F0E" w:rsidRPr="00B361B7" w:rsidRDefault="00BA1F0E" w:rsidP="00BA1F0E">
      <w:pPr>
        <w:pStyle w:val="ListParagraph"/>
        <w:numPr>
          <w:ilvl w:val="0"/>
          <w:numId w:val="1"/>
        </w:numPr>
        <w:jc w:val="both"/>
        <w:rPr>
          <w:rFonts w:ascii="Times New Roman" w:hAnsi="Times New Roman" w:cs="Times New Roman"/>
          <w:sz w:val="24"/>
          <w:szCs w:val="24"/>
          <w:lang w:val="lv-LV"/>
        </w:rPr>
      </w:pPr>
      <w:r w:rsidRPr="00B361B7">
        <w:rPr>
          <w:rFonts w:ascii="Times New Roman" w:hAnsi="Times New Roman" w:cs="Times New Roman"/>
          <w:sz w:val="24"/>
          <w:szCs w:val="24"/>
          <w:lang w:val="lv-LV"/>
        </w:rPr>
        <w:t>…</w:t>
      </w:r>
    </w:p>
    <w:p w:rsidR="00BA1F0E" w:rsidRPr="00B361B7" w:rsidRDefault="00BA1F0E" w:rsidP="00BA1F0E">
      <w:pPr>
        <w:pStyle w:val="ListParagraph"/>
        <w:numPr>
          <w:ilvl w:val="0"/>
          <w:numId w:val="1"/>
        </w:numPr>
        <w:jc w:val="both"/>
        <w:rPr>
          <w:rFonts w:ascii="Times New Roman" w:hAnsi="Times New Roman" w:cs="Times New Roman"/>
          <w:sz w:val="24"/>
          <w:szCs w:val="24"/>
          <w:lang w:val="lv-LV"/>
        </w:rPr>
      </w:pPr>
      <w:r w:rsidRPr="00B361B7">
        <w:rPr>
          <w:rFonts w:ascii="Times New Roman" w:hAnsi="Times New Roman" w:cs="Times New Roman"/>
          <w:sz w:val="24"/>
          <w:szCs w:val="24"/>
          <w:lang w:val="lv-LV"/>
        </w:rPr>
        <w:t>…</w:t>
      </w:r>
    </w:p>
    <w:p w:rsidR="00BA1F0E" w:rsidRPr="00B361B7" w:rsidRDefault="00BA1F0E" w:rsidP="00BA1F0E">
      <w:pPr>
        <w:jc w:val="both"/>
        <w:rPr>
          <w:rFonts w:ascii="Times New Roman" w:hAnsi="Times New Roman" w:cs="Times New Roman"/>
          <w:bCs/>
          <w:sz w:val="24"/>
          <w:szCs w:val="24"/>
          <w:lang w:val="lv-LV"/>
        </w:rPr>
      </w:pPr>
    </w:p>
    <w:p w:rsidR="00BA1F0E" w:rsidRPr="00B361B7" w:rsidRDefault="00BA1F0E" w:rsidP="00BA1F0E">
      <w:pPr>
        <w:jc w:val="both"/>
        <w:rPr>
          <w:rFonts w:ascii="Times New Roman" w:hAnsi="Times New Roman" w:cs="Times New Roman"/>
          <w:b/>
          <w:sz w:val="24"/>
          <w:szCs w:val="24"/>
          <w:lang w:val="lv-LV"/>
        </w:rPr>
      </w:pPr>
      <w:bookmarkStart w:id="1" w:name="_Hlk74233270"/>
      <w:r w:rsidRPr="00B361B7">
        <w:rPr>
          <w:rFonts w:ascii="Times New Roman" w:hAnsi="Times New Roman" w:cs="Times New Roman"/>
          <w:b/>
          <w:sz w:val="24"/>
          <w:szCs w:val="24"/>
          <w:lang w:val="lv-LV"/>
        </w:rPr>
        <w:t>Galvenie pārskata perioda pasākumi, kuri ir ietekmējuši ministrijas izdevumu plāna neizpildi</w:t>
      </w:r>
      <w:bookmarkEnd w:id="1"/>
      <w:r w:rsidRPr="00B361B7">
        <w:rPr>
          <w:rFonts w:ascii="Times New Roman" w:hAnsi="Times New Roman" w:cs="Times New Roman"/>
          <w:b/>
          <w:sz w:val="24"/>
          <w:szCs w:val="24"/>
          <w:lang w:val="lv-LV"/>
        </w:rPr>
        <w:t>:</w:t>
      </w:r>
    </w:p>
    <w:p w:rsidR="00BA1F0E" w:rsidRPr="00B361B7" w:rsidRDefault="00BA1F0E" w:rsidP="00BA1F0E">
      <w:pPr>
        <w:pStyle w:val="ListParagraph"/>
        <w:numPr>
          <w:ilvl w:val="0"/>
          <w:numId w:val="2"/>
        </w:numPr>
        <w:jc w:val="both"/>
        <w:rPr>
          <w:rFonts w:ascii="Times New Roman" w:hAnsi="Times New Roman" w:cs="Times New Roman"/>
          <w:sz w:val="24"/>
          <w:szCs w:val="24"/>
          <w:lang w:val="lv-LV"/>
        </w:rPr>
      </w:pPr>
      <w:r w:rsidRPr="00B361B7">
        <w:rPr>
          <w:rFonts w:ascii="Times New Roman" w:hAnsi="Times New Roman" w:cs="Times New Roman"/>
          <w:sz w:val="24"/>
          <w:szCs w:val="24"/>
          <w:lang w:val="lv-LV"/>
        </w:rPr>
        <w:t>…</w:t>
      </w:r>
      <w:bookmarkStart w:id="2" w:name="_GoBack"/>
      <w:bookmarkEnd w:id="2"/>
    </w:p>
    <w:p w:rsidR="00BA1F0E" w:rsidRPr="00B361B7" w:rsidRDefault="00BA1F0E" w:rsidP="00BA1F0E">
      <w:pPr>
        <w:pStyle w:val="ListParagraph"/>
        <w:numPr>
          <w:ilvl w:val="0"/>
          <w:numId w:val="2"/>
        </w:numPr>
        <w:jc w:val="both"/>
        <w:rPr>
          <w:rFonts w:ascii="Times New Roman" w:hAnsi="Times New Roman" w:cs="Times New Roman"/>
          <w:sz w:val="24"/>
          <w:szCs w:val="24"/>
          <w:lang w:val="lv-LV"/>
        </w:rPr>
      </w:pPr>
      <w:r w:rsidRPr="00B361B7">
        <w:rPr>
          <w:rFonts w:ascii="Times New Roman" w:hAnsi="Times New Roman" w:cs="Times New Roman"/>
          <w:sz w:val="24"/>
          <w:szCs w:val="24"/>
          <w:lang w:val="lv-LV"/>
        </w:rPr>
        <w:t>…</w:t>
      </w:r>
    </w:p>
    <w:p w:rsidR="00BA1F0E" w:rsidRPr="00B361B7" w:rsidRDefault="00BA1F0E" w:rsidP="00BA1F0E">
      <w:pPr>
        <w:pStyle w:val="ListParagraph"/>
        <w:numPr>
          <w:ilvl w:val="0"/>
          <w:numId w:val="2"/>
        </w:numPr>
        <w:jc w:val="both"/>
        <w:rPr>
          <w:rFonts w:ascii="Times New Roman" w:hAnsi="Times New Roman" w:cs="Times New Roman"/>
          <w:sz w:val="24"/>
          <w:szCs w:val="24"/>
          <w:lang w:val="lv-LV"/>
        </w:rPr>
      </w:pPr>
      <w:r w:rsidRPr="00B361B7">
        <w:rPr>
          <w:rFonts w:ascii="Times New Roman" w:hAnsi="Times New Roman" w:cs="Times New Roman"/>
          <w:sz w:val="24"/>
          <w:szCs w:val="24"/>
          <w:lang w:val="lv-LV"/>
        </w:rPr>
        <w:t>…</w:t>
      </w:r>
    </w:p>
    <w:p w:rsidR="00BA1F0E" w:rsidRDefault="00BA1F0E" w:rsidP="00BA1F0E">
      <w:pPr>
        <w:jc w:val="both"/>
        <w:rPr>
          <w:rFonts w:ascii="Times New Roman" w:hAnsi="Times New Roman" w:cs="Times New Roman"/>
          <w:sz w:val="24"/>
          <w:szCs w:val="24"/>
          <w:lang w:val="lv-LV"/>
        </w:rPr>
      </w:pPr>
    </w:p>
    <w:p w:rsidR="00BA1F0E" w:rsidRPr="00B361B7" w:rsidRDefault="00BA1F0E" w:rsidP="00BA1F0E">
      <w:pPr>
        <w:tabs>
          <w:tab w:val="left" w:pos="0"/>
        </w:tabs>
        <w:rPr>
          <w:rFonts w:ascii="Times New Roman" w:hAnsi="Times New Roman" w:cs="Times New Roman"/>
          <w:i/>
          <w:sz w:val="24"/>
          <w:szCs w:val="24"/>
          <w:lang w:val="lv-LV"/>
        </w:rPr>
      </w:pPr>
      <w:r w:rsidRPr="00B361B7">
        <w:rPr>
          <w:rFonts w:ascii="Times New Roman" w:hAnsi="Times New Roman" w:cs="Times New Roman"/>
          <w:b/>
          <w:sz w:val="24"/>
          <w:szCs w:val="24"/>
          <w:lang w:val="lv-LV"/>
        </w:rPr>
        <w:t>I. Valsts pamatfunkciju īstenošana</w:t>
      </w:r>
      <w:r w:rsidRPr="00B361B7">
        <w:rPr>
          <w:rFonts w:ascii="Times New Roman" w:hAnsi="Times New Roman" w:cs="Times New Roman"/>
          <w:i/>
          <w:sz w:val="24"/>
          <w:szCs w:val="24"/>
          <w:lang w:val="lv-LV"/>
        </w:rPr>
        <w:t xml:space="preserve"> </w:t>
      </w:r>
    </w:p>
    <w:p w:rsidR="00BA1F0E" w:rsidRPr="00B361B7" w:rsidRDefault="00BA1F0E" w:rsidP="00BA1F0E">
      <w:pPr>
        <w:tabs>
          <w:tab w:val="left" w:pos="0"/>
        </w:tabs>
        <w:rPr>
          <w:rFonts w:ascii="Times New Roman" w:hAnsi="Times New Roman" w:cs="Times New Roman"/>
          <w:bCs/>
          <w:sz w:val="24"/>
          <w:szCs w:val="24"/>
          <w:lang w:val="lv-LV"/>
        </w:rPr>
      </w:pPr>
    </w:p>
    <w:tbl>
      <w:tblPr>
        <w:tblStyle w:val="TableGrid"/>
        <w:tblW w:w="14709" w:type="dxa"/>
        <w:tblInd w:w="-113" w:type="dxa"/>
        <w:tblLook w:val="04A0" w:firstRow="1" w:lastRow="0" w:firstColumn="1" w:lastColumn="0" w:noHBand="0" w:noVBand="1"/>
      </w:tblPr>
      <w:tblGrid>
        <w:gridCol w:w="6912"/>
        <w:gridCol w:w="7797"/>
      </w:tblGrid>
      <w:tr w:rsidR="00BA1F0E" w:rsidRPr="00B361B7" w:rsidTr="00C77A57">
        <w:trPr>
          <w:trHeight w:val="838"/>
        </w:trPr>
        <w:tc>
          <w:tcPr>
            <w:tcW w:w="14709" w:type="dxa"/>
            <w:gridSpan w:val="2"/>
          </w:tcPr>
          <w:p w:rsidR="00BA1F0E" w:rsidRPr="00B361B7" w:rsidRDefault="00BA1F0E" w:rsidP="00D1096C">
            <w:pPr>
              <w:tabs>
                <w:tab w:val="left" w:pos="993"/>
              </w:tabs>
              <w:spacing w:before="60"/>
              <w:rPr>
                <w:rFonts w:ascii="Times New Roman" w:hAnsi="Times New Roman" w:cs="Times New Roman"/>
                <w:b/>
                <w:lang w:val="lv-LV"/>
              </w:rPr>
            </w:pPr>
            <w:r w:rsidRPr="00B361B7">
              <w:rPr>
                <w:rFonts w:ascii="Times New Roman" w:hAnsi="Times New Roman" w:cs="Times New Roman"/>
                <w:b/>
                <w:lang w:val="lv-LV"/>
              </w:rPr>
              <w:t>Programma</w:t>
            </w:r>
            <w:r>
              <w:rPr>
                <w:rFonts w:ascii="Times New Roman" w:hAnsi="Times New Roman" w:cs="Times New Roman"/>
                <w:b/>
                <w:lang w:val="lv-LV"/>
              </w:rPr>
              <w:t>s</w:t>
            </w:r>
            <w:r w:rsidRPr="00B361B7">
              <w:rPr>
                <w:rFonts w:ascii="Times New Roman" w:hAnsi="Times New Roman" w:cs="Times New Roman"/>
                <w:b/>
                <w:lang w:val="lv-LV"/>
              </w:rPr>
              <w:t>/apakšprogramma</w:t>
            </w:r>
            <w:r>
              <w:rPr>
                <w:rFonts w:ascii="Times New Roman" w:hAnsi="Times New Roman" w:cs="Times New Roman"/>
                <w:b/>
                <w:lang w:val="lv-LV"/>
              </w:rPr>
              <w:t xml:space="preserve">s </w:t>
            </w:r>
            <w:r w:rsidRPr="00B361B7">
              <w:rPr>
                <w:rFonts w:ascii="Times New Roman" w:hAnsi="Times New Roman" w:cs="Times New Roman"/>
                <w:b/>
                <w:lang w:val="lv-LV"/>
              </w:rPr>
              <w:t>kods</w:t>
            </w:r>
            <w:r>
              <w:rPr>
                <w:rFonts w:ascii="Times New Roman" w:hAnsi="Times New Roman" w:cs="Times New Roman"/>
                <w:b/>
                <w:lang w:val="lv-LV"/>
              </w:rPr>
              <w:t xml:space="preserve"> un </w:t>
            </w:r>
            <w:r w:rsidRPr="00B361B7">
              <w:rPr>
                <w:rFonts w:ascii="Times New Roman" w:hAnsi="Times New Roman" w:cs="Times New Roman"/>
                <w:b/>
                <w:lang w:val="lv-LV"/>
              </w:rPr>
              <w:t xml:space="preserve">nosaukums: </w:t>
            </w:r>
          </w:p>
          <w:p w:rsidR="00BA1F0E" w:rsidRPr="00B361B7" w:rsidRDefault="00BA1F0E" w:rsidP="00D1096C">
            <w:pPr>
              <w:tabs>
                <w:tab w:val="left" w:pos="13895"/>
                <w:tab w:val="left" w:pos="14075"/>
              </w:tabs>
              <w:spacing w:before="120" w:after="60"/>
              <w:ind w:firstLine="28"/>
              <w:rPr>
                <w:rFonts w:ascii="Times New Roman" w:hAnsi="Times New Roman" w:cs="Times New Roman"/>
                <w:b/>
                <w:lang w:val="lv-LV"/>
              </w:rPr>
            </w:pPr>
            <w:r w:rsidRPr="00B361B7">
              <w:rPr>
                <w:rFonts w:ascii="Times New Roman" w:hAnsi="Times New Roman" w:cs="Times New Roman"/>
                <w:bCs/>
                <w:u w:val="single"/>
                <w:lang w:val="lv-LV"/>
              </w:rPr>
              <w:tab/>
            </w:r>
          </w:p>
        </w:tc>
      </w:tr>
      <w:tr w:rsidR="00BA1F0E" w:rsidRPr="00B361B7" w:rsidTr="00C77A57">
        <w:trPr>
          <w:trHeight w:val="328"/>
        </w:trPr>
        <w:tc>
          <w:tcPr>
            <w:tcW w:w="14709" w:type="dxa"/>
            <w:gridSpan w:val="2"/>
          </w:tcPr>
          <w:p w:rsidR="00BA1F0E" w:rsidRPr="00B361B7" w:rsidRDefault="00BA1F0E" w:rsidP="00D1096C">
            <w:pPr>
              <w:tabs>
                <w:tab w:val="left" w:pos="993"/>
              </w:tabs>
              <w:spacing w:before="60" w:after="60"/>
              <w:rPr>
                <w:rFonts w:ascii="Times New Roman" w:hAnsi="Times New Roman" w:cs="Times New Roman"/>
                <w:b/>
                <w:lang w:val="lv-LV"/>
              </w:rPr>
            </w:pPr>
            <w:r w:rsidRPr="00B361B7">
              <w:rPr>
                <w:rFonts w:ascii="Times New Roman" w:hAnsi="Times New Roman" w:cs="Times New Roman"/>
                <w:b/>
                <w:lang w:val="lv-LV"/>
              </w:rPr>
              <w:t>Paveiktais</w:t>
            </w:r>
          </w:p>
        </w:tc>
      </w:tr>
      <w:tr w:rsidR="00BA1F0E" w:rsidRPr="00186766" w:rsidTr="00C77A57">
        <w:tc>
          <w:tcPr>
            <w:tcW w:w="6912" w:type="dxa"/>
          </w:tcPr>
          <w:p w:rsidR="00BA1F0E" w:rsidRPr="00B361B7" w:rsidRDefault="00BA1F0E" w:rsidP="00D1096C">
            <w:pPr>
              <w:tabs>
                <w:tab w:val="left" w:pos="993"/>
              </w:tabs>
              <w:spacing w:before="60" w:after="60"/>
              <w:ind w:left="227" w:hanging="227"/>
              <w:rPr>
                <w:rFonts w:ascii="Times New Roman" w:hAnsi="Times New Roman" w:cs="Times New Roman"/>
                <w:lang w:val="lv-LV"/>
              </w:rPr>
            </w:pPr>
            <w:r w:rsidRPr="00B361B7">
              <w:rPr>
                <w:rFonts w:ascii="Times New Roman" w:hAnsi="Times New Roman" w:cs="Times New Roman"/>
                <w:lang w:val="lv-LV"/>
              </w:rPr>
              <w:t>1. 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797" w:type="dxa"/>
          </w:tcPr>
          <w:p w:rsidR="00BA1F0E" w:rsidRPr="00B361B7" w:rsidRDefault="00BA1F0E" w:rsidP="00D1096C">
            <w:pPr>
              <w:tabs>
                <w:tab w:val="left" w:pos="993"/>
              </w:tabs>
              <w:spacing w:before="60" w:after="60"/>
              <w:rPr>
                <w:rFonts w:ascii="Times New Roman" w:hAnsi="Times New Roman" w:cs="Times New Roman"/>
                <w:i/>
                <w:lang w:val="lv-LV"/>
              </w:rPr>
            </w:pPr>
            <w:r w:rsidRPr="00B361B7">
              <w:rPr>
                <w:rFonts w:ascii="Times New Roman" w:hAnsi="Times New Roman" w:cs="Times New Roman"/>
                <w:i/>
                <w:lang w:val="lv-LV"/>
              </w:rPr>
              <w:t>Iekļauj informāciju atbilstoši instrukcijas 15.2.1.1. apakšpunktam</w:t>
            </w:r>
          </w:p>
        </w:tc>
      </w:tr>
      <w:tr w:rsidR="00BA1F0E" w:rsidRPr="00186766" w:rsidTr="00C77A57">
        <w:trPr>
          <w:trHeight w:val="489"/>
        </w:trPr>
        <w:tc>
          <w:tcPr>
            <w:tcW w:w="6912" w:type="dxa"/>
          </w:tcPr>
          <w:p w:rsidR="00BA1F0E" w:rsidRPr="00B361B7" w:rsidRDefault="00BA1F0E" w:rsidP="00D1096C">
            <w:pPr>
              <w:tabs>
                <w:tab w:val="left" w:pos="993"/>
              </w:tabs>
              <w:spacing w:before="60" w:after="60"/>
              <w:ind w:left="227" w:hanging="227"/>
              <w:rPr>
                <w:rFonts w:ascii="Times New Roman" w:hAnsi="Times New Roman" w:cs="Times New Roman"/>
                <w:lang w:val="lv-LV"/>
              </w:rPr>
            </w:pPr>
            <w:r w:rsidRPr="00B361B7">
              <w:rPr>
                <w:rFonts w:ascii="Times New Roman" w:hAnsi="Times New Roman" w:cs="Times New Roman"/>
                <w:lang w:val="lv-LV"/>
              </w:rPr>
              <w:t>2. Kā minētie pasākumi/aktivitātes ietekmē gadskārtējā valsts budžeta paskaidrojumos plānoto darbības rezultatīvo rādītāju vērtību sasniegšanu</w:t>
            </w:r>
          </w:p>
        </w:tc>
        <w:tc>
          <w:tcPr>
            <w:tcW w:w="7797" w:type="dxa"/>
          </w:tcPr>
          <w:p w:rsidR="00BA1F0E" w:rsidRPr="00B361B7" w:rsidRDefault="00BA1F0E" w:rsidP="00D1096C">
            <w:pPr>
              <w:tabs>
                <w:tab w:val="left" w:pos="993"/>
              </w:tabs>
              <w:spacing w:before="60" w:after="60"/>
              <w:ind w:left="3"/>
              <w:rPr>
                <w:rFonts w:ascii="Times New Roman" w:hAnsi="Times New Roman" w:cs="Times New Roman"/>
                <w:b/>
                <w:lang w:val="lv-LV"/>
              </w:rPr>
            </w:pPr>
            <w:r w:rsidRPr="00B361B7">
              <w:rPr>
                <w:rFonts w:ascii="Times New Roman" w:hAnsi="Times New Roman" w:cs="Times New Roman"/>
                <w:i/>
                <w:lang w:val="lv-LV"/>
              </w:rPr>
              <w:t>Iekļauj informāciju atbilstoši instrukcijas 15.2.1.2. apakšpunktam</w:t>
            </w:r>
          </w:p>
        </w:tc>
      </w:tr>
      <w:tr w:rsidR="00BA1F0E" w:rsidRPr="00B361B7" w:rsidTr="00C77A57">
        <w:trPr>
          <w:trHeight w:val="365"/>
        </w:trPr>
        <w:tc>
          <w:tcPr>
            <w:tcW w:w="14709" w:type="dxa"/>
            <w:gridSpan w:val="2"/>
          </w:tcPr>
          <w:p w:rsidR="00BA1F0E" w:rsidRPr="00B361B7" w:rsidDel="004F1B57" w:rsidRDefault="00BA1F0E" w:rsidP="00D1096C">
            <w:pPr>
              <w:tabs>
                <w:tab w:val="left" w:pos="993"/>
              </w:tabs>
              <w:spacing w:before="60" w:after="60"/>
              <w:rPr>
                <w:rFonts w:ascii="Times New Roman" w:hAnsi="Times New Roman" w:cs="Times New Roman"/>
                <w:i/>
                <w:lang w:val="lv-LV"/>
              </w:rPr>
            </w:pPr>
            <w:r w:rsidRPr="00B361B7">
              <w:rPr>
                <w:rFonts w:ascii="Times New Roman" w:hAnsi="Times New Roman" w:cs="Times New Roman"/>
                <w:b/>
                <w:sz w:val="24"/>
                <w:szCs w:val="24"/>
                <w:lang w:val="lv-LV"/>
              </w:rPr>
              <w:lastRenderedPageBreak/>
              <w:t xml:space="preserve">Neizpilde </w:t>
            </w:r>
          </w:p>
        </w:tc>
      </w:tr>
      <w:tr w:rsidR="00BA1F0E" w:rsidRPr="00186766" w:rsidTr="00C77A57">
        <w:tc>
          <w:tcPr>
            <w:tcW w:w="6912" w:type="dxa"/>
          </w:tcPr>
          <w:p w:rsidR="00BA1F0E" w:rsidRPr="00B361B7" w:rsidRDefault="00BA1F0E" w:rsidP="00D1096C">
            <w:pPr>
              <w:tabs>
                <w:tab w:val="left" w:pos="993"/>
              </w:tabs>
              <w:spacing w:before="60" w:after="60"/>
              <w:ind w:left="227" w:hanging="227"/>
              <w:rPr>
                <w:rFonts w:ascii="Times New Roman" w:hAnsi="Times New Roman" w:cs="Times New Roman"/>
                <w:lang w:val="lv-LV"/>
              </w:rPr>
            </w:pPr>
            <w:r w:rsidRPr="00B361B7">
              <w:rPr>
                <w:rFonts w:ascii="Times New Roman" w:hAnsi="Times New Roman" w:cs="Times New Roman"/>
                <w:lang w:val="lv-LV"/>
              </w:rPr>
              <w:t>1. Kādi pasākumi/aktivitātes ir radījušas ietekmi uz neizpildi un kādi ir būtiskākie neizpildes iemesli (ja neizpildes iemesli ir saistīti ar apropriāciju izmaiņām, norāda attiecīgo Finanšu ministrijas rīkojumu numurus)</w:t>
            </w:r>
          </w:p>
        </w:tc>
        <w:tc>
          <w:tcPr>
            <w:tcW w:w="7797" w:type="dxa"/>
          </w:tcPr>
          <w:p w:rsidR="00BA1F0E" w:rsidRPr="00B361B7" w:rsidRDefault="00BA1F0E" w:rsidP="00D1096C">
            <w:pPr>
              <w:tabs>
                <w:tab w:val="left" w:pos="993"/>
              </w:tabs>
              <w:spacing w:before="60" w:after="60"/>
              <w:rPr>
                <w:rFonts w:ascii="Times New Roman" w:hAnsi="Times New Roman" w:cs="Times New Roman"/>
                <w:i/>
                <w:lang w:val="lv-LV"/>
              </w:rPr>
            </w:pPr>
            <w:r w:rsidRPr="00B361B7">
              <w:rPr>
                <w:rFonts w:ascii="Times New Roman" w:hAnsi="Times New Roman" w:cs="Times New Roman"/>
                <w:i/>
                <w:lang w:val="lv-LV"/>
              </w:rPr>
              <w:t>Iekļauj informāciju atbilstoši instrukcijas 15.2.3.1. apakšpunktam</w:t>
            </w:r>
          </w:p>
        </w:tc>
      </w:tr>
      <w:tr w:rsidR="00BA1F0E" w:rsidRPr="00186766" w:rsidTr="00C77A57">
        <w:tc>
          <w:tcPr>
            <w:tcW w:w="6912" w:type="dxa"/>
          </w:tcPr>
          <w:p w:rsidR="00BA1F0E" w:rsidRPr="00B361B7" w:rsidRDefault="00BA1F0E" w:rsidP="00D1096C">
            <w:pPr>
              <w:tabs>
                <w:tab w:val="left" w:pos="993"/>
              </w:tabs>
              <w:spacing w:before="60" w:after="60"/>
              <w:ind w:left="227" w:hanging="227"/>
              <w:rPr>
                <w:rFonts w:ascii="Times New Roman" w:hAnsi="Times New Roman" w:cs="Times New Roman"/>
                <w:lang w:val="lv-LV"/>
              </w:rPr>
            </w:pPr>
            <w:r w:rsidRPr="00B361B7">
              <w:rPr>
                <w:rFonts w:ascii="Times New Roman" w:hAnsi="Times New Roman" w:cs="Times New Roman"/>
                <w:lang w:val="lv-LV"/>
              </w:rPr>
              <w:t>2. Kādas ir plānotās darbības neapgūto asignējumu finansējuma izlietojumam</w:t>
            </w:r>
          </w:p>
        </w:tc>
        <w:tc>
          <w:tcPr>
            <w:tcW w:w="7797" w:type="dxa"/>
          </w:tcPr>
          <w:p w:rsidR="00BA1F0E" w:rsidRPr="00B361B7" w:rsidRDefault="00BA1F0E" w:rsidP="00D1096C">
            <w:pPr>
              <w:tabs>
                <w:tab w:val="left" w:pos="993"/>
              </w:tabs>
              <w:spacing w:before="60" w:after="60"/>
              <w:rPr>
                <w:rFonts w:ascii="Times New Roman" w:hAnsi="Times New Roman" w:cs="Times New Roman"/>
                <w:lang w:val="lv-LV"/>
              </w:rPr>
            </w:pPr>
            <w:r w:rsidRPr="00B361B7">
              <w:rPr>
                <w:rFonts w:ascii="Times New Roman" w:hAnsi="Times New Roman" w:cs="Times New Roman"/>
                <w:i/>
                <w:lang w:val="lv-LV"/>
              </w:rPr>
              <w:t>Iekļauj informāciju atbilstoši instrukcijas 15.2.3.2. apakšpunktam</w:t>
            </w:r>
          </w:p>
        </w:tc>
      </w:tr>
      <w:tr w:rsidR="00BA1F0E" w:rsidRPr="00186766" w:rsidTr="00C77A57">
        <w:tc>
          <w:tcPr>
            <w:tcW w:w="6912" w:type="dxa"/>
          </w:tcPr>
          <w:p w:rsidR="00BA1F0E" w:rsidRPr="00B361B7" w:rsidRDefault="00BA1F0E" w:rsidP="00D1096C">
            <w:pPr>
              <w:tabs>
                <w:tab w:val="left" w:pos="993"/>
              </w:tabs>
              <w:spacing w:before="60" w:after="60"/>
              <w:ind w:left="227" w:hanging="227"/>
              <w:rPr>
                <w:rFonts w:ascii="Times New Roman" w:hAnsi="Times New Roman" w:cs="Times New Roman"/>
                <w:lang w:val="lv-LV"/>
              </w:rPr>
            </w:pPr>
            <w:r w:rsidRPr="00B361B7">
              <w:rPr>
                <w:rFonts w:ascii="Times New Roman" w:hAnsi="Times New Roman" w:cs="Times New Roman"/>
                <w:lang w:val="lv-LV"/>
              </w:rPr>
              <w:t>3. Kāds ir vērtējums par potenciāli slēdzamajiem asignējumiem gada beigās sadalījumā pa izdevumu ekonomiskās klasifikācijas kodiem atbilstoši gadskārtējā valsts budžeta likuma struktūrai</w:t>
            </w:r>
          </w:p>
        </w:tc>
        <w:tc>
          <w:tcPr>
            <w:tcW w:w="7797" w:type="dxa"/>
          </w:tcPr>
          <w:p w:rsidR="00BA1F0E" w:rsidRPr="00B361B7" w:rsidRDefault="00BA1F0E" w:rsidP="00D1096C">
            <w:pPr>
              <w:tabs>
                <w:tab w:val="left" w:pos="993"/>
              </w:tabs>
              <w:spacing w:before="60" w:after="60"/>
              <w:ind w:left="3"/>
              <w:rPr>
                <w:rFonts w:ascii="Times New Roman" w:hAnsi="Times New Roman" w:cs="Times New Roman"/>
                <w:b/>
                <w:i/>
                <w:lang w:val="lv-LV"/>
              </w:rPr>
            </w:pPr>
            <w:r w:rsidRPr="00B361B7">
              <w:rPr>
                <w:rFonts w:ascii="Times New Roman" w:hAnsi="Times New Roman" w:cs="Times New Roman"/>
                <w:i/>
                <w:lang w:val="lv-LV"/>
              </w:rPr>
              <w:t>Iekļauj informāciju atbilstoši instrukcijas 15.2.3.3. apakšpunktam</w:t>
            </w:r>
          </w:p>
        </w:tc>
      </w:tr>
      <w:tr w:rsidR="00BA1F0E" w:rsidRPr="00186766" w:rsidTr="00C77A57">
        <w:tc>
          <w:tcPr>
            <w:tcW w:w="6912" w:type="dxa"/>
          </w:tcPr>
          <w:p w:rsidR="00BA1F0E" w:rsidRPr="00B361B7" w:rsidRDefault="00BA1F0E" w:rsidP="00D1096C">
            <w:pPr>
              <w:tabs>
                <w:tab w:val="left" w:pos="993"/>
              </w:tabs>
              <w:spacing w:before="60" w:after="60"/>
              <w:ind w:left="227" w:hanging="227"/>
              <w:rPr>
                <w:rFonts w:ascii="Times New Roman" w:hAnsi="Times New Roman" w:cs="Times New Roman"/>
                <w:lang w:val="lv-LV"/>
              </w:rPr>
            </w:pPr>
            <w:r w:rsidRPr="00B361B7">
              <w:rPr>
                <w:rFonts w:ascii="Times New Roman" w:hAnsi="Times New Roman" w:cs="Times New Roman"/>
                <w:lang w:val="lv-LV"/>
              </w:rPr>
              <w:t>4. Kā potenciāli slēdzamie asignējumi ietekmē gadskārtējā valsts budžeta paskaidrojumos plānoto darbības rezultatīvo rādītāju vērtību sasniegšanu</w:t>
            </w:r>
          </w:p>
        </w:tc>
        <w:tc>
          <w:tcPr>
            <w:tcW w:w="7797" w:type="dxa"/>
          </w:tcPr>
          <w:p w:rsidR="00BA1F0E" w:rsidRPr="00B361B7" w:rsidRDefault="00BA1F0E" w:rsidP="00D1096C">
            <w:pPr>
              <w:tabs>
                <w:tab w:val="left" w:pos="993"/>
              </w:tabs>
              <w:spacing w:before="60" w:after="60"/>
              <w:ind w:left="3"/>
              <w:rPr>
                <w:rFonts w:ascii="Times New Roman" w:hAnsi="Times New Roman" w:cs="Times New Roman"/>
                <w:u w:val="single"/>
                <w:lang w:val="lv-LV"/>
              </w:rPr>
            </w:pPr>
            <w:r w:rsidRPr="00B361B7">
              <w:rPr>
                <w:rFonts w:ascii="Times New Roman" w:hAnsi="Times New Roman" w:cs="Times New Roman"/>
                <w:i/>
                <w:lang w:val="lv-LV"/>
              </w:rPr>
              <w:t>Iekļauj informāciju atbilstoši instrukcijas 15.2.3.4. apakšpunktam</w:t>
            </w:r>
          </w:p>
        </w:tc>
      </w:tr>
      <w:tr w:rsidR="00BA1F0E" w:rsidRPr="00186766" w:rsidTr="00C77A57">
        <w:tc>
          <w:tcPr>
            <w:tcW w:w="6912" w:type="dxa"/>
          </w:tcPr>
          <w:p w:rsidR="00BA1F0E" w:rsidRPr="00B361B7" w:rsidRDefault="00BA1F0E" w:rsidP="00D1096C">
            <w:pPr>
              <w:tabs>
                <w:tab w:val="left" w:pos="993"/>
              </w:tabs>
              <w:spacing w:before="60" w:after="60"/>
              <w:ind w:left="227" w:hanging="227"/>
              <w:rPr>
                <w:rFonts w:ascii="Times New Roman" w:hAnsi="Times New Roman" w:cs="Times New Roman"/>
                <w:lang w:val="lv-LV"/>
              </w:rPr>
            </w:pPr>
            <w:r w:rsidRPr="00B361B7">
              <w:rPr>
                <w:rFonts w:ascii="Times New Roman" w:hAnsi="Times New Roman" w:cs="Times New Roman"/>
                <w:lang w:val="lv-LV"/>
              </w:rPr>
              <w:t>5. Ja nākamajā gadā potenciāli ir plānots pieprasīt finansējumu no 74. budžeta resora programmas 01.00.00 "Apropriācijas rezerve</w:t>
            </w:r>
            <w:r w:rsidRPr="00B361B7">
              <w:rPr>
                <w:rFonts w:ascii="Times New Roman" w:eastAsia="Times New Roman" w:hAnsi="Times New Roman" w:cs="Times New Roman"/>
                <w:sz w:val="24"/>
                <w:szCs w:val="24"/>
                <w:lang w:val="lv-LV" w:eastAsia="lv-LV"/>
              </w:rPr>
              <w:t>"</w:t>
            </w:r>
            <w:r w:rsidRPr="00B361B7">
              <w:rPr>
                <w:rFonts w:ascii="Times New Roman" w:hAnsi="Times New Roman" w:cs="Times New Roman"/>
                <w:lang w:val="lv-LV"/>
              </w:rPr>
              <w:t>, kāds ir finansējuma apjoms</w:t>
            </w:r>
          </w:p>
        </w:tc>
        <w:tc>
          <w:tcPr>
            <w:tcW w:w="7797" w:type="dxa"/>
          </w:tcPr>
          <w:p w:rsidR="00BA1F0E" w:rsidRPr="00B361B7" w:rsidRDefault="00BA1F0E" w:rsidP="00D1096C">
            <w:pPr>
              <w:tabs>
                <w:tab w:val="left" w:pos="993"/>
              </w:tabs>
              <w:spacing w:before="60" w:after="60"/>
              <w:rPr>
                <w:rFonts w:ascii="Times New Roman" w:hAnsi="Times New Roman" w:cs="Times New Roman"/>
                <w:i/>
                <w:lang w:val="lv-LV"/>
              </w:rPr>
            </w:pPr>
            <w:r w:rsidRPr="00B361B7">
              <w:rPr>
                <w:rFonts w:ascii="Times New Roman" w:hAnsi="Times New Roman" w:cs="Times New Roman"/>
                <w:i/>
                <w:lang w:val="lv-LV"/>
              </w:rPr>
              <w:t>Iekļauj informāciju atbilstoši instrukcijas 15.2.3.6. apakšpunktam</w:t>
            </w:r>
          </w:p>
        </w:tc>
      </w:tr>
    </w:tbl>
    <w:p w:rsidR="00BA1F0E" w:rsidRPr="00B361B7" w:rsidRDefault="00BA1F0E" w:rsidP="00BA1F0E">
      <w:pPr>
        <w:tabs>
          <w:tab w:val="left" w:pos="993"/>
        </w:tabs>
        <w:rPr>
          <w:rFonts w:ascii="Times New Roman" w:hAnsi="Times New Roman" w:cs="Times New Roman"/>
          <w:bCs/>
          <w:sz w:val="24"/>
          <w:szCs w:val="24"/>
          <w:lang w:val="lv-LV"/>
        </w:rPr>
      </w:pPr>
    </w:p>
    <w:p w:rsidR="00BA1F0E" w:rsidRPr="00B361B7" w:rsidRDefault="00BA1F0E" w:rsidP="00BA1F0E">
      <w:pPr>
        <w:tabs>
          <w:tab w:val="left" w:pos="993"/>
        </w:tabs>
        <w:rPr>
          <w:rFonts w:ascii="Times New Roman" w:hAnsi="Times New Roman" w:cs="Times New Roman"/>
          <w:b/>
          <w:sz w:val="24"/>
          <w:szCs w:val="24"/>
          <w:lang w:val="lv-LV"/>
        </w:rPr>
      </w:pPr>
      <w:r w:rsidRPr="00B361B7">
        <w:rPr>
          <w:rFonts w:ascii="Times New Roman" w:hAnsi="Times New Roman" w:cs="Times New Roman"/>
          <w:b/>
          <w:sz w:val="24"/>
          <w:szCs w:val="24"/>
          <w:lang w:val="lv-LV"/>
        </w:rPr>
        <w:t>II. Citi jautājumi</w:t>
      </w:r>
    </w:p>
    <w:p w:rsidR="00BA1F0E" w:rsidRPr="00B361B7" w:rsidRDefault="00BA1F0E" w:rsidP="00BA1F0E">
      <w:pPr>
        <w:tabs>
          <w:tab w:val="left" w:pos="0"/>
        </w:tabs>
        <w:rPr>
          <w:rFonts w:ascii="Times New Roman" w:hAnsi="Times New Roman" w:cs="Times New Roman"/>
          <w:bCs/>
          <w:sz w:val="24"/>
          <w:szCs w:val="24"/>
          <w:lang w:val="lv-LV"/>
        </w:rPr>
      </w:pPr>
    </w:p>
    <w:tbl>
      <w:tblPr>
        <w:tblStyle w:val="TableGrid"/>
        <w:tblW w:w="14709" w:type="dxa"/>
        <w:tblInd w:w="-113" w:type="dxa"/>
        <w:tblLook w:val="04A0" w:firstRow="1" w:lastRow="0" w:firstColumn="1" w:lastColumn="0" w:noHBand="0" w:noVBand="1"/>
      </w:tblPr>
      <w:tblGrid>
        <w:gridCol w:w="6912"/>
        <w:gridCol w:w="7797"/>
      </w:tblGrid>
      <w:tr w:rsidR="00BA1F0E" w:rsidRPr="00186766" w:rsidTr="00C77A57">
        <w:tc>
          <w:tcPr>
            <w:tcW w:w="6912" w:type="dxa"/>
            <w:tcBorders>
              <w:bottom w:val="single" w:sz="4" w:space="0" w:color="auto"/>
            </w:tcBorders>
          </w:tcPr>
          <w:p w:rsidR="00BA1F0E" w:rsidRPr="00B361B7" w:rsidRDefault="00BA1F0E" w:rsidP="00D1096C">
            <w:pPr>
              <w:tabs>
                <w:tab w:val="left" w:pos="993"/>
              </w:tabs>
              <w:spacing w:before="60" w:after="60"/>
              <w:ind w:left="227" w:hanging="227"/>
              <w:rPr>
                <w:rFonts w:ascii="Times New Roman" w:hAnsi="Times New Roman" w:cs="Times New Roman"/>
                <w:lang w:val="lv-LV"/>
              </w:rPr>
            </w:pPr>
            <w:r w:rsidRPr="00B361B7">
              <w:rPr>
                <w:rFonts w:ascii="Times New Roman" w:hAnsi="Times New Roman" w:cs="Times New Roman"/>
                <w:lang w:val="lv-LV"/>
              </w:rPr>
              <w:t>1. Vai plānots pieprasīt papildu finansējumu no 74. budžeta resora programmas 80.00.00 "Nesadalītais finansējums Eiropas Savienības politiku instrumentu un pārējās ārvalstu finanšu palīdzības līdzfinansēto projektu un pasākumu īstenošanai" (ja jā, norādīt finansējuma apmēru un skaidrojumu)</w:t>
            </w:r>
          </w:p>
        </w:tc>
        <w:tc>
          <w:tcPr>
            <w:tcW w:w="7797" w:type="dxa"/>
            <w:tcBorders>
              <w:bottom w:val="single" w:sz="4" w:space="0" w:color="auto"/>
            </w:tcBorders>
          </w:tcPr>
          <w:p w:rsidR="00BA1F0E" w:rsidRPr="00B361B7" w:rsidRDefault="00BA1F0E" w:rsidP="00D1096C">
            <w:pPr>
              <w:spacing w:after="120"/>
              <w:rPr>
                <w:rFonts w:ascii="Times New Roman" w:hAnsi="Times New Roman" w:cs="Times New Roman"/>
                <w:lang w:val="lv-LV"/>
              </w:rPr>
            </w:pPr>
            <w:r w:rsidRPr="00B361B7">
              <w:rPr>
                <w:rFonts w:ascii="Times New Roman" w:hAnsi="Times New Roman" w:cs="Times New Roman"/>
                <w:i/>
                <w:lang w:val="lv-LV"/>
              </w:rPr>
              <w:t>Iekļauj informāciju atbilstoši instrukcijas 15.4.3. apakšpunktam</w:t>
            </w:r>
          </w:p>
        </w:tc>
      </w:tr>
      <w:tr w:rsidR="00BA1F0E" w:rsidRPr="00186766" w:rsidTr="00C77A57">
        <w:trPr>
          <w:trHeight w:val="527"/>
        </w:trPr>
        <w:tc>
          <w:tcPr>
            <w:tcW w:w="6912" w:type="dxa"/>
            <w:tcBorders>
              <w:bottom w:val="single" w:sz="4" w:space="0" w:color="auto"/>
            </w:tcBorders>
          </w:tcPr>
          <w:p w:rsidR="00BA1F0E" w:rsidRPr="00B361B7" w:rsidRDefault="00BA1F0E" w:rsidP="00D1096C">
            <w:pPr>
              <w:tabs>
                <w:tab w:val="left" w:pos="993"/>
              </w:tabs>
              <w:spacing w:before="60" w:after="60"/>
              <w:ind w:left="227" w:hanging="227"/>
              <w:rPr>
                <w:rFonts w:ascii="Times New Roman" w:hAnsi="Times New Roman" w:cs="Times New Roman"/>
                <w:lang w:val="lv-LV"/>
              </w:rPr>
            </w:pPr>
            <w:r w:rsidRPr="00B361B7">
              <w:rPr>
                <w:rFonts w:ascii="Times New Roman" w:hAnsi="Times New Roman" w:cs="Times New Roman"/>
                <w:lang w:val="lv-LV"/>
              </w:rPr>
              <w:t>2. Citi analītiskie skaidrojumi, tai skaitā atbildes uz Finanšu ministrijas papildu jautājumiem</w:t>
            </w:r>
          </w:p>
        </w:tc>
        <w:tc>
          <w:tcPr>
            <w:tcW w:w="7797" w:type="dxa"/>
            <w:tcBorders>
              <w:bottom w:val="single" w:sz="4" w:space="0" w:color="auto"/>
            </w:tcBorders>
          </w:tcPr>
          <w:p w:rsidR="00BA1F0E" w:rsidRPr="00B361B7" w:rsidRDefault="00BA1F0E" w:rsidP="00D1096C">
            <w:pPr>
              <w:spacing w:after="120"/>
              <w:jc w:val="both"/>
              <w:rPr>
                <w:rFonts w:ascii="Times New Roman" w:hAnsi="Times New Roman" w:cs="Times New Roman"/>
                <w:lang w:val="lv-LV"/>
              </w:rPr>
            </w:pPr>
            <w:r w:rsidRPr="00B361B7">
              <w:rPr>
                <w:rFonts w:ascii="Times New Roman" w:hAnsi="Times New Roman" w:cs="Times New Roman"/>
                <w:i/>
                <w:lang w:val="lv-LV"/>
              </w:rPr>
              <w:t>Iekļauj informāciju atbilstoši instrukcijas 15.4.4. apakšpunktam</w:t>
            </w:r>
          </w:p>
        </w:tc>
      </w:tr>
    </w:tbl>
    <w:p w:rsidR="00B9553A" w:rsidRPr="00BA1F0E" w:rsidRDefault="00B9553A" w:rsidP="00BA1F0E">
      <w:pPr>
        <w:rPr>
          <w:lang w:val="lv-LV"/>
        </w:rPr>
      </w:pPr>
    </w:p>
    <w:sectPr w:rsidR="00B9553A" w:rsidRPr="00BA1F0E" w:rsidSect="00186766">
      <w:footerReference w:type="default" r:id="rId7"/>
      <w:pgSz w:w="16838" w:h="11906" w:orient="landscape" w:code="9"/>
      <w:pgMar w:top="851"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766" w:rsidRDefault="00186766" w:rsidP="00186766">
      <w:r>
        <w:separator/>
      </w:r>
    </w:p>
  </w:endnote>
  <w:endnote w:type="continuationSeparator" w:id="0">
    <w:p w:rsidR="00186766" w:rsidRDefault="00186766" w:rsidP="0018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761308"/>
      <w:docPartObj>
        <w:docPartGallery w:val="Page Numbers (Bottom of Page)"/>
        <w:docPartUnique/>
      </w:docPartObj>
    </w:sdtPr>
    <w:sdtEndPr>
      <w:rPr>
        <w:noProof/>
      </w:rPr>
    </w:sdtEndPr>
    <w:sdtContent>
      <w:p w:rsidR="00186766" w:rsidRDefault="001867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6766" w:rsidRDefault="00186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766" w:rsidRDefault="00186766" w:rsidP="00186766">
      <w:r>
        <w:separator/>
      </w:r>
    </w:p>
  </w:footnote>
  <w:footnote w:type="continuationSeparator" w:id="0">
    <w:p w:rsidR="00186766" w:rsidRDefault="00186766" w:rsidP="0018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E8603A"/>
    <w:multiLevelType w:val="hybridMultilevel"/>
    <w:tmpl w:val="723A98A6"/>
    <w:lvl w:ilvl="0" w:tplc="A32697C2">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2C6C89"/>
    <w:multiLevelType w:val="hybridMultilevel"/>
    <w:tmpl w:val="38CC65B8"/>
    <w:lvl w:ilvl="0" w:tplc="DA3EF6FE">
      <w:start w:val="1"/>
      <w:numFmt w:val="decimal"/>
      <w:lvlText w:val="%1)"/>
      <w:lvlJc w:val="left"/>
      <w:pPr>
        <w:ind w:left="1080" w:hanging="360"/>
      </w:pPr>
      <w:rPr>
        <w:rFonts w:ascii="Times New Roman" w:eastAsiaTheme="minorHAnsi" w:hAnsi="Times New Roman" w:cs="Times New Roman"/>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08"/>
    <w:rsid w:val="00186766"/>
    <w:rsid w:val="0033318B"/>
    <w:rsid w:val="005D2408"/>
    <w:rsid w:val="006E3CC3"/>
    <w:rsid w:val="008B672C"/>
    <w:rsid w:val="008F7366"/>
    <w:rsid w:val="00B9553A"/>
    <w:rsid w:val="00BA1F0E"/>
    <w:rsid w:val="00C77A57"/>
    <w:rsid w:val="00DF2916"/>
    <w:rsid w:val="00EF1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6107"/>
  <w15:chartTrackingRefBased/>
  <w15:docId w15:val="{4CB8A723-A145-4349-9BE0-0B23AEFF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08"/>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408"/>
    <w:pPr>
      <w:ind w:left="720"/>
      <w:contextualSpacing/>
    </w:pPr>
  </w:style>
  <w:style w:type="table" w:styleId="TableGrid">
    <w:name w:val="Table Grid"/>
    <w:basedOn w:val="TableNormal"/>
    <w:uiPriority w:val="39"/>
    <w:rsid w:val="005D24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766"/>
    <w:pPr>
      <w:tabs>
        <w:tab w:val="center" w:pos="4153"/>
        <w:tab w:val="right" w:pos="8306"/>
      </w:tabs>
    </w:pPr>
  </w:style>
  <w:style w:type="character" w:customStyle="1" w:styleId="HeaderChar">
    <w:name w:val="Header Char"/>
    <w:basedOn w:val="DefaultParagraphFont"/>
    <w:link w:val="Header"/>
    <w:uiPriority w:val="99"/>
    <w:rsid w:val="00186766"/>
    <w:rPr>
      <w:lang w:val="en-US"/>
    </w:rPr>
  </w:style>
  <w:style w:type="paragraph" w:styleId="Footer">
    <w:name w:val="footer"/>
    <w:basedOn w:val="Normal"/>
    <w:link w:val="FooterChar"/>
    <w:uiPriority w:val="99"/>
    <w:unhideWhenUsed/>
    <w:rsid w:val="00186766"/>
    <w:pPr>
      <w:tabs>
        <w:tab w:val="center" w:pos="4153"/>
        <w:tab w:val="right" w:pos="8306"/>
      </w:tabs>
    </w:pPr>
  </w:style>
  <w:style w:type="character" w:customStyle="1" w:styleId="FooterChar">
    <w:name w:val="Footer Char"/>
    <w:basedOn w:val="DefaultParagraphFont"/>
    <w:link w:val="Footer"/>
    <w:uiPriority w:val="99"/>
    <w:rsid w:val="0018676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1736</Words>
  <Characters>991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1. pielikums Ministru kabineta 2018. gada 10. aprīļa instrukcijai Nr. 2</vt:lpstr>
    </vt:vector>
  </TitlesOfParts>
  <Company>Finanšu ministrija</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pielikums Ministru kabineta 2018. gada 10. aprīļa instrukcijai Nr. 2</dc:title>
  <dc:subject/>
  <dc:creator/>
  <cp:keywords/>
  <dc:description/>
  <cp:lastModifiedBy>Ieva Klinsone</cp:lastModifiedBy>
  <cp:revision>10</cp:revision>
  <dcterms:created xsi:type="dcterms:W3CDTF">2021-06-29T06:04:00Z</dcterms:created>
  <dcterms:modified xsi:type="dcterms:W3CDTF">2021-06-29T07:56:00Z</dcterms:modified>
</cp:coreProperties>
</file>