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80D51" w14:textId="079FF6D8" w:rsidR="004F3FA2" w:rsidRPr="004F3FA2" w:rsidRDefault="0053655E" w:rsidP="004E358E">
      <w:pPr>
        <w:ind w:firstLine="567"/>
        <w:jc w:val="center"/>
        <w:rPr>
          <w:rFonts w:ascii="Times New Roman" w:hAnsi="Times New Roman" w:cs="Times New Roman"/>
          <w:b/>
          <w:bCs/>
          <w:sz w:val="24"/>
          <w:szCs w:val="24"/>
        </w:rPr>
      </w:pPr>
      <w:r>
        <w:rPr>
          <w:rFonts w:ascii="Times New Roman" w:hAnsi="Times New Roman" w:cs="Times New Roman"/>
          <w:b/>
          <w:bCs/>
          <w:sz w:val="24"/>
          <w:szCs w:val="24"/>
          <w:shd w:val="clear" w:color="auto" w:fill="FFFFFF"/>
        </w:rPr>
        <w:t>N</w:t>
      </w:r>
      <w:r w:rsidR="006F4FDE">
        <w:rPr>
          <w:rFonts w:ascii="Times New Roman" w:hAnsi="Times New Roman" w:cs="Times New Roman"/>
          <w:b/>
          <w:bCs/>
          <w:sz w:val="24"/>
          <w:szCs w:val="24"/>
          <w:shd w:val="clear" w:color="auto" w:fill="FFFFFF"/>
        </w:rPr>
        <w:t xml:space="preserve">elikumīga </w:t>
      </w:r>
      <w:r w:rsidR="004E358E">
        <w:rPr>
          <w:rFonts w:ascii="Times New Roman" w:hAnsi="Times New Roman" w:cs="Times New Roman"/>
          <w:b/>
          <w:bCs/>
          <w:sz w:val="24"/>
          <w:szCs w:val="24"/>
          <w:shd w:val="clear" w:color="auto" w:fill="FFFFFF"/>
        </w:rPr>
        <w:t xml:space="preserve">komercdarbības </w:t>
      </w:r>
      <w:r w:rsidR="006F4FDE">
        <w:rPr>
          <w:rFonts w:ascii="Times New Roman" w:hAnsi="Times New Roman" w:cs="Times New Roman"/>
          <w:b/>
          <w:bCs/>
          <w:sz w:val="24"/>
          <w:szCs w:val="24"/>
          <w:shd w:val="clear" w:color="auto" w:fill="FFFFFF"/>
        </w:rPr>
        <w:t>atbalsta atgūšana</w:t>
      </w:r>
      <w:r>
        <w:rPr>
          <w:rFonts w:ascii="Times New Roman" w:hAnsi="Times New Roman" w:cs="Times New Roman"/>
          <w:b/>
          <w:bCs/>
          <w:sz w:val="24"/>
          <w:szCs w:val="24"/>
          <w:shd w:val="clear" w:color="auto" w:fill="FFFFFF"/>
        </w:rPr>
        <w:t>s summas aprēķināšana</w:t>
      </w:r>
      <w:r w:rsidR="006F4FDE">
        <w:rPr>
          <w:rFonts w:ascii="Times New Roman" w:hAnsi="Times New Roman" w:cs="Times New Roman"/>
          <w:b/>
          <w:bCs/>
          <w:sz w:val="24"/>
          <w:szCs w:val="24"/>
          <w:shd w:val="clear" w:color="auto" w:fill="FFFFFF"/>
        </w:rPr>
        <w:t xml:space="preserve"> </w:t>
      </w:r>
    </w:p>
    <w:p w14:paraId="08B3947A" w14:textId="77777777" w:rsidR="004F3FA2" w:rsidRDefault="004F3FA2" w:rsidP="004E358E">
      <w:pPr>
        <w:ind w:firstLine="567"/>
        <w:jc w:val="center"/>
        <w:rPr>
          <w:rFonts w:ascii="Times New Roman" w:hAnsi="Times New Roman" w:cs="Times New Roman"/>
          <w:sz w:val="24"/>
          <w:szCs w:val="24"/>
        </w:rPr>
      </w:pPr>
    </w:p>
    <w:p w14:paraId="6C53BAB3" w14:textId="492CF585" w:rsidR="004E358E" w:rsidRPr="00007600" w:rsidRDefault="004F3FA2" w:rsidP="004F3FA2">
      <w:pPr>
        <w:ind w:firstLine="567"/>
        <w:rPr>
          <w:rFonts w:ascii="Arial" w:hAnsi="Arial" w:cs="Arial"/>
          <w:sz w:val="20"/>
          <w:szCs w:val="20"/>
          <w:shd w:val="clear" w:color="auto" w:fill="FFFFFF"/>
        </w:rPr>
      </w:pPr>
      <w:r>
        <w:rPr>
          <w:rFonts w:ascii="Times New Roman" w:hAnsi="Times New Roman" w:cs="Times New Roman"/>
          <w:sz w:val="24"/>
          <w:szCs w:val="24"/>
        </w:rPr>
        <w:t xml:space="preserve">Saskaņā ar </w:t>
      </w:r>
      <w:r w:rsidR="004E358E" w:rsidRPr="004E358E">
        <w:rPr>
          <w:rFonts w:ascii="Times New Roman" w:hAnsi="Times New Roman" w:cs="Times New Roman"/>
          <w:sz w:val="24"/>
          <w:szCs w:val="24"/>
        </w:rPr>
        <w:t>Komercdarbības atbalsta kontroles likuma</w:t>
      </w:r>
      <w:r w:rsidR="004B0999">
        <w:rPr>
          <w:rFonts w:ascii="Times New Roman" w:hAnsi="Times New Roman" w:cs="Times New Roman"/>
          <w:sz w:val="24"/>
          <w:szCs w:val="24"/>
        </w:rPr>
        <w:t xml:space="preserve"> IV nodaļas 18.pantā un</w:t>
      </w:r>
      <w:r w:rsidR="004E358E" w:rsidRPr="004E358E">
        <w:rPr>
          <w:rFonts w:ascii="Times New Roman" w:hAnsi="Times New Roman" w:cs="Times New Roman"/>
          <w:sz w:val="24"/>
          <w:szCs w:val="24"/>
        </w:rPr>
        <w:t xml:space="preserve"> </w:t>
      </w:r>
      <w:r w:rsidR="004E358E" w:rsidRPr="00E2091D">
        <w:rPr>
          <w:rFonts w:ascii="Times New Roman" w:hAnsi="Times New Roman" w:cs="Times New Roman"/>
          <w:sz w:val="24"/>
          <w:szCs w:val="24"/>
        </w:rPr>
        <w:t xml:space="preserve">V </w:t>
      </w:r>
      <w:r w:rsidR="004E358E" w:rsidRPr="004E358E">
        <w:rPr>
          <w:rFonts w:ascii="Times New Roman" w:hAnsi="Times New Roman" w:cs="Times New Roman"/>
          <w:sz w:val="24"/>
          <w:szCs w:val="24"/>
        </w:rPr>
        <w:t>nodaļas 19.pant</w:t>
      </w:r>
      <w:r w:rsidR="004B0999">
        <w:rPr>
          <w:rFonts w:ascii="Times New Roman" w:hAnsi="Times New Roman" w:cs="Times New Roman"/>
          <w:sz w:val="24"/>
          <w:szCs w:val="24"/>
        </w:rPr>
        <w:t>ā ietvert</w:t>
      </w:r>
      <w:r w:rsidR="0053655E">
        <w:rPr>
          <w:rFonts w:ascii="Times New Roman" w:hAnsi="Times New Roman" w:cs="Times New Roman"/>
          <w:sz w:val="24"/>
          <w:szCs w:val="24"/>
        </w:rPr>
        <w:t>ajiem nosacījumiem,</w:t>
      </w:r>
      <w:r w:rsidR="004E358E" w:rsidRPr="004E358E">
        <w:rPr>
          <w:rFonts w:ascii="Times New Roman" w:hAnsi="Times New Roman" w:cs="Times New Roman"/>
          <w:sz w:val="24"/>
          <w:szCs w:val="24"/>
        </w:rPr>
        <w:t xml:space="preserve"> nelikumīgs komercdarbības </w:t>
      </w:r>
      <w:r w:rsidR="004E358E" w:rsidRPr="00007600">
        <w:rPr>
          <w:rFonts w:ascii="Times New Roman" w:hAnsi="Times New Roman" w:cs="Times New Roman"/>
          <w:sz w:val="24"/>
          <w:szCs w:val="24"/>
        </w:rPr>
        <w:t xml:space="preserve">atbalsts ir atgūstams kopā ar procentiem, </w:t>
      </w:r>
      <w:r w:rsidR="004E358E" w:rsidRPr="00007600">
        <w:rPr>
          <w:rFonts w:ascii="Times New Roman" w:hAnsi="Times New Roman" w:cs="Times New Roman"/>
          <w:sz w:val="24"/>
          <w:szCs w:val="24"/>
          <w:shd w:val="clear" w:color="auto" w:fill="FFFFFF"/>
        </w:rPr>
        <w:t>k</w:t>
      </w:r>
      <w:r w:rsidR="008343DB" w:rsidRPr="00007600">
        <w:rPr>
          <w:rFonts w:ascii="Times New Roman" w:hAnsi="Times New Roman" w:cs="Times New Roman"/>
          <w:sz w:val="24"/>
          <w:szCs w:val="24"/>
          <w:shd w:val="clear" w:color="auto" w:fill="FFFFFF"/>
        </w:rPr>
        <w:t>urus</w:t>
      </w:r>
      <w:r w:rsidR="004E358E" w:rsidRPr="00007600">
        <w:rPr>
          <w:rFonts w:ascii="Times New Roman" w:hAnsi="Times New Roman" w:cs="Times New Roman"/>
          <w:sz w:val="24"/>
          <w:szCs w:val="24"/>
          <w:shd w:val="clear" w:color="auto" w:fill="FFFFFF"/>
        </w:rPr>
        <w:t xml:space="preserve"> publicē Eiropas Komisija saskaņā ar Komisijas regulas Nr.</w:t>
      </w:r>
      <w:hyperlink r:id="rId10" w:tgtFrame="_blank" w:history="1">
        <w:r w:rsidR="004E358E" w:rsidRPr="00007600">
          <w:rPr>
            <w:rStyle w:val="Hyperlink"/>
            <w:rFonts w:ascii="Times New Roman" w:hAnsi="Times New Roman" w:cs="Times New Roman"/>
            <w:color w:val="auto"/>
            <w:sz w:val="24"/>
            <w:szCs w:val="24"/>
            <w:u w:val="none"/>
            <w:shd w:val="clear" w:color="auto" w:fill="FFFFFF"/>
          </w:rPr>
          <w:t>794/2004</w:t>
        </w:r>
      </w:hyperlink>
      <w:r w:rsidR="004E358E" w:rsidRPr="00007600">
        <w:rPr>
          <w:rStyle w:val="FootnoteReference"/>
          <w:rFonts w:ascii="Times New Roman" w:hAnsi="Times New Roman" w:cs="Times New Roman"/>
          <w:sz w:val="24"/>
          <w:szCs w:val="24"/>
        </w:rPr>
        <w:footnoteReference w:id="1"/>
      </w:r>
      <w:r w:rsidR="004E358E" w:rsidRPr="00007600">
        <w:rPr>
          <w:rFonts w:ascii="Times New Roman" w:hAnsi="Times New Roman" w:cs="Times New Roman"/>
          <w:sz w:val="24"/>
          <w:szCs w:val="24"/>
          <w:shd w:val="clear" w:color="auto" w:fill="FFFFFF"/>
        </w:rPr>
        <w:t> 10.pantu, tiem pieskaitot 100 bāzes punktus, no dienas, kad nelikumīgs komercdarbības atbalsts tika nodots komercdarbības atbalsta saņēmēja rīcībā, līdz tā atgūšanas dienai, ievērojot Komisijas regulas Nr. </w:t>
      </w:r>
      <w:hyperlink r:id="rId11" w:tgtFrame="_blank" w:history="1">
        <w:r w:rsidR="004E358E" w:rsidRPr="00007600">
          <w:rPr>
            <w:rStyle w:val="Hyperlink"/>
            <w:rFonts w:ascii="Times New Roman" w:hAnsi="Times New Roman" w:cs="Times New Roman"/>
            <w:color w:val="auto"/>
            <w:sz w:val="24"/>
            <w:szCs w:val="24"/>
            <w:u w:val="none"/>
            <w:shd w:val="clear" w:color="auto" w:fill="FFFFFF"/>
          </w:rPr>
          <w:t>794/2004</w:t>
        </w:r>
      </w:hyperlink>
      <w:r w:rsidR="004E358E" w:rsidRPr="00007600">
        <w:rPr>
          <w:rFonts w:ascii="Times New Roman" w:hAnsi="Times New Roman" w:cs="Times New Roman"/>
          <w:sz w:val="24"/>
          <w:szCs w:val="24"/>
          <w:shd w:val="clear" w:color="auto" w:fill="FFFFFF"/>
        </w:rPr>
        <w:t> 11.pantā noteikto procentu likmes piemērošanas metodi.</w:t>
      </w:r>
    </w:p>
    <w:p w14:paraId="632E4F93" w14:textId="013D46B2" w:rsidR="004F3FA2" w:rsidRDefault="00574011" w:rsidP="004F3FA2">
      <w:pPr>
        <w:ind w:firstLine="567"/>
        <w:rPr>
          <w:rFonts w:ascii="Times New Roman" w:hAnsi="Times New Roman" w:cs="Times New Roman"/>
          <w:sz w:val="24"/>
          <w:szCs w:val="24"/>
        </w:rPr>
      </w:pPr>
      <w:r w:rsidRPr="00007600">
        <w:rPr>
          <w:rFonts w:ascii="Times New Roman" w:hAnsi="Times New Roman" w:cs="Times New Roman"/>
          <w:sz w:val="24"/>
          <w:szCs w:val="24"/>
        </w:rPr>
        <w:t>Vienlaikus jāņem vērā, ka, s</w:t>
      </w:r>
      <w:r w:rsidR="004F3FA2" w:rsidRPr="00007600">
        <w:rPr>
          <w:rFonts w:ascii="Times New Roman" w:hAnsi="Times New Roman" w:cs="Times New Roman"/>
          <w:sz w:val="24"/>
          <w:szCs w:val="24"/>
        </w:rPr>
        <w:t xml:space="preserve">askaņā ar </w:t>
      </w:r>
      <w:r w:rsidR="004E62F6" w:rsidRPr="00007600">
        <w:rPr>
          <w:rFonts w:ascii="Times New Roman" w:hAnsi="Times New Roman" w:cs="Times New Roman"/>
          <w:sz w:val="24"/>
          <w:szCs w:val="24"/>
          <w:shd w:val="clear" w:color="auto" w:fill="FFFFFF"/>
        </w:rPr>
        <w:t>Komisijas regulas Nr. </w:t>
      </w:r>
      <w:hyperlink r:id="rId12" w:tgtFrame="_blank" w:history="1">
        <w:r w:rsidR="004E62F6" w:rsidRPr="00007600">
          <w:rPr>
            <w:rStyle w:val="Hyperlink"/>
            <w:rFonts w:ascii="Times New Roman" w:hAnsi="Times New Roman" w:cs="Times New Roman"/>
            <w:color w:val="auto"/>
            <w:sz w:val="24"/>
            <w:szCs w:val="24"/>
            <w:u w:val="none"/>
            <w:shd w:val="clear" w:color="auto" w:fill="FFFFFF"/>
          </w:rPr>
          <w:t>794/2004</w:t>
        </w:r>
      </w:hyperlink>
      <w:r w:rsidR="004E62F6" w:rsidRPr="00007600">
        <w:rPr>
          <w:rFonts w:ascii="Times New Roman" w:hAnsi="Times New Roman" w:cs="Times New Roman"/>
          <w:sz w:val="24"/>
          <w:szCs w:val="24"/>
          <w:shd w:val="clear" w:color="auto" w:fill="FFFFFF"/>
        </w:rPr>
        <w:t> </w:t>
      </w:r>
      <w:r w:rsidR="004F3FA2" w:rsidRPr="00007600">
        <w:rPr>
          <w:rFonts w:ascii="Times New Roman" w:hAnsi="Times New Roman" w:cs="Times New Roman"/>
          <w:sz w:val="24"/>
          <w:szCs w:val="24"/>
        </w:rPr>
        <w:t>11.pant</w:t>
      </w:r>
      <w:r w:rsidR="004E62F6" w:rsidRPr="00007600">
        <w:rPr>
          <w:rFonts w:ascii="Times New Roman" w:hAnsi="Times New Roman" w:cs="Times New Roman"/>
          <w:sz w:val="24"/>
          <w:szCs w:val="24"/>
        </w:rPr>
        <w:t>u</w:t>
      </w:r>
      <w:r w:rsidR="004F3FA2" w:rsidRPr="00007600">
        <w:rPr>
          <w:rFonts w:ascii="Times New Roman" w:hAnsi="Times New Roman" w:cs="Times New Roman"/>
          <w:i/>
          <w:iCs/>
          <w:sz w:val="24"/>
          <w:szCs w:val="24"/>
        </w:rPr>
        <w:t>“piemērojamā procentu likme ir likme, kas ir piemērojama dienā, kad nelikumīgais atbalsts pirmo reizi nodots saņēmēja rīcība. [..] Procentu likmes [..] piemēro visā periodā līdz atmaksāšanas datumam. Tomēr, ja no dienas, kad nelikumīgais atbalsts pirmo reizi nodots saņēmēja rīcībā</w:t>
      </w:r>
      <w:r w:rsidR="004F3FA2">
        <w:rPr>
          <w:rFonts w:ascii="Times New Roman" w:hAnsi="Times New Roman" w:cs="Times New Roman"/>
          <w:i/>
          <w:iCs/>
          <w:sz w:val="24"/>
          <w:szCs w:val="24"/>
        </w:rPr>
        <w:t>, līdz atbalsta atmaksāšanas dienai pagājis vairāk nekā viens gads, procentu likmi pārrēķina reizi gadā, par pamatu ņemot pārrēķināšanas laikā spēkā esošo likmi.”</w:t>
      </w:r>
    </w:p>
    <w:p w14:paraId="02AF9FA2" w14:textId="68B862A7" w:rsidR="004F3FA2" w:rsidRDefault="004B0999" w:rsidP="004F3FA2">
      <w:pPr>
        <w:ind w:firstLine="567"/>
        <w:rPr>
          <w:rFonts w:ascii="Times New Roman" w:hAnsi="Times New Roman" w:cs="Times New Roman"/>
          <w:sz w:val="24"/>
          <w:szCs w:val="24"/>
        </w:rPr>
      </w:pPr>
      <w:r>
        <w:rPr>
          <w:rFonts w:ascii="Times New Roman" w:hAnsi="Times New Roman" w:cs="Times New Roman"/>
          <w:sz w:val="24"/>
          <w:szCs w:val="24"/>
        </w:rPr>
        <w:t xml:space="preserve">Attiecīgi praksē tas nozīmē, ka </w:t>
      </w:r>
      <w:r w:rsidR="004F3FA2">
        <w:rPr>
          <w:rFonts w:ascii="Times New Roman" w:hAnsi="Times New Roman" w:cs="Times New Roman"/>
          <w:sz w:val="24"/>
          <w:szCs w:val="24"/>
        </w:rPr>
        <w:t>procentu (atgūšanas) likmes aprēķināšanai par pamatu tiek ņemta at</w:t>
      </w:r>
      <w:r w:rsidR="004F3FA2">
        <w:rPr>
          <w:rFonts w:ascii="Times New Roman" w:hAnsi="Times New Roman" w:cs="Times New Roman"/>
          <w:color w:val="000000"/>
          <w:sz w:val="24"/>
          <w:szCs w:val="24"/>
        </w:rPr>
        <w:t>sauces likme, kas atrodama Komisijas paziņojumā par pašreizējām valsts atbalsta “atgūšanas” procentu likmēm un atsauces/diskonta likmēm</w:t>
      </w:r>
      <w:r w:rsidR="00007600">
        <w:rPr>
          <w:rStyle w:val="FootnoteReference"/>
          <w:rFonts w:ascii="Times New Roman" w:hAnsi="Times New Roman" w:cs="Times New Roman"/>
          <w:color w:val="000000"/>
          <w:sz w:val="24"/>
          <w:szCs w:val="24"/>
        </w:rPr>
        <w:footnoteReference w:id="2"/>
      </w:r>
      <w:r w:rsidR="004F3FA2" w:rsidRPr="00007600">
        <w:rPr>
          <w:rFonts w:ascii="Times New Roman" w:hAnsi="Times New Roman" w:cs="Times New Roman"/>
          <w:color w:val="000000"/>
          <w:sz w:val="24"/>
          <w:szCs w:val="24"/>
        </w:rPr>
        <w:t xml:space="preserve">, pieskaitot 100 </w:t>
      </w:r>
      <w:r w:rsidR="00EA5F19">
        <w:rPr>
          <w:rFonts w:ascii="Times New Roman" w:hAnsi="Times New Roman" w:cs="Times New Roman"/>
          <w:color w:val="000000"/>
          <w:sz w:val="24"/>
          <w:szCs w:val="24"/>
        </w:rPr>
        <w:t>bāzes</w:t>
      </w:r>
      <w:r w:rsidR="00EA5F19" w:rsidRPr="00007600">
        <w:rPr>
          <w:rFonts w:ascii="Times New Roman" w:hAnsi="Times New Roman" w:cs="Times New Roman"/>
          <w:color w:val="000000"/>
          <w:sz w:val="24"/>
          <w:szCs w:val="24"/>
        </w:rPr>
        <w:t xml:space="preserve"> </w:t>
      </w:r>
      <w:r w:rsidR="004F3FA2" w:rsidRPr="00007600">
        <w:rPr>
          <w:rFonts w:ascii="Times New Roman" w:hAnsi="Times New Roman" w:cs="Times New Roman"/>
          <w:color w:val="000000"/>
          <w:sz w:val="24"/>
          <w:szCs w:val="24"/>
        </w:rPr>
        <w:t>punktus</w:t>
      </w:r>
      <w:r w:rsidR="00EA5F19" w:rsidRPr="00007600">
        <w:rPr>
          <w:rFonts w:ascii="Times New Roman" w:hAnsi="Times New Roman" w:cs="Times New Roman"/>
          <w:color w:val="000000"/>
          <w:sz w:val="24"/>
          <w:szCs w:val="24"/>
        </w:rPr>
        <w:t>.</w:t>
      </w:r>
      <w:r w:rsidR="00EA5F19">
        <w:rPr>
          <w:rFonts w:ascii="Times New Roman" w:hAnsi="Times New Roman" w:cs="Times New Roman"/>
          <w:i/>
          <w:iCs/>
          <w:color w:val="000000"/>
          <w:sz w:val="24"/>
          <w:szCs w:val="24"/>
        </w:rPr>
        <w:t xml:space="preserve"> </w:t>
      </w:r>
      <w:r w:rsidR="004F3FA2">
        <w:rPr>
          <w:rFonts w:ascii="Times New Roman" w:hAnsi="Times New Roman" w:cs="Times New Roman"/>
          <w:sz w:val="24"/>
          <w:szCs w:val="24"/>
        </w:rPr>
        <w:t xml:space="preserve">Papildus skaidrojam, ka “atgūšanas” procentus aprēķina atbilstoši salikto procentu aprēķina metodei. </w:t>
      </w:r>
    </w:p>
    <w:p w14:paraId="268BCC8A" w14:textId="77777777" w:rsidR="004F3FA2" w:rsidRDefault="004F3FA2" w:rsidP="004F3FA2">
      <w:pPr>
        <w:rPr>
          <w:rFonts w:ascii="Times New Roman" w:hAnsi="Times New Roman" w:cs="Times New Roman"/>
          <w:sz w:val="24"/>
          <w:szCs w:val="24"/>
        </w:rPr>
      </w:pPr>
    </w:p>
    <w:p w14:paraId="5C3296EF" w14:textId="77777777" w:rsidR="004F3FA2" w:rsidRDefault="004F3FA2" w:rsidP="004F3FA2">
      <w:pPr>
        <w:rPr>
          <w:rFonts w:ascii="Times New Roman" w:hAnsi="Times New Roman" w:cs="Times New Roman"/>
          <w:sz w:val="24"/>
          <w:szCs w:val="24"/>
        </w:rPr>
      </w:pPr>
      <w:r>
        <w:rPr>
          <w:rFonts w:ascii="Times New Roman" w:hAnsi="Times New Roman" w:cs="Times New Roman"/>
          <w:sz w:val="24"/>
          <w:szCs w:val="24"/>
        </w:rPr>
        <w:t>Formula atgūstamās summas un atgūšanas procentu aprēķināšanai pēc salikto procentu aprēķināšanas metodes, ja aprēķināmais periods ir pilnos fiskālos gados, ir šāda:</w:t>
      </w:r>
    </w:p>
    <w:p w14:paraId="1BD546A3" w14:textId="77777777" w:rsidR="004F3FA2" w:rsidRDefault="004F3FA2" w:rsidP="004F3FA2">
      <w:pPr>
        <w:rPr>
          <w:rFonts w:ascii="Times New Roman" w:hAnsi="Times New Roman" w:cs="Times New Roman"/>
          <w:i/>
          <w:iCs/>
          <w:sz w:val="24"/>
          <w:szCs w:val="24"/>
        </w:rPr>
      </w:pPr>
    </w:p>
    <w:p w14:paraId="60039FB3" w14:textId="77777777" w:rsidR="004F3FA2" w:rsidRDefault="004F3FA2" w:rsidP="004F3FA2">
      <w:pPr>
        <w:pBdr>
          <w:top w:val="single" w:sz="4" w:space="1" w:color="000000"/>
          <w:left w:val="single" w:sz="4" w:space="4" w:color="000000"/>
          <w:bottom w:val="single" w:sz="4" w:space="1" w:color="000000"/>
          <w:right w:val="single" w:sz="4" w:space="4" w:color="000000"/>
        </w:pBdr>
        <w:rPr>
          <w:rFonts w:ascii="Times New Roman" w:hAnsi="Times New Roman" w:cs="Times New Roman"/>
          <w:i/>
          <w:iCs/>
          <w:sz w:val="24"/>
          <w:szCs w:val="24"/>
          <w:vertAlign w:val="superscript"/>
        </w:rPr>
      </w:pPr>
      <w:r>
        <w:rPr>
          <w:rFonts w:ascii="Times New Roman" w:hAnsi="Times New Roman" w:cs="Times New Roman"/>
          <w:i/>
          <w:iCs/>
          <w:sz w:val="24"/>
          <w:szCs w:val="24"/>
        </w:rPr>
        <w:t>Kopējā atgūstamā summa = sākotnējā vērtībā (piešķirtā atbalsta summa) x (1 + atsauces likme)</w:t>
      </w:r>
      <w:r>
        <w:rPr>
          <w:rFonts w:ascii="Times New Roman" w:hAnsi="Times New Roman" w:cs="Times New Roman"/>
          <w:i/>
          <w:iCs/>
          <w:sz w:val="24"/>
          <w:szCs w:val="24"/>
          <w:vertAlign w:val="superscript"/>
        </w:rPr>
        <w:t>gadi</w:t>
      </w:r>
    </w:p>
    <w:p w14:paraId="0612709F" w14:textId="77777777" w:rsidR="004F3FA2" w:rsidRDefault="004F3FA2" w:rsidP="004F3FA2">
      <w:pPr>
        <w:rPr>
          <w:rFonts w:ascii="Times New Roman" w:hAnsi="Times New Roman" w:cs="Times New Roman"/>
          <w:sz w:val="24"/>
          <w:szCs w:val="24"/>
          <w:vertAlign w:val="superscript"/>
        </w:rPr>
      </w:pPr>
    </w:p>
    <w:p w14:paraId="0C772808" w14:textId="77777777" w:rsidR="004F3FA2" w:rsidRDefault="004F3FA2" w:rsidP="004F3FA2">
      <w:pPr>
        <w:rPr>
          <w:rFonts w:ascii="Times New Roman" w:hAnsi="Times New Roman" w:cs="Times New Roman"/>
          <w:sz w:val="24"/>
          <w:szCs w:val="24"/>
        </w:rPr>
      </w:pPr>
      <w:r>
        <w:rPr>
          <w:rFonts w:ascii="Times New Roman" w:hAnsi="Times New Roman" w:cs="Times New Roman"/>
          <w:sz w:val="24"/>
          <w:szCs w:val="24"/>
        </w:rPr>
        <w:t xml:space="preserve">Piemērojamā atsauces likme (procentu likme), kas ir spēkā atbalsta piešķiršanas dienā, pēc tam tiek pārskatīta ik pēc gada, tajā pašā dienā un mēnesī, kad tika piešķirts atbalsts. Atsauces likmei jāpievieno 100 bāzes punkti. </w:t>
      </w:r>
    </w:p>
    <w:p w14:paraId="52476B16" w14:textId="77777777" w:rsidR="004F3FA2" w:rsidRDefault="004F3FA2" w:rsidP="004F3FA2">
      <w:pPr>
        <w:rPr>
          <w:rFonts w:ascii="Times New Roman" w:hAnsi="Times New Roman" w:cs="Times New Roman"/>
          <w:sz w:val="24"/>
          <w:szCs w:val="24"/>
          <w:vertAlign w:val="superscript"/>
        </w:rPr>
      </w:pPr>
    </w:p>
    <w:p w14:paraId="18E3FCF7" w14:textId="77777777" w:rsidR="004F3FA2" w:rsidRDefault="004F3FA2" w:rsidP="004F3FA2">
      <w:pPr>
        <w:rPr>
          <w:rFonts w:ascii="Times New Roman" w:hAnsi="Times New Roman" w:cs="Times New Roman"/>
          <w:sz w:val="24"/>
          <w:szCs w:val="24"/>
        </w:rPr>
      </w:pPr>
      <w:r>
        <w:rPr>
          <w:rFonts w:ascii="Times New Roman" w:hAnsi="Times New Roman" w:cs="Times New Roman"/>
          <w:sz w:val="24"/>
          <w:szCs w:val="24"/>
        </w:rPr>
        <w:t>Gadījumā, ja aprēķināmais periods ir īsāks par gadu, ir jāņem vērā attiecīgo dienu skaits gadā:</w:t>
      </w:r>
    </w:p>
    <w:p w14:paraId="7D6C5EA0" w14:textId="77777777" w:rsidR="004F3FA2" w:rsidRDefault="004F3FA2" w:rsidP="004F3FA2">
      <w:pPr>
        <w:rPr>
          <w:rFonts w:ascii="Times New Roman" w:hAnsi="Times New Roman" w:cs="Times New Roman"/>
          <w:sz w:val="24"/>
          <w:szCs w:val="24"/>
        </w:rPr>
      </w:pPr>
    </w:p>
    <w:p w14:paraId="41772A98" w14:textId="77777777" w:rsidR="004F3FA2" w:rsidRDefault="004F3FA2" w:rsidP="004F3FA2">
      <w:pPr>
        <w:pBdr>
          <w:top w:val="single" w:sz="4" w:space="1" w:color="000000"/>
          <w:left w:val="single" w:sz="4" w:space="4" w:color="000000"/>
          <w:bottom w:val="single" w:sz="4" w:space="1" w:color="000000"/>
          <w:right w:val="single" w:sz="4" w:space="4" w:color="000000"/>
        </w:pBdr>
        <w:rPr>
          <w:rFonts w:ascii="Times New Roman" w:hAnsi="Times New Roman" w:cs="Times New Roman"/>
          <w:i/>
          <w:iCs/>
          <w:sz w:val="24"/>
          <w:szCs w:val="24"/>
        </w:rPr>
      </w:pPr>
      <w:r>
        <w:rPr>
          <w:rFonts w:ascii="Times New Roman" w:hAnsi="Times New Roman" w:cs="Times New Roman"/>
          <w:i/>
          <w:iCs/>
          <w:sz w:val="24"/>
          <w:szCs w:val="24"/>
        </w:rPr>
        <w:t>Kopējā atgūstamā summa = sākotnējā vērtība (piešķirtā atbalsta summa) x (1 + atsauces likme)</w:t>
      </w:r>
      <w:r>
        <w:rPr>
          <w:rFonts w:ascii="Times New Roman" w:hAnsi="Times New Roman" w:cs="Times New Roman"/>
          <w:i/>
          <w:iCs/>
          <w:sz w:val="24"/>
          <w:szCs w:val="24"/>
          <w:vertAlign w:val="superscript"/>
        </w:rPr>
        <w:t>dienu skaits/365</w:t>
      </w:r>
    </w:p>
    <w:p w14:paraId="13A9D679" w14:textId="77777777" w:rsidR="004F3FA2" w:rsidRDefault="004F3FA2" w:rsidP="004F3FA2">
      <w:pPr>
        <w:rPr>
          <w:rFonts w:ascii="Times New Roman" w:hAnsi="Times New Roman" w:cs="Times New Roman"/>
          <w:sz w:val="24"/>
          <w:szCs w:val="24"/>
        </w:rPr>
      </w:pPr>
    </w:p>
    <w:p w14:paraId="75959DD8" w14:textId="77777777" w:rsidR="004F3FA2" w:rsidRDefault="004F3FA2" w:rsidP="004F3FA2">
      <w:pPr>
        <w:rPr>
          <w:rFonts w:ascii="Times New Roman" w:hAnsi="Times New Roman" w:cs="Times New Roman"/>
          <w:sz w:val="24"/>
          <w:szCs w:val="24"/>
        </w:rPr>
      </w:pPr>
      <w:r>
        <w:rPr>
          <w:rFonts w:ascii="Times New Roman" w:hAnsi="Times New Roman" w:cs="Times New Roman"/>
          <w:sz w:val="24"/>
          <w:szCs w:val="24"/>
        </w:rPr>
        <w:t>Līdz ar to kopējā formula atgūstamās summas un atgūšanas procentu aprēķināšanai ir šāda:</w:t>
      </w:r>
    </w:p>
    <w:p w14:paraId="07D56906" w14:textId="77777777" w:rsidR="004F3FA2" w:rsidRDefault="004F3FA2" w:rsidP="004F3FA2">
      <w:pPr>
        <w:rPr>
          <w:rFonts w:ascii="Times New Roman" w:hAnsi="Times New Roman" w:cs="Times New Roman"/>
          <w:sz w:val="24"/>
          <w:szCs w:val="24"/>
        </w:rPr>
      </w:pPr>
    </w:p>
    <w:p w14:paraId="212AC0E8" w14:textId="77777777" w:rsidR="004F3FA2" w:rsidRDefault="004F3FA2" w:rsidP="004F3FA2">
      <w:pPr>
        <w:pBdr>
          <w:top w:val="single" w:sz="4" w:space="1" w:color="000000"/>
          <w:left w:val="single" w:sz="4" w:space="4" w:color="000000"/>
          <w:bottom w:val="single" w:sz="4" w:space="1" w:color="000000"/>
          <w:right w:val="single" w:sz="4" w:space="4" w:color="000000"/>
        </w:pBdr>
        <w:rPr>
          <w:rFonts w:ascii="Times New Roman" w:hAnsi="Times New Roman" w:cs="Times New Roman"/>
          <w:bCs/>
          <w:i/>
          <w:iCs/>
          <w:sz w:val="24"/>
          <w:szCs w:val="24"/>
        </w:rPr>
      </w:pPr>
      <w:r>
        <w:rPr>
          <w:rFonts w:ascii="Times New Roman" w:hAnsi="Times New Roman" w:cs="Times New Roman"/>
          <w:bCs/>
          <w:i/>
          <w:iCs/>
          <w:sz w:val="24"/>
          <w:szCs w:val="24"/>
        </w:rPr>
        <w:t>Kopējā atgūstamā summa = sākotnējā vērtība (piešķirtā atbalsta summa) x (1 + atsauces likme)</w:t>
      </w:r>
      <w:r>
        <w:rPr>
          <w:rFonts w:ascii="Times New Roman" w:hAnsi="Times New Roman" w:cs="Times New Roman"/>
          <w:bCs/>
          <w:i/>
          <w:iCs/>
          <w:sz w:val="24"/>
          <w:szCs w:val="24"/>
          <w:vertAlign w:val="superscript"/>
        </w:rPr>
        <w:t>365/365</w:t>
      </w:r>
      <w:r>
        <w:rPr>
          <w:rFonts w:ascii="Times New Roman" w:hAnsi="Times New Roman" w:cs="Times New Roman"/>
          <w:bCs/>
          <w:i/>
          <w:iCs/>
          <w:sz w:val="24"/>
          <w:szCs w:val="24"/>
        </w:rPr>
        <w:t xml:space="preserve"> x (1 + atsauces likme)</w:t>
      </w:r>
      <w:r>
        <w:rPr>
          <w:rFonts w:ascii="Times New Roman" w:hAnsi="Times New Roman" w:cs="Times New Roman"/>
          <w:bCs/>
          <w:i/>
          <w:iCs/>
          <w:sz w:val="24"/>
          <w:szCs w:val="24"/>
          <w:vertAlign w:val="superscript"/>
        </w:rPr>
        <w:t>dienu skaits/365</w:t>
      </w:r>
    </w:p>
    <w:p w14:paraId="003740D4" w14:textId="77777777" w:rsidR="004F3FA2" w:rsidRDefault="004F3FA2" w:rsidP="004F3FA2">
      <w:pPr>
        <w:rPr>
          <w:rFonts w:ascii="Times New Roman" w:hAnsi="Times New Roman" w:cs="Times New Roman"/>
          <w:sz w:val="24"/>
          <w:szCs w:val="24"/>
        </w:rPr>
      </w:pPr>
    </w:p>
    <w:p w14:paraId="62BEAF80" w14:textId="77777777" w:rsidR="004F3FA2" w:rsidRPr="00FA49AF" w:rsidRDefault="004F3FA2" w:rsidP="00FA49AF">
      <w:pPr>
        <w:pStyle w:val="NumPar1"/>
        <w:rPr>
          <w:szCs w:val="24"/>
          <w:u w:val="single"/>
        </w:rPr>
      </w:pPr>
      <w:r>
        <w:rPr>
          <w:szCs w:val="24"/>
          <w:u w:val="single"/>
        </w:rPr>
        <w:t>Piemērs:</w:t>
      </w:r>
    </w:p>
    <w:p w14:paraId="485F9AF7" w14:textId="37AE1F83" w:rsidR="004F3FA2" w:rsidRDefault="004F3FA2" w:rsidP="004F3FA2">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Ņemot vērā iepriekš minēto, piemēram, ja 2018.gada 1.janvārī </w:t>
      </w:r>
      <w:r w:rsidR="00007600">
        <w:rPr>
          <w:rFonts w:ascii="Times New Roman" w:hAnsi="Times New Roman" w:cs="Times New Roman"/>
          <w:sz w:val="24"/>
          <w:szCs w:val="24"/>
        </w:rPr>
        <w:t xml:space="preserve">faktiski </w:t>
      </w:r>
      <w:r>
        <w:rPr>
          <w:rFonts w:ascii="Times New Roman" w:hAnsi="Times New Roman" w:cs="Times New Roman"/>
          <w:sz w:val="24"/>
          <w:szCs w:val="24"/>
        </w:rPr>
        <w:t xml:space="preserve">tika piešķirts nelikumīgs atbalsts 100 000 EUR apmērā (vienā maksājumā) uz 2019.gada 27.septembri atgūstamā atbalsta aprēķins būtu šāds (izmantojama pēdējā formula, jo kopš nelikumīgā </w:t>
      </w:r>
      <w:r>
        <w:rPr>
          <w:rFonts w:ascii="Times New Roman" w:hAnsi="Times New Roman" w:cs="Times New Roman"/>
          <w:sz w:val="24"/>
          <w:szCs w:val="24"/>
        </w:rPr>
        <w:lastRenderedPageBreak/>
        <w:t>atbalsta nodošanas saņēmēja rīcībā, līdz atbalsta atmaksāšanas dienai pagājis vairāk nekā viens gads).</w:t>
      </w:r>
    </w:p>
    <w:p w14:paraId="16C8D950" w14:textId="77777777" w:rsidR="004F3FA2" w:rsidRDefault="004F3FA2" w:rsidP="004F3FA2">
      <w:pPr>
        <w:pStyle w:val="BodyText"/>
        <w:spacing w:after="0" w:line="240" w:lineRule="auto"/>
        <w:rPr>
          <w:rFonts w:ascii="Times New Roman" w:hAnsi="Times New Roman" w:cs="Times New Roman"/>
          <w:b/>
          <w:bCs/>
          <w:i/>
          <w:iCs/>
          <w:sz w:val="24"/>
          <w:szCs w:val="24"/>
        </w:rPr>
      </w:pPr>
    </w:p>
    <w:p w14:paraId="324594E6" w14:textId="77777777" w:rsidR="004F3FA2" w:rsidRDefault="004F3FA2" w:rsidP="004F3FA2">
      <w:pPr>
        <w:pStyle w:val="BodyText"/>
        <w:spacing w:after="0" w:line="240" w:lineRule="auto"/>
        <w:rPr>
          <w:rFonts w:ascii="Times New Roman" w:hAnsi="Times New Roman" w:cs="Times New Roman"/>
          <w:sz w:val="24"/>
          <w:szCs w:val="24"/>
        </w:rPr>
      </w:pPr>
      <w:r>
        <w:rPr>
          <w:rFonts w:ascii="Times New Roman" w:hAnsi="Times New Roman" w:cs="Times New Roman"/>
          <w:bCs/>
          <w:iCs/>
          <w:sz w:val="24"/>
          <w:szCs w:val="24"/>
        </w:rPr>
        <w:t xml:space="preserve">Sākotnējā vērtība (piešķirtā atbalsta summa) - </w:t>
      </w:r>
      <w:r>
        <w:rPr>
          <w:rFonts w:ascii="Times New Roman" w:hAnsi="Times New Roman" w:cs="Times New Roman"/>
          <w:sz w:val="24"/>
          <w:szCs w:val="24"/>
        </w:rPr>
        <w:t>100 000 EUR</w:t>
      </w:r>
    </w:p>
    <w:p w14:paraId="326E164B" w14:textId="77777777" w:rsidR="004F3FA2" w:rsidRDefault="004F3FA2" w:rsidP="004F3FA2">
      <w:pPr>
        <w:pStyle w:val="BodyText"/>
        <w:spacing w:after="0" w:line="240" w:lineRule="auto"/>
        <w:rPr>
          <w:rFonts w:ascii="Times New Roman" w:hAnsi="Times New Roman" w:cs="Times New Roman"/>
          <w:sz w:val="24"/>
          <w:szCs w:val="24"/>
        </w:rPr>
      </w:pPr>
      <w:r>
        <w:rPr>
          <w:rFonts w:ascii="Times New Roman" w:hAnsi="Times New Roman" w:cs="Times New Roman"/>
          <w:bCs/>
          <w:iCs/>
          <w:sz w:val="24"/>
          <w:szCs w:val="24"/>
        </w:rPr>
        <w:t xml:space="preserve">Atsauces likme uz </w:t>
      </w:r>
      <w:r>
        <w:rPr>
          <w:rFonts w:ascii="Times New Roman" w:eastAsia="Times New Roman" w:hAnsi="Times New Roman" w:cs="Times New Roman"/>
          <w:sz w:val="24"/>
          <w:szCs w:val="24"/>
          <w:lang w:bidi="ar-SA"/>
        </w:rPr>
        <w:t xml:space="preserve">2018.01.01 - </w:t>
      </w:r>
      <w:r>
        <w:rPr>
          <w:rFonts w:ascii="Times New Roman" w:hAnsi="Times New Roman" w:cs="Times New Roman"/>
          <w:sz w:val="24"/>
          <w:szCs w:val="24"/>
        </w:rPr>
        <w:t>(-0,18%)</w:t>
      </w:r>
    </w:p>
    <w:p w14:paraId="445A13D0" w14:textId="77777777" w:rsidR="004F3FA2" w:rsidRDefault="004F3FA2" w:rsidP="004F3FA2">
      <w:pPr>
        <w:pStyle w:val="BodyText"/>
        <w:spacing w:after="0" w:line="240" w:lineRule="auto"/>
        <w:rPr>
          <w:rFonts w:ascii="Times New Roman" w:hAnsi="Times New Roman" w:cs="Times New Roman"/>
          <w:sz w:val="24"/>
          <w:szCs w:val="24"/>
        </w:rPr>
      </w:pPr>
      <w:r>
        <w:rPr>
          <w:rFonts w:ascii="Times New Roman" w:hAnsi="Times New Roman" w:cs="Times New Roman"/>
          <w:bCs/>
          <w:iCs/>
          <w:sz w:val="24"/>
          <w:szCs w:val="24"/>
        </w:rPr>
        <w:t xml:space="preserve">Atsauces likme uz </w:t>
      </w:r>
      <w:r>
        <w:rPr>
          <w:rFonts w:ascii="Times New Roman" w:eastAsia="Times New Roman" w:hAnsi="Times New Roman" w:cs="Times New Roman"/>
          <w:sz w:val="24"/>
          <w:szCs w:val="24"/>
          <w:lang w:bidi="ar-SA"/>
        </w:rPr>
        <w:t>2019.01.0</w:t>
      </w:r>
      <w:r w:rsidR="004E358E">
        <w:rPr>
          <w:rFonts w:ascii="Times New Roman" w:eastAsia="Times New Roman" w:hAnsi="Times New Roman" w:cs="Times New Roman"/>
          <w:sz w:val="24"/>
          <w:szCs w:val="24"/>
          <w:lang w:bidi="ar-SA"/>
        </w:rPr>
        <w:t>1</w:t>
      </w:r>
      <w:r>
        <w:rPr>
          <w:rFonts w:ascii="Times New Roman" w:eastAsia="Times New Roman" w:hAnsi="Times New Roman" w:cs="Times New Roman"/>
          <w:sz w:val="24"/>
          <w:szCs w:val="24"/>
          <w:lang w:bidi="ar-SA"/>
        </w:rPr>
        <w:t xml:space="preserve"> - </w:t>
      </w:r>
      <w:r>
        <w:rPr>
          <w:rFonts w:ascii="Times New Roman" w:hAnsi="Times New Roman" w:cs="Times New Roman"/>
          <w:sz w:val="24"/>
          <w:szCs w:val="24"/>
        </w:rPr>
        <w:t>(-0,16%)</w:t>
      </w:r>
    </w:p>
    <w:p w14:paraId="4EB6E0DD" w14:textId="77777777" w:rsidR="004F3FA2" w:rsidRDefault="004F3FA2" w:rsidP="004F3FA2">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Atsauces likmei jāpievieno 100 bāzes punkti.</w:t>
      </w:r>
    </w:p>
    <w:p w14:paraId="58DD5101" w14:textId="77777777" w:rsidR="004F3FA2" w:rsidRDefault="004F3FA2" w:rsidP="004F3FA2">
      <w:pPr>
        <w:pStyle w:val="BodyText"/>
        <w:spacing w:after="0" w:line="240" w:lineRule="auto"/>
        <w:rPr>
          <w:rFonts w:ascii="Times New Roman" w:hAnsi="Times New Roman" w:cs="Times New Roman"/>
          <w:color w:val="222222"/>
          <w:sz w:val="24"/>
          <w:szCs w:val="24"/>
        </w:rPr>
      </w:pPr>
    </w:p>
    <w:p w14:paraId="3D798195" w14:textId="77777777" w:rsidR="004F3FA2" w:rsidRDefault="004F3FA2" w:rsidP="004F3FA2">
      <w:pPr>
        <w:pStyle w:val="BodyText"/>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Aprēķins:</w:t>
      </w:r>
    </w:p>
    <w:p w14:paraId="796D1262" w14:textId="77777777" w:rsidR="004F3FA2" w:rsidRDefault="004F3FA2" w:rsidP="004F3FA2">
      <w:pPr>
        <w:pStyle w:val="BodyText"/>
        <w:spacing w:after="0" w:line="240" w:lineRule="auto"/>
        <w:rPr>
          <w:rFonts w:ascii="Times New Roman" w:hAnsi="Times New Roman" w:cs="Times New Roman"/>
          <w:sz w:val="24"/>
          <w:szCs w:val="24"/>
        </w:rPr>
      </w:pPr>
      <w:r>
        <w:rPr>
          <w:rFonts w:ascii="Times New Roman" w:hAnsi="Times New Roman" w:cs="Times New Roman"/>
          <w:color w:val="222222"/>
          <w:sz w:val="24"/>
          <w:szCs w:val="24"/>
        </w:rPr>
        <w:t>“Atgūstamā nelikumīgā atbalsta apmērs” = 100 000 EUR x (1 + (-0,18%) + 100 “bāzes punkti”)</w:t>
      </w:r>
      <w:r>
        <w:rPr>
          <w:rFonts w:ascii="Times New Roman" w:hAnsi="Times New Roman" w:cs="Times New Roman"/>
          <w:color w:val="222222"/>
          <w:position w:val="8"/>
          <w:sz w:val="24"/>
          <w:szCs w:val="24"/>
        </w:rPr>
        <w:t>365/365</w:t>
      </w:r>
      <w:r>
        <w:rPr>
          <w:rFonts w:ascii="Times New Roman" w:hAnsi="Times New Roman" w:cs="Times New Roman"/>
          <w:color w:val="222222"/>
          <w:sz w:val="24"/>
          <w:szCs w:val="24"/>
        </w:rPr>
        <w:t> x (1 + (-0,16%) + 100 “bāzes punkti”)</w:t>
      </w:r>
      <w:r>
        <w:rPr>
          <w:rFonts w:ascii="Times New Roman" w:hAnsi="Times New Roman" w:cs="Times New Roman"/>
          <w:color w:val="222222"/>
          <w:position w:val="8"/>
          <w:sz w:val="24"/>
          <w:szCs w:val="24"/>
        </w:rPr>
        <w:t>270/365</w:t>
      </w:r>
    </w:p>
    <w:p w14:paraId="686730F6" w14:textId="77777777" w:rsidR="004F3FA2" w:rsidRDefault="004F3FA2" w:rsidP="004F3FA2">
      <w:pPr>
        <w:pStyle w:val="BodyText"/>
        <w:spacing w:after="0" w:line="240" w:lineRule="auto"/>
        <w:rPr>
          <w:rFonts w:ascii="Times New Roman" w:hAnsi="Times New Roman" w:cs="Times New Roman"/>
          <w:sz w:val="24"/>
          <w:szCs w:val="24"/>
        </w:rPr>
      </w:pPr>
      <w:r>
        <w:rPr>
          <w:rFonts w:ascii="Times New Roman" w:hAnsi="Times New Roman" w:cs="Times New Roman"/>
          <w:color w:val="222222"/>
          <w:sz w:val="24"/>
          <w:szCs w:val="24"/>
        </w:rPr>
        <w:t>“Atgūstamā nelikumīgā atbalsta apmērs” = 100 000 EUR x (1 + (-0,0018) + 0,01)</w:t>
      </w:r>
      <w:r>
        <w:rPr>
          <w:rFonts w:ascii="Times New Roman" w:hAnsi="Times New Roman" w:cs="Times New Roman"/>
          <w:color w:val="222222"/>
          <w:position w:val="8"/>
          <w:sz w:val="24"/>
          <w:szCs w:val="24"/>
        </w:rPr>
        <w:t>365/365</w:t>
      </w:r>
      <w:r>
        <w:rPr>
          <w:rFonts w:ascii="Times New Roman" w:hAnsi="Times New Roman" w:cs="Times New Roman"/>
          <w:color w:val="222222"/>
          <w:sz w:val="24"/>
          <w:szCs w:val="24"/>
        </w:rPr>
        <w:t> x (1 + (-0,0016) + 0,01)</w:t>
      </w:r>
      <w:r>
        <w:rPr>
          <w:rFonts w:ascii="Times New Roman" w:hAnsi="Times New Roman" w:cs="Times New Roman"/>
          <w:color w:val="222222"/>
          <w:position w:val="8"/>
          <w:sz w:val="24"/>
          <w:szCs w:val="24"/>
        </w:rPr>
        <w:t>270/365</w:t>
      </w:r>
    </w:p>
    <w:p w14:paraId="59CE34D8" w14:textId="77777777" w:rsidR="004F3FA2" w:rsidRDefault="004F3FA2" w:rsidP="004F3FA2">
      <w:pPr>
        <w:pStyle w:val="BodyText"/>
        <w:spacing w:after="0" w:line="240" w:lineRule="auto"/>
        <w:rPr>
          <w:rFonts w:ascii="Times New Roman" w:hAnsi="Times New Roman" w:cs="Times New Roman"/>
          <w:sz w:val="24"/>
          <w:szCs w:val="24"/>
        </w:rPr>
      </w:pPr>
      <w:r>
        <w:rPr>
          <w:rFonts w:ascii="Times New Roman" w:hAnsi="Times New Roman" w:cs="Times New Roman"/>
          <w:color w:val="222222"/>
          <w:sz w:val="24"/>
          <w:szCs w:val="24"/>
        </w:rPr>
        <w:t>“Atgūstamā nelikumīgā atbalsta apmērs” = 101 445,78 EUR</w:t>
      </w:r>
    </w:p>
    <w:p w14:paraId="56CE1663" w14:textId="77777777" w:rsidR="004F3FA2" w:rsidRDefault="004F3FA2" w:rsidP="004F3FA2">
      <w:pPr>
        <w:pStyle w:val="BodyText"/>
        <w:spacing w:after="0" w:line="240" w:lineRule="auto"/>
        <w:rPr>
          <w:rFonts w:ascii="Times New Roman" w:hAnsi="Times New Roman" w:cs="Times New Roman"/>
          <w:sz w:val="24"/>
          <w:szCs w:val="24"/>
        </w:rPr>
      </w:pPr>
      <w:r>
        <w:rPr>
          <w:rFonts w:ascii="Times New Roman" w:hAnsi="Times New Roman" w:cs="Times New Roman"/>
          <w:color w:val="222222"/>
          <w:sz w:val="24"/>
          <w:szCs w:val="24"/>
        </w:rPr>
        <w:t> </w:t>
      </w:r>
    </w:p>
    <w:p w14:paraId="3B3DBE97" w14:textId="77777777" w:rsidR="004F3FA2" w:rsidRDefault="004F3FA2" w:rsidP="004F3FA2">
      <w:pPr>
        <w:pStyle w:val="BodyText"/>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u w:val="single"/>
        </w:rPr>
        <w:t>Attiecīgi aprakstītajā piemērā kopējā nelikumīgā atbalsta summa kopā ar procentiem sastādītu 101 445,78 </w:t>
      </w:r>
      <w:r>
        <w:rPr>
          <w:rFonts w:ascii="Times New Roman" w:hAnsi="Times New Roman" w:cs="Times New Roman"/>
          <w:i/>
          <w:color w:val="222222"/>
          <w:sz w:val="24"/>
          <w:szCs w:val="24"/>
          <w:u w:val="single"/>
        </w:rPr>
        <w:t>EUR </w:t>
      </w:r>
      <w:r>
        <w:rPr>
          <w:rFonts w:ascii="Times New Roman" w:hAnsi="Times New Roman" w:cs="Times New Roman"/>
          <w:color w:val="222222"/>
          <w:sz w:val="24"/>
          <w:szCs w:val="24"/>
        </w:rPr>
        <w:t>(detalizētāku aprēķinu lūdzam skatīt tabulā Nr.2).</w:t>
      </w:r>
    </w:p>
    <w:p w14:paraId="4AC56C8A" w14:textId="77777777" w:rsidR="004F3FA2" w:rsidRDefault="004F3FA2" w:rsidP="004F3FA2">
      <w:pPr>
        <w:pStyle w:val="BodyText"/>
        <w:spacing w:after="0" w:line="240" w:lineRule="auto"/>
        <w:jc w:val="right"/>
        <w:rPr>
          <w:rFonts w:ascii="Times New Roman" w:hAnsi="Times New Roman" w:cs="Times New Roman"/>
          <w:i/>
          <w:sz w:val="24"/>
          <w:szCs w:val="24"/>
        </w:rPr>
      </w:pPr>
      <w:r>
        <w:rPr>
          <w:rFonts w:ascii="Times New Roman" w:hAnsi="Times New Roman" w:cs="Times New Roman"/>
          <w:i/>
          <w:color w:val="222222"/>
          <w:sz w:val="24"/>
          <w:szCs w:val="24"/>
        </w:rPr>
        <w:t>Tabula Nr.2</w:t>
      </w:r>
    </w:p>
    <w:tbl>
      <w:tblPr>
        <w:tblW w:w="9662" w:type="dxa"/>
        <w:tblLook w:val="04A0" w:firstRow="1" w:lastRow="0" w:firstColumn="1" w:lastColumn="0" w:noHBand="0" w:noVBand="1"/>
      </w:tblPr>
      <w:tblGrid>
        <w:gridCol w:w="836"/>
        <w:gridCol w:w="1386"/>
        <w:gridCol w:w="1662"/>
        <w:gridCol w:w="2070"/>
        <w:gridCol w:w="2095"/>
        <w:gridCol w:w="1613"/>
      </w:tblGrid>
      <w:tr w:rsidR="004F3FA2" w14:paraId="79BABE0A" w14:textId="77777777" w:rsidTr="004F3FA2">
        <w:trPr>
          <w:trHeight w:val="315"/>
        </w:trPr>
        <w:tc>
          <w:tcPr>
            <w:tcW w:w="9662" w:type="dxa"/>
            <w:gridSpan w:val="6"/>
            <w:vAlign w:val="center"/>
            <w:hideMark/>
          </w:tcPr>
          <w:p w14:paraId="12E1C121" w14:textId="77777777" w:rsidR="004F3FA2" w:rsidRDefault="004F3FA2">
            <w:pPr>
              <w:spacing w:line="256" w:lineRule="auto"/>
              <w:jc w:val="center"/>
              <w:rPr>
                <w:rFonts w:ascii="Times New Roman" w:eastAsia="Times New Roman" w:hAnsi="Times New Roman" w:cs="Times New Roman"/>
                <w:bCs/>
                <w:color w:val="222222"/>
                <w:sz w:val="24"/>
                <w:szCs w:val="24"/>
                <w:lang w:eastAsia="en-US" w:bidi="ar-SA"/>
              </w:rPr>
            </w:pPr>
            <w:r>
              <w:rPr>
                <w:rFonts w:ascii="Times New Roman" w:eastAsia="Times New Roman" w:hAnsi="Times New Roman" w:cs="Times New Roman"/>
                <w:bCs/>
                <w:color w:val="222222"/>
                <w:sz w:val="24"/>
                <w:szCs w:val="24"/>
                <w:lang w:eastAsia="en-US" w:bidi="ar-SA"/>
              </w:rPr>
              <w:t>Uz 2019.gada 27.septembri atgūstamā atbalsta aprēķins</w:t>
            </w:r>
          </w:p>
        </w:tc>
      </w:tr>
      <w:tr w:rsidR="004F3FA2" w14:paraId="51BC441F" w14:textId="77777777" w:rsidTr="004F3FA2">
        <w:trPr>
          <w:trHeight w:val="792"/>
        </w:trPr>
        <w:tc>
          <w:tcPr>
            <w:tcW w:w="2222" w:type="dxa"/>
            <w:gridSpan w:val="2"/>
            <w:tcBorders>
              <w:top w:val="single" w:sz="4" w:space="0" w:color="auto"/>
              <w:left w:val="single" w:sz="4" w:space="0" w:color="auto"/>
              <w:bottom w:val="single" w:sz="4" w:space="0" w:color="auto"/>
              <w:right w:val="single" w:sz="4" w:space="0" w:color="auto"/>
            </w:tcBorders>
            <w:vAlign w:val="center"/>
            <w:hideMark/>
          </w:tcPr>
          <w:p w14:paraId="0C198889" w14:textId="77777777" w:rsidR="004F3FA2" w:rsidRDefault="004F3FA2">
            <w:pPr>
              <w:spacing w:line="256" w:lineRule="auto"/>
              <w:jc w:val="center"/>
              <w:rPr>
                <w:rFonts w:ascii="Times New Roman" w:eastAsia="Times New Roman" w:hAnsi="Times New Roman" w:cs="Times New Roman"/>
                <w:color w:val="000000"/>
                <w:sz w:val="24"/>
                <w:szCs w:val="24"/>
                <w:lang w:eastAsia="en-US" w:bidi="ar-SA"/>
              </w:rPr>
            </w:pPr>
            <w:r>
              <w:rPr>
                <w:rFonts w:ascii="Times New Roman" w:eastAsia="Times New Roman" w:hAnsi="Times New Roman" w:cs="Times New Roman"/>
                <w:color w:val="000000"/>
                <w:sz w:val="24"/>
                <w:szCs w:val="24"/>
                <w:lang w:eastAsia="en-US" w:bidi="ar-SA"/>
              </w:rPr>
              <w:t>Laika periods</w:t>
            </w:r>
          </w:p>
        </w:tc>
        <w:tc>
          <w:tcPr>
            <w:tcW w:w="1662" w:type="dxa"/>
            <w:tcBorders>
              <w:top w:val="single" w:sz="4" w:space="0" w:color="auto"/>
              <w:left w:val="nil"/>
              <w:bottom w:val="single" w:sz="4" w:space="0" w:color="auto"/>
              <w:right w:val="single" w:sz="4" w:space="0" w:color="auto"/>
            </w:tcBorders>
            <w:vAlign w:val="center"/>
            <w:hideMark/>
          </w:tcPr>
          <w:p w14:paraId="4A97AFD5" w14:textId="77777777" w:rsidR="004F3FA2" w:rsidRDefault="004F3FA2">
            <w:pPr>
              <w:spacing w:line="256" w:lineRule="auto"/>
              <w:jc w:val="center"/>
              <w:rPr>
                <w:rFonts w:ascii="Times New Roman" w:eastAsia="Times New Roman" w:hAnsi="Times New Roman" w:cs="Times New Roman"/>
                <w:color w:val="000000"/>
                <w:sz w:val="24"/>
                <w:szCs w:val="24"/>
                <w:lang w:eastAsia="en-US" w:bidi="ar-SA"/>
              </w:rPr>
            </w:pPr>
            <w:r>
              <w:rPr>
                <w:rFonts w:ascii="Times New Roman" w:eastAsia="Times New Roman" w:hAnsi="Times New Roman" w:cs="Times New Roman"/>
                <w:color w:val="000000"/>
                <w:sz w:val="24"/>
                <w:szCs w:val="24"/>
                <w:lang w:eastAsia="en-US" w:bidi="ar-SA"/>
              </w:rPr>
              <w:t>Summa, no kā aprēķināms atgūstamais atbalsta apmērs</w:t>
            </w:r>
          </w:p>
        </w:tc>
        <w:tc>
          <w:tcPr>
            <w:tcW w:w="2070" w:type="dxa"/>
            <w:tcBorders>
              <w:top w:val="single" w:sz="4" w:space="0" w:color="auto"/>
              <w:left w:val="nil"/>
              <w:bottom w:val="single" w:sz="4" w:space="0" w:color="auto"/>
              <w:right w:val="single" w:sz="4" w:space="0" w:color="auto"/>
            </w:tcBorders>
            <w:vAlign w:val="center"/>
            <w:hideMark/>
          </w:tcPr>
          <w:p w14:paraId="384163D5" w14:textId="77777777" w:rsidR="004F3FA2" w:rsidRDefault="004F3FA2">
            <w:pPr>
              <w:spacing w:line="256" w:lineRule="auto"/>
              <w:jc w:val="center"/>
              <w:rPr>
                <w:rFonts w:ascii="Times New Roman" w:eastAsia="Times New Roman" w:hAnsi="Times New Roman" w:cs="Times New Roman"/>
                <w:color w:val="000000"/>
                <w:sz w:val="24"/>
                <w:szCs w:val="24"/>
                <w:lang w:eastAsia="en-US" w:bidi="ar-SA"/>
              </w:rPr>
            </w:pPr>
            <w:r>
              <w:rPr>
                <w:rFonts w:ascii="Times New Roman" w:eastAsia="Times New Roman" w:hAnsi="Times New Roman" w:cs="Times New Roman"/>
                <w:color w:val="000000"/>
                <w:sz w:val="24"/>
                <w:szCs w:val="24"/>
                <w:lang w:eastAsia="en-US" w:bidi="ar-SA"/>
              </w:rPr>
              <w:t>Diskonta faktors atbalsta piešķiršanas brīdī</w:t>
            </w:r>
          </w:p>
        </w:tc>
        <w:tc>
          <w:tcPr>
            <w:tcW w:w="1976" w:type="dxa"/>
            <w:tcBorders>
              <w:top w:val="single" w:sz="4" w:space="0" w:color="auto"/>
              <w:left w:val="nil"/>
              <w:bottom w:val="single" w:sz="4" w:space="0" w:color="auto"/>
              <w:right w:val="single" w:sz="4" w:space="0" w:color="auto"/>
            </w:tcBorders>
            <w:vAlign w:val="center"/>
            <w:hideMark/>
          </w:tcPr>
          <w:p w14:paraId="3F9FB9F8" w14:textId="77777777" w:rsidR="004F3FA2" w:rsidRDefault="004F3FA2">
            <w:pPr>
              <w:spacing w:line="256" w:lineRule="auto"/>
              <w:jc w:val="center"/>
              <w:rPr>
                <w:rFonts w:ascii="Times New Roman" w:eastAsia="Times New Roman" w:hAnsi="Times New Roman" w:cs="Times New Roman"/>
                <w:color w:val="000000"/>
                <w:sz w:val="24"/>
                <w:szCs w:val="24"/>
                <w:lang w:eastAsia="en-US" w:bidi="ar-SA"/>
              </w:rPr>
            </w:pPr>
            <w:r>
              <w:rPr>
                <w:rFonts w:ascii="Times New Roman" w:eastAsia="Times New Roman" w:hAnsi="Times New Roman" w:cs="Times New Roman"/>
                <w:color w:val="000000"/>
                <w:sz w:val="24"/>
                <w:szCs w:val="24"/>
                <w:lang w:eastAsia="en-US" w:bidi="ar-SA"/>
              </w:rPr>
              <w:t>Atgūšanas %</w:t>
            </w:r>
          </w:p>
        </w:tc>
        <w:tc>
          <w:tcPr>
            <w:tcW w:w="1568" w:type="dxa"/>
            <w:tcBorders>
              <w:top w:val="single" w:sz="4" w:space="0" w:color="auto"/>
              <w:left w:val="nil"/>
              <w:bottom w:val="single" w:sz="4" w:space="0" w:color="auto"/>
              <w:right w:val="single" w:sz="4" w:space="0" w:color="auto"/>
            </w:tcBorders>
            <w:vAlign w:val="center"/>
            <w:hideMark/>
          </w:tcPr>
          <w:p w14:paraId="6DAE45E5" w14:textId="77777777" w:rsidR="004F3FA2" w:rsidRDefault="004F3FA2">
            <w:pPr>
              <w:spacing w:line="256" w:lineRule="auto"/>
              <w:jc w:val="center"/>
              <w:rPr>
                <w:rFonts w:ascii="Times New Roman" w:eastAsia="Times New Roman" w:hAnsi="Times New Roman" w:cs="Times New Roman"/>
                <w:color w:val="000000"/>
                <w:sz w:val="24"/>
                <w:szCs w:val="24"/>
                <w:lang w:eastAsia="en-US" w:bidi="ar-SA"/>
              </w:rPr>
            </w:pPr>
            <w:r>
              <w:rPr>
                <w:rFonts w:ascii="Times New Roman" w:eastAsia="Times New Roman" w:hAnsi="Times New Roman" w:cs="Times New Roman"/>
                <w:color w:val="000000"/>
                <w:sz w:val="24"/>
                <w:szCs w:val="24"/>
                <w:lang w:eastAsia="en-US" w:bidi="ar-SA"/>
              </w:rPr>
              <w:t>Atgūstamais atbalsta apmērs (atbalsta summa + atgūšanas %)</w:t>
            </w:r>
          </w:p>
        </w:tc>
      </w:tr>
      <w:tr w:rsidR="004F3FA2" w14:paraId="3E81D0A2" w14:textId="77777777" w:rsidTr="004F3FA2">
        <w:trPr>
          <w:trHeight w:val="315"/>
        </w:trPr>
        <w:tc>
          <w:tcPr>
            <w:tcW w:w="836" w:type="dxa"/>
            <w:tcBorders>
              <w:top w:val="nil"/>
              <w:left w:val="single" w:sz="4" w:space="0" w:color="auto"/>
              <w:bottom w:val="single" w:sz="4" w:space="0" w:color="auto"/>
              <w:right w:val="single" w:sz="4" w:space="0" w:color="auto"/>
            </w:tcBorders>
            <w:noWrap/>
            <w:vAlign w:val="bottom"/>
            <w:hideMark/>
          </w:tcPr>
          <w:p w14:paraId="3E8E42B0" w14:textId="77777777" w:rsidR="004F3FA2" w:rsidRDefault="004F3FA2">
            <w:pPr>
              <w:spacing w:line="256" w:lineRule="auto"/>
              <w:rPr>
                <w:rFonts w:ascii="Times New Roman" w:eastAsia="Times New Roman" w:hAnsi="Times New Roman" w:cs="Times New Roman"/>
                <w:color w:val="000000"/>
                <w:sz w:val="24"/>
                <w:szCs w:val="24"/>
                <w:lang w:eastAsia="en-US" w:bidi="ar-SA"/>
              </w:rPr>
            </w:pPr>
            <w:r>
              <w:rPr>
                <w:rFonts w:ascii="Times New Roman" w:eastAsia="Times New Roman" w:hAnsi="Times New Roman" w:cs="Times New Roman"/>
                <w:color w:val="000000"/>
                <w:sz w:val="24"/>
                <w:szCs w:val="24"/>
                <w:lang w:eastAsia="en-US" w:bidi="ar-SA"/>
              </w:rPr>
              <w:t>1.gads</w:t>
            </w:r>
          </w:p>
        </w:tc>
        <w:tc>
          <w:tcPr>
            <w:tcW w:w="1386" w:type="dxa"/>
            <w:tcBorders>
              <w:top w:val="nil"/>
              <w:left w:val="nil"/>
              <w:bottom w:val="single" w:sz="4" w:space="0" w:color="auto"/>
              <w:right w:val="single" w:sz="4" w:space="0" w:color="auto"/>
            </w:tcBorders>
            <w:noWrap/>
            <w:vAlign w:val="bottom"/>
            <w:hideMark/>
          </w:tcPr>
          <w:p w14:paraId="72A12337" w14:textId="77777777" w:rsidR="004F3FA2" w:rsidRDefault="004F3FA2">
            <w:pPr>
              <w:spacing w:line="256" w:lineRule="auto"/>
              <w:rPr>
                <w:rFonts w:ascii="Times New Roman" w:eastAsia="Times New Roman" w:hAnsi="Times New Roman" w:cs="Times New Roman"/>
                <w:color w:val="000000"/>
                <w:sz w:val="24"/>
                <w:szCs w:val="24"/>
                <w:lang w:eastAsia="en-US" w:bidi="ar-SA"/>
              </w:rPr>
            </w:pPr>
            <w:r>
              <w:rPr>
                <w:rFonts w:ascii="Times New Roman" w:eastAsia="Times New Roman" w:hAnsi="Times New Roman" w:cs="Times New Roman"/>
                <w:color w:val="000000"/>
                <w:sz w:val="24"/>
                <w:szCs w:val="24"/>
                <w:lang w:eastAsia="en-US" w:bidi="ar-SA"/>
              </w:rPr>
              <w:t>2018.01.01-201</w:t>
            </w:r>
            <w:r w:rsidR="00CF44C1">
              <w:rPr>
                <w:rFonts w:ascii="Times New Roman" w:eastAsia="Times New Roman" w:hAnsi="Times New Roman" w:cs="Times New Roman"/>
                <w:color w:val="000000"/>
                <w:sz w:val="24"/>
                <w:szCs w:val="24"/>
                <w:lang w:eastAsia="en-US" w:bidi="ar-SA"/>
              </w:rPr>
              <w:t>8</w:t>
            </w:r>
            <w:r>
              <w:rPr>
                <w:rFonts w:ascii="Times New Roman" w:eastAsia="Times New Roman" w:hAnsi="Times New Roman" w:cs="Times New Roman"/>
                <w:color w:val="000000"/>
                <w:sz w:val="24"/>
                <w:szCs w:val="24"/>
                <w:lang w:eastAsia="en-US" w:bidi="ar-SA"/>
              </w:rPr>
              <w:t>.</w:t>
            </w:r>
            <w:r w:rsidR="00CF44C1">
              <w:rPr>
                <w:rFonts w:ascii="Times New Roman" w:eastAsia="Times New Roman" w:hAnsi="Times New Roman" w:cs="Times New Roman"/>
                <w:color w:val="000000"/>
                <w:sz w:val="24"/>
                <w:szCs w:val="24"/>
                <w:lang w:eastAsia="en-US" w:bidi="ar-SA"/>
              </w:rPr>
              <w:t>12</w:t>
            </w:r>
            <w:r>
              <w:rPr>
                <w:rFonts w:ascii="Times New Roman" w:eastAsia="Times New Roman" w:hAnsi="Times New Roman" w:cs="Times New Roman"/>
                <w:color w:val="000000"/>
                <w:sz w:val="24"/>
                <w:szCs w:val="24"/>
                <w:lang w:eastAsia="en-US" w:bidi="ar-SA"/>
              </w:rPr>
              <w:t>.</w:t>
            </w:r>
            <w:r w:rsidR="00CF44C1">
              <w:rPr>
                <w:rFonts w:ascii="Times New Roman" w:eastAsia="Times New Roman" w:hAnsi="Times New Roman" w:cs="Times New Roman"/>
                <w:color w:val="000000"/>
                <w:sz w:val="24"/>
                <w:szCs w:val="24"/>
                <w:lang w:eastAsia="en-US" w:bidi="ar-SA"/>
              </w:rPr>
              <w:t>31</w:t>
            </w:r>
            <w:r>
              <w:rPr>
                <w:rFonts w:ascii="Times New Roman" w:eastAsia="Times New Roman" w:hAnsi="Times New Roman" w:cs="Times New Roman"/>
                <w:color w:val="000000"/>
                <w:sz w:val="24"/>
                <w:szCs w:val="24"/>
                <w:lang w:eastAsia="en-US" w:bidi="ar-SA"/>
              </w:rPr>
              <w:t xml:space="preserve"> </w:t>
            </w:r>
          </w:p>
        </w:tc>
        <w:tc>
          <w:tcPr>
            <w:tcW w:w="1662" w:type="dxa"/>
            <w:tcBorders>
              <w:top w:val="nil"/>
              <w:left w:val="nil"/>
              <w:bottom w:val="single" w:sz="4" w:space="0" w:color="auto"/>
              <w:right w:val="single" w:sz="4" w:space="0" w:color="auto"/>
            </w:tcBorders>
            <w:shd w:val="clear" w:color="auto" w:fill="E7E6E6" w:themeFill="background2"/>
            <w:noWrap/>
            <w:vAlign w:val="bottom"/>
            <w:hideMark/>
          </w:tcPr>
          <w:p w14:paraId="2AD0E78C" w14:textId="77777777" w:rsidR="004F3FA2" w:rsidRDefault="004F3FA2">
            <w:pPr>
              <w:spacing w:line="256" w:lineRule="auto"/>
              <w:jc w:val="right"/>
              <w:rPr>
                <w:rFonts w:ascii="Times New Roman" w:eastAsia="Times New Roman" w:hAnsi="Times New Roman" w:cs="Times New Roman"/>
                <w:color w:val="000000"/>
                <w:sz w:val="24"/>
                <w:szCs w:val="24"/>
                <w:lang w:eastAsia="en-US" w:bidi="ar-SA"/>
              </w:rPr>
            </w:pPr>
            <w:r>
              <w:rPr>
                <w:rFonts w:ascii="Times New Roman" w:eastAsia="Times New Roman" w:hAnsi="Times New Roman" w:cs="Times New Roman"/>
                <w:color w:val="000000"/>
                <w:sz w:val="24"/>
                <w:szCs w:val="24"/>
                <w:lang w:eastAsia="en-US" w:bidi="ar-SA"/>
              </w:rPr>
              <w:t>100 000.00</w:t>
            </w:r>
          </w:p>
        </w:tc>
        <w:tc>
          <w:tcPr>
            <w:tcW w:w="2070" w:type="dxa"/>
            <w:tcBorders>
              <w:top w:val="nil"/>
              <w:left w:val="nil"/>
              <w:bottom w:val="single" w:sz="4" w:space="0" w:color="auto"/>
              <w:right w:val="single" w:sz="4" w:space="0" w:color="auto"/>
            </w:tcBorders>
            <w:noWrap/>
            <w:vAlign w:val="bottom"/>
            <w:hideMark/>
          </w:tcPr>
          <w:p w14:paraId="2B4FB55C" w14:textId="77777777" w:rsidR="004F3FA2" w:rsidRDefault="004F3FA2">
            <w:pPr>
              <w:spacing w:line="256" w:lineRule="auto"/>
              <w:jc w:val="right"/>
              <w:rPr>
                <w:rFonts w:ascii="Times New Roman" w:eastAsia="Times New Roman" w:hAnsi="Times New Roman" w:cs="Times New Roman"/>
                <w:color w:val="000000"/>
                <w:sz w:val="24"/>
                <w:szCs w:val="24"/>
                <w:lang w:eastAsia="en-US" w:bidi="ar-SA"/>
              </w:rPr>
            </w:pPr>
            <w:r>
              <w:rPr>
                <w:rFonts w:ascii="Times New Roman" w:eastAsia="Times New Roman" w:hAnsi="Times New Roman" w:cs="Times New Roman"/>
                <w:color w:val="000000"/>
                <w:sz w:val="24"/>
                <w:szCs w:val="24"/>
                <w:lang w:eastAsia="en-US" w:bidi="ar-SA"/>
              </w:rPr>
              <w:t xml:space="preserve">1.0082 </w:t>
            </w:r>
          </w:p>
          <w:p w14:paraId="2BED598C" w14:textId="77777777" w:rsidR="004F3FA2" w:rsidRDefault="004F3FA2">
            <w:pPr>
              <w:spacing w:line="256" w:lineRule="auto"/>
              <w:jc w:val="right"/>
              <w:rPr>
                <w:rFonts w:ascii="Times New Roman" w:eastAsia="Times New Roman" w:hAnsi="Times New Roman" w:cs="Times New Roman"/>
                <w:color w:val="000000"/>
                <w:sz w:val="24"/>
                <w:szCs w:val="24"/>
                <w:lang w:eastAsia="en-US" w:bidi="ar-SA"/>
              </w:rPr>
            </w:pPr>
            <w:r>
              <w:rPr>
                <w:rFonts w:ascii="Times New Roman" w:hAnsi="Times New Roman" w:cs="Times New Roman"/>
                <w:color w:val="222222"/>
                <w:sz w:val="24"/>
                <w:szCs w:val="24"/>
                <w:lang w:eastAsia="en-US"/>
              </w:rPr>
              <w:t>(1 + (-0,0018) + 0,01)</w:t>
            </w:r>
          </w:p>
        </w:tc>
        <w:tc>
          <w:tcPr>
            <w:tcW w:w="1976" w:type="dxa"/>
            <w:tcBorders>
              <w:top w:val="nil"/>
              <w:left w:val="nil"/>
              <w:bottom w:val="single" w:sz="4" w:space="0" w:color="auto"/>
              <w:right w:val="single" w:sz="4" w:space="0" w:color="auto"/>
            </w:tcBorders>
            <w:noWrap/>
            <w:vAlign w:val="bottom"/>
            <w:hideMark/>
          </w:tcPr>
          <w:p w14:paraId="4B912281" w14:textId="77777777" w:rsidR="004F3FA2" w:rsidRDefault="004F3FA2">
            <w:pPr>
              <w:spacing w:line="256" w:lineRule="auto"/>
              <w:jc w:val="right"/>
              <w:rPr>
                <w:rFonts w:ascii="Times New Roman" w:eastAsia="Times New Roman" w:hAnsi="Times New Roman" w:cs="Times New Roman"/>
                <w:color w:val="000000"/>
                <w:sz w:val="24"/>
                <w:szCs w:val="24"/>
                <w:lang w:eastAsia="en-US" w:bidi="ar-SA"/>
              </w:rPr>
            </w:pPr>
            <w:r>
              <w:rPr>
                <w:rFonts w:ascii="Times New Roman" w:eastAsia="Times New Roman" w:hAnsi="Times New Roman" w:cs="Times New Roman"/>
                <w:color w:val="000000"/>
                <w:sz w:val="24"/>
                <w:szCs w:val="24"/>
                <w:lang w:eastAsia="en-US" w:bidi="ar-SA"/>
              </w:rPr>
              <w:t>1.0082</w:t>
            </w:r>
          </w:p>
          <w:p w14:paraId="19E5961E" w14:textId="77777777" w:rsidR="004F3FA2" w:rsidRDefault="004F3FA2">
            <w:pPr>
              <w:spacing w:line="256" w:lineRule="auto"/>
              <w:jc w:val="right"/>
              <w:rPr>
                <w:rFonts w:ascii="Times New Roman" w:eastAsia="Times New Roman" w:hAnsi="Times New Roman" w:cs="Times New Roman"/>
                <w:color w:val="000000"/>
                <w:sz w:val="24"/>
                <w:szCs w:val="24"/>
                <w:lang w:eastAsia="en-US" w:bidi="ar-SA"/>
              </w:rPr>
            </w:pPr>
            <w:r>
              <w:rPr>
                <w:rFonts w:ascii="Times New Roman" w:eastAsia="Times New Roman" w:hAnsi="Times New Roman" w:cs="Times New Roman"/>
                <w:color w:val="000000"/>
                <w:sz w:val="24"/>
                <w:szCs w:val="24"/>
                <w:lang w:eastAsia="en-US" w:bidi="ar-SA"/>
              </w:rPr>
              <w:t>(1.0082^(365/365</w:t>
            </w:r>
            <w:r>
              <w:rPr>
                <w:rFonts w:ascii="Times New Roman" w:hAnsi="Times New Roman" w:cs="Times New Roman"/>
                <w:color w:val="222222"/>
                <w:sz w:val="24"/>
                <w:szCs w:val="24"/>
                <w:lang w:eastAsia="en-US"/>
              </w:rPr>
              <w:t>))</w:t>
            </w:r>
          </w:p>
        </w:tc>
        <w:tc>
          <w:tcPr>
            <w:tcW w:w="1568" w:type="dxa"/>
            <w:tcBorders>
              <w:top w:val="nil"/>
              <w:left w:val="nil"/>
              <w:bottom w:val="single" w:sz="4" w:space="0" w:color="auto"/>
              <w:right w:val="single" w:sz="4" w:space="0" w:color="auto"/>
            </w:tcBorders>
            <w:noWrap/>
            <w:vAlign w:val="bottom"/>
            <w:hideMark/>
          </w:tcPr>
          <w:p w14:paraId="17BCBBEA" w14:textId="77777777" w:rsidR="004F3FA2" w:rsidRDefault="004F3FA2">
            <w:pPr>
              <w:spacing w:line="256" w:lineRule="auto"/>
              <w:jc w:val="right"/>
              <w:rPr>
                <w:rFonts w:ascii="Times New Roman" w:eastAsia="Times New Roman" w:hAnsi="Times New Roman" w:cs="Times New Roman"/>
                <w:color w:val="000000"/>
                <w:sz w:val="24"/>
                <w:szCs w:val="24"/>
                <w:lang w:eastAsia="en-US" w:bidi="ar-SA"/>
              </w:rPr>
            </w:pPr>
            <w:r>
              <w:rPr>
                <w:rFonts w:ascii="Times New Roman" w:eastAsia="Times New Roman" w:hAnsi="Times New Roman" w:cs="Times New Roman"/>
                <w:color w:val="000000"/>
                <w:sz w:val="24"/>
                <w:szCs w:val="24"/>
                <w:lang w:eastAsia="en-US" w:bidi="ar-SA"/>
              </w:rPr>
              <w:t>100 820.00</w:t>
            </w:r>
          </w:p>
        </w:tc>
      </w:tr>
      <w:tr w:rsidR="004F3FA2" w14:paraId="7EE320EF" w14:textId="77777777" w:rsidTr="004F3FA2">
        <w:trPr>
          <w:trHeight w:val="315"/>
        </w:trPr>
        <w:tc>
          <w:tcPr>
            <w:tcW w:w="836" w:type="dxa"/>
            <w:tcBorders>
              <w:top w:val="nil"/>
              <w:left w:val="single" w:sz="4" w:space="0" w:color="auto"/>
              <w:bottom w:val="single" w:sz="4" w:space="0" w:color="auto"/>
              <w:right w:val="single" w:sz="4" w:space="0" w:color="auto"/>
            </w:tcBorders>
            <w:noWrap/>
            <w:vAlign w:val="bottom"/>
            <w:hideMark/>
          </w:tcPr>
          <w:p w14:paraId="152D9B6A" w14:textId="77777777" w:rsidR="004F3FA2" w:rsidRDefault="004F3FA2">
            <w:pPr>
              <w:spacing w:line="256" w:lineRule="auto"/>
              <w:rPr>
                <w:rFonts w:ascii="Times New Roman" w:eastAsia="Times New Roman" w:hAnsi="Times New Roman" w:cs="Times New Roman"/>
                <w:color w:val="000000"/>
                <w:sz w:val="24"/>
                <w:szCs w:val="24"/>
                <w:lang w:eastAsia="en-US" w:bidi="ar-SA"/>
              </w:rPr>
            </w:pPr>
            <w:r>
              <w:rPr>
                <w:rFonts w:ascii="Times New Roman" w:eastAsia="Times New Roman" w:hAnsi="Times New Roman" w:cs="Times New Roman"/>
                <w:color w:val="000000"/>
                <w:sz w:val="24"/>
                <w:szCs w:val="24"/>
                <w:lang w:eastAsia="en-US" w:bidi="ar-SA"/>
              </w:rPr>
              <w:t>2.gads</w:t>
            </w:r>
          </w:p>
        </w:tc>
        <w:tc>
          <w:tcPr>
            <w:tcW w:w="1386" w:type="dxa"/>
            <w:tcBorders>
              <w:top w:val="nil"/>
              <w:left w:val="nil"/>
              <w:bottom w:val="single" w:sz="4" w:space="0" w:color="auto"/>
              <w:right w:val="single" w:sz="4" w:space="0" w:color="auto"/>
            </w:tcBorders>
            <w:noWrap/>
            <w:vAlign w:val="bottom"/>
            <w:hideMark/>
          </w:tcPr>
          <w:p w14:paraId="11AFECB4" w14:textId="77777777" w:rsidR="004F3FA2" w:rsidRDefault="004F3FA2">
            <w:pPr>
              <w:spacing w:line="256" w:lineRule="auto"/>
              <w:rPr>
                <w:rFonts w:ascii="Times New Roman" w:eastAsia="Times New Roman" w:hAnsi="Times New Roman" w:cs="Times New Roman"/>
                <w:color w:val="000000"/>
                <w:sz w:val="24"/>
                <w:szCs w:val="24"/>
                <w:lang w:eastAsia="en-US" w:bidi="ar-SA"/>
              </w:rPr>
            </w:pPr>
            <w:r>
              <w:rPr>
                <w:rFonts w:ascii="Times New Roman" w:eastAsia="Times New Roman" w:hAnsi="Times New Roman" w:cs="Times New Roman"/>
                <w:color w:val="000000"/>
                <w:sz w:val="24"/>
                <w:szCs w:val="24"/>
                <w:lang w:eastAsia="en-US" w:bidi="ar-SA"/>
              </w:rPr>
              <w:t>2019.01.0</w:t>
            </w:r>
            <w:r w:rsidR="00CF44C1">
              <w:rPr>
                <w:rFonts w:ascii="Times New Roman" w:eastAsia="Times New Roman" w:hAnsi="Times New Roman" w:cs="Times New Roman"/>
                <w:color w:val="000000"/>
                <w:sz w:val="24"/>
                <w:szCs w:val="24"/>
                <w:lang w:eastAsia="en-US" w:bidi="ar-SA"/>
              </w:rPr>
              <w:t>1</w:t>
            </w:r>
            <w:r>
              <w:rPr>
                <w:rFonts w:ascii="Times New Roman" w:eastAsia="Times New Roman" w:hAnsi="Times New Roman" w:cs="Times New Roman"/>
                <w:color w:val="000000"/>
                <w:sz w:val="24"/>
                <w:szCs w:val="24"/>
                <w:lang w:eastAsia="en-US" w:bidi="ar-SA"/>
              </w:rPr>
              <w:t>-2019.09.27</w:t>
            </w:r>
          </w:p>
        </w:tc>
        <w:tc>
          <w:tcPr>
            <w:tcW w:w="1662" w:type="dxa"/>
            <w:tcBorders>
              <w:top w:val="nil"/>
              <w:left w:val="nil"/>
              <w:bottom w:val="single" w:sz="4" w:space="0" w:color="auto"/>
              <w:right w:val="single" w:sz="4" w:space="0" w:color="auto"/>
            </w:tcBorders>
            <w:noWrap/>
            <w:vAlign w:val="bottom"/>
            <w:hideMark/>
          </w:tcPr>
          <w:p w14:paraId="25187BE6" w14:textId="77777777" w:rsidR="004F3FA2" w:rsidRDefault="004F3FA2">
            <w:pPr>
              <w:spacing w:line="256" w:lineRule="auto"/>
              <w:jc w:val="right"/>
              <w:rPr>
                <w:rFonts w:ascii="Times New Roman" w:eastAsia="Times New Roman" w:hAnsi="Times New Roman" w:cs="Times New Roman"/>
                <w:color w:val="000000"/>
                <w:sz w:val="24"/>
                <w:szCs w:val="24"/>
                <w:lang w:eastAsia="en-US" w:bidi="ar-SA"/>
              </w:rPr>
            </w:pPr>
            <w:r>
              <w:rPr>
                <w:rFonts w:ascii="Times New Roman" w:eastAsia="Times New Roman" w:hAnsi="Times New Roman" w:cs="Times New Roman"/>
                <w:color w:val="000000"/>
                <w:sz w:val="24"/>
                <w:szCs w:val="24"/>
                <w:lang w:eastAsia="en-US" w:bidi="ar-SA"/>
              </w:rPr>
              <w:t>100 820.00</w:t>
            </w:r>
          </w:p>
        </w:tc>
        <w:tc>
          <w:tcPr>
            <w:tcW w:w="2070" w:type="dxa"/>
            <w:tcBorders>
              <w:top w:val="nil"/>
              <w:left w:val="nil"/>
              <w:bottom w:val="single" w:sz="4" w:space="0" w:color="auto"/>
              <w:right w:val="single" w:sz="4" w:space="0" w:color="auto"/>
            </w:tcBorders>
            <w:noWrap/>
            <w:vAlign w:val="bottom"/>
            <w:hideMark/>
          </w:tcPr>
          <w:p w14:paraId="3755FD79" w14:textId="77777777" w:rsidR="004F3FA2" w:rsidRDefault="004F3FA2">
            <w:pPr>
              <w:spacing w:line="256" w:lineRule="auto"/>
              <w:jc w:val="right"/>
              <w:rPr>
                <w:rFonts w:ascii="Times New Roman" w:eastAsia="Times New Roman" w:hAnsi="Times New Roman" w:cs="Times New Roman"/>
                <w:color w:val="000000"/>
                <w:sz w:val="24"/>
                <w:szCs w:val="24"/>
                <w:lang w:eastAsia="en-US" w:bidi="ar-SA"/>
              </w:rPr>
            </w:pPr>
            <w:r>
              <w:rPr>
                <w:rFonts w:ascii="Times New Roman" w:eastAsia="Times New Roman" w:hAnsi="Times New Roman" w:cs="Times New Roman"/>
                <w:color w:val="000000"/>
                <w:sz w:val="24"/>
                <w:szCs w:val="24"/>
                <w:lang w:eastAsia="en-US" w:bidi="ar-SA"/>
              </w:rPr>
              <w:t>1.0084</w:t>
            </w:r>
          </w:p>
          <w:p w14:paraId="78E9D967" w14:textId="77777777" w:rsidR="004F3FA2" w:rsidRDefault="004F3FA2">
            <w:pPr>
              <w:spacing w:line="256" w:lineRule="auto"/>
              <w:jc w:val="right"/>
              <w:rPr>
                <w:rFonts w:ascii="Times New Roman" w:eastAsia="Times New Roman" w:hAnsi="Times New Roman" w:cs="Times New Roman"/>
                <w:color w:val="000000"/>
                <w:sz w:val="24"/>
                <w:szCs w:val="24"/>
                <w:lang w:eastAsia="en-US" w:bidi="ar-SA"/>
              </w:rPr>
            </w:pPr>
            <w:r>
              <w:rPr>
                <w:rFonts w:ascii="Times New Roman" w:hAnsi="Times New Roman" w:cs="Times New Roman"/>
                <w:color w:val="222222"/>
                <w:sz w:val="24"/>
                <w:szCs w:val="24"/>
                <w:lang w:eastAsia="en-US"/>
              </w:rPr>
              <w:t>(1 + (-0,0016) + 0,01)</w:t>
            </w:r>
          </w:p>
        </w:tc>
        <w:tc>
          <w:tcPr>
            <w:tcW w:w="1976" w:type="dxa"/>
            <w:tcBorders>
              <w:top w:val="nil"/>
              <w:left w:val="nil"/>
              <w:bottom w:val="single" w:sz="4" w:space="0" w:color="auto"/>
              <w:right w:val="single" w:sz="4" w:space="0" w:color="auto"/>
            </w:tcBorders>
            <w:noWrap/>
            <w:vAlign w:val="bottom"/>
            <w:hideMark/>
          </w:tcPr>
          <w:p w14:paraId="3E464B70" w14:textId="77777777" w:rsidR="004F3FA2" w:rsidRDefault="004F3FA2">
            <w:pPr>
              <w:spacing w:line="256" w:lineRule="auto"/>
              <w:jc w:val="right"/>
              <w:rPr>
                <w:rFonts w:ascii="Times New Roman" w:eastAsia="Times New Roman" w:hAnsi="Times New Roman" w:cs="Times New Roman"/>
                <w:color w:val="000000"/>
                <w:sz w:val="24"/>
                <w:szCs w:val="24"/>
                <w:lang w:eastAsia="en-US" w:bidi="ar-SA"/>
              </w:rPr>
            </w:pPr>
            <w:r>
              <w:rPr>
                <w:rFonts w:ascii="Times New Roman" w:eastAsia="Times New Roman" w:hAnsi="Times New Roman" w:cs="Times New Roman"/>
                <w:color w:val="000000"/>
                <w:sz w:val="24"/>
                <w:szCs w:val="24"/>
                <w:lang w:eastAsia="en-US" w:bidi="ar-SA"/>
              </w:rPr>
              <w:t>1.0062</w:t>
            </w:r>
          </w:p>
          <w:p w14:paraId="29C8EDD1" w14:textId="77777777" w:rsidR="004F3FA2" w:rsidRDefault="004F3FA2">
            <w:pPr>
              <w:spacing w:line="256" w:lineRule="auto"/>
              <w:jc w:val="right"/>
              <w:rPr>
                <w:rFonts w:ascii="Times New Roman" w:eastAsia="Times New Roman" w:hAnsi="Times New Roman" w:cs="Times New Roman"/>
                <w:color w:val="000000"/>
                <w:sz w:val="24"/>
                <w:szCs w:val="24"/>
                <w:lang w:eastAsia="en-US" w:bidi="ar-SA"/>
              </w:rPr>
            </w:pPr>
            <w:r>
              <w:rPr>
                <w:rFonts w:ascii="Times New Roman" w:eastAsia="Times New Roman" w:hAnsi="Times New Roman" w:cs="Times New Roman"/>
                <w:color w:val="000000"/>
                <w:sz w:val="24"/>
                <w:szCs w:val="24"/>
                <w:lang w:eastAsia="en-US" w:bidi="ar-SA"/>
              </w:rPr>
              <w:t>(1.0084^(270/365</w:t>
            </w:r>
            <w:r>
              <w:rPr>
                <w:rFonts w:ascii="Times New Roman" w:hAnsi="Times New Roman" w:cs="Times New Roman"/>
                <w:color w:val="222222"/>
                <w:sz w:val="24"/>
                <w:szCs w:val="24"/>
                <w:lang w:eastAsia="en-US"/>
              </w:rPr>
              <w:t>))</w:t>
            </w:r>
          </w:p>
        </w:tc>
        <w:tc>
          <w:tcPr>
            <w:tcW w:w="1568" w:type="dxa"/>
            <w:tcBorders>
              <w:top w:val="nil"/>
              <w:left w:val="nil"/>
              <w:bottom w:val="single" w:sz="4" w:space="0" w:color="auto"/>
              <w:right w:val="single" w:sz="4" w:space="0" w:color="auto"/>
            </w:tcBorders>
            <w:shd w:val="clear" w:color="auto" w:fill="BFBFBF" w:themeFill="background1" w:themeFillShade="BF"/>
            <w:noWrap/>
            <w:vAlign w:val="bottom"/>
            <w:hideMark/>
          </w:tcPr>
          <w:p w14:paraId="1C583482" w14:textId="77777777" w:rsidR="004F3FA2" w:rsidRDefault="004F3FA2">
            <w:pPr>
              <w:spacing w:line="256" w:lineRule="auto"/>
              <w:jc w:val="right"/>
              <w:rPr>
                <w:rFonts w:ascii="Times New Roman" w:eastAsia="Times New Roman" w:hAnsi="Times New Roman" w:cs="Times New Roman"/>
                <w:bCs/>
                <w:color w:val="000000"/>
                <w:sz w:val="24"/>
                <w:szCs w:val="24"/>
                <w:lang w:eastAsia="en-US" w:bidi="ar-SA"/>
              </w:rPr>
            </w:pPr>
            <w:r>
              <w:rPr>
                <w:rFonts w:ascii="Times New Roman" w:eastAsia="Times New Roman" w:hAnsi="Times New Roman" w:cs="Times New Roman"/>
                <w:bCs/>
                <w:color w:val="000000"/>
                <w:sz w:val="24"/>
                <w:szCs w:val="24"/>
                <w:lang w:eastAsia="en-US" w:bidi="ar-SA"/>
              </w:rPr>
              <w:t>101 445.78</w:t>
            </w:r>
          </w:p>
        </w:tc>
      </w:tr>
    </w:tbl>
    <w:p w14:paraId="6A737C7D" w14:textId="77777777" w:rsidR="005F06EF" w:rsidRDefault="005F06EF"/>
    <w:sectPr w:rsidR="005F06EF" w:rsidSect="004F3FA2">
      <w:pgSz w:w="11906" w:h="16838"/>
      <w:pgMar w:top="1134"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B9EEF" w14:textId="77777777" w:rsidR="00B82CCE" w:rsidRDefault="00B82CCE" w:rsidP="004F3FA2">
      <w:r>
        <w:separator/>
      </w:r>
    </w:p>
  </w:endnote>
  <w:endnote w:type="continuationSeparator" w:id="0">
    <w:p w14:paraId="1C1B578D" w14:textId="77777777" w:rsidR="00B82CCE" w:rsidRDefault="00B82CCE" w:rsidP="004F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A3C15" w14:textId="77777777" w:rsidR="00B82CCE" w:rsidRDefault="00B82CCE" w:rsidP="004F3FA2">
      <w:r>
        <w:separator/>
      </w:r>
    </w:p>
  </w:footnote>
  <w:footnote w:type="continuationSeparator" w:id="0">
    <w:p w14:paraId="2C149789" w14:textId="77777777" w:rsidR="00B82CCE" w:rsidRDefault="00B82CCE" w:rsidP="004F3FA2">
      <w:r>
        <w:continuationSeparator/>
      </w:r>
    </w:p>
  </w:footnote>
  <w:footnote w:id="1">
    <w:p w14:paraId="7D08F78A" w14:textId="77777777" w:rsidR="004E358E" w:rsidRDefault="004E358E" w:rsidP="004E358E">
      <w:pPr>
        <w:pStyle w:val="FootnoteText"/>
      </w:pPr>
      <w:r>
        <w:rPr>
          <w:rStyle w:val="FootnoteReference"/>
        </w:rPr>
        <w:footnoteRef/>
      </w:r>
      <w:r>
        <w:t xml:space="preserve"> </w:t>
      </w:r>
      <w:r w:rsidRPr="00F6566C">
        <w:rPr>
          <w:rFonts w:ascii="Times New Roman" w:hAnsi="Times New Roman" w:cs="Times New Roman"/>
          <w:spacing w:val="-2"/>
          <w:lang w:eastAsia="ru-RU"/>
        </w:rPr>
        <w:t>Komisij</w:t>
      </w:r>
      <w:r w:rsidRPr="003E05C2">
        <w:rPr>
          <w:rFonts w:ascii="Times New Roman" w:hAnsi="Times New Roman" w:cs="Times New Roman"/>
          <w:spacing w:val="-2"/>
          <w:lang w:eastAsia="ru-RU"/>
        </w:rPr>
        <w:t>as 2004. gada 21. aprīļa regula</w:t>
      </w:r>
      <w:r w:rsidRPr="00F6566C">
        <w:rPr>
          <w:rFonts w:ascii="Times New Roman" w:hAnsi="Times New Roman" w:cs="Times New Roman"/>
          <w:spacing w:val="-2"/>
          <w:lang w:eastAsia="ru-RU"/>
        </w:rPr>
        <w:t xml:space="preserve"> (EK) Nr. 794/2004, ar ko īsteno Padomes Regulu (ES) 2015/1589, ar ko nosaka sīki izstrādātus noteikumus Līguma par Eiropas Savienības darbību 108. panta piemērošanai</w:t>
      </w:r>
    </w:p>
  </w:footnote>
  <w:footnote w:id="2">
    <w:p w14:paraId="0871FC8D" w14:textId="1931ADA1" w:rsidR="00007600" w:rsidRDefault="00007600">
      <w:pPr>
        <w:pStyle w:val="FootnoteText"/>
      </w:pPr>
      <w:r>
        <w:rPr>
          <w:rStyle w:val="FootnoteReference"/>
        </w:rPr>
        <w:footnoteRef/>
      </w:r>
      <w:r>
        <w:t xml:space="preserve"> </w:t>
      </w:r>
      <w:r w:rsidRPr="00E0336B">
        <w:rPr>
          <w:rFonts w:ascii="Times New Roman" w:hAnsi="Times New Roman" w:cs="Times New Roman"/>
        </w:rPr>
        <w:t xml:space="preserve">Pieejams: </w:t>
      </w:r>
      <w:hyperlink r:id="rId1">
        <w:r w:rsidRPr="00E0336B">
          <w:rPr>
            <w:rStyle w:val="InternetLink"/>
            <w:rFonts w:ascii="Times New Roman" w:hAnsi="Times New Roman" w:cs="Times New Roman"/>
          </w:rPr>
          <w:t>http://ec.europa.eu/competition/state_aid/legislation/base_rates2018_12_en.pdf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FA2"/>
    <w:rsid w:val="00007600"/>
    <w:rsid w:val="000F5302"/>
    <w:rsid w:val="00107C0B"/>
    <w:rsid w:val="00123BB2"/>
    <w:rsid w:val="00195C14"/>
    <w:rsid w:val="001B1F6B"/>
    <w:rsid w:val="001B44C3"/>
    <w:rsid w:val="00207B6C"/>
    <w:rsid w:val="002E5930"/>
    <w:rsid w:val="003374A2"/>
    <w:rsid w:val="003E1C12"/>
    <w:rsid w:val="004468B8"/>
    <w:rsid w:val="004B0999"/>
    <w:rsid w:val="004B1E3E"/>
    <w:rsid w:val="004E358E"/>
    <w:rsid w:val="004E5134"/>
    <w:rsid w:val="004E62F6"/>
    <w:rsid w:val="004F3FA2"/>
    <w:rsid w:val="004F7B38"/>
    <w:rsid w:val="00516748"/>
    <w:rsid w:val="0053655E"/>
    <w:rsid w:val="00574011"/>
    <w:rsid w:val="00574EB1"/>
    <w:rsid w:val="005A258B"/>
    <w:rsid w:val="005F06EF"/>
    <w:rsid w:val="00602D26"/>
    <w:rsid w:val="00681622"/>
    <w:rsid w:val="006F4FDE"/>
    <w:rsid w:val="00833B5E"/>
    <w:rsid w:val="008343DB"/>
    <w:rsid w:val="00855632"/>
    <w:rsid w:val="008943D0"/>
    <w:rsid w:val="00923BEE"/>
    <w:rsid w:val="009D1844"/>
    <w:rsid w:val="00A246B5"/>
    <w:rsid w:val="00A94508"/>
    <w:rsid w:val="00B077C5"/>
    <w:rsid w:val="00B72B00"/>
    <w:rsid w:val="00B82CCE"/>
    <w:rsid w:val="00BD5BD1"/>
    <w:rsid w:val="00CD4250"/>
    <w:rsid w:val="00CF44C1"/>
    <w:rsid w:val="00D00C5E"/>
    <w:rsid w:val="00E2091D"/>
    <w:rsid w:val="00E2412B"/>
    <w:rsid w:val="00EA5128"/>
    <w:rsid w:val="00EA5F19"/>
    <w:rsid w:val="00F77427"/>
    <w:rsid w:val="00FA49AF"/>
    <w:rsid w:val="00FD5D32"/>
    <w:rsid w:val="00FF1CDB"/>
    <w:rsid w:val="00FF6B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907A"/>
  <w15:chartTrackingRefBased/>
  <w15:docId w15:val="{2A67DB62-084B-4BEA-886B-954087FA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3FA2"/>
    <w:pPr>
      <w:spacing w:after="0" w:line="240" w:lineRule="auto"/>
      <w:jc w:val="both"/>
    </w:pPr>
    <w:rPr>
      <w:rFonts w:asciiTheme="minorHAnsi" w:eastAsia="Calibri" w:hAnsiTheme="minorHAnsi" w:cstheme="minorBidi"/>
      <w:sz w:val="22"/>
      <w:szCs w:val="22"/>
      <w:lang w:eastAsia="lv-LV" w:bidi="lv-LV"/>
    </w:rPr>
  </w:style>
  <w:style w:type="paragraph" w:styleId="Heading1">
    <w:name w:val="heading 1"/>
    <w:basedOn w:val="Normal"/>
    <w:next w:val="Normal"/>
    <w:link w:val="Heading1Char"/>
    <w:uiPriority w:val="9"/>
    <w:qFormat/>
    <w:rsid w:val="004F3FA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F3FA2"/>
    <w:rPr>
      <w:rFonts w:ascii="Calibri" w:hAnsi="Calibri" w:cs="Mangal"/>
      <w:sz w:val="20"/>
      <w:szCs w:val="20"/>
    </w:rPr>
  </w:style>
  <w:style w:type="character" w:customStyle="1" w:styleId="FootnoteTextChar">
    <w:name w:val="Footnote Text Char"/>
    <w:basedOn w:val="DefaultParagraphFont"/>
    <w:link w:val="FootnoteText"/>
    <w:uiPriority w:val="99"/>
    <w:semiHidden/>
    <w:qFormat/>
    <w:rsid w:val="004F3FA2"/>
    <w:rPr>
      <w:rFonts w:ascii="Calibri" w:eastAsia="Calibri" w:hAnsi="Calibri" w:cs="Mangal"/>
      <w:sz w:val="20"/>
      <w:szCs w:val="20"/>
      <w:lang w:eastAsia="lv-LV" w:bidi="lv-LV"/>
    </w:rPr>
  </w:style>
  <w:style w:type="paragraph" w:styleId="BodyText">
    <w:name w:val="Body Text"/>
    <w:basedOn w:val="Normal"/>
    <w:link w:val="BodyTextChar"/>
    <w:semiHidden/>
    <w:unhideWhenUsed/>
    <w:rsid w:val="004F3FA2"/>
    <w:pPr>
      <w:spacing w:after="140" w:line="288" w:lineRule="auto"/>
    </w:pPr>
  </w:style>
  <w:style w:type="character" w:customStyle="1" w:styleId="BodyTextChar">
    <w:name w:val="Body Text Char"/>
    <w:basedOn w:val="DefaultParagraphFont"/>
    <w:link w:val="BodyText"/>
    <w:semiHidden/>
    <w:rsid w:val="004F3FA2"/>
    <w:rPr>
      <w:rFonts w:asciiTheme="minorHAnsi" w:eastAsia="Calibri" w:hAnsiTheme="minorHAnsi" w:cstheme="minorBidi"/>
      <w:sz w:val="22"/>
      <w:szCs w:val="22"/>
      <w:lang w:eastAsia="lv-LV" w:bidi="lv-LV"/>
    </w:rPr>
  </w:style>
  <w:style w:type="paragraph" w:customStyle="1" w:styleId="NumPar1">
    <w:name w:val="NumPar 1"/>
    <w:basedOn w:val="Heading1"/>
    <w:next w:val="Normal"/>
    <w:qFormat/>
    <w:rsid w:val="004F3FA2"/>
    <w:pPr>
      <w:keepLines w:val="0"/>
      <w:tabs>
        <w:tab w:val="left" w:pos="426"/>
        <w:tab w:val="left" w:pos="480"/>
      </w:tabs>
      <w:suppressAutoHyphens/>
      <w:spacing w:before="0" w:after="240"/>
      <w:ind w:left="480" w:right="-172" w:hanging="480"/>
    </w:pPr>
    <w:rPr>
      <w:rFonts w:ascii="Times New Roman" w:eastAsia="Times New Roman" w:hAnsi="Times New Roman" w:cs="Times New Roman"/>
      <w:color w:val="auto"/>
      <w:sz w:val="24"/>
      <w:szCs w:val="20"/>
    </w:rPr>
  </w:style>
  <w:style w:type="character" w:customStyle="1" w:styleId="Vresenkurs">
    <w:name w:val="Vēres enkurs"/>
    <w:rsid w:val="004F3FA2"/>
    <w:rPr>
      <w:vertAlign w:val="superscript"/>
    </w:rPr>
  </w:style>
  <w:style w:type="character" w:customStyle="1" w:styleId="Vresrakstzmes">
    <w:name w:val="Vēres rakstzīmes"/>
    <w:qFormat/>
    <w:rsid w:val="004F3FA2"/>
  </w:style>
  <w:style w:type="character" w:customStyle="1" w:styleId="InternetLink">
    <w:name w:val="Internet Link"/>
    <w:uiPriority w:val="99"/>
    <w:qFormat/>
    <w:rsid w:val="004F3FA2"/>
    <w:rPr>
      <w:color w:val="0000FF"/>
      <w:u w:val="single"/>
    </w:rPr>
  </w:style>
  <w:style w:type="character" w:customStyle="1" w:styleId="Heading1Char">
    <w:name w:val="Heading 1 Char"/>
    <w:basedOn w:val="DefaultParagraphFont"/>
    <w:link w:val="Heading1"/>
    <w:uiPriority w:val="9"/>
    <w:rsid w:val="004F3FA2"/>
    <w:rPr>
      <w:rFonts w:asciiTheme="majorHAnsi" w:eastAsiaTheme="majorEastAsia" w:hAnsiTheme="majorHAnsi" w:cstheme="majorBidi"/>
      <w:color w:val="2F5496" w:themeColor="accent1" w:themeShade="BF"/>
      <w:sz w:val="32"/>
      <w:szCs w:val="32"/>
      <w:lang w:eastAsia="lv-LV" w:bidi="lv-LV"/>
    </w:rPr>
  </w:style>
  <w:style w:type="character" w:styleId="FootnoteReference">
    <w:name w:val="footnote reference"/>
    <w:basedOn w:val="DefaultParagraphFont"/>
    <w:uiPriority w:val="99"/>
    <w:semiHidden/>
    <w:unhideWhenUsed/>
    <w:rsid w:val="004F3FA2"/>
    <w:rPr>
      <w:vertAlign w:val="superscript"/>
    </w:rPr>
  </w:style>
  <w:style w:type="character" w:styleId="CommentReference">
    <w:name w:val="annotation reference"/>
    <w:basedOn w:val="DefaultParagraphFont"/>
    <w:uiPriority w:val="99"/>
    <w:semiHidden/>
    <w:unhideWhenUsed/>
    <w:rsid w:val="00574EB1"/>
    <w:rPr>
      <w:sz w:val="16"/>
      <w:szCs w:val="16"/>
    </w:rPr>
  </w:style>
  <w:style w:type="paragraph" w:styleId="CommentText">
    <w:name w:val="annotation text"/>
    <w:basedOn w:val="Normal"/>
    <w:link w:val="CommentTextChar"/>
    <w:uiPriority w:val="99"/>
    <w:unhideWhenUsed/>
    <w:rsid w:val="00574EB1"/>
    <w:rPr>
      <w:sz w:val="20"/>
      <w:szCs w:val="20"/>
    </w:rPr>
  </w:style>
  <w:style w:type="character" w:customStyle="1" w:styleId="CommentTextChar">
    <w:name w:val="Comment Text Char"/>
    <w:basedOn w:val="DefaultParagraphFont"/>
    <w:link w:val="CommentText"/>
    <w:uiPriority w:val="99"/>
    <w:rsid w:val="00574EB1"/>
    <w:rPr>
      <w:rFonts w:asciiTheme="minorHAnsi" w:eastAsia="Calibri" w:hAnsiTheme="minorHAnsi" w:cstheme="minorBidi"/>
      <w:sz w:val="20"/>
      <w:szCs w:val="20"/>
      <w:lang w:eastAsia="lv-LV" w:bidi="lv-LV"/>
    </w:rPr>
  </w:style>
  <w:style w:type="paragraph" w:styleId="CommentSubject">
    <w:name w:val="annotation subject"/>
    <w:basedOn w:val="CommentText"/>
    <w:next w:val="CommentText"/>
    <w:link w:val="CommentSubjectChar"/>
    <w:uiPriority w:val="99"/>
    <w:semiHidden/>
    <w:unhideWhenUsed/>
    <w:rsid w:val="00574EB1"/>
    <w:rPr>
      <w:b/>
      <w:bCs/>
    </w:rPr>
  </w:style>
  <w:style w:type="character" w:customStyle="1" w:styleId="CommentSubjectChar">
    <w:name w:val="Comment Subject Char"/>
    <w:basedOn w:val="CommentTextChar"/>
    <w:link w:val="CommentSubject"/>
    <w:uiPriority w:val="99"/>
    <w:semiHidden/>
    <w:rsid w:val="00574EB1"/>
    <w:rPr>
      <w:rFonts w:asciiTheme="minorHAnsi" w:eastAsia="Calibri" w:hAnsiTheme="minorHAnsi" w:cstheme="minorBidi"/>
      <w:b/>
      <w:bCs/>
      <w:sz w:val="20"/>
      <w:szCs w:val="20"/>
      <w:lang w:eastAsia="lv-LV" w:bidi="lv-LV"/>
    </w:rPr>
  </w:style>
  <w:style w:type="paragraph" w:styleId="BalloonText">
    <w:name w:val="Balloon Text"/>
    <w:basedOn w:val="Normal"/>
    <w:link w:val="BalloonTextChar"/>
    <w:uiPriority w:val="99"/>
    <w:semiHidden/>
    <w:unhideWhenUsed/>
    <w:rsid w:val="00574E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EB1"/>
    <w:rPr>
      <w:rFonts w:ascii="Segoe UI" w:eastAsia="Calibri" w:hAnsi="Segoe UI" w:cs="Segoe UI"/>
      <w:sz w:val="18"/>
      <w:szCs w:val="18"/>
      <w:lang w:eastAsia="lv-LV" w:bidi="lv-LV"/>
    </w:rPr>
  </w:style>
  <w:style w:type="character" w:styleId="Hyperlink">
    <w:name w:val="Hyperlink"/>
    <w:basedOn w:val="DefaultParagraphFont"/>
    <w:uiPriority w:val="99"/>
    <w:semiHidden/>
    <w:unhideWhenUsed/>
    <w:rsid w:val="004E35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80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ur-lex.europa.eu/eli/reg/2004/794/oj/?local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eli/reg/2004/794/oj/?locale=LV" TargetMode="External"/><Relationship Id="rId5" Type="http://schemas.openxmlformats.org/officeDocument/2006/relationships/styles" Target="styles.xml"/><Relationship Id="rId10" Type="http://schemas.openxmlformats.org/officeDocument/2006/relationships/hyperlink" Target="http://eur-lex.europa.eu/eli/reg/2004/794/oj/?locale=L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state_aid/legislation/base_rates2018_1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03ECE284423E42A4E2FF8FE0071043" ma:contentTypeVersion="5" ma:contentTypeDescription="Create a new document." ma:contentTypeScope="" ma:versionID="14947cafaf01cdf7865fc145f7f3c929">
  <xsd:schema xmlns:xsd="http://www.w3.org/2001/XMLSchema" xmlns:xs="http://www.w3.org/2001/XMLSchema" xmlns:p="http://schemas.microsoft.com/office/2006/metadata/properties" xmlns:ns3="e5534ccd-c54f-4ae6-9d1c-7855d77a211c" xmlns:ns4="5c273623-a73f-44c6-a1ab-f5a3cffc58f9" targetNamespace="http://schemas.microsoft.com/office/2006/metadata/properties" ma:root="true" ma:fieldsID="ccaeaceef48e704823d87bc9ae915073" ns3:_="" ns4:_="">
    <xsd:import namespace="e5534ccd-c54f-4ae6-9d1c-7855d77a211c"/>
    <xsd:import namespace="5c273623-a73f-44c6-a1ab-f5a3cffc58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34ccd-c54f-4ae6-9d1c-7855d77a2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73623-a73f-44c6-a1ab-f5a3cffc58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EC169-DD08-44C5-B93F-A51B7F7FC6E0}">
  <ds:schemaRefs>
    <ds:schemaRef ds:uri="http://schemas.microsoft.com/sharepoint/v3/contenttype/forms"/>
  </ds:schemaRefs>
</ds:datastoreItem>
</file>

<file path=customXml/itemProps2.xml><?xml version="1.0" encoding="utf-8"?>
<ds:datastoreItem xmlns:ds="http://schemas.openxmlformats.org/officeDocument/2006/customXml" ds:itemID="{CC9A11CF-601B-461F-B4C4-6019A413FA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125E0B-CEF7-584A-8E7F-C444FCE92EAE}">
  <ds:schemaRefs>
    <ds:schemaRef ds:uri="http://schemas.openxmlformats.org/officeDocument/2006/bibliography"/>
  </ds:schemaRefs>
</ds:datastoreItem>
</file>

<file path=customXml/itemProps4.xml><?xml version="1.0" encoding="utf-8"?>
<ds:datastoreItem xmlns:ds="http://schemas.openxmlformats.org/officeDocument/2006/customXml" ds:itemID="{C6063883-A0F5-4437-A9B1-A1BB88A8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34ccd-c54f-4ae6-9d1c-7855d77a211c"/>
    <ds:schemaRef ds:uri="5c273623-a73f-44c6-a1ab-f5a3cffc5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2660</Words>
  <Characters>1517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KAKD</dc:creator>
  <cp:keywords/>
  <dc:description/>
  <cp:lastModifiedBy>KAKD</cp:lastModifiedBy>
  <cp:revision>4</cp:revision>
  <dcterms:created xsi:type="dcterms:W3CDTF">2021-07-08T12:14:00Z</dcterms:created>
  <dcterms:modified xsi:type="dcterms:W3CDTF">2021-07-08T12:28:00Z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0x0101003403ECE284423E42A4E2FF8FE0071043</vt:lpwstr>
  </property>
</Properties>
</file>