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07F65" w14:textId="77777777" w:rsidR="00E06E67" w:rsidRPr="00BA060A" w:rsidRDefault="00E06E67" w:rsidP="008D27B6">
      <w:pPr>
        <w:spacing w:line="20" w:lineRule="atLeast"/>
        <w:jc w:val="right"/>
        <w:rPr>
          <w:i/>
          <w:iCs/>
          <w:sz w:val="26"/>
          <w:szCs w:val="26"/>
        </w:rPr>
      </w:pPr>
      <w:r w:rsidRPr="00BA060A">
        <w:rPr>
          <w:i/>
          <w:iCs/>
          <w:sz w:val="26"/>
          <w:szCs w:val="26"/>
        </w:rPr>
        <w:t>Likumprojekts</w:t>
      </w:r>
    </w:p>
    <w:p w14:paraId="06043FC1" w14:textId="79EB5E67" w:rsidR="00E06E67" w:rsidRPr="00BA060A" w:rsidRDefault="00E06E67" w:rsidP="008D27B6">
      <w:pPr>
        <w:spacing w:line="20" w:lineRule="atLeast"/>
        <w:jc w:val="center"/>
        <w:rPr>
          <w:b/>
          <w:bCs/>
          <w:sz w:val="26"/>
          <w:szCs w:val="26"/>
        </w:rPr>
      </w:pPr>
      <w:r w:rsidRPr="00BA060A">
        <w:rPr>
          <w:b/>
          <w:bCs/>
          <w:sz w:val="26"/>
          <w:szCs w:val="26"/>
        </w:rPr>
        <w:t xml:space="preserve">Grozījumi Noziedzīgi iegūtu līdzekļu legalizācijas un terorisma </w:t>
      </w:r>
      <w:r w:rsidR="00CF70B5" w:rsidRPr="00BA060A">
        <w:rPr>
          <w:b/>
          <w:bCs/>
          <w:sz w:val="26"/>
          <w:szCs w:val="26"/>
        </w:rPr>
        <w:t xml:space="preserve">un </w:t>
      </w:r>
      <w:proofErr w:type="spellStart"/>
      <w:r w:rsidR="00CF70B5" w:rsidRPr="00BA060A">
        <w:rPr>
          <w:b/>
          <w:bCs/>
          <w:sz w:val="26"/>
          <w:szCs w:val="26"/>
        </w:rPr>
        <w:t>proliferācijas</w:t>
      </w:r>
      <w:proofErr w:type="spellEnd"/>
      <w:r w:rsidR="00CF70B5" w:rsidRPr="00BA060A">
        <w:rPr>
          <w:b/>
          <w:bCs/>
          <w:sz w:val="26"/>
          <w:szCs w:val="26"/>
        </w:rPr>
        <w:t xml:space="preserve"> </w:t>
      </w:r>
      <w:r w:rsidRPr="00BA060A">
        <w:rPr>
          <w:b/>
          <w:bCs/>
          <w:sz w:val="26"/>
          <w:szCs w:val="26"/>
        </w:rPr>
        <w:t>finansēšanas novēršanas likumā</w:t>
      </w:r>
    </w:p>
    <w:p w14:paraId="6C0E7E8A" w14:textId="012FBA8A" w:rsidR="00E06E67" w:rsidRDefault="00E06E67" w:rsidP="008D27B6">
      <w:pPr>
        <w:spacing w:line="20" w:lineRule="atLeast"/>
        <w:jc w:val="both"/>
        <w:rPr>
          <w:sz w:val="26"/>
          <w:szCs w:val="26"/>
        </w:rPr>
      </w:pPr>
      <w:r w:rsidRPr="00BA060A">
        <w:rPr>
          <w:sz w:val="26"/>
          <w:szCs w:val="26"/>
        </w:rPr>
        <w:t>Izdarīt Noziedzīgi iegūtu līdzekļu legalizācijas un terorisma</w:t>
      </w:r>
      <w:r w:rsidR="00CF70B5" w:rsidRPr="00BA060A">
        <w:rPr>
          <w:sz w:val="26"/>
          <w:szCs w:val="26"/>
        </w:rPr>
        <w:t xml:space="preserve"> un </w:t>
      </w:r>
      <w:proofErr w:type="spellStart"/>
      <w:r w:rsidR="00CF70B5" w:rsidRPr="00BA060A">
        <w:rPr>
          <w:sz w:val="26"/>
          <w:szCs w:val="26"/>
        </w:rPr>
        <w:t>proliferācijas</w:t>
      </w:r>
      <w:proofErr w:type="spellEnd"/>
      <w:r w:rsidRPr="00BA060A">
        <w:rPr>
          <w:sz w:val="26"/>
          <w:szCs w:val="26"/>
        </w:rPr>
        <w:t xml:space="preserve"> finansēšanas novēršanas likumā (Latvijas Republikas Saeimas un Ministru Kabineta Ziņotājs, 2008, 16. nr.; 2009, 2. nr.; </w:t>
      </w:r>
      <w:hyperlink r:id="rId11" w:tgtFrame="_blank" w:history="1">
        <w:r w:rsidRPr="00BA060A">
          <w:rPr>
            <w:rStyle w:val="Hyperlink"/>
            <w:color w:val="auto"/>
            <w:sz w:val="26"/>
            <w:szCs w:val="26"/>
            <w:u w:val="none"/>
          </w:rPr>
          <w:t>Latvijas Vēstnesis</w:t>
        </w:r>
      </w:hyperlink>
      <w:r w:rsidRPr="00BA060A">
        <w:rPr>
          <w:sz w:val="26"/>
          <w:szCs w:val="26"/>
        </w:rPr>
        <w:t>, 2009, 196., 205. nr.; 2011, 60. nr.; 2012, 100. nr.; 2013, 187., 227. nr.; 2014, 172., 257. nr.; 2015, 124. nr.; 2016, 31., 115. nr.; 2017, 132., 222. nr.; 2018, 89., 220. nr.</w:t>
      </w:r>
      <w:r w:rsidR="00087F6A" w:rsidRPr="00BA060A">
        <w:rPr>
          <w:sz w:val="26"/>
          <w:szCs w:val="26"/>
        </w:rPr>
        <w:t>; 2019, 129.</w:t>
      </w:r>
      <w:r w:rsidR="00556FEB">
        <w:rPr>
          <w:sz w:val="26"/>
          <w:szCs w:val="26"/>
        </w:rPr>
        <w:t xml:space="preserve"> </w:t>
      </w:r>
      <w:r w:rsidR="00087F6A" w:rsidRPr="00BA060A">
        <w:rPr>
          <w:sz w:val="26"/>
          <w:szCs w:val="26"/>
        </w:rPr>
        <w:t>nr.</w:t>
      </w:r>
      <w:r w:rsidR="00D40C47">
        <w:rPr>
          <w:sz w:val="26"/>
          <w:szCs w:val="26"/>
        </w:rPr>
        <w:t>; 2021, 121B. nr.</w:t>
      </w:r>
      <w:r w:rsidRPr="00BA060A">
        <w:rPr>
          <w:sz w:val="26"/>
          <w:szCs w:val="26"/>
        </w:rPr>
        <w:t>) šādus grozījumus:</w:t>
      </w:r>
    </w:p>
    <w:p w14:paraId="74CB8EFE" w14:textId="4039983D" w:rsidR="00525811" w:rsidRPr="00525811" w:rsidRDefault="00525811" w:rsidP="00525811">
      <w:pPr>
        <w:pStyle w:val="ListParagraph"/>
        <w:numPr>
          <w:ilvl w:val="0"/>
          <w:numId w:val="2"/>
        </w:numPr>
        <w:spacing w:line="20" w:lineRule="atLeast"/>
        <w:jc w:val="both"/>
        <w:rPr>
          <w:bCs/>
          <w:sz w:val="26"/>
          <w:szCs w:val="26"/>
        </w:rPr>
      </w:pPr>
      <w:r w:rsidRPr="00525811">
        <w:rPr>
          <w:bCs/>
          <w:sz w:val="26"/>
          <w:szCs w:val="26"/>
        </w:rPr>
        <w:t>5.</w:t>
      </w:r>
      <w:r w:rsidRPr="00525811">
        <w:rPr>
          <w:bCs/>
          <w:sz w:val="26"/>
          <w:szCs w:val="26"/>
          <w:vertAlign w:val="superscript"/>
        </w:rPr>
        <w:t>1</w:t>
      </w:r>
      <w:r w:rsidRPr="00525811">
        <w:rPr>
          <w:b/>
          <w:bCs/>
          <w:sz w:val="26"/>
          <w:szCs w:val="26"/>
        </w:rPr>
        <w:t> </w:t>
      </w:r>
      <w:r w:rsidRPr="00525811">
        <w:rPr>
          <w:bCs/>
          <w:sz w:val="26"/>
          <w:szCs w:val="26"/>
        </w:rPr>
        <w:t>pantā:</w:t>
      </w:r>
    </w:p>
    <w:p w14:paraId="6C5FFC3C" w14:textId="1206B5C1" w:rsidR="00525811" w:rsidRPr="00525811" w:rsidRDefault="00525811" w:rsidP="00525811">
      <w:pPr>
        <w:spacing w:line="20" w:lineRule="atLeast"/>
        <w:ind w:left="567"/>
        <w:jc w:val="both"/>
        <w:rPr>
          <w:sz w:val="26"/>
          <w:szCs w:val="26"/>
        </w:rPr>
      </w:pPr>
      <w:r>
        <w:rPr>
          <w:bCs/>
          <w:sz w:val="26"/>
          <w:szCs w:val="26"/>
        </w:rPr>
        <w:t>izteikt</w:t>
      </w:r>
      <w:r w:rsidRPr="00525811">
        <w:rPr>
          <w:bCs/>
          <w:sz w:val="26"/>
          <w:szCs w:val="26"/>
        </w:rPr>
        <w:t xml:space="preserve"> otro daļu šādā redakcijā: </w:t>
      </w:r>
    </w:p>
    <w:p w14:paraId="13BB8682" w14:textId="33D04888" w:rsidR="00525811" w:rsidRDefault="00525811" w:rsidP="00525811">
      <w:pPr>
        <w:spacing w:line="20" w:lineRule="atLeast"/>
        <w:ind w:firstLine="567"/>
        <w:jc w:val="both"/>
        <w:rPr>
          <w:sz w:val="26"/>
          <w:szCs w:val="26"/>
        </w:rPr>
      </w:pPr>
      <w:r>
        <w:rPr>
          <w:sz w:val="26"/>
          <w:szCs w:val="26"/>
        </w:rPr>
        <w:t>“</w:t>
      </w:r>
      <w:r w:rsidRPr="00525811">
        <w:rPr>
          <w:sz w:val="26"/>
          <w:szCs w:val="26"/>
        </w:rPr>
        <w:t xml:space="preserve">(2) Likuma subjektiem šajā likumā noteikto pienākumu izpildei ir tiesības pieprasīt un par </w:t>
      </w:r>
      <w:r w:rsidR="007F32F1">
        <w:rPr>
          <w:sz w:val="26"/>
          <w:szCs w:val="26"/>
        </w:rPr>
        <w:t xml:space="preserve">abonēšanas </w:t>
      </w:r>
      <w:r w:rsidRPr="00525811">
        <w:rPr>
          <w:sz w:val="26"/>
          <w:szCs w:val="26"/>
        </w:rPr>
        <w:t>maksu saņemt no Valsts ieņēmumu dienesta reģistriem, Sodu reģistra, Valsts vienotās datorizētās zemesgrāmatas, Transportlīdzekļu un to vadītāju valsts reģistra un Iedzīvotāju reģistra ierakstus un ziņas šā likuma </w:t>
      </w:r>
      <w:hyperlink r:id="rId12" w:anchor="p10.1" w:history="1">
        <w:r w:rsidRPr="0037712A">
          <w:rPr>
            <w:rStyle w:val="Hyperlink"/>
            <w:color w:val="auto"/>
            <w:sz w:val="26"/>
            <w:szCs w:val="26"/>
            <w:u w:val="none"/>
          </w:rPr>
          <w:t>10.</w:t>
        </w:r>
        <w:r w:rsidRPr="0037712A">
          <w:rPr>
            <w:rStyle w:val="Hyperlink"/>
            <w:color w:val="auto"/>
            <w:sz w:val="26"/>
            <w:szCs w:val="26"/>
            <w:u w:val="none"/>
            <w:vertAlign w:val="superscript"/>
          </w:rPr>
          <w:t>1</w:t>
        </w:r>
      </w:hyperlink>
      <w:r w:rsidRPr="0037712A">
        <w:rPr>
          <w:sz w:val="26"/>
          <w:szCs w:val="26"/>
        </w:rPr>
        <w:t> panta pirmās daļas 2. punktā un </w:t>
      </w:r>
      <w:hyperlink r:id="rId13" w:anchor="p41" w:history="1">
        <w:r w:rsidRPr="0037712A">
          <w:rPr>
            <w:rStyle w:val="Hyperlink"/>
            <w:color w:val="auto"/>
            <w:sz w:val="26"/>
            <w:szCs w:val="26"/>
            <w:u w:val="none"/>
          </w:rPr>
          <w:t>41.</w:t>
        </w:r>
      </w:hyperlink>
      <w:r w:rsidRPr="0037712A">
        <w:rPr>
          <w:sz w:val="26"/>
          <w:szCs w:val="26"/>
        </w:rPr>
        <w:t> panta otrās daļas 2., 3., 4., 5., 6. un 7. punktā minētajā apjomā, kā arī glabāt un citādi apstrādāt minēto informāciju.”;</w:t>
      </w:r>
    </w:p>
    <w:p w14:paraId="3387F303" w14:textId="698DAA57" w:rsidR="00525811" w:rsidRDefault="0037712A" w:rsidP="00525811">
      <w:pPr>
        <w:spacing w:line="20" w:lineRule="atLeast"/>
        <w:ind w:firstLine="567"/>
        <w:jc w:val="both"/>
        <w:rPr>
          <w:sz w:val="26"/>
          <w:szCs w:val="26"/>
        </w:rPr>
      </w:pPr>
      <w:r>
        <w:rPr>
          <w:sz w:val="26"/>
          <w:szCs w:val="26"/>
        </w:rPr>
        <w:t>papildināt pantu ar 5.</w:t>
      </w:r>
      <w:r w:rsidRPr="0037712A">
        <w:rPr>
          <w:sz w:val="26"/>
          <w:szCs w:val="26"/>
          <w:vertAlign w:val="superscript"/>
        </w:rPr>
        <w:t>1</w:t>
      </w:r>
      <w:r>
        <w:rPr>
          <w:sz w:val="26"/>
          <w:szCs w:val="26"/>
        </w:rPr>
        <w:t xml:space="preserve"> daļu šādā redakcijā:</w:t>
      </w:r>
    </w:p>
    <w:p w14:paraId="559097B9" w14:textId="678EE1EC" w:rsidR="00A1570E" w:rsidRDefault="00080608" w:rsidP="00A1570E">
      <w:pPr>
        <w:spacing w:line="20" w:lineRule="atLeast"/>
        <w:ind w:firstLine="567"/>
        <w:jc w:val="both"/>
        <w:rPr>
          <w:sz w:val="26"/>
          <w:szCs w:val="26"/>
        </w:rPr>
      </w:pPr>
      <w:r>
        <w:rPr>
          <w:sz w:val="26"/>
          <w:szCs w:val="26"/>
        </w:rPr>
        <w:t xml:space="preserve"> </w:t>
      </w:r>
      <w:r w:rsidR="0037712A">
        <w:rPr>
          <w:sz w:val="26"/>
          <w:szCs w:val="26"/>
        </w:rPr>
        <w:t>“(5</w:t>
      </w:r>
      <w:r w:rsidR="00ED1A07" w:rsidRPr="00ED1A07">
        <w:rPr>
          <w:sz w:val="26"/>
          <w:szCs w:val="26"/>
          <w:vertAlign w:val="superscript"/>
        </w:rPr>
        <w:t>1</w:t>
      </w:r>
      <w:r w:rsidR="00A1570E">
        <w:rPr>
          <w:sz w:val="26"/>
          <w:szCs w:val="26"/>
        </w:rPr>
        <w:t xml:space="preserve">) Maksu par </w:t>
      </w:r>
      <w:r w:rsidR="00562C5B">
        <w:rPr>
          <w:sz w:val="26"/>
          <w:szCs w:val="26"/>
        </w:rPr>
        <w:t>šā panta otrajā daļā minētās informācijas saņemšan</w:t>
      </w:r>
      <w:r w:rsidR="00A1570E">
        <w:rPr>
          <w:sz w:val="26"/>
          <w:szCs w:val="26"/>
        </w:rPr>
        <w:t>u</w:t>
      </w:r>
      <w:r w:rsidR="00562C5B">
        <w:rPr>
          <w:sz w:val="26"/>
          <w:szCs w:val="26"/>
        </w:rPr>
        <w:t xml:space="preserve"> likuma subjekti</w:t>
      </w:r>
      <w:r w:rsidR="00A1570E">
        <w:rPr>
          <w:sz w:val="26"/>
          <w:szCs w:val="26"/>
        </w:rPr>
        <w:t xml:space="preserve">em nosaka atbilstoši reģistru </w:t>
      </w:r>
      <w:r w:rsidR="00A1570E" w:rsidRPr="00A1570E">
        <w:rPr>
          <w:sz w:val="26"/>
          <w:szCs w:val="26"/>
        </w:rPr>
        <w:t>informācijas sistēmas abon</w:t>
      </w:r>
      <w:r w:rsidR="00A1570E">
        <w:rPr>
          <w:sz w:val="26"/>
          <w:szCs w:val="26"/>
        </w:rPr>
        <w:t>ēšanas maksai</w:t>
      </w:r>
      <w:r w:rsidR="00D41A95">
        <w:rPr>
          <w:sz w:val="26"/>
          <w:szCs w:val="26"/>
        </w:rPr>
        <w:t xml:space="preserve"> administratīvo izmaksu apmērā</w:t>
      </w:r>
      <w:r w:rsidR="00A1570E">
        <w:rPr>
          <w:sz w:val="26"/>
          <w:szCs w:val="26"/>
        </w:rPr>
        <w:t>.”</w:t>
      </w:r>
      <w:r w:rsidR="0037712A">
        <w:rPr>
          <w:sz w:val="26"/>
          <w:szCs w:val="26"/>
        </w:rPr>
        <w:t>;</w:t>
      </w:r>
    </w:p>
    <w:p w14:paraId="5D78FB12" w14:textId="17D7CC4E" w:rsidR="0037712A" w:rsidRDefault="0037712A" w:rsidP="00A1570E">
      <w:pPr>
        <w:spacing w:line="20" w:lineRule="atLeast"/>
        <w:ind w:firstLine="567"/>
        <w:jc w:val="both"/>
        <w:rPr>
          <w:sz w:val="26"/>
          <w:szCs w:val="26"/>
        </w:rPr>
      </w:pPr>
      <w:r>
        <w:rPr>
          <w:sz w:val="26"/>
          <w:szCs w:val="26"/>
        </w:rPr>
        <w:t>izslēgt sestajā daļā vārdus “otrajā un”;</w:t>
      </w:r>
    </w:p>
    <w:p w14:paraId="44B63A1E" w14:textId="141E49A2" w:rsidR="00A50C3F" w:rsidRDefault="00A50C3F" w:rsidP="00A1570E">
      <w:pPr>
        <w:spacing w:line="20" w:lineRule="atLeast"/>
        <w:ind w:firstLine="567"/>
        <w:jc w:val="both"/>
        <w:rPr>
          <w:sz w:val="26"/>
          <w:szCs w:val="26"/>
        </w:rPr>
      </w:pPr>
      <w:r>
        <w:rPr>
          <w:sz w:val="26"/>
          <w:szCs w:val="26"/>
        </w:rPr>
        <w:t>papildināt pantu ar septīto daļu šādā redakcijā:</w:t>
      </w:r>
    </w:p>
    <w:p w14:paraId="24E93F57" w14:textId="7B59A47B" w:rsidR="00AC3138" w:rsidRDefault="00154601" w:rsidP="00A1570E">
      <w:pPr>
        <w:spacing w:line="20" w:lineRule="atLeast"/>
        <w:ind w:firstLine="567"/>
        <w:jc w:val="both"/>
        <w:rPr>
          <w:sz w:val="26"/>
          <w:szCs w:val="26"/>
        </w:rPr>
      </w:pPr>
      <w:r>
        <w:rPr>
          <w:bCs/>
          <w:iCs/>
          <w:sz w:val="26"/>
          <w:szCs w:val="26"/>
        </w:rPr>
        <w:t>“</w:t>
      </w:r>
      <w:r w:rsidR="00A50C3F">
        <w:rPr>
          <w:bCs/>
          <w:iCs/>
          <w:sz w:val="26"/>
          <w:szCs w:val="26"/>
        </w:rPr>
        <w:t>(7</w:t>
      </w:r>
      <w:r w:rsidR="00AC3138" w:rsidRPr="00AC3138">
        <w:rPr>
          <w:bCs/>
          <w:iCs/>
          <w:sz w:val="26"/>
          <w:szCs w:val="26"/>
        </w:rPr>
        <w:t>)</w:t>
      </w:r>
      <w:r w:rsidR="00AC3138">
        <w:rPr>
          <w:bCs/>
          <w:iCs/>
          <w:sz w:val="26"/>
          <w:szCs w:val="26"/>
        </w:rPr>
        <w:t xml:space="preserve"> </w:t>
      </w:r>
      <w:r w:rsidR="00A50C3F">
        <w:rPr>
          <w:bCs/>
          <w:iCs/>
          <w:sz w:val="26"/>
          <w:szCs w:val="26"/>
        </w:rPr>
        <w:t xml:space="preserve">Šā panta otrajā daļā minēto reģistru </w:t>
      </w:r>
      <w:r w:rsidR="00A50C3F" w:rsidRPr="00A50C3F">
        <w:rPr>
          <w:bCs/>
          <w:iCs/>
          <w:sz w:val="26"/>
          <w:szCs w:val="26"/>
        </w:rPr>
        <w:t>pārzi</w:t>
      </w:r>
      <w:r w:rsidR="00A50C3F">
        <w:rPr>
          <w:bCs/>
          <w:iCs/>
          <w:sz w:val="26"/>
          <w:szCs w:val="26"/>
        </w:rPr>
        <w:t>ņiem</w:t>
      </w:r>
      <w:r w:rsidR="00A50C3F" w:rsidRPr="00A50C3F">
        <w:rPr>
          <w:bCs/>
          <w:iCs/>
          <w:sz w:val="26"/>
          <w:szCs w:val="26"/>
        </w:rPr>
        <w:t xml:space="preserve"> un </w:t>
      </w:r>
      <w:r w:rsidR="00A50C3F">
        <w:rPr>
          <w:bCs/>
          <w:iCs/>
          <w:sz w:val="26"/>
          <w:szCs w:val="26"/>
        </w:rPr>
        <w:t xml:space="preserve">turētājiem ir tiesības </w:t>
      </w:r>
      <w:r w:rsidR="00AC3138">
        <w:rPr>
          <w:bCs/>
          <w:iCs/>
          <w:sz w:val="26"/>
          <w:szCs w:val="26"/>
        </w:rPr>
        <w:t xml:space="preserve"> </w:t>
      </w:r>
      <w:r w:rsidR="00AC3138" w:rsidRPr="00AC3138">
        <w:rPr>
          <w:bCs/>
          <w:iCs/>
          <w:sz w:val="26"/>
          <w:szCs w:val="26"/>
        </w:rPr>
        <w:t>piekļūt Latvijas Republikas Uzņēmumu reģistra rīcībā esošiem datiem par likuma subjektiem un to uzraudzības un kontroles institūcijām</w:t>
      </w:r>
      <w:r w:rsidR="00A50C3F">
        <w:rPr>
          <w:bCs/>
          <w:iCs/>
          <w:sz w:val="26"/>
          <w:szCs w:val="26"/>
        </w:rPr>
        <w:t>, lai</w:t>
      </w:r>
      <w:r w:rsidR="00AC3138" w:rsidRPr="00AC3138">
        <w:rPr>
          <w:bCs/>
          <w:iCs/>
          <w:sz w:val="26"/>
          <w:szCs w:val="26"/>
        </w:rPr>
        <w:t xml:space="preserve"> </w:t>
      </w:r>
      <w:r w:rsidR="00A50C3F" w:rsidRPr="00A50C3F">
        <w:rPr>
          <w:bCs/>
          <w:iCs/>
          <w:sz w:val="26"/>
          <w:szCs w:val="26"/>
        </w:rPr>
        <w:t>identificētu likuma subjektu</w:t>
      </w:r>
      <w:r w:rsidR="00A50C3F">
        <w:rPr>
          <w:bCs/>
          <w:iCs/>
          <w:sz w:val="26"/>
          <w:szCs w:val="26"/>
        </w:rPr>
        <w:t>s</w:t>
      </w:r>
      <w:r w:rsidR="00A50C3F" w:rsidRPr="00A50C3F">
        <w:rPr>
          <w:bCs/>
          <w:iCs/>
          <w:sz w:val="26"/>
          <w:szCs w:val="26"/>
        </w:rPr>
        <w:t xml:space="preserve"> un to pārstāvj</w:t>
      </w:r>
      <w:r w:rsidR="00A50C3F">
        <w:rPr>
          <w:bCs/>
          <w:iCs/>
          <w:sz w:val="26"/>
          <w:szCs w:val="26"/>
        </w:rPr>
        <w:t>us, kas ir tiesīgi pieprasīt un saņemt šā panta otrajā daļā minēto informāciju.</w:t>
      </w:r>
      <w:r>
        <w:rPr>
          <w:bCs/>
          <w:iCs/>
          <w:sz w:val="26"/>
          <w:szCs w:val="26"/>
        </w:rPr>
        <w:t>”</w:t>
      </w:r>
      <w:r w:rsidR="0057629A">
        <w:rPr>
          <w:bCs/>
          <w:iCs/>
          <w:sz w:val="26"/>
          <w:szCs w:val="26"/>
        </w:rPr>
        <w:t>.</w:t>
      </w:r>
    </w:p>
    <w:p w14:paraId="0847F2EA" w14:textId="61476B93" w:rsidR="000D22ED" w:rsidRDefault="000D22ED" w:rsidP="000D22ED">
      <w:pPr>
        <w:pStyle w:val="ListParagraph"/>
        <w:numPr>
          <w:ilvl w:val="0"/>
          <w:numId w:val="2"/>
        </w:numPr>
        <w:spacing w:line="20" w:lineRule="atLeast"/>
        <w:jc w:val="both"/>
        <w:rPr>
          <w:sz w:val="26"/>
          <w:szCs w:val="26"/>
        </w:rPr>
      </w:pPr>
      <w:r>
        <w:rPr>
          <w:sz w:val="26"/>
          <w:szCs w:val="26"/>
        </w:rPr>
        <w:t>Izslēgt 41.panta pirmajā un otrajā daļā vārdus “bez maksas”.</w:t>
      </w:r>
    </w:p>
    <w:p w14:paraId="0BF6E004" w14:textId="77777777" w:rsidR="00B36FD6" w:rsidRDefault="00B36FD6" w:rsidP="00B36FD6">
      <w:pPr>
        <w:pStyle w:val="ListParagraph"/>
        <w:spacing w:line="20" w:lineRule="atLeast"/>
        <w:ind w:left="927"/>
        <w:jc w:val="both"/>
        <w:rPr>
          <w:sz w:val="26"/>
          <w:szCs w:val="26"/>
        </w:rPr>
      </w:pPr>
    </w:p>
    <w:p w14:paraId="6FCB1708" w14:textId="07E44DDD" w:rsidR="00B36FD6" w:rsidRDefault="00B36FD6" w:rsidP="000D22ED">
      <w:pPr>
        <w:pStyle w:val="ListParagraph"/>
        <w:numPr>
          <w:ilvl w:val="0"/>
          <w:numId w:val="2"/>
        </w:numPr>
        <w:spacing w:line="20" w:lineRule="atLeast"/>
        <w:jc w:val="both"/>
        <w:rPr>
          <w:sz w:val="26"/>
          <w:szCs w:val="26"/>
        </w:rPr>
      </w:pPr>
      <w:r>
        <w:rPr>
          <w:sz w:val="26"/>
          <w:szCs w:val="26"/>
        </w:rPr>
        <w:t>Papildināt likumu ar 55.</w:t>
      </w:r>
      <w:r w:rsidRPr="001A3B15">
        <w:rPr>
          <w:sz w:val="26"/>
          <w:szCs w:val="26"/>
          <w:vertAlign w:val="superscript"/>
        </w:rPr>
        <w:t>1</w:t>
      </w:r>
      <w:r>
        <w:rPr>
          <w:sz w:val="26"/>
          <w:szCs w:val="26"/>
        </w:rPr>
        <w:t xml:space="preserve"> pantu šādā redakcijā:</w:t>
      </w:r>
    </w:p>
    <w:p w14:paraId="793F0951" w14:textId="7FD0907E" w:rsidR="00B36FD6" w:rsidRDefault="00B36FD6" w:rsidP="00B36FD6">
      <w:pPr>
        <w:spacing w:line="20" w:lineRule="atLeast"/>
        <w:ind w:firstLine="567"/>
        <w:jc w:val="both"/>
        <w:rPr>
          <w:b/>
          <w:bCs/>
          <w:sz w:val="26"/>
          <w:szCs w:val="26"/>
        </w:rPr>
      </w:pPr>
      <w:r>
        <w:rPr>
          <w:sz w:val="26"/>
          <w:szCs w:val="26"/>
        </w:rPr>
        <w:t>“</w:t>
      </w:r>
      <w:r w:rsidRPr="00B36FD6">
        <w:rPr>
          <w:b/>
          <w:bCs/>
          <w:sz w:val="26"/>
          <w:szCs w:val="26"/>
        </w:rPr>
        <w:t>55.</w:t>
      </w:r>
      <w:r w:rsidRPr="00B36FD6">
        <w:rPr>
          <w:b/>
          <w:bCs/>
          <w:sz w:val="26"/>
          <w:szCs w:val="26"/>
          <w:vertAlign w:val="superscript"/>
        </w:rPr>
        <w:t>1</w:t>
      </w:r>
      <w:r w:rsidRPr="00B36FD6">
        <w:rPr>
          <w:b/>
          <w:bCs/>
          <w:sz w:val="26"/>
          <w:szCs w:val="26"/>
        </w:rPr>
        <w:t xml:space="preserve"> pants. Finanšu izlūkošanas dienesta un Finanšu ministrijas sadarbība ar uzraudzības un kontroles institūcijām </w:t>
      </w:r>
    </w:p>
    <w:p w14:paraId="740868E3" w14:textId="21A8A319" w:rsidR="00A8078B" w:rsidRPr="00A8078B" w:rsidRDefault="00A8078B" w:rsidP="00B36FD6">
      <w:pPr>
        <w:spacing w:line="20" w:lineRule="atLeast"/>
        <w:ind w:firstLine="567"/>
        <w:jc w:val="both"/>
        <w:rPr>
          <w:sz w:val="26"/>
          <w:szCs w:val="26"/>
        </w:rPr>
      </w:pPr>
      <w:r w:rsidRPr="00A8078B">
        <w:rPr>
          <w:sz w:val="26"/>
          <w:szCs w:val="26"/>
        </w:rPr>
        <w:t xml:space="preserve">(1) Lai sekmētu uzraudzības un kontroles institūciju savstarpējo sadarbību un informācijas apmaiņu, veicinātu vienotu praksi uzraudzības un kontroles pasākumu īstenošanā, normatīvajos aktos noteikto uzdevumu efektīvu izpildi un vienotu izpratni par noziedzīgi iegūtu līdzekļu legalizācijas un terorisma un </w:t>
      </w:r>
      <w:proofErr w:type="spellStart"/>
      <w:r w:rsidRPr="00A8078B">
        <w:rPr>
          <w:sz w:val="26"/>
          <w:szCs w:val="26"/>
        </w:rPr>
        <w:t>proliferācijas</w:t>
      </w:r>
      <w:proofErr w:type="spellEnd"/>
      <w:r w:rsidRPr="00A8078B">
        <w:rPr>
          <w:sz w:val="26"/>
          <w:szCs w:val="26"/>
        </w:rPr>
        <w:t xml:space="preserve"> finansēšanas riskiem un tendencēm, Finanšu ministrija koordinē </w:t>
      </w:r>
      <w:r w:rsidRPr="00A8078B">
        <w:rPr>
          <w:sz w:val="26"/>
          <w:szCs w:val="26"/>
        </w:rPr>
        <w:lastRenderedPageBreak/>
        <w:t>uzraudzības un kontroles institūciju sadarbību, sasaucot uzraudzības un kontroles institūciju sadarbības un koordinācijas platformu. Uzraudzības un kontroles institūciju sadarbības un koordinācijas platformas sanāksmi sasauc Finanšu ministrija pēc savas iniciatīvas vai tad, ja to ierosina Finanšu izlūkošanas dienests vai vismaz viena no uzraudzības un kontroles institūcijām</w:t>
      </w:r>
      <w:r>
        <w:rPr>
          <w:sz w:val="26"/>
          <w:szCs w:val="26"/>
        </w:rPr>
        <w:t>.</w:t>
      </w:r>
    </w:p>
    <w:p w14:paraId="1EB61B9A" w14:textId="2BF28540" w:rsidR="00B36FD6" w:rsidRPr="00B36FD6" w:rsidRDefault="00B36FD6" w:rsidP="00B36FD6">
      <w:pPr>
        <w:spacing w:line="20" w:lineRule="atLeast"/>
        <w:ind w:firstLine="567"/>
        <w:jc w:val="both"/>
        <w:rPr>
          <w:sz w:val="26"/>
          <w:szCs w:val="26"/>
        </w:rPr>
      </w:pPr>
      <w:r w:rsidRPr="00A8078B">
        <w:rPr>
          <w:sz w:val="26"/>
          <w:szCs w:val="26"/>
        </w:rPr>
        <w:t>(</w:t>
      </w:r>
      <w:r w:rsidR="00A8078B" w:rsidRPr="00A8078B">
        <w:rPr>
          <w:sz w:val="26"/>
          <w:szCs w:val="26"/>
        </w:rPr>
        <w:t>2</w:t>
      </w:r>
      <w:r w:rsidRPr="00A8078B">
        <w:rPr>
          <w:sz w:val="26"/>
          <w:szCs w:val="26"/>
        </w:rPr>
        <w:t>)</w:t>
      </w:r>
      <w:r w:rsidRPr="00B36FD6">
        <w:rPr>
          <w:sz w:val="26"/>
          <w:szCs w:val="26"/>
        </w:rPr>
        <w:t xml:space="preserve"> Finanšu izlūkošanas dienests piedalās uzraudzības un kontroles institūciju sadarbības un koordinācijas platformas sanāksmēs un nodrošina informācijas sniegšanu uzraudzības un kontroles institūcijām atbilstoši šā likuma 51.panta pirmās daļas 3., 6., 7., 8., 9., 11. un 16. punktā noteiktajiem informēšanas pienākumiem.</w:t>
      </w:r>
    </w:p>
    <w:p w14:paraId="5E958B61" w14:textId="16A84960" w:rsidR="00B12F5D" w:rsidRDefault="00B36FD6" w:rsidP="00CD5A1B">
      <w:pPr>
        <w:spacing w:line="20" w:lineRule="atLeast"/>
        <w:ind w:firstLine="567"/>
        <w:jc w:val="both"/>
        <w:rPr>
          <w:sz w:val="26"/>
          <w:szCs w:val="26"/>
        </w:rPr>
      </w:pPr>
      <w:r w:rsidRPr="00B36FD6">
        <w:rPr>
          <w:sz w:val="26"/>
          <w:szCs w:val="26"/>
        </w:rPr>
        <w:t>(</w:t>
      </w:r>
      <w:r w:rsidR="00A8078B">
        <w:rPr>
          <w:sz w:val="26"/>
          <w:szCs w:val="26"/>
        </w:rPr>
        <w:t>3</w:t>
      </w:r>
      <w:r w:rsidRPr="00B36FD6">
        <w:rPr>
          <w:sz w:val="26"/>
          <w:szCs w:val="26"/>
        </w:rPr>
        <w:t xml:space="preserve">) </w:t>
      </w:r>
      <w:r w:rsidR="00B12F5D">
        <w:rPr>
          <w:sz w:val="26"/>
          <w:szCs w:val="26"/>
        </w:rPr>
        <w:t>Finanšu ministrija, Finanšu izlūkošanas dienests</w:t>
      </w:r>
      <w:r w:rsidRPr="00B36FD6">
        <w:rPr>
          <w:sz w:val="26"/>
          <w:szCs w:val="26"/>
        </w:rPr>
        <w:t xml:space="preserve"> un uzraudzības un kontroles institūcijas pēc savas iniciatīvas sadarbības </w:t>
      </w:r>
      <w:r w:rsidR="008E25C5">
        <w:rPr>
          <w:sz w:val="26"/>
          <w:szCs w:val="26"/>
        </w:rPr>
        <w:t>un koordinācijas platformas</w:t>
      </w:r>
      <w:r w:rsidRPr="00B36FD6">
        <w:rPr>
          <w:sz w:val="26"/>
          <w:szCs w:val="26"/>
        </w:rPr>
        <w:t xml:space="preserve"> ietvaros ir tiesīgas apmainīties ar informāciju, kas attiecas uz noziedzīgi iegūtu līdzekļu legalizāciju, terorisma un </w:t>
      </w:r>
      <w:proofErr w:type="spellStart"/>
      <w:r w:rsidRPr="00B36FD6">
        <w:rPr>
          <w:sz w:val="26"/>
          <w:szCs w:val="26"/>
        </w:rPr>
        <w:t>proliferācijas</w:t>
      </w:r>
      <w:proofErr w:type="spellEnd"/>
      <w:r w:rsidRPr="00B36FD6">
        <w:rPr>
          <w:sz w:val="26"/>
          <w:szCs w:val="26"/>
        </w:rPr>
        <w:t xml:space="preserve"> finansēšanu vai šo darbību mēģinājumu, identificētajiem nozares riskiem un veiktajiem uzraudzības un kontroles pasākumiem.</w:t>
      </w:r>
      <w:r w:rsidR="00B12F5D">
        <w:rPr>
          <w:sz w:val="26"/>
          <w:szCs w:val="26"/>
        </w:rPr>
        <w:t>”.</w:t>
      </w:r>
    </w:p>
    <w:p w14:paraId="5113B7F9" w14:textId="77777777" w:rsidR="00CD5A1B" w:rsidRPr="00B36FD6" w:rsidRDefault="00CD5A1B" w:rsidP="00CD5A1B">
      <w:pPr>
        <w:spacing w:line="20" w:lineRule="atLeast"/>
        <w:ind w:firstLine="567"/>
        <w:jc w:val="both"/>
        <w:rPr>
          <w:sz w:val="26"/>
          <w:szCs w:val="26"/>
        </w:rPr>
      </w:pPr>
    </w:p>
    <w:p w14:paraId="6495E9D9" w14:textId="2A4383DB" w:rsidR="00B36FD6" w:rsidRPr="00B36FD6" w:rsidRDefault="001965AE" w:rsidP="00B9790A">
      <w:pPr>
        <w:spacing w:line="20" w:lineRule="atLeast"/>
        <w:ind w:left="567"/>
        <w:jc w:val="both"/>
        <w:rPr>
          <w:sz w:val="26"/>
          <w:szCs w:val="26"/>
        </w:rPr>
      </w:pPr>
      <w:r>
        <w:rPr>
          <w:sz w:val="26"/>
          <w:szCs w:val="26"/>
        </w:rPr>
        <w:t>Likums stājas spēkā 2022.gada 3.janvārī.</w:t>
      </w:r>
    </w:p>
    <w:p w14:paraId="4D45DF91" w14:textId="77777777" w:rsidR="00A423F7" w:rsidRDefault="00A423F7" w:rsidP="00525811">
      <w:pPr>
        <w:spacing w:line="20" w:lineRule="atLeast"/>
        <w:ind w:firstLine="567"/>
        <w:jc w:val="both"/>
        <w:rPr>
          <w:bCs/>
          <w:sz w:val="26"/>
          <w:szCs w:val="26"/>
        </w:rPr>
      </w:pPr>
    </w:p>
    <w:p w14:paraId="7AE0A9E7" w14:textId="324D1D69" w:rsidR="000F00A2" w:rsidRPr="00BA060A" w:rsidRDefault="000F00A2" w:rsidP="00CD5A1B">
      <w:pPr>
        <w:shd w:val="clear" w:color="auto" w:fill="FFFFFF"/>
        <w:spacing w:after="0" w:line="240" w:lineRule="auto"/>
        <w:jc w:val="both"/>
        <w:rPr>
          <w:rFonts w:eastAsia="Times New Roman"/>
          <w:color w:val="000000"/>
          <w:lang w:eastAsia="lv-LV"/>
        </w:rPr>
      </w:pPr>
    </w:p>
    <w:p w14:paraId="5F65E016" w14:textId="60320B19" w:rsidR="000F00A2" w:rsidRPr="00BA060A" w:rsidRDefault="000F00A2" w:rsidP="000F00A2">
      <w:pPr>
        <w:shd w:val="clear" w:color="auto" w:fill="FFFFFF"/>
        <w:spacing w:after="0" w:line="240" w:lineRule="auto"/>
        <w:ind w:firstLine="720"/>
        <w:jc w:val="both"/>
        <w:rPr>
          <w:rFonts w:eastAsia="Times New Roman"/>
          <w:color w:val="000000"/>
          <w:sz w:val="26"/>
          <w:szCs w:val="26"/>
          <w:lang w:eastAsia="lv-LV"/>
        </w:rPr>
      </w:pPr>
      <w:r w:rsidRPr="00BA060A">
        <w:rPr>
          <w:rFonts w:eastAsia="Times New Roman"/>
          <w:color w:val="000000"/>
          <w:sz w:val="26"/>
          <w:szCs w:val="26"/>
          <w:lang w:eastAsia="lv-LV"/>
        </w:rPr>
        <w:t>Finanšu ministrs</w:t>
      </w:r>
      <w:r w:rsidRPr="00BA060A">
        <w:rPr>
          <w:rFonts w:eastAsia="Times New Roman"/>
          <w:color w:val="000000"/>
          <w:sz w:val="26"/>
          <w:szCs w:val="26"/>
          <w:lang w:eastAsia="lv-LV"/>
        </w:rPr>
        <w:tab/>
      </w:r>
      <w:r w:rsidRPr="00BA060A">
        <w:rPr>
          <w:rFonts w:eastAsia="Times New Roman"/>
          <w:color w:val="000000"/>
          <w:sz w:val="26"/>
          <w:szCs w:val="26"/>
          <w:lang w:eastAsia="lv-LV"/>
        </w:rPr>
        <w:tab/>
      </w:r>
      <w:r w:rsidRPr="00BA060A">
        <w:rPr>
          <w:rFonts w:eastAsia="Times New Roman"/>
          <w:color w:val="000000"/>
          <w:sz w:val="26"/>
          <w:szCs w:val="26"/>
          <w:lang w:eastAsia="lv-LV"/>
        </w:rPr>
        <w:tab/>
      </w:r>
      <w:r w:rsidRPr="00BA060A">
        <w:rPr>
          <w:rFonts w:eastAsia="Times New Roman"/>
          <w:color w:val="000000"/>
          <w:sz w:val="26"/>
          <w:szCs w:val="26"/>
          <w:lang w:eastAsia="lv-LV"/>
        </w:rPr>
        <w:tab/>
      </w:r>
      <w:r w:rsidRPr="00BA060A">
        <w:rPr>
          <w:rFonts w:eastAsia="Times New Roman"/>
          <w:color w:val="000000"/>
          <w:sz w:val="26"/>
          <w:szCs w:val="26"/>
          <w:lang w:eastAsia="lv-LV"/>
        </w:rPr>
        <w:tab/>
      </w:r>
      <w:r w:rsidRPr="00BA060A">
        <w:rPr>
          <w:rFonts w:eastAsia="Times New Roman"/>
          <w:color w:val="000000"/>
          <w:sz w:val="26"/>
          <w:szCs w:val="26"/>
          <w:lang w:eastAsia="lv-LV"/>
        </w:rPr>
        <w:tab/>
      </w:r>
      <w:r w:rsidRPr="00BA060A">
        <w:rPr>
          <w:rFonts w:eastAsia="Times New Roman"/>
          <w:color w:val="000000"/>
          <w:sz w:val="26"/>
          <w:szCs w:val="26"/>
          <w:lang w:eastAsia="lv-LV"/>
        </w:rPr>
        <w:tab/>
      </w:r>
      <w:proofErr w:type="spellStart"/>
      <w:r w:rsidRPr="00BA060A">
        <w:rPr>
          <w:rFonts w:eastAsia="Times New Roman"/>
          <w:color w:val="000000"/>
          <w:sz w:val="26"/>
          <w:szCs w:val="26"/>
          <w:lang w:eastAsia="lv-LV"/>
        </w:rPr>
        <w:t>J.Reirs</w:t>
      </w:r>
      <w:proofErr w:type="spellEnd"/>
    </w:p>
    <w:p w14:paraId="2CA8CB0A" w14:textId="725D5E38" w:rsidR="003C05E0" w:rsidRPr="00BA060A" w:rsidRDefault="003C05E0" w:rsidP="008D27B6">
      <w:pPr>
        <w:spacing w:line="20" w:lineRule="atLeast"/>
        <w:rPr>
          <w:sz w:val="26"/>
          <w:szCs w:val="26"/>
        </w:rPr>
      </w:pPr>
    </w:p>
    <w:sectPr w:rsidR="003C05E0" w:rsidRPr="00BA060A" w:rsidSect="00636F65">
      <w:footerReference w:type="defaul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0791E" w14:textId="77777777" w:rsidR="00E7251D" w:rsidRDefault="00E7251D" w:rsidP="00636F65">
      <w:pPr>
        <w:spacing w:after="0" w:line="240" w:lineRule="auto"/>
      </w:pPr>
      <w:r>
        <w:separator/>
      </w:r>
    </w:p>
  </w:endnote>
  <w:endnote w:type="continuationSeparator" w:id="0">
    <w:p w14:paraId="6FD84CEC" w14:textId="77777777" w:rsidR="00E7251D" w:rsidRDefault="00E7251D" w:rsidP="0063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6971728"/>
      <w:docPartObj>
        <w:docPartGallery w:val="Page Numbers (Bottom of Page)"/>
        <w:docPartUnique/>
      </w:docPartObj>
    </w:sdtPr>
    <w:sdtEndPr>
      <w:rPr>
        <w:noProof/>
        <w:sz w:val="26"/>
        <w:szCs w:val="26"/>
      </w:rPr>
    </w:sdtEndPr>
    <w:sdtContent>
      <w:p w14:paraId="10787767" w14:textId="35B3B8FE" w:rsidR="00636F65" w:rsidRPr="00636F65" w:rsidRDefault="00636F65">
        <w:pPr>
          <w:pStyle w:val="Footer"/>
          <w:jc w:val="center"/>
          <w:rPr>
            <w:sz w:val="26"/>
            <w:szCs w:val="26"/>
          </w:rPr>
        </w:pPr>
        <w:r w:rsidRPr="00636F65">
          <w:rPr>
            <w:sz w:val="26"/>
            <w:szCs w:val="26"/>
          </w:rPr>
          <w:fldChar w:fldCharType="begin"/>
        </w:r>
        <w:r w:rsidRPr="00636F65">
          <w:rPr>
            <w:sz w:val="26"/>
            <w:szCs w:val="26"/>
          </w:rPr>
          <w:instrText xml:space="preserve"> PAGE   \* MERGEFORMAT </w:instrText>
        </w:r>
        <w:r w:rsidRPr="00636F65">
          <w:rPr>
            <w:sz w:val="26"/>
            <w:szCs w:val="26"/>
          </w:rPr>
          <w:fldChar w:fldCharType="separate"/>
        </w:r>
        <w:r w:rsidR="00556FEB">
          <w:rPr>
            <w:noProof/>
            <w:sz w:val="26"/>
            <w:szCs w:val="26"/>
          </w:rPr>
          <w:t>2</w:t>
        </w:r>
        <w:r w:rsidRPr="00636F65">
          <w:rPr>
            <w:noProof/>
            <w:sz w:val="26"/>
            <w:szCs w:val="26"/>
          </w:rPr>
          <w:fldChar w:fldCharType="end"/>
        </w:r>
      </w:p>
    </w:sdtContent>
  </w:sdt>
  <w:p w14:paraId="3005DA7E" w14:textId="390A1876" w:rsidR="00636F65" w:rsidRPr="00370357" w:rsidRDefault="00556FEB">
    <w:pPr>
      <w:pStyle w:val="Footer"/>
      <w:rPr>
        <w:sz w:val="20"/>
        <w:szCs w:val="20"/>
      </w:rPr>
    </w:pPr>
    <w:r>
      <w:rPr>
        <w:sz w:val="20"/>
        <w:szCs w:val="20"/>
      </w:rPr>
      <w:t>FMLik_16</w:t>
    </w:r>
    <w:r w:rsidR="0037712A">
      <w:rPr>
        <w:sz w:val="20"/>
        <w:szCs w:val="20"/>
      </w:rPr>
      <w:t>07</w:t>
    </w:r>
    <w:r w:rsidR="00E50FEF">
      <w:rPr>
        <w:sz w:val="20"/>
        <w:szCs w:val="20"/>
      </w:rPr>
      <w:t>21</w:t>
    </w:r>
    <w:r w:rsidR="00370357" w:rsidRPr="00370357">
      <w:rPr>
        <w:sz w:val="20"/>
        <w:szCs w:val="20"/>
      </w:rPr>
      <w:t>_NILLTPFNL_groz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E2CBB" w14:textId="56A71B96" w:rsidR="00370357" w:rsidRPr="00370357" w:rsidRDefault="00D26DBF" w:rsidP="00370357">
    <w:pPr>
      <w:pStyle w:val="Footer"/>
      <w:rPr>
        <w:sz w:val="20"/>
        <w:szCs w:val="20"/>
      </w:rPr>
    </w:pPr>
    <w:r>
      <w:rPr>
        <w:sz w:val="20"/>
        <w:szCs w:val="20"/>
      </w:rPr>
      <w:t>FMLik_</w:t>
    </w:r>
    <w:r w:rsidR="00556FEB">
      <w:rPr>
        <w:sz w:val="20"/>
        <w:szCs w:val="20"/>
      </w:rPr>
      <w:t>16</w:t>
    </w:r>
    <w:r w:rsidR="0037712A">
      <w:rPr>
        <w:sz w:val="20"/>
        <w:szCs w:val="20"/>
      </w:rPr>
      <w:t>07</w:t>
    </w:r>
    <w:r w:rsidR="00813A8C">
      <w:rPr>
        <w:sz w:val="20"/>
        <w:szCs w:val="20"/>
      </w:rPr>
      <w:t>21</w:t>
    </w:r>
    <w:r w:rsidR="00370357" w:rsidRPr="00370357">
      <w:rPr>
        <w:sz w:val="20"/>
        <w:szCs w:val="20"/>
      </w:rPr>
      <w:t>_NILLTPFNL_groz</w:t>
    </w:r>
  </w:p>
  <w:p w14:paraId="780FF583" w14:textId="77777777" w:rsidR="00370357" w:rsidRDefault="00370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346A5" w14:textId="77777777" w:rsidR="00E7251D" w:rsidRDefault="00E7251D" w:rsidP="00636F65">
      <w:pPr>
        <w:spacing w:after="0" w:line="240" w:lineRule="auto"/>
      </w:pPr>
      <w:r>
        <w:separator/>
      </w:r>
    </w:p>
  </w:footnote>
  <w:footnote w:type="continuationSeparator" w:id="0">
    <w:p w14:paraId="24FC0301" w14:textId="77777777" w:rsidR="00E7251D" w:rsidRDefault="00E7251D" w:rsidP="00636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0E58C6"/>
    <w:multiLevelType w:val="hybridMultilevel"/>
    <w:tmpl w:val="F28688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C9111C6"/>
    <w:multiLevelType w:val="hybridMultilevel"/>
    <w:tmpl w:val="EAF6A692"/>
    <w:lvl w:ilvl="0" w:tplc="2946DA3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E67"/>
    <w:rsid w:val="000024DF"/>
    <w:rsid w:val="0002476C"/>
    <w:rsid w:val="000358BD"/>
    <w:rsid w:val="00044873"/>
    <w:rsid w:val="000519E2"/>
    <w:rsid w:val="000575F2"/>
    <w:rsid w:val="00080608"/>
    <w:rsid w:val="00080A2D"/>
    <w:rsid w:val="00080A9D"/>
    <w:rsid w:val="00080FD6"/>
    <w:rsid w:val="00087F6A"/>
    <w:rsid w:val="000B4F6E"/>
    <w:rsid w:val="000B4FEA"/>
    <w:rsid w:val="000C04CF"/>
    <w:rsid w:val="000D22ED"/>
    <w:rsid w:val="000D6FC1"/>
    <w:rsid w:val="000D7135"/>
    <w:rsid w:val="000E3648"/>
    <w:rsid w:val="000E6844"/>
    <w:rsid w:val="000F00A2"/>
    <w:rsid w:val="000F2423"/>
    <w:rsid w:val="000F2C33"/>
    <w:rsid w:val="00110A02"/>
    <w:rsid w:val="00121F20"/>
    <w:rsid w:val="0013128F"/>
    <w:rsid w:val="00140A5B"/>
    <w:rsid w:val="00141EC4"/>
    <w:rsid w:val="00154601"/>
    <w:rsid w:val="00162760"/>
    <w:rsid w:val="001654AB"/>
    <w:rsid w:val="001807A4"/>
    <w:rsid w:val="00180993"/>
    <w:rsid w:val="00181B31"/>
    <w:rsid w:val="00183288"/>
    <w:rsid w:val="001861BB"/>
    <w:rsid w:val="001866E4"/>
    <w:rsid w:val="0018692A"/>
    <w:rsid w:val="001965AE"/>
    <w:rsid w:val="001965D3"/>
    <w:rsid w:val="001A3B15"/>
    <w:rsid w:val="001A47BD"/>
    <w:rsid w:val="001B051B"/>
    <w:rsid w:val="001B10E6"/>
    <w:rsid w:val="001B4EDA"/>
    <w:rsid w:val="001C0AD0"/>
    <w:rsid w:val="001F4458"/>
    <w:rsid w:val="001F795B"/>
    <w:rsid w:val="00202310"/>
    <w:rsid w:val="002130C2"/>
    <w:rsid w:val="00215D20"/>
    <w:rsid w:val="00231B9F"/>
    <w:rsid w:val="00236261"/>
    <w:rsid w:val="00236560"/>
    <w:rsid w:val="0025239C"/>
    <w:rsid w:val="00257D3E"/>
    <w:rsid w:val="0027719E"/>
    <w:rsid w:val="00290F04"/>
    <w:rsid w:val="002C030F"/>
    <w:rsid w:val="002C7593"/>
    <w:rsid w:val="002D6E75"/>
    <w:rsid w:val="002F2B22"/>
    <w:rsid w:val="002F361B"/>
    <w:rsid w:val="002F401B"/>
    <w:rsid w:val="00301997"/>
    <w:rsid w:val="00305FFB"/>
    <w:rsid w:val="0032542C"/>
    <w:rsid w:val="003332F2"/>
    <w:rsid w:val="00357217"/>
    <w:rsid w:val="00370357"/>
    <w:rsid w:val="0037712A"/>
    <w:rsid w:val="00383335"/>
    <w:rsid w:val="00386943"/>
    <w:rsid w:val="00386F60"/>
    <w:rsid w:val="00387FCA"/>
    <w:rsid w:val="003923D7"/>
    <w:rsid w:val="003B188A"/>
    <w:rsid w:val="003B40CD"/>
    <w:rsid w:val="003C05E0"/>
    <w:rsid w:val="003C3B0F"/>
    <w:rsid w:val="003E6BC4"/>
    <w:rsid w:val="003E75E8"/>
    <w:rsid w:val="003E78F2"/>
    <w:rsid w:val="00423EE5"/>
    <w:rsid w:val="00425E27"/>
    <w:rsid w:val="00425F97"/>
    <w:rsid w:val="0042675B"/>
    <w:rsid w:val="0043152B"/>
    <w:rsid w:val="004321E2"/>
    <w:rsid w:val="00434FCB"/>
    <w:rsid w:val="004350B4"/>
    <w:rsid w:val="00443927"/>
    <w:rsid w:val="00444EA5"/>
    <w:rsid w:val="00446B34"/>
    <w:rsid w:val="00453BEB"/>
    <w:rsid w:val="00454469"/>
    <w:rsid w:val="004628E8"/>
    <w:rsid w:val="0047358C"/>
    <w:rsid w:val="00475B31"/>
    <w:rsid w:val="0048014B"/>
    <w:rsid w:val="004911B2"/>
    <w:rsid w:val="004A220E"/>
    <w:rsid w:val="004D0BA3"/>
    <w:rsid w:val="004D1E9C"/>
    <w:rsid w:val="004D6A77"/>
    <w:rsid w:val="004E582D"/>
    <w:rsid w:val="004F1874"/>
    <w:rsid w:val="0050295F"/>
    <w:rsid w:val="005116CB"/>
    <w:rsid w:val="00511FD2"/>
    <w:rsid w:val="005202AF"/>
    <w:rsid w:val="00522C26"/>
    <w:rsid w:val="00525811"/>
    <w:rsid w:val="00530592"/>
    <w:rsid w:val="00531C42"/>
    <w:rsid w:val="005411EC"/>
    <w:rsid w:val="005428C0"/>
    <w:rsid w:val="0054407C"/>
    <w:rsid w:val="005443AD"/>
    <w:rsid w:val="00544B3D"/>
    <w:rsid w:val="00545E98"/>
    <w:rsid w:val="00554B16"/>
    <w:rsid w:val="00554FFB"/>
    <w:rsid w:val="00556FEB"/>
    <w:rsid w:val="00562C5B"/>
    <w:rsid w:val="00566A9E"/>
    <w:rsid w:val="0057629A"/>
    <w:rsid w:val="0058627F"/>
    <w:rsid w:val="005B0DAA"/>
    <w:rsid w:val="005B2909"/>
    <w:rsid w:val="005C0340"/>
    <w:rsid w:val="005C1341"/>
    <w:rsid w:val="005C1455"/>
    <w:rsid w:val="005C263F"/>
    <w:rsid w:val="005C2F65"/>
    <w:rsid w:val="005C7FA2"/>
    <w:rsid w:val="005D252A"/>
    <w:rsid w:val="0060098A"/>
    <w:rsid w:val="006054DE"/>
    <w:rsid w:val="006137A6"/>
    <w:rsid w:val="00617661"/>
    <w:rsid w:val="00623077"/>
    <w:rsid w:val="00624B5A"/>
    <w:rsid w:val="00633D57"/>
    <w:rsid w:val="00634143"/>
    <w:rsid w:val="0063594E"/>
    <w:rsid w:val="00636F65"/>
    <w:rsid w:val="00644990"/>
    <w:rsid w:val="00645505"/>
    <w:rsid w:val="00650B3A"/>
    <w:rsid w:val="006671B3"/>
    <w:rsid w:val="00684D61"/>
    <w:rsid w:val="00696A8F"/>
    <w:rsid w:val="00696B5D"/>
    <w:rsid w:val="006A56E7"/>
    <w:rsid w:val="006C2B1E"/>
    <w:rsid w:val="006D3AD6"/>
    <w:rsid w:val="006E309B"/>
    <w:rsid w:val="00705656"/>
    <w:rsid w:val="0071538A"/>
    <w:rsid w:val="00715814"/>
    <w:rsid w:val="007263CF"/>
    <w:rsid w:val="00733A64"/>
    <w:rsid w:val="00733F3A"/>
    <w:rsid w:val="00742028"/>
    <w:rsid w:val="0075474C"/>
    <w:rsid w:val="00767EA6"/>
    <w:rsid w:val="007724CA"/>
    <w:rsid w:val="007809A6"/>
    <w:rsid w:val="00781F13"/>
    <w:rsid w:val="0078475A"/>
    <w:rsid w:val="00784C25"/>
    <w:rsid w:val="007874FE"/>
    <w:rsid w:val="00790EA6"/>
    <w:rsid w:val="00792CE9"/>
    <w:rsid w:val="007B0985"/>
    <w:rsid w:val="007F32F1"/>
    <w:rsid w:val="007F70E2"/>
    <w:rsid w:val="00807902"/>
    <w:rsid w:val="00813A8C"/>
    <w:rsid w:val="00824C3D"/>
    <w:rsid w:val="00826264"/>
    <w:rsid w:val="00827FBD"/>
    <w:rsid w:val="008350F3"/>
    <w:rsid w:val="00835EFE"/>
    <w:rsid w:val="00866A57"/>
    <w:rsid w:val="008808A6"/>
    <w:rsid w:val="00897DD5"/>
    <w:rsid w:val="008A348E"/>
    <w:rsid w:val="008B526E"/>
    <w:rsid w:val="008B570B"/>
    <w:rsid w:val="008B5BC0"/>
    <w:rsid w:val="008B75A9"/>
    <w:rsid w:val="008D0D5D"/>
    <w:rsid w:val="008D27B6"/>
    <w:rsid w:val="008D39E3"/>
    <w:rsid w:val="008E25C5"/>
    <w:rsid w:val="008E2FBF"/>
    <w:rsid w:val="008E3DE2"/>
    <w:rsid w:val="00904D59"/>
    <w:rsid w:val="00933622"/>
    <w:rsid w:val="009517C5"/>
    <w:rsid w:val="00952225"/>
    <w:rsid w:val="0095341C"/>
    <w:rsid w:val="00965741"/>
    <w:rsid w:val="009831F2"/>
    <w:rsid w:val="00986F69"/>
    <w:rsid w:val="009954D4"/>
    <w:rsid w:val="009B7C29"/>
    <w:rsid w:val="009C3864"/>
    <w:rsid w:val="009C7A1F"/>
    <w:rsid w:val="009D146F"/>
    <w:rsid w:val="009D280F"/>
    <w:rsid w:val="009D61C0"/>
    <w:rsid w:val="009E26C2"/>
    <w:rsid w:val="009F7E71"/>
    <w:rsid w:val="00A014C0"/>
    <w:rsid w:val="00A022B1"/>
    <w:rsid w:val="00A1570E"/>
    <w:rsid w:val="00A411EB"/>
    <w:rsid w:val="00A41920"/>
    <w:rsid w:val="00A423F7"/>
    <w:rsid w:val="00A42D6B"/>
    <w:rsid w:val="00A4455C"/>
    <w:rsid w:val="00A44764"/>
    <w:rsid w:val="00A44B63"/>
    <w:rsid w:val="00A45083"/>
    <w:rsid w:val="00A50C3F"/>
    <w:rsid w:val="00A622AA"/>
    <w:rsid w:val="00A71D0C"/>
    <w:rsid w:val="00A727F5"/>
    <w:rsid w:val="00A74A0A"/>
    <w:rsid w:val="00A8078B"/>
    <w:rsid w:val="00A90129"/>
    <w:rsid w:val="00A91EE7"/>
    <w:rsid w:val="00AC1F37"/>
    <w:rsid w:val="00AC3138"/>
    <w:rsid w:val="00AC326A"/>
    <w:rsid w:val="00AE4CEF"/>
    <w:rsid w:val="00AF1600"/>
    <w:rsid w:val="00AF1D3E"/>
    <w:rsid w:val="00B065B8"/>
    <w:rsid w:val="00B12F5D"/>
    <w:rsid w:val="00B36FD6"/>
    <w:rsid w:val="00B60737"/>
    <w:rsid w:val="00B81115"/>
    <w:rsid w:val="00B9790A"/>
    <w:rsid w:val="00BA060A"/>
    <w:rsid w:val="00BB2B5F"/>
    <w:rsid w:val="00BB4C4F"/>
    <w:rsid w:val="00BC51CB"/>
    <w:rsid w:val="00BD37B4"/>
    <w:rsid w:val="00BE2AF0"/>
    <w:rsid w:val="00BF77F5"/>
    <w:rsid w:val="00C001A0"/>
    <w:rsid w:val="00C058FE"/>
    <w:rsid w:val="00C13208"/>
    <w:rsid w:val="00C218AE"/>
    <w:rsid w:val="00C2523B"/>
    <w:rsid w:val="00C2599E"/>
    <w:rsid w:val="00C30237"/>
    <w:rsid w:val="00C304AB"/>
    <w:rsid w:val="00C4379B"/>
    <w:rsid w:val="00C47342"/>
    <w:rsid w:val="00C53ED3"/>
    <w:rsid w:val="00C6270D"/>
    <w:rsid w:val="00C7096B"/>
    <w:rsid w:val="00C80558"/>
    <w:rsid w:val="00CB6EBE"/>
    <w:rsid w:val="00CB784D"/>
    <w:rsid w:val="00CC2638"/>
    <w:rsid w:val="00CD5A1B"/>
    <w:rsid w:val="00CE0DE8"/>
    <w:rsid w:val="00CF6C98"/>
    <w:rsid w:val="00CF70B5"/>
    <w:rsid w:val="00D03C9F"/>
    <w:rsid w:val="00D03ED6"/>
    <w:rsid w:val="00D07428"/>
    <w:rsid w:val="00D07F26"/>
    <w:rsid w:val="00D15FFF"/>
    <w:rsid w:val="00D16606"/>
    <w:rsid w:val="00D220D9"/>
    <w:rsid w:val="00D26CC8"/>
    <w:rsid w:val="00D26DBF"/>
    <w:rsid w:val="00D40C47"/>
    <w:rsid w:val="00D41A95"/>
    <w:rsid w:val="00D4252C"/>
    <w:rsid w:val="00D42CFE"/>
    <w:rsid w:val="00D55558"/>
    <w:rsid w:val="00D654A9"/>
    <w:rsid w:val="00D81A52"/>
    <w:rsid w:val="00D84775"/>
    <w:rsid w:val="00D92A19"/>
    <w:rsid w:val="00D93469"/>
    <w:rsid w:val="00D94465"/>
    <w:rsid w:val="00D960A5"/>
    <w:rsid w:val="00DB18A4"/>
    <w:rsid w:val="00DB77C1"/>
    <w:rsid w:val="00DC2766"/>
    <w:rsid w:val="00DE40E4"/>
    <w:rsid w:val="00E06E67"/>
    <w:rsid w:val="00E07B00"/>
    <w:rsid w:val="00E2270E"/>
    <w:rsid w:val="00E2750D"/>
    <w:rsid w:val="00E32EA7"/>
    <w:rsid w:val="00E448D0"/>
    <w:rsid w:val="00E4721D"/>
    <w:rsid w:val="00E50FEF"/>
    <w:rsid w:val="00E557E5"/>
    <w:rsid w:val="00E62C5B"/>
    <w:rsid w:val="00E71B94"/>
    <w:rsid w:val="00E7251D"/>
    <w:rsid w:val="00E77DE9"/>
    <w:rsid w:val="00E82F27"/>
    <w:rsid w:val="00E8588D"/>
    <w:rsid w:val="00E9533E"/>
    <w:rsid w:val="00EA2623"/>
    <w:rsid w:val="00EC551C"/>
    <w:rsid w:val="00EC622E"/>
    <w:rsid w:val="00ED01BC"/>
    <w:rsid w:val="00ED1A07"/>
    <w:rsid w:val="00EE0B56"/>
    <w:rsid w:val="00EF4C6C"/>
    <w:rsid w:val="00F17685"/>
    <w:rsid w:val="00F17F7B"/>
    <w:rsid w:val="00F362D9"/>
    <w:rsid w:val="00F414A5"/>
    <w:rsid w:val="00F52B37"/>
    <w:rsid w:val="00F5347F"/>
    <w:rsid w:val="00F55D2A"/>
    <w:rsid w:val="00F605CF"/>
    <w:rsid w:val="00F6060A"/>
    <w:rsid w:val="00F666B0"/>
    <w:rsid w:val="00F6698D"/>
    <w:rsid w:val="00F71216"/>
    <w:rsid w:val="00F76132"/>
    <w:rsid w:val="00F80D8D"/>
    <w:rsid w:val="00F9489B"/>
    <w:rsid w:val="00F96373"/>
    <w:rsid w:val="00FA29F6"/>
    <w:rsid w:val="00FA2EC4"/>
    <w:rsid w:val="00FA2F18"/>
    <w:rsid w:val="00FB2891"/>
    <w:rsid w:val="00FB5F55"/>
    <w:rsid w:val="00FC6AE3"/>
    <w:rsid w:val="00FD11D1"/>
    <w:rsid w:val="00FD410D"/>
    <w:rsid w:val="00FE2C4D"/>
    <w:rsid w:val="00FF612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0F18"/>
  <w15:chartTrackingRefBased/>
  <w15:docId w15:val="{663FE655-41CE-44C3-9AC2-88271D8D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E67"/>
    <w:rPr>
      <w:color w:val="0563C1" w:themeColor="hyperlink"/>
      <w:u w:val="single"/>
    </w:rPr>
  </w:style>
  <w:style w:type="character" w:styleId="CommentReference">
    <w:name w:val="annotation reference"/>
    <w:basedOn w:val="DefaultParagraphFont"/>
    <w:uiPriority w:val="99"/>
    <w:semiHidden/>
    <w:unhideWhenUsed/>
    <w:rsid w:val="00087F6A"/>
    <w:rPr>
      <w:sz w:val="16"/>
      <w:szCs w:val="16"/>
    </w:rPr>
  </w:style>
  <w:style w:type="paragraph" w:styleId="CommentText">
    <w:name w:val="annotation text"/>
    <w:basedOn w:val="Normal"/>
    <w:link w:val="CommentTextChar"/>
    <w:uiPriority w:val="99"/>
    <w:semiHidden/>
    <w:unhideWhenUsed/>
    <w:rsid w:val="00087F6A"/>
    <w:pPr>
      <w:spacing w:line="240" w:lineRule="auto"/>
    </w:pPr>
    <w:rPr>
      <w:sz w:val="20"/>
      <w:szCs w:val="20"/>
    </w:rPr>
  </w:style>
  <w:style w:type="character" w:customStyle="1" w:styleId="CommentTextChar">
    <w:name w:val="Comment Text Char"/>
    <w:basedOn w:val="DefaultParagraphFont"/>
    <w:link w:val="CommentText"/>
    <w:uiPriority w:val="99"/>
    <w:semiHidden/>
    <w:rsid w:val="00087F6A"/>
    <w:rPr>
      <w:sz w:val="20"/>
      <w:szCs w:val="20"/>
    </w:rPr>
  </w:style>
  <w:style w:type="paragraph" w:styleId="CommentSubject">
    <w:name w:val="annotation subject"/>
    <w:basedOn w:val="CommentText"/>
    <w:next w:val="CommentText"/>
    <w:link w:val="CommentSubjectChar"/>
    <w:uiPriority w:val="99"/>
    <w:semiHidden/>
    <w:unhideWhenUsed/>
    <w:rsid w:val="00087F6A"/>
    <w:rPr>
      <w:b/>
      <w:bCs/>
    </w:rPr>
  </w:style>
  <w:style w:type="character" w:customStyle="1" w:styleId="CommentSubjectChar">
    <w:name w:val="Comment Subject Char"/>
    <w:basedOn w:val="CommentTextChar"/>
    <w:link w:val="CommentSubject"/>
    <w:uiPriority w:val="99"/>
    <w:semiHidden/>
    <w:rsid w:val="00087F6A"/>
    <w:rPr>
      <w:b/>
      <w:bCs/>
      <w:sz w:val="20"/>
      <w:szCs w:val="20"/>
    </w:rPr>
  </w:style>
  <w:style w:type="paragraph" w:styleId="BalloonText">
    <w:name w:val="Balloon Text"/>
    <w:basedOn w:val="Normal"/>
    <w:link w:val="BalloonTextChar"/>
    <w:uiPriority w:val="99"/>
    <w:semiHidden/>
    <w:unhideWhenUsed/>
    <w:rsid w:val="00087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F6A"/>
    <w:rPr>
      <w:rFonts w:ascii="Segoe UI" w:hAnsi="Segoe UI" w:cs="Segoe UI"/>
      <w:sz w:val="18"/>
      <w:szCs w:val="18"/>
    </w:rPr>
  </w:style>
  <w:style w:type="paragraph" w:styleId="HTMLPreformatted">
    <w:name w:val="HTML Preformatted"/>
    <w:basedOn w:val="Normal"/>
    <w:link w:val="HTMLPreformattedChar"/>
    <w:uiPriority w:val="99"/>
    <w:semiHidden/>
    <w:unhideWhenUsed/>
    <w:rsid w:val="0027719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719E"/>
    <w:rPr>
      <w:rFonts w:ascii="Consolas" w:hAnsi="Consolas"/>
      <w:sz w:val="20"/>
      <w:szCs w:val="20"/>
    </w:rPr>
  </w:style>
  <w:style w:type="paragraph" w:styleId="Revision">
    <w:name w:val="Revision"/>
    <w:hidden/>
    <w:uiPriority w:val="99"/>
    <w:semiHidden/>
    <w:rsid w:val="008B526E"/>
    <w:pPr>
      <w:spacing w:after="0" w:line="240" w:lineRule="auto"/>
    </w:pPr>
  </w:style>
  <w:style w:type="paragraph" w:styleId="Header">
    <w:name w:val="header"/>
    <w:basedOn w:val="Normal"/>
    <w:link w:val="HeaderChar"/>
    <w:uiPriority w:val="99"/>
    <w:unhideWhenUsed/>
    <w:rsid w:val="00636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6F65"/>
  </w:style>
  <w:style w:type="paragraph" w:styleId="Footer">
    <w:name w:val="footer"/>
    <w:basedOn w:val="Normal"/>
    <w:link w:val="FooterChar"/>
    <w:uiPriority w:val="99"/>
    <w:unhideWhenUsed/>
    <w:rsid w:val="00636F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6F65"/>
  </w:style>
  <w:style w:type="character" w:customStyle="1" w:styleId="italic">
    <w:name w:val="italic"/>
    <w:basedOn w:val="DefaultParagraphFont"/>
    <w:rsid w:val="007263CF"/>
    <w:rPr>
      <w:i/>
      <w:iCs/>
    </w:rPr>
  </w:style>
  <w:style w:type="paragraph" w:styleId="ListParagraph">
    <w:name w:val="List Paragraph"/>
    <w:basedOn w:val="Normal"/>
    <w:uiPriority w:val="34"/>
    <w:qFormat/>
    <w:rsid w:val="00525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61929">
      <w:bodyDiv w:val="1"/>
      <w:marLeft w:val="0"/>
      <w:marRight w:val="0"/>
      <w:marTop w:val="0"/>
      <w:marBottom w:val="0"/>
      <w:divBdr>
        <w:top w:val="none" w:sz="0" w:space="0" w:color="auto"/>
        <w:left w:val="none" w:sz="0" w:space="0" w:color="auto"/>
        <w:bottom w:val="none" w:sz="0" w:space="0" w:color="auto"/>
        <w:right w:val="none" w:sz="0" w:space="0" w:color="auto"/>
      </w:divBdr>
    </w:div>
    <w:div w:id="199631012">
      <w:bodyDiv w:val="1"/>
      <w:marLeft w:val="0"/>
      <w:marRight w:val="0"/>
      <w:marTop w:val="0"/>
      <w:marBottom w:val="0"/>
      <w:divBdr>
        <w:top w:val="none" w:sz="0" w:space="0" w:color="auto"/>
        <w:left w:val="none" w:sz="0" w:space="0" w:color="auto"/>
        <w:bottom w:val="none" w:sz="0" w:space="0" w:color="auto"/>
        <w:right w:val="none" w:sz="0" w:space="0" w:color="auto"/>
      </w:divBdr>
    </w:div>
    <w:div w:id="244414566">
      <w:bodyDiv w:val="1"/>
      <w:marLeft w:val="0"/>
      <w:marRight w:val="0"/>
      <w:marTop w:val="0"/>
      <w:marBottom w:val="0"/>
      <w:divBdr>
        <w:top w:val="none" w:sz="0" w:space="0" w:color="auto"/>
        <w:left w:val="none" w:sz="0" w:space="0" w:color="auto"/>
        <w:bottom w:val="none" w:sz="0" w:space="0" w:color="auto"/>
        <w:right w:val="none" w:sz="0" w:space="0" w:color="auto"/>
      </w:divBdr>
    </w:div>
    <w:div w:id="404642157">
      <w:bodyDiv w:val="1"/>
      <w:marLeft w:val="0"/>
      <w:marRight w:val="0"/>
      <w:marTop w:val="0"/>
      <w:marBottom w:val="0"/>
      <w:divBdr>
        <w:top w:val="none" w:sz="0" w:space="0" w:color="auto"/>
        <w:left w:val="none" w:sz="0" w:space="0" w:color="auto"/>
        <w:bottom w:val="none" w:sz="0" w:space="0" w:color="auto"/>
        <w:right w:val="none" w:sz="0" w:space="0" w:color="auto"/>
      </w:divBdr>
    </w:div>
    <w:div w:id="473303905">
      <w:bodyDiv w:val="1"/>
      <w:marLeft w:val="0"/>
      <w:marRight w:val="0"/>
      <w:marTop w:val="0"/>
      <w:marBottom w:val="0"/>
      <w:divBdr>
        <w:top w:val="none" w:sz="0" w:space="0" w:color="auto"/>
        <w:left w:val="none" w:sz="0" w:space="0" w:color="auto"/>
        <w:bottom w:val="none" w:sz="0" w:space="0" w:color="auto"/>
        <w:right w:val="none" w:sz="0" w:space="0" w:color="auto"/>
      </w:divBdr>
      <w:divsChild>
        <w:div w:id="1367876557">
          <w:marLeft w:val="600"/>
          <w:marRight w:val="0"/>
          <w:marTop w:val="0"/>
          <w:marBottom w:val="0"/>
          <w:divBdr>
            <w:top w:val="none" w:sz="0" w:space="0" w:color="auto"/>
            <w:left w:val="none" w:sz="0" w:space="0" w:color="auto"/>
            <w:bottom w:val="none" w:sz="0" w:space="0" w:color="auto"/>
            <w:right w:val="none" w:sz="0" w:space="0" w:color="auto"/>
          </w:divBdr>
        </w:div>
        <w:div w:id="214007019">
          <w:marLeft w:val="600"/>
          <w:marRight w:val="0"/>
          <w:marTop w:val="0"/>
          <w:marBottom w:val="0"/>
          <w:divBdr>
            <w:top w:val="none" w:sz="0" w:space="0" w:color="auto"/>
            <w:left w:val="none" w:sz="0" w:space="0" w:color="auto"/>
            <w:bottom w:val="none" w:sz="0" w:space="0" w:color="auto"/>
            <w:right w:val="none" w:sz="0" w:space="0" w:color="auto"/>
          </w:divBdr>
        </w:div>
        <w:div w:id="2009360752">
          <w:marLeft w:val="600"/>
          <w:marRight w:val="0"/>
          <w:marTop w:val="0"/>
          <w:marBottom w:val="0"/>
          <w:divBdr>
            <w:top w:val="none" w:sz="0" w:space="0" w:color="auto"/>
            <w:left w:val="none" w:sz="0" w:space="0" w:color="auto"/>
            <w:bottom w:val="none" w:sz="0" w:space="0" w:color="auto"/>
            <w:right w:val="none" w:sz="0" w:space="0" w:color="auto"/>
          </w:divBdr>
        </w:div>
      </w:divsChild>
    </w:div>
    <w:div w:id="537669399">
      <w:bodyDiv w:val="1"/>
      <w:marLeft w:val="0"/>
      <w:marRight w:val="0"/>
      <w:marTop w:val="0"/>
      <w:marBottom w:val="0"/>
      <w:divBdr>
        <w:top w:val="none" w:sz="0" w:space="0" w:color="auto"/>
        <w:left w:val="none" w:sz="0" w:space="0" w:color="auto"/>
        <w:bottom w:val="none" w:sz="0" w:space="0" w:color="auto"/>
        <w:right w:val="none" w:sz="0" w:space="0" w:color="auto"/>
      </w:divBdr>
    </w:div>
    <w:div w:id="693264016">
      <w:bodyDiv w:val="1"/>
      <w:marLeft w:val="0"/>
      <w:marRight w:val="0"/>
      <w:marTop w:val="0"/>
      <w:marBottom w:val="0"/>
      <w:divBdr>
        <w:top w:val="none" w:sz="0" w:space="0" w:color="auto"/>
        <w:left w:val="none" w:sz="0" w:space="0" w:color="auto"/>
        <w:bottom w:val="none" w:sz="0" w:space="0" w:color="auto"/>
        <w:right w:val="none" w:sz="0" w:space="0" w:color="auto"/>
      </w:divBdr>
    </w:div>
    <w:div w:id="733695843">
      <w:bodyDiv w:val="1"/>
      <w:marLeft w:val="0"/>
      <w:marRight w:val="0"/>
      <w:marTop w:val="0"/>
      <w:marBottom w:val="0"/>
      <w:divBdr>
        <w:top w:val="none" w:sz="0" w:space="0" w:color="auto"/>
        <w:left w:val="none" w:sz="0" w:space="0" w:color="auto"/>
        <w:bottom w:val="none" w:sz="0" w:space="0" w:color="auto"/>
        <w:right w:val="none" w:sz="0" w:space="0" w:color="auto"/>
      </w:divBdr>
    </w:div>
    <w:div w:id="756291403">
      <w:bodyDiv w:val="1"/>
      <w:marLeft w:val="0"/>
      <w:marRight w:val="0"/>
      <w:marTop w:val="0"/>
      <w:marBottom w:val="0"/>
      <w:divBdr>
        <w:top w:val="none" w:sz="0" w:space="0" w:color="auto"/>
        <w:left w:val="none" w:sz="0" w:space="0" w:color="auto"/>
        <w:bottom w:val="none" w:sz="0" w:space="0" w:color="auto"/>
        <w:right w:val="none" w:sz="0" w:space="0" w:color="auto"/>
      </w:divBdr>
      <w:divsChild>
        <w:div w:id="568468159">
          <w:marLeft w:val="0"/>
          <w:marRight w:val="0"/>
          <w:marTop w:val="0"/>
          <w:marBottom w:val="0"/>
          <w:divBdr>
            <w:top w:val="none" w:sz="0" w:space="0" w:color="auto"/>
            <w:left w:val="none" w:sz="0" w:space="0" w:color="auto"/>
            <w:bottom w:val="none" w:sz="0" w:space="0" w:color="auto"/>
            <w:right w:val="none" w:sz="0" w:space="0" w:color="auto"/>
          </w:divBdr>
        </w:div>
        <w:div w:id="187645864">
          <w:marLeft w:val="0"/>
          <w:marRight w:val="0"/>
          <w:marTop w:val="0"/>
          <w:marBottom w:val="0"/>
          <w:divBdr>
            <w:top w:val="none" w:sz="0" w:space="0" w:color="auto"/>
            <w:left w:val="none" w:sz="0" w:space="0" w:color="auto"/>
            <w:bottom w:val="none" w:sz="0" w:space="0" w:color="auto"/>
            <w:right w:val="none" w:sz="0" w:space="0" w:color="auto"/>
          </w:divBdr>
        </w:div>
      </w:divsChild>
    </w:div>
    <w:div w:id="824125962">
      <w:bodyDiv w:val="1"/>
      <w:marLeft w:val="0"/>
      <w:marRight w:val="0"/>
      <w:marTop w:val="0"/>
      <w:marBottom w:val="0"/>
      <w:divBdr>
        <w:top w:val="none" w:sz="0" w:space="0" w:color="auto"/>
        <w:left w:val="none" w:sz="0" w:space="0" w:color="auto"/>
        <w:bottom w:val="none" w:sz="0" w:space="0" w:color="auto"/>
        <w:right w:val="none" w:sz="0" w:space="0" w:color="auto"/>
      </w:divBdr>
    </w:div>
    <w:div w:id="935089352">
      <w:bodyDiv w:val="1"/>
      <w:marLeft w:val="0"/>
      <w:marRight w:val="0"/>
      <w:marTop w:val="0"/>
      <w:marBottom w:val="0"/>
      <w:divBdr>
        <w:top w:val="none" w:sz="0" w:space="0" w:color="auto"/>
        <w:left w:val="none" w:sz="0" w:space="0" w:color="auto"/>
        <w:bottom w:val="none" w:sz="0" w:space="0" w:color="auto"/>
        <w:right w:val="none" w:sz="0" w:space="0" w:color="auto"/>
      </w:divBdr>
    </w:div>
    <w:div w:id="1343699492">
      <w:bodyDiv w:val="1"/>
      <w:marLeft w:val="0"/>
      <w:marRight w:val="0"/>
      <w:marTop w:val="0"/>
      <w:marBottom w:val="0"/>
      <w:divBdr>
        <w:top w:val="none" w:sz="0" w:space="0" w:color="auto"/>
        <w:left w:val="none" w:sz="0" w:space="0" w:color="auto"/>
        <w:bottom w:val="none" w:sz="0" w:space="0" w:color="auto"/>
        <w:right w:val="none" w:sz="0" w:space="0" w:color="auto"/>
      </w:divBdr>
    </w:div>
    <w:div w:id="1466505583">
      <w:bodyDiv w:val="1"/>
      <w:marLeft w:val="0"/>
      <w:marRight w:val="0"/>
      <w:marTop w:val="0"/>
      <w:marBottom w:val="0"/>
      <w:divBdr>
        <w:top w:val="none" w:sz="0" w:space="0" w:color="auto"/>
        <w:left w:val="none" w:sz="0" w:space="0" w:color="auto"/>
        <w:bottom w:val="none" w:sz="0" w:space="0" w:color="auto"/>
        <w:right w:val="none" w:sz="0" w:space="0" w:color="auto"/>
      </w:divBdr>
    </w:div>
    <w:div w:id="1495220048">
      <w:bodyDiv w:val="1"/>
      <w:marLeft w:val="0"/>
      <w:marRight w:val="0"/>
      <w:marTop w:val="0"/>
      <w:marBottom w:val="0"/>
      <w:divBdr>
        <w:top w:val="none" w:sz="0" w:space="0" w:color="auto"/>
        <w:left w:val="none" w:sz="0" w:space="0" w:color="auto"/>
        <w:bottom w:val="none" w:sz="0" w:space="0" w:color="auto"/>
        <w:right w:val="none" w:sz="0" w:space="0" w:color="auto"/>
      </w:divBdr>
    </w:div>
    <w:div w:id="1930502591">
      <w:bodyDiv w:val="1"/>
      <w:marLeft w:val="0"/>
      <w:marRight w:val="0"/>
      <w:marTop w:val="0"/>
      <w:marBottom w:val="0"/>
      <w:divBdr>
        <w:top w:val="none" w:sz="0" w:space="0" w:color="auto"/>
        <w:left w:val="none" w:sz="0" w:space="0" w:color="auto"/>
        <w:bottom w:val="none" w:sz="0" w:space="0" w:color="auto"/>
        <w:right w:val="none" w:sz="0" w:space="0" w:color="auto"/>
      </w:divBdr>
    </w:div>
    <w:div w:id="19671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17898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17898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0781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Aija Zitcere</Vad_x012b_t_x0101_js>
    <NPK xmlns="b6da864e-06a3-40ee-a61e-0cd067b16413">1</NPK>
    <Kategorija xmlns="2e5bb04e-596e-45bd-9003-43ca78b1ba16">Likumprojekts</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111F7-C1BE-4A94-86FB-8F18F333FB9D}">
  <ds:schemaRefs>
    <ds:schemaRef ds:uri="http://purl.org/dc/elements/1.1/"/>
    <ds:schemaRef ds:uri="b6da864e-06a3-40ee-a61e-0cd067b16413"/>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2e5bb04e-596e-45bd-9003-43ca78b1ba16"/>
    <ds:schemaRef ds:uri="http://www.w3.org/XML/1998/namespace"/>
    <ds:schemaRef ds:uri="http://purl.org/dc/terms/"/>
  </ds:schemaRefs>
</ds:datastoreItem>
</file>

<file path=customXml/itemProps2.xml><?xml version="1.0" encoding="utf-8"?>
<ds:datastoreItem xmlns:ds="http://schemas.openxmlformats.org/officeDocument/2006/customXml" ds:itemID="{BE10480F-A2E8-4FCD-A3BA-0783CCB84251}">
  <ds:schemaRefs>
    <ds:schemaRef ds:uri="http://schemas.microsoft.com/sharepoint/v3/contenttype/forms"/>
  </ds:schemaRefs>
</ds:datastoreItem>
</file>

<file path=customXml/itemProps3.xml><?xml version="1.0" encoding="utf-8"?>
<ds:datastoreItem xmlns:ds="http://schemas.openxmlformats.org/officeDocument/2006/customXml" ds:itemID="{30ED5307-0D79-47A5-9835-E3D06F9B3066}">
  <ds:schemaRefs>
    <ds:schemaRef ds:uri="http://schemas.openxmlformats.org/officeDocument/2006/bibliography"/>
  </ds:schemaRefs>
</ds:datastoreItem>
</file>

<file path=customXml/itemProps4.xml><?xml version="1.0" encoding="utf-8"?>
<ds:datastoreItem xmlns:ds="http://schemas.openxmlformats.org/officeDocument/2006/customXml" ds:itemID="{FED390E6-ED6E-4054-9C57-024BB5C2A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2382</Words>
  <Characters>1359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Grozījumi Noziedzīgi iegūtu līdzekļu legalizācijas un terorisma un proliferācijas finansēšanas novēršanas likumā</vt:lpstr>
    </vt:vector>
  </TitlesOfParts>
  <Company>Finanšu Ministrija</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Noziedzīgi iegūtu līdzekļu legalizācijas un terorisma un proliferācijas finansēšanas novēršanas likumā</dc:title>
  <dc:subject/>
  <dc:creator>Kristaps Ziediņš</dc:creator>
  <cp:keywords>Likumprojekts</cp:keywords>
  <dc:description>67095600, kristaps.ziedins@fm.gov.lv</dc:description>
  <cp:lastModifiedBy>Inguna Dancīte</cp:lastModifiedBy>
  <cp:revision>2</cp:revision>
  <cp:lastPrinted>2021-06-29T11:35:00Z</cp:lastPrinted>
  <dcterms:created xsi:type="dcterms:W3CDTF">2021-07-16T07:08:00Z</dcterms:created>
  <dcterms:modified xsi:type="dcterms:W3CDTF">2021-07-16T07:08:00Z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