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6FC69" w14:textId="5BC711E9" w:rsidR="0035674D" w:rsidRPr="00DB1C08" w:rsidRDefault="004C7170" w:rsidP="0035674D">
      <w:pPr>
        <w:jc w:val="right"/>
        <w:rPr>
          <w:i/>
          <w:sz w:val="21"/>
          <w:szCs w:val="21"/>
        </w:rPr>
      </w:pPr>
      <w:r>
        <w:rPr>
          <w:i/>
          <w:sz w:val="21"/>
          <w:szCs w:val="21"/>
        </w:rPr>
        <w:t>3</w:t>
      </w:r>
      <w:r w:rsidR="0035674D" w:rsidRPr="008276BA">
        <w:rPr>
          <w:i/>
          <w:sz w:val="21"/>
          <w:szCs w:val="21"/>
        </w:rPr>
        <w:t>. pielikums</w:t>
      </w:r>
      <w:r w:rsidR="0035674D" w:rsidRPr="00DB1C08">
        <w:rPr>
          <w:i/>
          <w:sz w:val="21"/>
          <w:szCs w:val="21"/>
        </w:rPr>
        <w:t xml:space="preserve"> informatīvajam ziņojumam</w:t>
      </w:r>
    </w:p>
    <w:p w14:paraId="1DFDE97D" w14:textId="77777777" w:rsidR="0035674D" w:rsidRDefault="0035674D" w:rsidP="0035674D">
      <w:pPr>
        <w:jc w:val="right"/>
        <w:rPr>
          <w:i/>
          <w:sz w:val="21"/>
          <w:szCs w:val="21"/>
        </w:rPr>
      </w:pPr>
      <w:r w:rsidRPr="00DB1C08">
        <w:rPr>
          <w:i/>
          <w:sz w:val="21"/>
          <w:szCs w:val="21"/>
        </w:rPr>
        <w:t>“Par valsts</w:t>
      </w:r>
      <w:r>
        <w:rPr>
          <w:i/>
          <w:sz w:val="21"/>
          <w:szCs w:val="21"/>
        </w:rPr>
        <w:t xml:space="preserve"> budžeta izdevumu pārskatīšanas</w:t>
      </w:r>
      <w:r w:rsidRPr="00DB1C08">
        <w:rPr>
          <w:i/>
          <w:sz w:val="21"/>
          <w:szCs w:val="21"/>
        </w:rPr>
        <w:t xml:space="preserve"> rezultātiem un </w:t>
      </w:r>
    </w:p>
    <w:p w14:paraId="30F333BB" w14:textId="77777777" w:rsidR="0035674D" w:rsidRPr="00DB1C08" w:rsidRDefault="0035674D" w:rsidP="0035674D">
      <w:pPr>
        <w:jc w:val="right"/>
        <w:rPr>
          <w:i/>
          <w:sz w:val="21"/>
          <w:szCs w:val="21"/>
        </w:rPr>
      </w:pPr>
      <w:r w:rsidRPr="00DB1C08">
        <w:rPr>
          <w:i/>
          <w:sz w:val="21"/>
          <w:szCs w:val="21"/>
        </w:rPr>
        <w:t>priekšlikumi par šo rezultātu izmantošanu likumprojekta</w:t>
      </w:r>
    </w:p>
    <w:p w14:paraId="7D14662B" w14:textId="4C208864" w:rsidR="0035674D" w:rsidRDefault="0035674D" w:rsidP="00E310DB">
      <w:pPr>
        <w:ind w:right="140"/>
        <w:jc w:val="right"/>
        <w:rPr>
          <w:i/>
          <w:sz w:val="21"/>
          <w:szCs w:val="21"/>
        </w:rPr>
      </w:pPr>
      <w:r w:rsidRPr="00DB1C08">
        <w:rPr>
          <w:i/>
          <w:sz w:val="21"/>
          <w:szCs w:val="21"/>
        </w:rPr>
        <w:t xml:space="preserve"> </w:t>
      </w:r>
      <w:r>
        <w:rPr>
          <w:i/>
          <w:sz w:val="21"/>
          <w:szCs w:val="21"/>
        </w:rPr>
        <w:t>“Par vidēja termiņa budžeta ietvaru 202</w:t>
      </w:r>
      <w:r w:rsidR="002B3A07">
        <w:rPr>
          <w:i/>
          <w:sz w:val="21"/>
          <w:szCs w:val="21"/>
        </w:rPr>
        <w:t>2</w:t>
      </w:r>
      <w:r>
        <w:rPr>
          <w:i/>
          <w:sz w:val="21"/>
          <w:szCs w:val="21"/>
        </w:rPr>
        <w:t>., 202</w:t>
      </w:r>
      <w:r w:rsidR="002B3A07">
        <w:rPr>
          <w:i/>
          <w:sz w:val="21"/>
          <w:szCs w:val="21"/>
        </w:rPr>
        <w:t>3</w:t>
      </w:r>
      <w:r w:rsidRPr="00DB1C08">
        <w:rPr>
          <w:i/>
          <w:sz w:val="21"/>
          <w:szCs w:val="21"/>
        </w:rPr>
        <w:t>. un 202</w:t>
      </w:r>
      <w:r w:rsidR="002B3A07">
        <w:rPr>
          <w:i/>
          <w:sz w:val="21"/>
          <w:szCs w:val="21"/>
        </w:rPr>
        <w:t>4</w:t>
      </w:r>
      <w:r w:rsidRPr="00DB1C08">
        <w:rPr>
          <w:i/>
          <w:sz w:val="21"/>
          <w:szCs w:val="21"/>
        </w:rPr>
        <w:t>.</w:t>
      </w:r>
      <w:r>
        <w:rPr>
          <w:i/>
          <w:sz w:val="21"/>
          <w:szCs w:val="21"/>
        </w:rPr>
        <w:t> </w:t>
      </w:r>
      <w:r w:rsidRPr="00DB1C08">
        <w:rPr>
          <w:i/>
          <w:sz w:val="21"/>
          <w:szCs w:val="21"/>
        </w:rPr>
        <w:t xml:space="preserve">gadam” </w:t>
      </w:r>
    </w:p>
    <w:p w14:paraId="12A08CA4" w14:textId="5984B6AB" w:rsidR="0035674D" w:rsidRDefault="0035674D" w:rsidP="0035674D">
      <w:pPr>
        <w:jc w:val="right"/>
        <w:rPr>
          <w:i/>
          <w:sz w:val="21"/>
          <w:szCs w:val="21"/>
        </w:rPr>
      </w:pPr>
      <w:r w:rsidRPr="00DB1C08">
        <w:rPr>
          <w:i/>
          <w:sz w:val="21"/>
          <w:szCs w:val="21"/>
        </w:rPr>
        <w:t>un likumprojekta</w:t>
      </w:r>
      <w:r>
        <w:rPr>
          <w:i/>
          <w:sz w:val="21"/>
          <w:szCs w:val="21"/>
        </w:rPr>
        <w:t xml:space="preserve"> </w:t>
      </w:r>
      <w:r w:rsidRPr="00DB1C08">
        <w:rPr>
          <w:i/>
          <w:sz w:val="21"/>
          <w:szCs w:val="21"/>
        </w:rPr>
        <w:t>“Par valsts budžetu 20</w:t>
      </w:r>
      <w:r>
        <w:rPr>
          <w:i/>
          <w:sz w:val="21"/>
          <w:szCs w:val="21"/>
        </w:rPr>
        <w:t>2</w:t>
      </w:r>
      <w:r w:rsidR="002B3A07">
        <w:rPr>
          <w:i/>
          <w:sz w:val="21"/>
          <w:szCs w:val="21"/>
        </w:rPr>
        <w:t>2</w:t>
      </w:r>
      <w:r w:rsidRPr="00DB1C08">
        <w:rPr>
          <w:i/>
          <w:sz w:val="21"/>
          <w:szCs w:val="21"/>
        </w:rPr>
        <w:t>.</w:t>
      </w:r>
      <w:r>
        <w:rPr>
          <w:i/>
          <w:sz w:val="21"/>
          <w:szCs w:val="21"/>
        </w:rPr>
        <w:t> </w:t>
      </w:r>
      <w:r w:rsidRPr="00DB1C08">
        <w:rPr>
          <w:i/>
          <w:sz w:val="21"/>
          <w:szCs w:val="21"/>
        </w:rPr>
        <w:t>gadam” izstrādes procesā</w:t>
      </w:r>
      <w:r w:rsidRPr="006F1A9B">
        <w:rPr>
          <w:i/>
          <w:sz w:val="21"/>
          <w:szCs w:val="21"/>
        </w:rPr>
        <w:t>”</w:t>
      </w:r>
    </w:p>
    <w:p w14:paraId="5A9ED97A" w14:textId="77777777" w:rsidR="00582CB5" w:rsidRDefault="00582CB5" w:rsidP="00582CB5">
      <w:pPr>
        <w:jc w:val="right"/>
        <w:rPr>
          <w:i/>
          <w:sz w:val="21"/>
          <w:szCs w:val="21"/>
        </w:rPr>
      </w:pPr>
    </w:p>
    <w:p w14:paraId="5320A580" w14:textId="77777777" w:rsidR="004F349D" w:rsidRDefault="004F349D" w:rsidP="00582CB5">
      <w:pPr>
        <w:jc w:val="center"/>
        <w:rPr>
          <w:b/>
          <w:sz w:val="28"/>
          <w:szCs w:val="28"/>
        </w:rPr>
      </w:pPr>
    </w:p>
    <w:p w14:paraId="1B09FA9C" w14:textId="7D18329B" w:rsidR="00582CB5" w:rsidRDefault="00C2089A" w:rsidP="00582CB5">
      <w:pPr>
        <w:jc w:val="center"/>
        <w:rPr>
          <w:b/>
          <w:sz w:val="28"/>
          <w:szCs w:val="28"/>
        </w:rPr>
      </w:pPr>
      <w:proofErr w:type="spellStart"/>
      <w:r w:rsidRPr="00C2089A">
        <w:rPr>
          <w:b/>
          <w:sz w:val="28"/>
          <w:szCs w:val="28"/>
        </w:rPr>
        <w:t>Pārresoru</w:t>
      </w:r>
      <w:proofErr w:type="spellEnd"/>
      <w:r w:rsidRPr="00C2089A">
        <w:rPr>
          <w:b/>
          <w:sz w:val="28"/>
          <w:szCs w:val="28"/>
        </w:rPr>
        <w:t xml:space="preserve"> koordinācijas centra</w:t>
      </w:r>
      <w:r w:rsidR="00BE3090" w:rsidRPr="00BE3090">
        <w:rPr>
          <w:b/>
          <w:sz w:val="28"/>
          <w:szCs w:val="28"/>
        </w:rPr>
        <w:t xml:space="preserve"> piedāvājums iespējamām izmaiņām politikas un resursu vadības kartēs</w:t>
      </w:r>
    </w:p>
    <w:p w14:paraId="6A4E1752" w14:textId="77777777" w:rsidR="00BE3090" w:rsidRPr="004C7170" w:rsidRDefault="00BE3090" w:rsidP="00582CB5">
      <w:pPr>
        <w:jc w:val="center"/>
        <w:rPr>
          <w:b/>
        </w:rPr>
      </w:pPr>
    </w:p>
    <w:p w14:paraId="68DFEB9D" w14:textId="755B6236" w:rsidR="008A12A9" w:rsidRPr="00BE3090" w:rsidRDefault="00BE3090" w:rsidP="00BE3090">
      <w:pPr>
        <w:spacing w:after="120"/>
        <w:rPr>
          <w:bCs/>
        </w:rPr>
      </w:pPr>
      <w:r w:rsidRPr="00BE3090">
        <w:rPr>
          <w:bCs/>
        </w:rPr>
        <w:t>Ārlietu ministrija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6915"/>
      </w:tblGrid>
      <w:tr w:rsidR="00BE3090" w:rsidRPr="00BE3090" w14:paraId="10C59394" w14:textId="77777777" w:rsidTr="00E20E29">
        <w:trPr>
          <w:trHeight w:val="239"/>
          <w:tblHeader/>
        </w:trPr>
        <w:tc>
          <w:tcPr>
            <w:tcW w:w="1184" w:type="pct"/>
            <w:shd w:val="clear" w:color="000000" w:fill="A9D08E"/>
            <w:noWrap/>
            <w:vAlign w:val="bottom"/>
            <w:hideMark/>
          </w:tcPr>
          <w:p w14:paraId="6246CECC" w14:textId="77777777" w:rsidR="00BE3090" w:rsidRPr="00BE3090" w:rsidRDefault="00BE3090" w:rsidP="00BE3090">
            <w:pPr>
              <w:jc w:val="center"/>
              <w:rPr>
                <w:rFonts w:eastAsia="Times New Roman" w:cs="Times New Roman"/>
                <w:b/>
                <w:bCs/>
                <w:color w:val="000000"/>
                <w:sz w:val="22"/>
                <w:szCs w:val="22"/>
                <w:lang w:eastAsia="lv-LV"/>
              </w:rPr>
            </w:pPr>
            <w:r w:rsidRPr="00BE3090">
              <w:rPr>
                <w:rFonts w:eastAsia="Times New Roman" w:cs="Times New Roman"/>
                <w:b/>
                <w:bCs/>
                <w:color w:val="000000"/>
                <w:sz w:val="22"/>
                <w:szCs w:val="22"/>
                <w:lang w:eastAsia="lv-LV"/>
              </w:rPr>
              <w:t xml:space="preserve">Joma </w:t>
            </w:r>
          </w:p>
        </w:tc>
        <w:tc>
          <w:tcPr>
            <w:tcW w:w="3816" w:type="pct"/>
            <w:shd w:val="clear" w:color="000000" w:fill="A9D08E"/>
            <w:noWrap/>
            <w:vAlign w:val="bottom"/>
            <w:hideMark/>
          </w:tcPr>
          <w:p w14:paraId="5178579A" w14:textId="77777777" w:rsidR="00BE3090" w:rsidRPr="00BE3090" w:rsidRDefault="00BE3090" w:rsidP="00BE3090">
            <w:pPr>
              <w:jc w:val="center"/>
              <w:rPr>
                <w:rFonts w:eastAsia="Times New Roman" w:cs="Times New Roman"/>
                <w:b/>
                <w:bCs/>
                <w:color w:val="000000"/>
                <w:sz w:val="22"/>
                <w:szCs w:val="22"/>
                <w:lang w:eastAsia="lv-LV"/>
              </w:rPr>
            </w:pPr>
            <w:r w:rsidRPr="00BE3090">
              <w:rPr>
                <w:rFonts w:eastAsia="Times New Roman" w:cs="Times New Roman"/>
                <w:b/>
                <w:bCs/>
                <w:color w:val="000000"/>
                <w:sz w:val="22"/>
                <w:szCs w:val="22"/>
                <w:lang w:eastAsia="lv-LV"/>
              </w:rPr>
              <w:t>Politikas rezultatīvie rādītāji</w:t>
            </w:r>
          </w:p>
        </w:tc>
      </w:tr>
      <w:tr w:rsidR="00BE3090" w:rsidRPr="00BE3090" w14:paraId="017E0CBA" w14:textId="77777777" w:rsidTr="00FE79DB">
        <w:trPr>
          <w:trHeight w:val="698"/>
        </w:trPr>
        <w:tc>
          <w:tcPr>
            <w:tcW w:w="1184" w:type="pct"/>
            <w:vMerge w:val="restart"/>
            <w:shd w:val="clear" w:color="000000" w:fill="A9D18E"/>
            <w:vAlign w:val="center"/>
            <w:hideMark/>
          </w:tcPr>
          <w:p w14:paraId="06BB4613" w14:textId="77777777" w:rsidR="00BE3090" w:rsidRPr="00BE3090" w:rsidRDefault="00BE3090" w:rsidP="00BE3090">
            <w:pPr>
              <w:jc w:val="center"/>
              <w:rPr>
                <w:rFonts w:eastAsia="Times New Roman" w:cs="Times New Roman"/>
                <w:b/>
                <w:bCs/>
                <w:color w:val="000000"/>
                <w:sz w:val="22"/>
                <w:szCs w:val="22"/>
                <w:lang w:eastAsia="lv-LV"/>
              </w:rPr>
            </w:pPr>
            <w:r w:rsidRPr="00BE3090">
              <w:rPr>
                <w:rFonts w:eastAsia="Times New Roman" w:cs="Times New Roman"/>
                <w:b/>
                <w:bCs/>
                <w:color w:val="000000"/>
                <w:sz w:val="22"/>
                <w:szCs w:val="22"/>
                <w:lang w:eastAsia="lv-LV"/>
              </w:rPr>
              <w:t>Latvijas ārpolitikas plānošana un īstenošana</w:t>
            </w:r>
          </w:p>
        </w:tc>
        <w:tc>
          <w:tcPr>
            <w:tcW w:w="3816" w:type="pct"/>
            <w:shd w:val="clear" w:color="000000" w:fill="EBF1E9"/>
            <w:vAlign w:val="center"/>
            <w:hideMark/>
          </w:tcPr>
          <w:p w14:paraId="597BE7F2" w14:textId="3CB0AE67" w:rsidR="00BE3090" w:rsidRPr="00BE3090" w:rsidRDefault="00BE3090" w:rsidP="00BE3090">
            <w:pPr>
              <w:jc w:val="center"/>
              <w:rPr>
                <w:rFonts w:eastAsia="Times New Roman" w:cs="Times New Roman"/>
                <w:color w:val="000000"/>
                <w:sz w:val="22"/>
                <w:szCs w:val="22"/>
                <w:lang w:eastAsia="lv-LV"/>
              </w:rPr>
            </w:pPr>
            <w:r w:rsidRPr="00BE3090">
              <w:rPr>
                <w:rFonts w:eastAsia="Times New Roman" w:cs="Times New Roman"/>
                <w:color w:val="000000"/>
                <w:sz w:val="22"/>
                <w:szCs w:val="22"/>
                <w:lang w:eastAsia="lv-LV"/>
              </w:rPr>
              <w:t>ĀM pārvaldīt</w:t>
            </w:r>
            <w:r w:rsidR="00B44EE0">
              <w:rPr>
                <w:rFonts w:eastAsia="Times New Roman" w:cs="Times New Roman"/>
                <w:color w:val="000000"/>
                <w:sz w:val="22"/>
                <w:szCs w:val="22"/>
                <w:lang w:eastAsia="lv-LV"/>
              </w:rPr>
              <w:t>ais</w:t>
            </w:r>
            <w:r w:rsidRPr="00BE3090">
              <w:rPr>
                <w:rFonts w:eastAsia="Times New Roman" w:cs="Times New Roman"/>
                <w:color w:val="000000"/>
                <w:sz w:val="22"/>
                <w:szCs w:val="22"/>
                <w:lang w:eastAsia="lv-LV"/>
              </w:rPr>
              <w:t xml:space="preserve"> divpusējās attīstības sadarbības finansējum</w:t>
            </w:r>
            <w:r w:rsidR="00B44EE0">
              <w:rPr>
                <w:rFonts w:eastAsia="Times New Roman" w:cs="Times New Roman"/>
                <w:color w:val="000000"/>
                <w:sz w:val="22"/>
                <w:szCs w:val="22"/>
                <w:lang w:eastAsia="lv-LV"/>
              </w:rPr>
              <w:t>s</w:t>
            </w:r>
            <w:r w:rsidRPr="00BE3090">
              <w:rPr>
                <w:rFonts w:eastAsia="Times New Roman" w:cs="Times New Roman"/>
                <w:color w:val="000000"/>
                <w:sz w:val="22"/>
                <w:szCs w:val="22"/>
                <w:lang w:eastAsia="lv-LV"/>
              </w:rPr>
              <w:t xml:space="preserve">, kas izlietots labas pārvaldības, tiesiskuma un demokrātiskas līdzdalības veicināšanai </w:t>
            </w:r>
            <w:r>
              <w:rPr>
                <w:rFonts w:eastAsia="Times New Roman" w:cs="Times New Roman"/>
                <w:color w:val="000000"/>
                <w:sz w:val="22"/>
                <w:szCs w:val="22"/>
                <w:lang w:eastAsia="lv-LV"/>
              </w:rPr>
              <w:t>h</w:t>
            </w:r>
            <w:r w:rsidRPr="00BE3090">
              <w:rPr>
                <w:rFonts w:eastAsia="Times New Roman" w:cs="Times New Roman"/>
                <w:color w:val="000000"/>
                <w:sz w:val="22"/>
                <w:szCs w:val="22"/>
                <w:lang w:eastAsia="lv-LV"/>
              </w:rPr>
              <w:t>orizontālā prioritāte</w:t>
            </w:r>
            <w:r w:rsidR="00B44EE0">
              <w:rPr>
                <w:rFonts w:eastAsia="Times New Roman" w:cs="Times New Roman"/>
                <w:color w:val="000000"/>
                <w:sz w:val="22"/>
                <w:szCs w:val="22"/>
                <w:lang w:eastAsia="lv-LV"/>
              </w:rPr>
              <w:t xml:space="preserve"> (%)</w:t>
            </w:r>
          </w:p>
        </w:tc>
      </w:tr>
      <w:tr w:rsidR="00BE3090" w:rsidRPr="00BE3090" w14:paraId="4659D595" w14:textId="77777777" w:rsidTr="00BE3090">
        <w:trPr>
          <w:trHeight w:val="706"/>
        </w:trPr>
        <w:tc>
          <w:tcPr>
            <w:tcW w:w="1184" w:type="pct"/>
            <w:vMerge/>
            <w:vAlign w:val="center"/>
            <w:hideMark/>
          </w:tcPr>
          <w:p w14:paraId="5BBAFEEE" w14:textId="77777777" w:rsidR="00BE3090" w:rsidRPr="00BE3090" w:rsidRDefault="00BE3090" w:rsidP="00BE3090">
            <w:pPr>
              <w:rPr>
                <w:rFonts w:eastAsia="Times New Roman" w:cs="Times New Roman"/>
                <w:b/>
                <w:bCs/>
                <w:color w:val="000000"/>
                <w:sz w:val="22"/>
                <w:szCs w:val="22"/>
                <w:lang w:eastAsia="lv-LV"/>
              </w:rPr>
            </w:pPr>
          </w:p>
        </w:tc>
        <w:tc>
          <w:tcPr>
            <w:tcW w:w="3816" w:type="pct"/>
            <w:shd w:val="clear" w:color="000000" w:fill="EBF1E9"/>
            <w:vAlign w:val="center"/>
            <w:hideMark/>
          </w:tcPr>
          <w:p w14:paraId="2FD2D59E" w14:textId="2578C7AE" w:rsidR="00BE3090" w:rsidRPr="00BE3090" w:rsidRDefault="00BE3090" w:rsidP="00BE3090">
            <w:pPr>
              <w:jc w:val="center"/>
              <w:rPr>
                <w:rFonts w:eastAsia="Times New Roman" w:cs="Times New Roman"/>
                <w:color w:val="000000"/>
                <w:sz w:val="22"/>
                <w:szCs w:val="22"/>
                <w:lang w:eastAsia="lv-LV"/>
              </w:rPr>
            </w:pPr>
            <w:r w:rsidRPr="00BE3090">
              <w:rPr>
                <w:rFonts w:eastAsia="Times New Roman" w:cs="Times New Roman"/>
                <w:color w:val="000000"/>
                <w:sz w:val="22"/>
                <w:szCs w:val="22"/>
                <w:lang w:eastAsia="lv-LV"/>
              </w:rPr>
              <w:t>Oficiālās attīstības palīdzības apjoms no nacionālā kopienākuma (NKI), tiecoties līdz 2030. gadam sasniegt finansējuma apjomu līdz 0</w:t>
            </w:r>
            <w:r w:rsidR="00610254">
              <w:rPr>
                <w:rFonts w:eastAsia="Times New Roman" w:cs="Times New Roman"/>
                <w:color w:val="000000"/>
                <w:sz w:val="22"/>
                <w:szCs w:val="22"/>
                <w:lang w:eastAsia="lv-LV"/>
              </w:rPr>
              <w:t>,</w:t>
            </w:r>
            <w:r w:rsidRPr="00BE3090">
              <w:rPr>
                <w:rFonts w:eastAsia="Times New Roman" w:cs="Times New Roman"/>
                <w:color w:val="000000"/>
                <w:sz w:val="22"/>
                <w:szCs w:val="22"/>
                <w:lang w:eastAsia="lv-LV"/>
              </w:rPr>
              <w:t>33%, no NKI (%)</w:t>
            </w:r>
          </w:p>
        </w:tc>
      </w:tr>
      <w:tr w:rsidR="00BE3090" w:rsidRPr="00BE3090" w14:paraId="046B6A4F" w14:textId="77777777" w:rsidTr="00BE3090">
        <w:trPr>
          <w:trHeight w:val="504"/>
        </w:trPr>
        <w:tc>
          <w:tcPr>
            <w:tcW w:w="1184" w:type="pct"/>
            <w:vMerge/>
            <w:vAlign w:val="center"/>
            <w:hideMark/>
          </w:tcPr>
          <w:p w14:paraId="7F637E08" w14:textId="77777777" w:rsidR="00BE3090" w:rsidRPr="00BE3090" w:rsidRDefault="00BE3090" w:rsidP="00BE3090">
            <w:pPr>
              <w:rPr>
                <w:rFonts w:eastAsia="Times New Roman" w:cs="Times New Roman"/>
                <w:b/>
                <w:bCs/>
                <w:color w:val="000000"/>
                <w:sz w:val="22"/>
                <w:szCs w:val="22"/>
                <w:lang w:eastAsia="lv-LV"/>
              </w:rPr>
            </w:pPr>
          </w:p>
        </w:tc>
        <w:tc>
          <w:tcPr>
            <w:tcW w:w="3816" w:type="pct"/>
            <w:shd w:val="clear" w:color="000000" w:fill="EBF1E9"/>
            <w:vAlign w:val="center"/>
            <w:hideMark/>
          </w:tcPr>
          <w:p w14:paraId="26E6EEFF" w14:textId="0ECE4B4B" w:rsidR="00BE3090" w:rsidRPr="00BE3090" w:rsidRDefault="00BE3090" w:rsidP="00BE3090">
            <w:pPr>
              <w:jc w:val="center"/>
              <w:rPr>
                <w:rFonts w:eastAsia="Times New Roman" w:cs="Times New Roman"/>
                <w:color w:val="000000"/>
                <w:sz w:val="22"/>
                <w:szCs w:val="22"/>
                <w:lang w:eastAsia="lv-LV"/>
              </w:rPr>
            </w:pPr>
            <w:r w:rsidRPr="00BE3090">
              <w:rPr>
                <w:rFonts w:eastAsia="Times New Roman" w:cs="Times New Roman"/>
                <w:color w:val="000000"/>
                <w:sz w:val="22"/>
                <w:szCs w:val="22"/>
                <w:lang w:eastAsia="lv-LV"/>
              </w:rPr>
              <w:t xml:space="preserve">Diasporas skolās iesaistījušies bērni, kas apmeklē latviešu skolu: 2023.gadā - 13% </w:t>
            </w:r>
            <w:r w:rsidR="00B44EE0">
              <w:rPr>
                <w:rFonts w:eastAsia="Times New Roman" w:cs="Times New Roman"/>
                <w:color w:val="000000"/>
                <w:sz w:val="22"/>
                <w:szCs w:val="22"/>
                <w:lang w:eastAsia="lv-LV"/>
              </w:rPr>
              <w:t>(%)</w:t>
            </w:r>
          </w:p>
        </w:tc>
      </w:tr>
      <w:tr w:rsidR="00BE3090" w:rsidRPr="00BE3090" w14:paraId="23CE5FBF" w14:textId="77777777" w:rsidTr="00BE3090">
        <w:trPr>
          <w:trHeight w:val="115"/>
        </w:trPr>
        <w:tc>
          <w:tcPr>
            <w:tcW w:w="1184" w:type="pct"/>
            <w:vMerge/>
            <w:vAlign w:val="center"/>
            <w:hideMark/>
          </w:tcPr>
          <w:p w14:paraId="27D9F89F" w14:textId="77777777" w:rsidR="00BE3090" w:rsidRPr="00BE3090" w:rsidRDefault="00BE3090" w:rsidP="00BE3090">
            <w:pPr>
              <w:rPr>
                <w:rFonts w:eastAsia="Times New Roman" w:cs="Times New Roman"/>
                <w:b/>
                <w:bCs/>
                <w:color w:val="000000"/>
                <w:sz w:val="22"/>
                <w:szCs w:val="22"/>
                <w:lang w:eastAsia="lv-LV"/>
              </w:rPr>
            </w:pPr>
          </w:p>
        </w:tc>
        <w:tc>
          <w:tcPr>
            <w:tcW w:w="3816" w:type="pct"/>
            <w:shd w:val="clear" w:color="000000" w:fill="EBF1E9"/>
            <w:vAlign w:val="center"/>
            <w:hideMark/>
          </w:tcPr>
          <w:p w14:paraId="7023ADC5" w14:textId="33F3C90B" w:rsidR="00BE3090" w:rsidRPr="00BE3090" w:rsidRDefault="00BE3090" w:rsidP="00BE3090">
            <w:pPr>
              <w:jc w:val="center"/>
              <w:rPr>
                <w:rFonts w:eastAsia="Times New Roman" w:cs="Times New Roman"/>
                <w:color w:val="000000"/>
                <w:sz w:val="22"/>
                <w:szCs w:val="22"/>
                <w:lang w:eastAsia="lv-LV"/>
              </w:rPr>
            </w:pPr>
            <w:r w:rsidRPr="00BE3090">
              <w:rPr>
                <w:rFonts w:eastAsia="Times New Roman" w:cs="Times New Roman"/>
                <w:color w:val="000000"/>
                <w:sz w:val="22"/>
                <w:szCs w:val="22"/>
                <w:lang w:eastAsia="lv-LV"/>
              </w:rPr>
              <w:t xml:space="preserve"> </w:t>
            </w:r>
            <w:proofErr w:type="spellStart"/>
            <w:r w:rsidRPr="00BE3090">
              <w:rPr>
                <w:rFonts w:eastAsia="Times New Roman" w:cs="Times New Roman"/>
                <w:color w:val="000000"/>
                <w:sz w:val="22"/>
                <w:szCs w:val="22"/>
                <w:lang w:eastAsia="lv-LV"/>
              </w:rPr>
              <w:t>Remigrant</w:t>
            </w:r>
            <w:r w:rsidR="00B44EE0">
              <w:rPr>
                <w:rFonts w:eastAsia="Times New Roman" w:cs="Times New Roman"/>
                <w:color w:val="000000"/>
                <w:sz w:val="22"/>
                <w:szCs w:val="22"/>
                <w:lang w:eastAsia="lv-LV"/>
              </w:rPr>
              <w:t>i</w:t>
            </w:r>
            <w:proofErr w:type="spellEnd"/>
            <w:r w:rsidR="00B44EE0">
              <w:rPr>
                <w:rFonts w:eastAsia="Times New Roman" w:cs="Times New Roman"/>
                <w:color w:val="000000"/>
                <w:sz w:val="22"/>
                <w:szCs w:val="22"/>
                <w:lang w:eastAsia="lv-LV"/>
              </w:rPr>
              <w:t xml:space="preserve"> (</w:t>
            </w:r>
            <w:r w:rsidRPr="00BE3090">
              <w:rPr>
                <w:rFonts w:eastAsia="Times New Roman" w:cs="Times New Roman"/>
                <w:color w:val="000000"/>
                <w:sz w:val="22"/>
                <w:szCs w:val="22"/>
                <w:lang w:eastAsia="lv-LV"/>
              </w:rPr>
              <w:t>skaits</w:t>
            </w:r>
            <w:r w:rsidR="00B44EE0">
              <w:rPr>
                <w:rFonts w:eastAsia="Times New Roman" w:cs="Times New Roman"/>
                <w:color w:val="000000"/>
                <w:sz w:val="22"/>
                <w:szCs w:val="22"/>
                <w:lang w:eastAsia="lv-LV"/>
              </w:rPr>
              <w:t>)</w:t>
            </w:r>
          </w:p>
        </w:tc>
      </w:tr>
      <w:tr w:rsidR="00BE3090" w:rsidRPr="00BE3090" w14:paraId="467E1015" w14:textId="77777777" w:rsidTr="00FE79DB">
        <w:trPr>
          <w:trHeight w:val="1016"/>
        </w:trPr>
        <w:tc>
          <w:tcPr>
            <w:tcW w:w="1184" w:type="pct"/>
            <w:shd w:val="clear" w:color="000000" w:fill="A9D18E"/>
            <w:vAlign w:val="center"/>
            <w:hideMark/>
          </w:tcPr>
          <w:p w14:paraId="3F3BDB8F" w14:textId="77777777" w:rsidR="00BE3090" w:rsidRPr="00BE3090" w:rsidRDefault="00BE3090" w:rsidP="00BE3090">
            <w:pPr>
              <w:jc w:val="center"/>
              <w:rPr>
                <w:rFonts w:eastAsia="Times New Roman" w:cs="Times New Roman"/>
                <w:b/>
                <w:bCs/>
                <w:color w:val="000000"/>
                <w:sz w:val="22"/>
                <w:szCs w:val="22"/>
                <w:lang w:eastAsia="lv-LV"/>
              </w:rPr>
            </w:pPr>
            <w:r w:rsidRPr="00BE3090">
              <w:rPr>
                <w:rFonts w:eastAsia="Times New Roman" w:cs="Times New Roman"/>
                <w:b/>
                <w:bCs/>
                <w:color w:val="000000"/>
                <w:sz w:val="22"/>
                <w:szCs w:val="22"/>
                <w:lang w:eastAsia="lv-LV"/>
              </w:rPr>
              <w:t>Iemaksu starptautiskajās organizācijās nodrošināšana</w:t>
            </w:r>
          </w:p>
        </w:tc>
        <w:tc>
          <w:tcPr>
            <w:tcW w:w="3816" w:type="pct"/>
            <w:shd w:val="clear" w:color="000000" w:fill="EBF1E9"/>
            <w:vAlign w:val="center"/>
            <w:hideMark/>
          </w:tcPr>
          <w:p w14:paraId="7662C720" w14:textId="0AE2DFE0" w:rsidR="00BE3090" w:rsidRPr="0056451E" w:rsidRDefault="00610254" w:rsidP="00BE3090">
            <w:pPr>
              <w:jc w:val="center"/>
              <w:rPr>
                <w:rFonts w:eastAsia="Times New Roman" w:cs="Times New Roman"/>
                <w:i/>
                <w:iCs/>
                <w:color w:val="000000"/>
                <w:sz w:val="22"/>
                <w:szCs w:val="22"/>
                <w:lang w:eastAsia="lv-LV"/>
              </w:rPr>
            </w:pPr>
            <w:r w:rsidRPr="0056451E">
              <w:rPr>
                <w:rFonts w:eastAsia="Times New Roman" w:cs="Times New Roman"/>
                <w:i/>
                <w:iCs/>
                <w:sz w:val="22"/>
                <w:szCs w:val="22"/>
                <w:lang w:eastAsia="lv-LV"/>
              </w:rPr>
              <w:t>ĀM ir jārod risinājums politikas rezultatīvajiem rādītājiem, kas nodrošinātu iespēju novērtēt tādu būtisku izdevumu pozīciju kā Diplomātiskās misijas ārvalstīs un Iemaksas starptautiskajās organizācijās snieguma rezultātus kvantitatīvi, kvalitatīvi un dinamikā</w:t>
            </w:r>
          </w:p>
        </w:tc>
      </w:tr>
    </w:tbl>
    <w:p w14:paraId="3A5734B1" w14:textId="6DD3D4D3" w:rsidR="00E310DB" w:rsidRPr="004C7170" w:rsidRDefault="00E310DB" w:rsidP="0056451E">
      <w:pPr>
        <w:spacing w:after="120"/>
        <w:jc w:val="center"/>
        <w:rPr>
          <w:b/>
        </w:rPr>
      </w:pPr>
    </w:p>
    <w:p w14:paraId="72988F38" w14:textId="285FAB0C" w:rsidR="00FE79DB" w:rsidRPr="00FE79DB" w:rsidRDefault="00FE79DB" w:rsidP="00FE79DB">
      <w:pPr>
        <w:spacing w:after="120"/>
        <w:rPr>
          <w:bCs/>
        </w:rPr>
      </w:pPr>
      <w:r w:rsidRPr="00FE79DB">
        <w:rPr>
          <w:bCs/>
        </w:rPr>
        <w:t>Ekonomikas ministrija</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2121"/>
        <w:gridCol w:w="6942"/>
      </w:tblGrid>
      <w:tr w:rsidR="00FE79DB" w:rsidRPr="00FE79DB" w14:paraId="6203BEBE" w14:textId="77777777" w:rsidTr="005B592B">
        <w:trPr>
          <w:trHeight w:val="126"/>
          <w:tblHeader/>
        </w:trPr>
        <w:tc>
          <w:tcPr>
            <w:tcW w:w="1170" w:type="pct"/>
            <w:shd w:val="clear" w:color="000000" w:fill="A9D08E"/>
            <w:noWrap/>
            <w:vAlign w:val="bottom"/>
            <w:hideMark/>
          </w:tcPr>
          <w:p w14:paraId="7D7EC182" w14:textId="77777777" w:rsidR="00FE79DB" w:rsidRPr="00FE79DB" w:rsidRDefault="00FE79DB" w:rsidP="00FE79DB">
            <w:pPr>
              <w:jc w:val="center"/>
              <w:rPr>
                <w:rFonts w:eastAsia="Times New Roman" w:cs="Times New Roman"/>
                <w:b/>
                <w:bCs/>
                <w:color w:val="000000"/>
                <w:sz w:val="22"/>
                <w:szCs w:val="22"/>
                <w:lang w:eastAsia="lv-LV"/>
              </w:rPr>
            </w:pPr>
            <w:r w:rsidRPr="00FE79DB">
              <w:rPr>
                <w:rFonts w:eastAsia="Times New Roman" w:cs="Times New Roman"/>
                <w:b/>
                <w:bCs/>
                <w:color w:val="000000"/>
                <w:sz w:val="22"/>
                <w:szCs w:val="22"/>
                <w:lang w:eastAsia="lv-LV"/>
              </w:rPr>
              <w:t xml:space="preserve">Joma </w:t>
            </w:r>
          </w:p>
        </w:tc>
        <w:tc>
          <w:tcPr>
            <w:tcW w:w="3830" w:type="pct"/>
            <w:shd w:val="clear" w:color="000000" w:fill="A9D08E"/>
            <w:noWrap/>
            <w:vAlign w:val="bottom"/>
            <w:hideMark/>
          </w:tcPr>
          <w:p w14:paraId="02D289F9" w14:textId="77777777" w:rsidR="00FE79DB" w:rsidRPr="00FE79DB" w:rsidRDefault="00FE79DB" w:rsidP="00FE79DB">
            <w:pPr>
              <w:jc w:val="center"/>
              <w:rPr>
                <w:rFonts w:eastAsia="Times New Roman" w:cs="Times New Roman"/>
                <w:b/>
                <w:bCs/>
                <w:color w:val="000000"/>
                <w:sz w:val="22"/>
                <w:szCs w:val="22"/>
                <w:lang w:eastAsia="lv-LV"/>
              </w:rPr>
            </w:pPr>
            <w:r w:rsidRPr="00FE79DB">
              <w:rPr>
                <w:rFonts w:eastAsia="Times New Roman" w:cs="Times New Roman"/>
                <w:b/>
                <w:bCs/>
                <w:color w:val="000000"/>
                <w:sz w:val="22"/>
                <w:szCs w:val="22"/>
                <w:lang w:eastAsia="lv-LV"/>
              </w:rPr>
              <w:t>Politikas rezultatīvie rādītāji</w:t>
            </w:r>
          </w:p>
        </w:tc>
      </w:tr>
      <w:tr w:rsidR="00FE79DB" w:rsidRPr="00FE79DB" w14:paraId="491FBCFD" w14:textId="77777777" w:rsidTr="005B592B">
        <w:trPr>
          <w:trHeight w:val="130"/>
        </w:trPr>
        <w:tc>
          <w:tcPr>
            <w:tcW w:w="1170" w:type="pct"/>
            <w:vMerge w:val="restart"/>
            <w:shd w:val="clear" w:color="000000" w:fill="A9D18E"/>
            <w:vAlign w:val="center"/>
            <w:hideMark/>
          </w:tcPr>
          <w:p w14:paraId="44B95C16" w14:textId="77777777" w:rsidR="00FE79DB" w:rsidRPr="00FE79DB" w:rsidRDefault="00FE79DB" w:rsidP="00FE79DB">
            <w:pPr>
              <w:jc w:val="center"/>
              <w:rPr>
                <w:rFonts w:eastAsia="Times New Roman" w:cs="Times New Roman"/>
                <w:b/>
                <w:bCs/>
                <w:color w:val="000000"/>
                <w:sz w:val="22"/>
                <w:szCs w:val="22"/>
                <w:lang w:eastAsia="lv-LV"/>
              </w:rPr>
            </w:pPr>
            <w:r w:rsidRPr="00FE79DB">
              <w:rPr>
                <w:rFonts w:eastAsia="Times New Roman" w:cs="Times New Roman"/>
                <w:b/>
                <w:bCs/>
                <w:color w:val="000000"/>
                <w:sz w:val="22"/>
                <w:szCs w:val="22"/>
                <w:lang w:eastAsia="lv-LV"/>
              </w:rPr>
              <w:t>Nozaru vadība un politikas plānošana</w:t>
            </w:r>
          </w:p>
        </w:tc>
        <w:tc>
          <w:tcPr>
            <w:tcW w:w="3830" w:type="pct"/>
            <w:shd w:val="clear" w:color="000000" w:fill="EBF1E9"/>
            <w:vAlign w:val="center"/>
            <w:hideMark/>
          </w:tcPr>
          <w:p w14:paraId="160E9967" w14:textId="1EBE3D55"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 xml:space="preserve">Bruto pamatkapitāla veidošana </w:t>
            </w:r>
            <w:r w:rsidR="00B44EE0">
              <w:rPr>
                <w:rFonts w:eastAsia="Times New Roman" w:cs="Times New Roman"/>
                <w:color w:val="000000"/>
                <w:sz w:val="22"/>
                <w:szCs w:val="22"/>
                <w:lang w:eastAsia="lv-LV"/>
              </w:rPr>
              <w:t>(</w:t>
            </w:r>
            <w:r w:rsidRPr="00FE79DB">
              <w:rPr>
                <w:rFonts w:eastAsia="Times New Roman" w:cs="Times New Roman"/>
                <w:color w:val="000000"/>
                <w:sz w:val="22"/>
                <w:szCs w:val="22"/>
                <w:lang w:eastAsia="lv-LV"/>
              </w:rPr>
              <w:t>% no IKP</w:t>
            </w:r>
            <w:r w:rsidR="00B44EE0">
              <w:rPr>
                <w:rFonts w:eastAsia="Times New Roman" w:cs="Times New Roman"/>
                <w:color w:val="000000"/>
                <w:sz w:val="22"/>
                <w:szCs w:val="22"/>
                <w:lang w:eastAsia="lv-LV"/>
              </w:rPr>
              <w:t>)</w:t>
            </w:r>
          </w:p>
        </w:tc>
      </w:tr>
      <w:tr w:rsidR="00FE79DB" w:rsidRPr="00FE79DB" w14:paraId="397B08DD" w14:textId="77777777" w:rsidTr="00B44EE0">
        <w:trPr>
          <w:trHeight w:val="182"/>
        </w:trPr>
        <w:tc>
          <w:tcPr>
            <w:tcW w:w="1170" w:type="pct"/>
            <w:vMerge/>
            <w:vAlign w:val="center"/>
            <w:hideMark/>
          </w:tcPr>
          <w:p w14:paraId="61A21511" w14:textId="77777777" w:rsidR="00FE79DB" w:rsidRPr="00FE79DB" w:rsidRDefault="00FE79DB" w:rsidP="00FE79DB">
            <w:pPr>
              <w:rPr>
                <w:rFonts w:eastAsia="Times New Roman" w:cs="Times New Roman"/>
                <w:b/>
                <w:bCs/>
                <w:color w:val="000000"/>
                <w:sz w:val="22"/>
                <w:szCs w:val="22"/>
                <w:lang w:eastAsia="lv-LV"/>
              </w:rPr>
            </w:pPr>
          </w:p>
        </w:tc>
        <w:tc>
          <w:tcPr>
            <w:tcW w:w="3830" w:type="pct"/>
            <w:shd w:val="clear" w:color="000000" w:fill="EBF1E9"/>
            <w:vAlign w:val="center"/>
            <w:hideMark/>
          </w:tcPr>
          <w:p w14:paraId="220F213E" w14:textId="7814BA57"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Nominālais darba ražīgums uz vienu darba stundu</w:t>
            </w:r>
            <w:r w:rsidR="00B44EE0" w:rsidRPr="00FE79DB">
              <w:rPr>
                <w:rFonts w:eastAsia="Times New Roman" w:cs="Times New Roman"/>
                <w:color w:val="000000"/>
                <w:sz w:val="22"/>
                <w:szCs w:val="22"/>
                <w:lang w:eastAsia="lv-LV"/>
              </w:rPr>
              <w:t xml:space="preserve"> no ES27 vid.</w:t>
            </w:r>
            <w:r w:rsidRPr="00FE79DB">
              <w:rPr>
                <w:rFonts w:eastAsia="Times New Roman" w:cs="Times New Roman"/>
                <w:color w:val="000000"/>
                <w:sz w:val="22"/>
                <w:szCs w:val="22"/>
                <w:lang w:eastAsia="lv-LV"/>
              </w:rPr>
              <w:t xml:space="preserve"> </w:t>
            </w:r>
            <w:r w:rsidR="00B44EE0">
              <w:rPr>
                <w:rFonts w:eastAsia="Times New Roman" w:cs="Times New Roman"/>
                <w:color w:val="000000"/>
                <w:sz w:val="22"/>
                <w:szCs w:val="22"/>
                <w:lang w:eastAsia="lv-LV"/>
              </w:rPr>
              <w:t>(</w:t>
            </w:r>
            <w:r w:rsidRPr="00FE79DB">
              <w:rPr>
                <w:rFonts w:eastAsia="Times New Roman" w:cs="Times New Roman"/>
                <w:color w:val="000000"/>
                <w:sz w:val="22"/>
                <w:szCs w:val="22"/>
                <w:lang w:eastAsia="lv-LV"/>
              </w:rPr>
              <w:t>%</w:t>
            </w:r>
            <w:r w:rsidR="00B44EE0">
              <w:rPr>
                <w:rFonts w:eastAsia="Times New Roman" w:cs="Times New Roman"/>
                <w:color w:val="000000"/>
                <w:sz w:val="22"/>
                <w:szCs w:val="22"/>
                <w:lang w:eastAsia="lv-LV"/>
              </w:rPr>
              <w:t>)</w:t>
            </w:r>
          </w:p>
        </w:tc>
      </w:tr>
      <w:tr w:rsidR="00FE79DB" w:rsidRPr="00FE79DB" w14:paraId="4CD2181D" w14:textId="77777777" w:rsidTr="005B592B">
        <w:trPr>
          <w:trHeight w:val="252"/>
        </w:trPr>
        <w:tc>
          <w:tcPr>
            <w:tcW w:w="1170" w:type="pct"/>
            <w:vMerge/>
            <w:vAlign w:val="center"/>
            <w:hideMark/>
          </w:tcPr>
          <w:p w14:paraId="400FC8BF" w14:textId="77777777" w:rsidR="00FE79DB" w:rsidRPr="00FE79DB" w:rsidRDefault="00FE79DB" w:rsidP="00FE79DB">
            <w:pPr>
              <w:rPr>
                <w:rFonts w:eastAsia="Times New Roman" w:cs="Times New Roman"/>
                <w:b/>
                <w:bCs/>
                <w:color w:val="000000"/>
                <w:sz w:val="22"/>
                <w:szCs w:val="22"/>
                <w:lang w:eastAsia="lv-LV"/>
              </w:rPr>
            </w:pPr>
          </w:p>
        </w:tc>
        <w:tc>
          <w:tcPr>
            <w:tcW w:w="3830" w:type="pct"/>
            <w:shd w:val="clear" w:color="000000" w:fill="EBF1E9"/>
            <w:vAlign w:val="center"/>
            <w:hideMark/>
          </w:tcPr>
          <w:p w14:paraId="389525A6" w14:textId="0CF9DE56"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Eksporta vienības vērtība (SITC 5–8), 5 gadu slīdošais vidēj</w:t>
            </w:r>
            <w:bookmarkStart w:id="0" w:name="_GoBack"/>
            <w:bookmarkEnd w:id="0"/>
            <w:r w:rsidRPr="00FE79DB">
              <w:rPr>
                <w:rFonts w:eastAsia="Times New Roman" w:cs="Times New Roman"/>
                <w:color w:val="000000"/>
                <w:sz w:val="22"/>
                <w:szCs w:val="22"/>
                <w:lang w:eastAsia="lv-LV"/>
              </w:rPr>
              <w:t>ais pieauguma temps</w:t>
            </w:r>
            <w:r w:rsidR="00B44EE0">
              <w:rPr>
                <w:rFonts w:eastAsia="Times New Roman" w:cs="Times New Roman"/>
                <w:color w:val="000000"/>
                <w:sz w:val="22"/>
                <w:szCs w:val="22"/>
                <w:lang w:eastAsia="lv-LV"/>
              </w:rPr>
              <w:t xml:space="preserve"> (</w:t>
            </w:r>
            <w:r w:rsidRPr="00FE79DB">
              <w:rPr>
                <w:rFonts w:eastAsia="Times New Roman" w:cs="Times New Roman"/>
                <w:color w:val="000000"/>
                <w:sz w:val="22"/>
                <w:szCs w:val="22"/>
                <w:lang w:eastAsia="lv-LV"/>
              </w:rPr>
              <w:t>%</w:t>
            </w:r>
            <w:r w:rsidR="00B44EE0">
              <w:rPr>
                <w:rFonts w:eastAsia="Times New Roman" w:cs="Times New Roman"/>
                <w:color w:val="000000"/>
                <w:sz w:val="22"/>
                <w:szCs w:val="22"/>
                <w:lang w:eastAsia="lv-LV"/>
              </w:rPr>
              <w:t>)</w:t>
            </w:r>
          </w:p>
        </w:tc>
      </w:tr>
      <w:tr w:rsidR="00FE79DB" w:rsidRPr="00FE79DB" w14:paraId="0DC467D3" w14:textId="77777777" w:rsidTr="00B44EE0">
        <w:trPr>
          <w:trHeight w:val="81"/>
        </w:trPr>
        <w:tc>
          <w:tcPr>
            <w:tcW w:w="1170" w:type="pct"/>
            <w:vMerge/>
            <w:vAlign w:val="center"/>
            <w:hideMark/>
          </w:tcPr>
          <w:p w14:paraId="32F3DCF7" w14:textId="77777777" w:rsidR="00FE79DB" w:rsidRPr="00FE79DB" w:rsidRDefault="00FE79DB" w:rsidP="00FE79DB">
            <w:pPr>
              <w:rPr>
                <w:rFonts w:eastAsia="Times New Roman" w:cs="Times New Roman"/>
                <w:b/>
                <w:bCs/>
                <w:color w:val="000000"/>
                <w:sz w:val="22"/>
                <w:szCs w:val="22"/>
                <w:lang w:eastAsia="lv-LV"/>
              </w:rPr>
            </w:pPr>
          </w:p>
        </w:tc>
        <w:tc>
          <w:tcPr>
            <w:tcW w:w="3830" w:type="pct"/>
            <w:shd w:val="clear" w:color="000000" w:fill="EBF1E9"/>
            <w:vAlign w:val="center"/>
            <w:hideMark/>
          </w:tcPr>
          <w:p w14:paraId="5070ADB2" w14:textId="7DFF7754"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 xml:space="preserve">Finansējuma īpatsvars pētniecībai un attīstībai </w:t>
            </w:r>
            <w:r w:rsidR="00B44EE0">
              <w:rPr>
                <w:rFonts w:eastAsia="Times New Roman" w:cs="Times New Roman"/>
                <w:color w:val="000000"/>
                <w:sz w:val="22"/>
                <w:szCs w:val="22"/>
                <w:lang w:eastAsia="lv-LV"/>
              </w:rPr>
              <w:t>(</w:t>
            </w:r>
            <w:r w:rsidRPr="00FE79DB">
              <w:rPr>
                <w:rFonts w:eastAsia="Times New Roman" w:cs="Times New Roman"/>
                <w:color w:val="000000"/>
                <w:sz w:val="22"/>
                <w:szCs w:val="22"/>
                <w:lang w:eastAsia="lv-LV"/>
              </w:rPr>
              <w:t>% no IKP</w:t>
            </w:r>
            <w:r w:rsidR="00B44EE0">
              <w:rPr>
                <w:rFonts w:eastAsia="Times New Roman" w:cs="Times New Roman"/>
                <w:color w:val="000000"/>
                <w:sz w:val="22"/>
                <w:szCs w:val="22"/>
                <w:lang w:eastAsia="lv-LV"/>
              </w:rPr>
              <w:t>)</w:t>
            </w:r>
          </w:p>
        </w:tc>
      </w:tr>
      <w:tr w:rsidR="00FE79DB" w:rsidRPr="00FE79DB" w14:paraId="3709A7A1" w14:textId="77777777" w:rsidTr="005B592B">
        <w:trPr>
          <w:trHeight w:val="55"/>
        </w:trPr>
        <w:tc>
          <w:tcPr>
            <w:tcW w:w="1170" w:type="pct"/>
            <w:vMerge/>
            <w:vAlign w:val="center"/>
            <w:hideMark/>
          </w:tcPr>
          <w:p w14:paraId="42CFBB2E" w14:textId="77777777" w:rsidR="00FE79DB" w:rsidRPr="00FE79DB" w:rsidRDefault="00FE79DB" w:rsidP="00FE79DB">
            <w:pPr>
              <w:rPr>
                <w:rFonts w:eastAsia="Times New Roman" w:cs="Times New Roman"/>
                <w:b/>
                <w:bCs/>
                <w:color w:val="000000"/>
                <w:sz w:val="22"/>
                <w:szCs w:val="22"/>
                <w:lang w:eastAsia="lv-LV"/>
              </w:rPr>
            </w:pPr>
          </w:p>
        </w:tc>
        <w:tc>
          <w:tcPr>
            <w:tcW w:w="3830" w:type="pct"/>
            <w:shd w:val="clear" w:color="000000" w:fill="EBF1E9"/>
            <w:vAlign w:val="center"/>
            <w:hideMark/>
          </w:tcPr>
          <w:p w14:paraId="364CB006" w14:textId="5780AAB0"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 xml:space="preserve">Zināšanu un tehnoloģiju izlaide – Globālais inovācijas indekss </w:t>
            </w:r>
            <w:r w:rsidR="00B44EE0">
              <w:rPr>
                <w:rFonts w:eastAsia="Times New Roman" w:cs="Times New Roman"/>
                <w:color w:val="000000"/>
                <w:sz w:val="22"/>
                <w:szCs w:val="22"/>
                <w:lang w:eastAsia="lv-LV"/>
              </w:rPr>
              <w:t>(</w:t>
            </w:r>
            <w:r w:rsidRPr="00FE79DB">
              <w:rPr>
                <w:rFonts w:eastAsia="Times New Roman" w:cs="Times New Roman"/>
                <w:color w:val="000000"/>
                <w:sz w:val="22"/>
                <w:szCs w:val="22"/>
                <w:lang w:eastAsia="lv-LV"/>
              </w:rPr>
              <w:t>vieta</w:t>
            </w:r>
            <w:r w:rsidR="00B44EE0">
              <w:rPr>
                <w:rFonts w:eastAsia="Times New Roman" w:cs="Times New Roman"/>
                <w:color w:val="000000"/>
                <w:sz w:val="22"/>
                <w:szCs w:val="22"/>
                <w:lang w:eastAsia="lv-LV"/>
              </w:rPr>
              <w:t>)</w:t>
            </w:r>
          </w:p>
        </w:tc>
      </w:tr>
      <w:tr w:rsidR="00FE79DB" w:rsidRPr="00FE79DB" w14:paraId="599D7CFD" w14:textId="77777777" w:rsidTr="005B592B">
        <w:trPr>
          <w:trHeight w:val="254"/>
        </w:trPr>
        <w:tc>
          <w:tcPr>
            <w:tcW w:w="1170" w:type="pct"/>
            <w:vMerge w:val="restart"/>
            <w:shd w:val="clear" w:color="000000" w:fill="A9D18E"/>
            <w:vAlign w:val="center"/>
            <w:hideMark/>
          </w:tcPr>
          <w:p w14:paraId="08708FFA" w14:textId="77777777" w:rsidR="00FE79DB" w:rsidRPr="00FE79DB" w:rsidRDefault="00FE79DB" w:rsidP="00FE79DB">
            <w:pPr>
              <w:jc w:val="center"/>
              <w:rPr>
                <w:rFonts w:eastAsia="Times New Roman" w:cs="Times New Roman"/>
                <w:b/>
                <w:bCs/>
                <w:color w:val="000000"/>
                <w:sz w:val="22"/>
                <w:szCs w:val="22"/>
                <w:lang w:eastAsia="lv-LV"/>
              </w:rPr>
            </w:pPr>
            <w:r w:rsidRPr="00FE79DB">
              <w:rPr>
                <w:rFonts w:eastAsia="Times New Roman" w:cs="Times New Roman"/>
                <w:b/>
                <w:bCs/>
                <w:color w:val="000000"/>
                <w:sz w:val="22"/>
                <w:szCs w:val="22"/>
                <w:lang w:eastAsia="lv-LV"/>
              </w:rPr>
              <w:t>Uzņēmējdarbības konkurētspējas atbalsts</w:t>
            </w:r>
          </w:p>
        </w:tc>
        <w:tc>
          <w:tcPr>
            <w:tcW w:w="3830" w:type="pct"/>
            <w:shd w:val="clear" w:color="000000" w:fill="EBF1E9"/>
            <w:vAlign w:val="center"/>
            <w:hideMark/>
          </w:tcPr>
          <w:p w14:paraId="61501E0B" w14:textId="6FF1A883"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Uzņēmējdarbības izsmalcinātība – Globālais inovācijas indekss</w:t>
            </w:r>
            <w:r w:rsidR="00B44EE0">
              <w:rPr>
                <w:rFonts w:eastAsia="Times New Roman" w:cs="Times New Roman"/>
                <w:color w:val="000000"/>
                <w:sz w:val="22"/>
                <w:szCs w:val="22"/>
                <w:lang w:eastAsia="lv-LV"/>
              </w:rPr>
              <w:t xml:space="preserve"> (</w:t>
            </w:r>
            <w:r w:rsidRPr="00FE79DB">
              <w:rPr>
                <w:rFonts w:eastAsia="Times New Roman" w:cs="Times New Roman"/>
                <w:color w:val="000000"/>
                <w:sz w:val="22"/>
                <w:szCs w:val="22"/>
                <w:lang w:eastAsia="lv-LV"/>
              </w:rPr>
              <w:t>vieta</w:t>
            </w:r>
            <w:r w:rsidR="00B44EE0">
              <w:rPr>
                <w:rFonts w:eastAsia="Times New Roman" w:cs="Times New Roman"/>
                <w:color w:val="000000"/>
                <w:sz w:val="22"/>
                <w:szCs w:val="22"/>
                <w:lang w:eastAsia="lv-LV"/>
              </w:rPr>
              <w:t>)</w:t>
            </w:r>
          </w:p>
        </w:tc>
      </w:tr>
      <w:tr w:rsidR="00FE79DB" w:rsidRPr="00FE79DB" w14:paraId="004E3770" w14:textId="77777777" w:rsidTr="005B592B">
        <w:trPr>
          <w:trHeight w:val="257"/>
        </w:trPr>
        <w:tc>
          <w:tcPr>
            <w:tcW w:w="1170" w:type="pct"/>
            <w:vMerge/>
            <w:vAlign w:val="center"/>
            <w:hideMark/>
          </w:tcPr>
          <w:p w14:paraId="09D0CC75" w14:textId="77777777" w:rsidR="00FE79DB" w:rsidRPr="00FE79DB" w:rsidRDefault="00FE79DB" w:rsidP="00FE79DB">
            <w:pPr>
              <w:rPr>
                <w:rFonts w:eastAsia="Times New Roman" w:cs="Times New Roman"/>
                <w:b/>
                <w:bCs/>
                <w:color w:val="000000"/>
                <w:sz w:val="22"/>
                <w:szCs w:val="22"/>
                <w:lang w:eastAsia="lv-LV"/>
              </w:rPr>
            </w:pPr>
          </w:p>
        </w:tc>
        <w:tc>
          <w:tcPr>
            <w:tcW w:w="3830" w:type="pct"/>
            <w:shd w:val="clear" w:color="000000" w:fill="EBF1E9"/>
            <w:vAlign w:val="center"/>
            <w:hideMark/>
          </w:tcPr>
          <w:p w14:paraId="2A40501D" w14:textId="375BF0BA"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Augsto tehnoloģiju produktu eksporta īpatsvars kopējā eksportā</w:t>
            </w:r>
            <w:r w:rsidR="00B44EE0">
              <w:rPr>
                <w:rFonts w:eastAsia="Times New Roman" w:cs="Times New Roman"/>
                <w:color w:val="000000"/>
                <w:sz w:val="22"/>
                <w:szCs w:val="22"/>
                <w:lang w:eastAsia="lv-LV"/>
              </w:rPr>
              <w:t xml:space="preserve"> (</w:t>
            </w:r>
            <w:r w:rsidRPr="00FE79DB">
              <w:rPr>
                <w:rFonts w:eastAsia="Times New Roman" w:cs="Times New Roman"/>
                <w:color w:val="000000"/>
                <w:sz w:val="22"/>
                <w:szCs w:val="22"/>
                <w:lang w:eastAsia="lv-LV"/>
              </w:rPr>
              <w:t>%</w:t>
            </w:r>
            <w:r w:rsidR="00B44EE0">
              <w:rPr>
                <w:rFonts w:eastAsia="Times New Roman" w:cs="Times New Roman"/>
                <w:color w:val="000000"/>
                <w:sz w:val="22"/>
                <w:szCs w:val="22"/>
                <w:lang w:eastAsia="lv-LV"/>
              </w:rPr>
              <w:t>)</w:t>
            </w:r>
          </w:p>
        </w:tc>
      </w:tr>
      <w:tr w:rsidR="00FE79DB" w:rsidRPr="00FE79DB" w14:paraId="4F29D842" w14:textId="77777777" w:rsidTr="005B592B">
        <w:trPr>
          <w:trHeight w:val="545"/>
        </w:trPr>
        <w:tc>
          <w:tcPr>
            <w:tcW w:w="1170" w:type="pct"/>
            <w:vMerge/>
            <w:vAlign w:val="center"/>
            <w:hideMark/>
          </w:tcPr>
          <w:p w14:paraId="53B1816D" w14:textId="77777777" w:rsidR="00FE79DB" w:rsidRPr="00FE79DB" w:rsidRDefault="00FE79DB" w:rsidP="00FE79DB">
            <w:pPr>
              <w:rPr>
                <w:rFonts w:eastAsia="Times New Roman" w:cs="Times New Roman"/>
                <w:b/>
                <w:bCs/>
                <w:color w:val="000000"/>
                <w:sz w:val="22"/>
                <w:szCs w:val="22"/>
                <w:lang w:eastAsia="lv-LV"/>
              </w:rPr>
            </w:pPr>
          </w:p>
        </w:tc>
        <w:tc>
          <w:tcPr>
            <w:tcW w:w="3830" w:type="pct"/>
            <w:shd w:val="clear" w:color="000000" w:fill="EBF1E9"/>
            <w:vAlign w:val="center"/>
            <w:hideMark/>
          </w:tcPr>
          <w:p w14:paraId="5BBF2636" w14:textId="387B49EF"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 xml:space="preserve">Digitālo tehnoloģiju integrācija, vidējā svērtā vērtība no 4a – uzņēmējdarbības </w:t>
            </w:r>
            <w:proofErr w:type="spellStart"/>
            <w:r w:rsidRPr="00FE79DB">
              <w:rPr>
                <w:rFonts w:eastAsia="Times New Roman" w:cs="Times New Roman"/>
                <w:color w:val="000000"/>
                <w:sz w:val="22"/>
                <w:szCs w:val="22"/>
                <w:lang w:eastAsia="lv-LV"/>
              </w:rPr>
              <w:t>digitalizācija</w:t>
            </w:r>
            <w:proofErr w:type="spellEnd"/>
            <w:r w:rsidRPr="00FE79DB">
              <w:rPr>
                <w:rFonts w:eastAsia="Times New Roman" w:cs="Times New Roman"/>
                <w:color w:val="000000"/>
                <w:sz w:val="22"/>
                <w:szCs w:val="22"/>
                <w:lang w:eastAsia="lv-LV"/>
              </w:rPr>
              <w:t xml:space="preserve"> – (60%) un 4b – e-komercija (40%)</w:t>
            </w:r>
          </w:p>
        </w:tc>
      </w:tr>
      <w:tr w:rsidR="00FE79DB" w:rsidRPr="00FE79DB" w14:paraId="0CAC1401" w14:textId="77777777" w:rsidTr="005B592B">
        <w:trPr>
          <w:trHeight w:val="256"/>
        </w:trPr>
        <w:tc>
          <w:tcPr>
            <w:tcW w:w="1170" w:type="pct"/>
            <w:vMerge/>
            <w:vAlign w:val="center"/>
            <w:hideMark/>
          </w:tcPr>
          <w:p w14:paraId="135A325F" w14:textId="77777777" w:rsidR="00FE79DB" w:rsidRPr="00FE79DB" w:rsidRDefault="00FE79DB" w:rsidP="00FE79DB">
            <w:pPr>
              <w:rPr>
                <w:rFonts w:eastAsia="Times New Roman" w:cs="Times New Roman"/>
                <w:b/>
                <w:bCs/>
                <w:color w:val="000000"/>
                <w:sz w:val="22"/>
                <w:szCs w:val="22"/>
                <w:lang w:eastAsia="lv-LV"/>
              </w:rPr>
            </w:pPr>
          </w:p>
        </w:tc>
        <w:tc>
          <w:tcPr>
            <w:tcW w:w="3830" w:type="pct"/>
            <w:shd w:val="clear" w:color="000000" w:fill="EBF1E9"/>
            <w:vAlign w:val="center"/>
            <w:hideMark/>
          </w:tcPr>
          <w:p w14:paraId="064B2A8D" w14:textId="5A463BB8"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 xml:space="preserve">To uzņēmumu īpatsvars, kuri piedalās eksporta aktivitātēs (GVĶ pieblīvēšana) </w:t>
            </w:r>
            <w:r w:rsidR="00B44EE0">
              <w:rPr>
                <w:rFonts w:eastAsia="Times New Roman" w:cs="Times New Roman"/>
                <w:color w:val="000000"/>
                <w:sz w:val="22"/>
                <w:szCs w:val="22"/>
                <w:lang w:eastAsia="lv-LV"/>
              </w:rPr>
              <w:t>(</w:t>
            </w:r>
            <w:r w:rsidRPr="00FE79DB">
              <w:rPr>
                <w:rFonts w:eastAsia="Times New Roman" w:cs="Times New Roman"/>
                <w:color w:val="000000"/>
                <w:sz w:val="22"/>
                <w:szCs w:val="22"/>
                <w:lang w:eastAsia="lv-LV"/>
              </w:rPr>
              <w:t>%</w:t>
            </w:r>
            <w:r w:rsidR="00B44EE0">
              <w:rPr>
                <w:rFonts w:eastAsia="Times New Roman" w:cs="Times New Roman"/>
                <w:color w:val="000000"/>
                <w:sz w:val="22"/>
                <w:szCs w:val="22"/>
                <w:lang w:eastAsia="lv-LV"/>
              </w:rPr>
              <w:t>)</w:t>
            </w:r>
          </w:p>
        </w:tc>
      </w:tr>
      <w:tr w:rsidR="00FE79DB" w:rsidRPr="00FE79DB" w14:paraId="2A133DCC" w14:textId="77777777" w:rsidTr="005B592B">
        <w:trPr>
          <w:trHeight w:val="55"/>
        </w:trPr>
        <w:tc>
          <w:tcPr>
            <w:tcW w:w="1170" w:type="pct"/>
            <w:vMerge/>
            <w:vAlign w:val="center"/>
            <w:hideMark/>
          </w:tcPr>
          <w:p w14:paraId="4088275B" w14:textId="77777777" w:rsidR="00FE79DB" w:rsidRPr="00FE79DB" w:rsidRDefault="00FE79DB" w:rsidP="00FE79DB">
            <w:pPr>
              <w:rPr>
                <w:rFonts w:eastAsia="Times New Roman" w:cs="Times New Roman"/>
                <w:b/>
                <w:bCs/>
                <w:color w:val="000000"/>
                <w:sz w:val="22"/>
                <w:szCs w:val="22"/>
                <w:lang w:eastAsia="lv-LV"/>
              </w:rPr>
            </w:pPr>
          </w:p>
        </w:tc>
        <w:tc>
          <w:tcPr>
            <w:tcW w:w="3830" w:type="pct"/>
            <w:shd w:val="clear" w:color="000000" w:fill="EBF1E9"/>
            <w:vAlign w:val="center"/>
            <w:hideMark/>
          </w:tcPr>
          <w:p w14:paraId="425AA25A" w14:textId="1198B515"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Tūrisma konkurētspējas indekss</w:t>
            </w:r>
            <w:r w:rsidR="00B44EE0">
              <w:rPr>
                <w:rFonts w:eastAsia="Times New Roman" w:cs="Times New Roman"/>
                <w:color w:val="000000"/>
                <w:sz w:val="22"/>
                <w:szCs w:val="22"/>
                <w:lang w:eastAsia="lv-LV"/>
              </w:rPr>
              <w:t xml:space="preserve"> (</w:t>
            </w:r>
            <w:r w:rsidRPr="00FE79DB">
              <w:rPr>
                <w:rFonts w:eastAsia="Times New Roman" w:cs="Times New Roman"/>
                <w:color w:val="000000"/>
                <w:sz w:val="22"/>
                <w:szCs w:val="22"/>
                <w:lang w:eastAsia="lv-LV"/>
              </w:rPr>
              <w:t>vieta</w:t>
            </w:r>
            <w:r w:rsidR="00B44EE0">
              <w:rPr>
                <w:rFonts w:eastAsia="Times New Roman" w:cs="Times New Roman"/>
                <w:color w:val="000000"/>
                <w:sz w:val="22"/>
                <w:szCs w:val="22"/>
                <w:lang w:eastAsia="lv-LV"/>
              </w:rPr>
              <w:t>)</w:t>
            </w:r>
          </w:p>
        </w:tc>
      </w:tr>
      <w:tr w:rsidR="00FE79DB" w:rsidRPr="00FE79DB" w14:paraId="5B26AA2A" w14:textId="77777777" w:rsidTr="005B592B">
        <w:trPr>
          <w:trHeight w:val="154"/>
        </w:trPr>
        <w:tc>
          <w:tcPr>
            <w:tcW w:w="1170" w:type="pct"/>
            <w:vMerge w:val="restart"/>
            <w:shd w:val="clear" w:color="000000" w:fill="A9D18E"/>
            <w:vAlign w:val="center"/>
            <w:hideMark/>
          </w:tcPr>
          <w:p w14:paraId="3F36928D" w14:textId="77777777" w:rsidR="00FE79DB" w:rsidRPr="00FE79DB" w:rsidRDefault="00FE79DB" w:rsidP="00FE79DB">
            <w:pPr>
              <w:jc w:val="center"/>
              <w:rPr>
                <w:rFonts w:eastAsia="Times New Roman" w:cs="Times New Roman"/>
                <w:b/>
                <w:bCs/>
                <w:color w:val="000000"/>
                <w:sz w:val="22"/>
                <w:szCs w:val="22"/>
                <w:lang w:eastAsia="lv-LV"/>
              </w:rPr>
            </w:pPr>
            <w:r w:rsidRPr="00FE79DB">
              <w:rPr>
                <w:rFonts w:eastAsia="Times New Roman" w:cs="Times New Roman"/>
                <w:b/>
                <w:bCs/>
                <w:color w:val="000000"/>
                <w:sz w:val="22"/>
                <w:szCs w:val="22"/>
                <w:lang w:eastAsia="lv-LV"/>
              </w:rPr>
              <w:t>Enerģētikas politikas īstenošana</w:t>
            </w:r>
          </w:p>
        </w:tc>
        <w:tc>
          <w:tcPr>
            <w:tcW w:w="3830" w:type="pct"/>
            <w:shd w:val="clear" w:color="000000" w:fill="EBF1E9"/>
            <w:vAlign w:val="center"/>
            <w:hideMark/>
          </w:tcPr>
          <w:p w14:paraId="2BA10417" w14:textId="0CE59708"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Kopējais primārās enerģijas patēriņš</w:t>
            </w:r>
            <w:r w:rsidR="00B44EE0">
              <w:rPr>
                <w:rFonts w:eastAsia="Times New Roman" w:cs="Times New Roman"/>
                <w:color w:val="000000"/>
                <w:sz w:val="22"/>
                <w:szCs w:val="22"/>
                <w:lang w:eastAsia="lv-LV"/>
              </w:rPr>
              <w:t xml:space="preserve"> (</w:t>
            </w:r>
            <w:r w:rsidRPr="00FE79DB">
              <w:rPr>
                <w:rFonts w:eastAsia="Times New Roman" w:cs="Times New Roman"/>
                <w:color w:val="000000"/>
                <w:sz w:val="22"/>
                <w:szCs w:val="22"/>
                <w:lang w:eastAsia="lv-LV"/>
              </w:rPr>
              <w:t>tūkst. TJ</w:t>
            </w:r>
            <w:r w:rsidR="00B44EE0">
              <w:rPr>
                <w:rFonts w:eastAsia="Times New Roman" w:cs="Times New Roman"/>
                <w:color w:val="000000"/>
                <w:sz w:val="22"/>
                <w:szCs w:val="22"/>
                <w:lang w:eastAsia="lv-LV"/>
              </w:rPr>
              <w:t>)</w:t>
            </w:r>
          </w:p>
        </w:tc>
      </w:tr>
      <w:tr w:rsidR="00FE79DB" w:rsidRPr="00FE79DB" w14:paraId="5BA7F109" w14:textId="77777777" w:rsidTr="005B592B">
        <w:trPr>
          <w:trHeight w:val="300"/>
        </w:trPr>
        <w:tc>
          <w:tcPr>
            <w:tcW w:w="1170" w:type="pct"/>
            <w:vMerge/>
            <w:vAlign w:val="center"/>
            <w:hideMark/>
          </w:tcPr>
          <w:p w14:paraId="755AF5DB" w14:textId="77777777" w:rsidR="00FE79DB" w:rsidRPr="00FE79DB" w:rsidRDefault="00FE79DB" w:rsidP="00FE79DB">
            <w:pPr>
              <w:rPr>
                <w:rFonts w:eastAsia="Times New Roman" w:cs="Times New Roman"/>
                <w:b/>
                <w:bCs/>
                <w:color w:val="000000"/>
                <w:sz w:val="22"/>
                <w:szCs w:val="22"/>
                <w:lang w:eastAsia="lv-LV"/>
              </w:rPr>
            </w:pPr>
          </w:p>
        </w:tc>
        <w:tc>
          <w:tcPr>
            <w:tcW w:w="3830" w:type="pct"/>
            <w:shd w:val="clear" w:color="000000" w:fill="EBF1E9"/>
            <w:vAlign w:val="center"/>
            <w:hideMark/>
          </w:tcPr>
          <w:p w14:paraId="3D96C247" w14:textId="38CE0840" w:rsidR="00FE79DB" w:rsidRPr="00FE79DB" w:rsidRDefault="00FE79DB" w:rsidP="00FE79DB">
            <w:pPr>
              <w:jc w:val="center"/>
              <w:rPr>
                <w:rFonts w:eastAsia="Times New Roman" w:cs="Times New Roman"/>
                <w:color w:val="000000"/>
                <w:sz w:val="22"/>
                <w:szCs w:val="22"/>
                <w:lang w:eastAsia="lv-LV"/>
              </w:rPr>
            </w:pPr>
            <w:proofErr w:type="spellStart"/>
            <w:r w:rsidRPr="00FE79DB">
              <w:rPr>
                <w:rFonts w:eastAsia="Times New Roman" w:cs="Times New Roman"/>
                <w:color w:val="000000"/>
                <w:sz w:val="22"/>
                <w:szCs w:val="22"/>
                <w:lang w:eastAsia="lv-LV"/>
              </w:rPr>
              <w:t>Energoatkarība</w:t>
            </w:r>
            <w:proofErr w:type="spellEnd"/>
            <w:r w:rsidRPr="00FE79DB">
              <w:rPr>
                <w:rFonts w:eastAsia="Times New Roman" w:cs="Times New Roman"/>
                <w:color w:val="000000"/>
                <w:sz w:val="22"/>
                <w:szCs w:val="22"/>
                <w:lang w:eastAsia="lv-LV"/>
              </w:rPr>
              <w:t>, importa īpatsvars bruto iekšzemes enerģijas patēriņā</w:t>
            </w:r>
            <w:r w:rsidR="00B44EE0">
              <w:rPr>
                <w:rFonts w:eastAsia="Times New Roman" w:cs="Times New Roman"/>
                <w:color w:val="000000"/>
                <w:sz w:val="22"/>
                <w:szCs w:val="22"/>
                <w:lang w:eastAsia="lv-LV"/>
              </w:rPr>
              <w:t xml:space="preserve">, </w:t>
            </w:r>
            <w:r w:rsidRPr="00FE79DB">
              <w:rPr>
                <w:rFonts w:eastAsia="Times New Roman" w:cs="Times New Roman"/>
                <w:color w:val="000000"/>
                <w:sz w:val="22"/>
                <w:szCs w:val="22"/>
                <w:lang w:eastAsia="lv-LV"/>
              </w:rPr>
              <w:t xml:space="preserve">t.sk. </w:t>
            </w:r>
            <w:proofErr w:type="spellStart"/>
            <w:r w:rsidRPr="00FE79DB">
              <w:rPr>
                <w:rFonts w:eastAsia="Times New Roman" w:cs="Times New Roman"/>
                <w:color w:val="000000"/>
                <w:sz w:val="22"/>
                <w:szCs w:val="22"/>
                <w:lang w:eastAsia="lv-LV"/>
              </w:rPr>
              <w:t>bunkurēšana</w:t>
            </w:r>
            <w:proofErr w:type="spellEnd"/>
            <w:r w:rsidR="00B44EE0">
              <w:rPr>
                <w:rFonts w:eastAsia="Times New Roman" w:cs="Times New Roman"/>
                <w:color w:val="000000"/>
                <w:sz w:val="22"/>
                <w:szCs w:val="22"/>
                <w:lang w:eastAsia="lv-LV"/>
              </w:rPr>
              <w:t xml:space="preserve"> (</w:t>
            </w:r>
            <w:r w:rsidRPr="00FE79DB">
              <w:rPr>
                <w:rFonts w:eastAsia="Times New Roman" w:cs="Times New Roman"/>
                <w:color w:val="000000"/>
                <w:sz w:val="22"/>
                <w:szCs w:val="22"/>
                <w:lang w:eastAsia="lv-LV"/>
              </w:rPr>
              <w:t>%</w:t>
            </w:r>
            <w:r w:rsidR="00B44EE0">
              <w:rPr>
                <w:rFonts w:eastAsia="Times New Roman" w:cs="Times New Roman"/>
                <w:color w:val="000000"/>
                <w:sz w:val="22"/>
                <w:szCs w:val="22"/>
                <w:lang w:eastAsia="lv-LV"/>
              </w:rPr>
              <w:t>)</w:t>
            </w:r>
          </w:p>
        </w:tc>
      </w:tr>
      <w:tr w:rsidR="00FE79DB" w:rsidRPr="00FE79DB" w14:paraId="6A360FEB" w14:textId="77777777" w:rsidTr="005B592B">
        <w:trPr>
          <w:trHeight w:val="55"/>
        </w:trPr>
        <w:tc>
          <w:tcPr>
            <w:tcW w:w="1170" w:type="pct"/>
            <w:vMerge/>
            <w:vAlign w:val="center"/>
            <w:hideMark/>
          </w:tcPr>
          <w:p w14:paraId="54D6DEE7" w14:textId="77777777" w:rsidR="00FE79DB" w:rsidRPr="00FE79DB" w:rsidRDefault="00FE79DB" w:rsidP="00FE79DB">
            <w:pPr>
              <w:rPr>
                <w:rFonts w:eastAsia="Times New Roman" w:cs="Times New Roman"/>
                <w:b/>
                <w:bCs/>
                <w:color w:val="000000"/>
                <w:sz w:val="22"/>
                <w:szCs w:val="22"/>
                <w:lang w:eastAsia="lv-LV"/>
              </w:rPr>
            </w:pPr>
          </w:p>
        </w:tc>
        <w:tc>
          <w:tcPr>
            <w:tcW w:w="3830" w:type="pct"/>
            <w:shd w:val="clear" w:color="000000" w:fill="EBF1E9"/>
            <w:vAlign w:val="center"/>
            <w:hideMark/>
          </w:tcPr>
          <w:p w14:paraId="52322EB1" w14:textId="1FDE069E"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 xml:space="preserve">No AER saražotās enerģijas īpatsvars kopējā enerģijas </w:t>
            </w:r>
            <w:proofErr w:type="spellStart"/>
            <w:r w:rsidRPr="00FE79DB">
              <w:rPr>
                <w:rFonts w:eastAsia="Times New Roman" w:cs="Times New Roman"/>
                <w:color w:val="000000"/>
                <w:sz w:val="22"/>
                <w:szCs w:val="22"/>
                <w:lang w:eastAsia="lv-LV"/>
              </w:rPr>
              <w:t>galapatēriņā</w:t>
            </w:r>
            <w:proofErr w:type="spellEnd"/>
            <w:r w:rsidRPr="00FE79DB">
              <w:rPr>
                <w:rFonts w:eastAsia="Times New Roman" w:cs="Times New Roman"/>
                <w:color w:val="000000"/>
                <w:sz w:val="22"/>
                <w:szCs w:val="22"/>
                <w:lang w:eastAsia="lv-LV"/>
              </w:rPr>
              <w:t xml:space="preserve"> </w:t>
            </w:r>
            <w:r w:rsidR="00B44EE0">
              <w:rPr>
                <w:rFonts w:eastAsia="Times New Roman" w:cs="Times New Roman"/>
                <w:color w:val="000000"/>
                <w:sz w:val="22"/>
                <w:szCs w:val="22"/>
                <w:lang w:eastAsia="lv-LV"/>
              </w:rPr>
              <w:t>(</w:t>
            </w:r>
            <w:r w:rsidRPr="00FE79DB">
              <w:rPr>
                <w:rFonts w:eastAsia="Times New Roman" w:cs="Times New Roman"/>
                <w:color w:val="000000"/>
                <w:sz w:val="22"/>
                <w:szCs w:val="22"/>
                <w:lang w:eastAsia="lv-LV"/>
              </w:rPr>
              <w:t>%</w:t>
            </w:r>
            <w:r w:rsidR="00B44EE0">
              <w:rPr>
                <w:rFonts w:eastAsia="Times New Roman" w:cs="Times New Roman"/>
                <w:color w:val="000000"/>
                <w:sz w:val="22"/>
                <w:szCs w:val="22"/>
                <w:lang w:eastAsia="lv-LV"/>
              </w:rPr>
              <w:t>)</w:t>
            </w:r>
          </w:p>
        </w:tc>
      </w:tr>
      <w:tr w:rsidR="00FE79DB" w:rsidRPr="00FE79DB" w14:paraId="0875C97A" w14:textId="77777777" w:rsidTr="005B592B">
        <w:trPr>
          <w:trHeight w:val="198"/>
        </w:trPr>
        <w:tc>
          <w:tcPr>
            <w:tcW w:w="1170" w:type="pct"/>
            <w:vMerge/>
            <w:vAlign w:val="center"/>
            <w:hideMark/>
          </w:tcPr>
          <w:p w14:paraId="370D9F7C" w14:textId="77777777" w:rsidR="00FE79DB" w:rsidRPr="00FE79DB" w:rsidRDefault="00FE79DB" w:rsidP="00FE79DB">
            <w:pPr>
              <w:rPr>
                <w:rFonts w:eastAsia="Times New Roman" w:cs="Times New Roman"/>
                <w:b/>
                <w:bCs/>
                <w:color w:val="000000"/>
                <w:sz w:val="22"/>
                <w:szCs w:val="22"/>
                <w:lang w:eastAsia="lv-LV"/>
              </w:rPr>
            </w:pPr>
          </w:p>
        </w:tc>
        <w:tc>
          <w:tcPr>
            <w:tcW w:w="3830" w:type="pct"/>
            <w:shd w:val="clear" w:color="000000" w:fill="EBF1E9"/>
            <w:vAlign w:val="center"/>
            <w:hideMark/>
          </w:tcPr>
          <w:p w14:paraId="20AC2E37" w14:textId="470FBCED"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 xml:space="preserve">Uzkrātais (kumulatīvais) gala enerģijas ietaupījumu apjoms </w:t>
            </w:r>
            <w:proofErr w:type="spellStart"/>
            <w:r w:rsidRPr="00FE79DB">
              <w:rPr>
                <w:rFonts w:eastAsia="Times New Roman" w:cs="Times New Roman"/>
                <w:color w:val="000000"/>
                <w:sz w:val="22"/>
                <w:szCs w:val="22"/>
                <w:lang w:eastAsia="lv-LV"/>
              </w:rPr>
              <w:t>galapatēriņā</w:t>
            </w:r>
            <w:proofErr w:type="spellEnd"/>
            <w:r w:rsidRPr="00FE79DB">
              <w:rPr>
                <w:rFonts w:eastAsia="Times New Roman" w:cs="Times New Roman"/>
                <w:color w:val="000000"/>
                <w:sz w:val="22"/>
                <w:szCs w:val="22"/>
                <w:lang w:eastAsia="lv-LV"/>
              </w:rPr>
              <w:t xml:space="preserve">, </w:t>
            </w:r>
            <w:r w:rsidR="00B44EE0">
              <w:rPr>
                <w:rFonts w:eastAsia="Times New Roman" w:cs="Times New Roman"/>
                <w:color w:val="000000"/>
                <w:sz w:val="22"/>
                <w:szCs w:val="22"/>
                <w:lang w:eastAsia="lv-LV"/>
              </w:rPr>
              <w:t>(</w:t>
            </w:r>
            <w:proofErr w:type="spellStart"/>
            <w:r w:rsidRPr="00FE79DB">
              <w:rPr>
                <w:rFonts w:eastAsia="Times New Roman" w:cs="Times New Roman"/>
                <w:color w:val="000000"/>
                <w:sz w:val="22"/>
                <w:szCs w:val="22"/>
                <w:lang w:eastAsia="lv-LV"/>
              </w:rPr>
              <w:t>GWh</w:t>
            </w:r>
            <w:proofErr w:type="spellEnd"/>
            <w:r w:rsidR="00B44EE0">
              <w:rPr>
                <w:rFonts w:eastAsia="Times New Roman" w:cs="Times New Roman"/>
                <w:color w:val="000000"/>
                <w:sz w:val="22"/>
                <w:szCs w:val="22"/>
                <w:lang w:eastAsia="lv-LV"/>
              </w:rPr>
              <w:t>)</w:t>
            </w:r>
          </w:p>
        </w:tc>
      </w:tr>
      <w:tr w:rsidR="00FE79DB" w:rsidRPr="00FE79DB" w14:paraId="461224F1" w14:textId="77777777" w:rsidTr="005B592B">
        <w:trPr>
          <w:trHeight w:val="92"/>
        </w:trPr>
        <w:tc>
          <w:tcPr>
            <w:tcW w:w="1170" w:type="pct"/>
            <w:vMerge/>
            <w:vAlign w:val="center"/>
            <w:hideMark/>
          </w:tcPr>
          <w:p w14:paraId="29BF0A77" w14:textId="77777777" w:rsidR="00FE79DB" w:rsidRPr="00FE79DB" w:rsidRDefault="00FE79DB" w:rsidP="00FE79DB">
            <w:pPr>
              <w:rPr>
                <w:rFonts w:eastAsia="Times New Roman" w:cs="Times New Roman"/>
                <w:b/>
                <w:bCs/>
                <w:color w:val="000000"/>
                <w:sz w:val="22"/>
                <w:szCs w:val="22"/>
                <w:lang w:eastAsia="lv-LV"/>
              </w:rPr>
            </w:pPr>
          </w:p>
        </w:tc>
        <w:tc>
          <w:tcPr>
            <w:tcW w:w="3830" w:type="pct"/>
            <w:shd w:val="clear" w:color="000000" w:fill="EBF1E9"/>
            <w:vAlign w:val="center"/>
            <w:hideMark/>
          </w:tcPr>
          <w:p w14:paraId="2101331A" w14:textId="6A18777C"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 xml:space="preserve">Enerģijas </w:t>
            </w:r>
            <w:proofErr w:type="spellStart"/>
            <w:r w:rsidRPr="00FE79DB">
              <w:rPr>
                <w:rFonts w:eastAsia="Times New Roman" w:cs="Times New Roman"/>
                <w:color w:val="000000"/>
                <w:sz w:val="22"/>
                <w:szCs w:val="22"/>
                <w:lang w:eastAsia="lv-LV"/>
              </w:rPr>
              <w:t>trilemmas</w:t>
            </w:r>
            <w:proofErr w:type="spellEnd"/>
            <w:r w:rsidRPr="00FE79DB">
              <w:rPr>
                <w:rFonts w:eastAsia="Times New Roman" w:cs="Times New Roman"/>
                <w:color w:val="000000"/>
                <w:sz w:val="22"/>
                <w:szCs w:val="22"/>
                <w:lang w:eastAsia="lv-LV"/>
              </w:rPr>
              <w:t xml:space="preserve"> indekss</w:t>
            </w:r>
            <w:r w:rsidR="00B44EE0">
              <w:rPr>
                <w:rFonts w:eastAsia="Times New Roman" w:cs="Times New Roman"/>
                <w:color w:val="000000"/>
                <w:sz w:val="22"/>
                <w:szCs w:val="22"/>
                <w:lang w:eastAsia="lv-LV"/>
              </w:rPr>
              <w:t xml:space="preserve"> (</w:t>
            </w:r>
            <w:r w:rsidRPr="00FE79DB">
              <w:rPr>
                <w:rFonts w:eastAsia="Times New Roman" w:cs="Times New Roman"/>
                <w:color w:val="000000"/>
                <w:sz w:val="22"/>
                <w:szCs w:val="22"/>
                <w:lang w:eastAsia="lv-LV"/>
              </w:rPr>
              <w:t>vieta</w:t>
            </w:r>
            <w:r w:rsidR="00B44EE0">
              <w:rPr>
                <w:rFonts w:eastAsia="Times New Roman" w:cs="Times New Roman"/>
                <w:color w:val="000000"/>
                <w:sz w:val="22"/>
                <w:szCs w:val="22"/>
                <w:lang w:eastAsia="lv-LV"/>
              </w:rPr>
              <w:t>)</w:t>
            </w:r>
          </w:p>
        </w:tc>
      </w:tr>
      <w:tr w:rsidR="00FE79DB" w:rsidRPr="00FE79DB" w14:paraId="19F538CC" w14:textId="77777777" w:rsidTr="005B592B">
        <w:trPr>
          <w:trHeight w:val="55"/>
        </w:trPr>
        <w:tc>
          <w:tcPr>
            <w:tcW w:w="1170" w:type="pct"/>
            <w:vMerge w:val="restart"/>
            <w:shd w:val="clear" w:color="000000" w:fill="A9D18E"/>
            <w:vAlign w:val="center"/>
            <w:hideMark/>
          </w:tcPr>
          <w:p w14:paraId="412009BE" w14:textId="77777777" w:rsidR="00FE79DB" w:rsidRPr="00FE79DB" w:rsidRDefault="00FE79DB" w:rsidP="00FE79DB">
            <w:pPr>
              <w:jc w:val="center"/>
              <w:rPr>
                <w:rFonts w:eastAsia="Times New Roman" w:cs="Times New Roman"/>
                <w:b/>
                <w:bCs/>
                <w:color w:val="000000"/>
                <w:sz w:val="22"/>
                <w:szCs w:val="22"/>
                <w:lang w:eastAsia="lv-LV"/>
              </w:rPr>
            </w:pPr>
            <w:r w:rsidRPr="00FE79DB">
              <w:rPr>
                <w:rFonts w:eastAsia="Times New Roman" w:cs="Times New Roman"/>
                <w:b/>
                <w:bCs/>
                <w:color w:val="000000"/>
                <w:sz w:val="22"/>
                <w:szCs w:val="22"/>
                <w:lang w:eastAsia="lv-LV"/>
              </w:rPr>
              <w:t>Būvniecības un mājokļu politikas īstenošana</w:t>
            </w:r>
          </w:p>
        </w:tc>
        <w:tc>
          <w:tcPr>
            <w:tcW w:w="3830" w:type="pct"/>
            <w:shd w:val="clear" w:color="000000" w:fill="EBF1E9"/>
            <w:vAlign w:val="center"/>
            <w:hideMark/>
          </w:tcPr>
          <w:p w14:paraId="0E1C3A2F" w14:textId="47ACC216" w:rsid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 xml:space="preserve">Būvniecības produkcijas apjoms faktiskajās cenās (tūkst. </w:t>
            </w:r>
            <w:proofErr w:type="spellStart"/>
            <w:r w:rsidRPr="00FE79DB">
              <w:rPr>
                <w:rFonts w:eastAsia="Times New Roman" w:cs="Times New Roman"/>
                <w:i/>
                <w:iCs/>
                <w:color w:val="000000"/>
                <w:sz w:val="22"/>
                <w:szCs w:val="22"/>
                <w:lang w:eastAsia="lv-LV"/>
              </w:rPr>
              <w:t>euro</w:t>
            </w:r>
            <w:proofErr w:type="spellEnd"/>
            <w:r w:rsidRPr="00FE79DB">
              <w:rPr>
                <w:rFonts w:eastAsia="Times New Roman" w:cs="Times New Roman"/>
                <w:color w:val="000000"/>
                <w:sz w:val="22"/>
                <w:szCs w:val="22"/>
                <w:lang w:eastAsia="lv-LV"/>
              </w:rPr>
              <w:t xml:space="preserve">) </w:t>
            </w:r>
          </w:p>
          <w:p w14:paraId="05228FD9" w14:textId="0E632F5A" w:rsidR="00FE79DB" w:rsidRPr="00FE79DB" w:rsidRDefault="00FE79DB" w:rsidP="00FE79DB">
            <w:pPr>
              <w:jc w:val="center"/>
              <w:rPr>
                <w:rFonts w:eastAsia="Times New Roman" w:cs="Times New Roman"/>
                <w:color w:val="000000"/>
                <w:sz w:val="22"/>
                <w:szCs w:val="22"/>
                <w:lang w:eastAsia="lv-LV"/>
              </w:rPr>
            </w:pPr>
          </w:p>
        </w:tc>
      </w:tr>
      <w:tr w:rsidR="00FE79DB" w:rsidRPr="00FE79DB" w14:paraId="199230B8" w14:textId="77777777" w:rsidTr="005B592B">
        <w:trPr>
          <w:trHeight w:val="55"/>
        </w:trPr>
        <w:tc>
          <w:tcPr>
            <w:tcW w:w="1170" w:type="pct"/>
            <w:vMerge/>
            <w:vAlign w:val="center"/>
            <w:hideMark/>
          </w:tcPr>
          <w:p w14:paraId="6F90B017" w14:textId="77777777" w:rsidR="00FE79DB" w:rsidRPr="00FE79DB" w:rsidRDefault="00FE79DB" w:rsidP="00FE79DB">
            <w:pPr>
              <w:rPr>
                <w:rFonts w:eastAsia="Times New Roman" w:cs="Times New Roman"/>
                <w:b/>
                <w:bCs/>
                <w:color w:val="000000"/>
                <w:sz w:val="22"/>
                <w:szCs w:val="22"/>
                <w:lang w:eastAsia="lv-LV"/>
              </w:rPr>
            </w:pPr>
          </w:p>
        </w:tc>
        <w:tc>
          <w:tcPr>
            <w:tcW w:w="3830" w:type="pct"/>
            <w:shd w:val="clear" w:color="000000" w:fill="EBF1E9"/>
            <w:vAlign w:val="center"/>
            <w:hideMark/>
          </w:tcPr>
          <w:p w14:paraId="1CC05539" w14:textId="79485B16"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Ēnu ekonomikas īpatsvars būvniecības nozarē</w:t>
            </w:r>
            <w:r w:rsidR="00B44EE0">
              <w:rPr>
                <w:rFonts w:eastAsia="Times New Roman" w:cs="Times New Roman"/>
                <w:color w:val="000000"/>
                <w:sz w:val="22"/>
                <w:szCs w:val="22"/>
                <w:lang w:eastAsia="lv-LV"/>
              </w:rPr>
              <w:t xml:space="preserve"> (</w:t>
            </w:r>
            <w:r w:rsidRPr="00FE79DB">
              <w:rPr>
                <w:rFonts w:eastAsia="Times New Roman" w:cs="Times New Roman"/>
                <w:color w:val="000000"/>
                <w:sz w:val="22"/>
                <w:szCs w:val="22"/>
                <w:lang w:eastAsia="lv-LV"/>
              </w:rPr>
              <w:t>% no IKP</w:t>
            </w:r>
            <w:r w:rsidR="00B44EE0">
              <w:rPr>
                <w:rFonts w:eastAsia="Times New Roman" w:cs="Times New Roman"/>
                <w:color w:val="000000"/>
                <w:sz w:val="22"/>
                <w:szCs w:val="22"/>
                <w:lang w:eastAsia="lv-LV"/>
              </w:rPr>
              <w:t>)</w:t>
            </w:r>
          </w:p>
        </w:tc>
      </w:tr>
      <w:tr w:rsidR="00FE79DB" w:rsidRPr="00FE79DB" w14:paraId="69E2DEF7" w14:textId="77777777" w:rsidTr="005B592B">
        <w:trPr>
          <w:trHeight w:val="55"/>
        </w:trPr>
        <w:tc>
          <w:tcPr>
            <w:tcW w:w="1170" w:type="pct"/>
            <w:vMerge/>
            <w:vAlign w:val="center"/>
            <w:hideMark/>
          </w:tcPr>
          <w:p w14:paraId="1863C17D" w14:textId="77777777" w:rsidR="00FE79DB" w:rsidRPr="00FE79DB" w:rsidRDefault="00FE79DB" w:rsidP="00FE79DB">
            <w:pPr>
              <w:rPr>
                <w:rFonts w:eastAsia="Times New Roman" w:cs="Times New Roman"/>
                <w:b/>
                <w:bCs/>
                <w:color w:val="000000"/>
                <w:sz w:val="22"/>
                <w:szCs w:val="22"/>
                <w:lang w:eastAsia="lv-LV"/>
              </w:rPr>
            </w:pPr>
          </w:p>
        </w:tc>
        <w:tc>
          <w:tcPr>
            <w:tcW w:w="3830" w:type="pct"/>
            <w:shd w:val="clear" w:color="000000" w:fill="EBF1E9"/>
            <w:vAlign w:val="center"/>
            <w:hideMark/>
          </w:tcPr>
          <w:p w14:paraId="46028631" w14:textId="5C026C62"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Ekspluatācijā pieņemti jauni dzīvokļi</w:t>
            </w:r>
            <w:r w:rsidR="00B44EE0">
              <w:rPr>
                <w:rFonts w:eastAsia="Times New Roman" w:cs="Times New Roman"/>
                <w:color w:val="000000"/>
                <w:sz w:val="22"/>
                <w:szCs w:val="22"/>
                <w:lang w:eastAsia="lv-LV"/>
              </w:rPr>
              <w:t xml:space="preserve"> (</w:t>
            </w:r>
            <w:r w:rsidRPr="00FE79DB">
              <w:rPr>
                <w:rFonts w:eastAsia="Times New Roman" w:cs="Times New Roman"/>
                <w:color w:val="000000"/>
                <w:sz w:val="22"/>
                <w:szCs w:val="22"/>
                <w:lang w:eastAsia="lv-LV"/>
              </w:rPr>
              <w:t>skaits</w:t>
            </w:r>
            <w:r w:rsidR="00B44EE0">
              <w:rPr>
                <w:rFonts w:eastAsia="Times New Roman" w:cs="Times New Roman"/>
                <w:color w:val="000000"/>
                <w:sz w:val="22"/>
                <w:szCs w:val="22"/>
                <w:lang w:eastAsia="lv-LV"/>
              </w:rPr>
              <w:t>)</w:t>
            </w:r>
          </w:p>
        </w:tc>
      </w:tr>
      <w:tr w:rsidR="00FE79DB" w:rsidRPr="00FE79DB" w14:paraId="0CD0E7FB" w14:textId="77777777" w:rsidTr="005B592B">
        <w:trPr>
          <w:trHeight w:val="97"/>
        </w:trPr>
        <w:tc>
          <w:tcPr>
            <w:tcW w:w="1170" w:type="pct"/>
            <w:vMerge/>
            <w:vAlign w:val="center"/>
            <w:hideMark/>
          </w:tcPr>
          <w:p w14:paraId="3F90896A" w14:textId="77777777" w:rsidR="00FE79DB" w:rsidRPr="00FE79DB" w:rsidRDefault="00FE79DB" w:rsidP="00FE79DB">
            <w:pPr>
              <w:rPr>
                <w:rFonts w:eastAsia="Times New Roman" w:cs="Times New Roman"/>
                <w:b/>
                <w:bCs/>
                <w:color w:val="000000"/>
                <w:sz w:val="22"/>
                <w:szCs w:val="22"/>
                <w:lang w:eastAsia="lv-LV"/>
              </w:rPr>
            </w:pPr>
          </w:p>
        </w:tc>
        <w:tc>
          <w:tcPr>
            <w:tcW w:w="3830" w:type="pct"/>
            <w:shd w:val="clear" w:color="000000" w:fill="EBF1E9"/>
            <w:vAlign w:val="center"/>
            <w:hideMark/>
          </w:tcPr>
          <w:p w14:paraId="26F47FA0" w14:textId="36FEBF5A"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Atjaunoto mājokļu daudzums no visiem mājokļiem gadā</w:t>
            </w:r>
            <w:r w:rsidR="00B44EE0">
              <w:rPr>
                <w:rFonts w:eastAsia="Times New Roman" w:cs="Times New Roman"/>
                <w:color w:val="000000"/>
                <w:sz w:val="22"/>
                <w:szCs w:val="22"/>
                <w:lang w:eastAsia="lv-LV"/>
              </w:rPr>
              <w:t xml:space="preserve"> (</w:t>
            </w:r>
            <w:r w:rsidRPr="00FE79DB">
              <w:rPr>
                <w:rFonts w:eastAsia="Times New Roman" w:cs="Times New Roman"/>
                <w:color w:val="000000"/>
                <w:sz w:val="22"/>
                <w:szCs w:val="22"/>
                <w:lang w:eastAsia="lv-LV"/>
              </w:rPr>
              <w:t>%</w:t>
            </w:r>
            <w:r w:rsidR="00B44EE0">
              <w:rPr>
                <w:rFonts w:eastAsia="Times New Roman" w:cs="Times New Roman"/>
                <w:color w:val="000000"/>
                <w:sz w:val="22"/>
                <w:szCs w:val="22"/>
                <w:lang w:eastAsia="lv-LV"/>
              </w:rPr>
              <w:t>)</w:t>
            </w:r>
          </w:p>
        </w:tc>
      </w:tr>
      <w:tr w:rsidR="00FE79DB" w:rsidRPr="00FE79DB" w14:paraId="65295DDE" w14:textId="77777777" w:rsidTr="005B592B">
        <w:trPr>
          <w:trHeight w:val="385"/>
        </w:trPr>
        <w:tc>
          <w:tcPr>
            <w:tcW w:w="1170" w:type="pct"/>
            <w:vMerge/>
            <w:vAlign w:val="center"/>
            <w:hideMark/>
          </w:tcPr>
          <w:p w14:paraId="45604D44" w14:textId="77777777" w:rsidR="00FE79DB" w:rsidRPr="00FE79DB" w:rsidRDefault="00FE79DB" w:rsidP="00FE79DB">
            <w:pPr>
              <w:rPr>
                <w:rFonts w:eastAsia="Times New Roman" w:cs="Times New Roman"/>
                <w:b/>
                <w:bCs/>
                <w:color w:val="000000"/>
                <w:sz w:val="22"/>
                <w:szCs w:val="22"/>
                <w:lang w:eastAsia="lv-LV"/>
              </w:rPr>
            </w:pPr>
          </w:p>
        </w:tc>
        <w:tc>
          <w:tcPr>
            <w:tcW w:w="3830" w:type="pct"/>
            <w:shd w:val="clear" w:color="000000" w:fill="EBF1E9"/>
            <w:vAlign w:val="bottom"/>
            <w:hideMark/>
          </w:tcPr>
          <w:p w14:paraId="1A8115AD" w14:textId="28C29D43"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Mājsaimniecību īpatsvars, kurām kopējie ar mājokli saistītie izdevumi sagādā finansiālas grūtības (ļoti apgrūtinoši/nedaudz apgrūtinoši)</w:t>
            </w:r>
            <w:r w:rsidR="00B44EE0">
              <w:rPr>
                <w:rFonts w:eastAsia="Times New Roman" w:cs="Times New Roman"/>
                <w:color w:val="000000"/>
                <w:sz w:val="22"/>
                <w:szCs w:val="22"/>
                <w:lang w:eastAsia="lv-LV"/>
              </w:rPr>
              <w:t xml:space="preserve"> (</w:t>
            </w:r>
            <w:r w:rsidRPr="00FE79DB">
              <w:rPr>
                <w:rFonts w:eastAsia="Times New Roman" w:cs="Times New Roman"/>
                <w:color w:val="000000"/>
                <w:sz w:val="22"/>
                <w:szCs w:val="22"/>
                <w:lang w:eastAsia="lv-LV"/>
              </w:rPr>
              <w:t>%</w:t>
            </w:r>
            <w:r w:rsidR="00B44EE0">
              <w:rPr>
                <w:rFonts w:eastAsia="Times New Roman" w:cs="Times New Roman"/>
                <w:color w:val="000000"/>
                <w:sz w:val="22"/>
                <w:szCs w:val="22"/>
                <w:lang w:eastAsia="lv-LV"/>
              </w:rPr>
              <w:t>)</w:t>
            </w:r>
          </w:p>
        </w:tc>
      </w:tr>
      <w:tr w:rsidR="00FE79DB" w:rsidRPr="00FE79DB" w14:paraId="2F00B7A0" w14:textId="77777777" w:rsidTr="005B592B">
        <w:trPr>
          <w:trHeight w:val="159"/>
        </w:trPr>
        <w:tc>
          <w:tcPr>
            <w:tcW w:w="1170" w:type="pct"/>
            <w:vMerge w:val="restart"/>
            <w:shd w:val="clear" w:color="000000" w:fill="A9D18E"/>
            <w:vAlign w:val="center"/>
            <w:hideMark/>
          </w:tcPr>
          <w:p w14:paraId="7F030D8C" w14:textId="77777777" w:rsidR="00FE79DB" w:rsidRPr="00FE79DB" w:rsidRDefault="00FE79DB" w:rsidP="00FE79DB">
            <w:pPr>
              <w:jc w:val="center"/>
              <w:rPr>
                <w:rFonts w:eastAsia="Times New Roman" w:cs="Times New Roman"/>
                <w:b/>
                <w:bCs/>
                <w:color w:val="000000"/>
                <w:sz w:val="22"/>
                <w:szCs w:val="22"/>
                <w:lang w:eastAsia="lv-LV"/>
              </w:rPr>
            </w:pPr>
            <w:r w:rsidRPr="00FE79DB">
              <w:rPr>
                <w:rFonts w:eastAsia="Times New Roman" w:cs="Times New Roman"/>
                <w:b/>
                <w:bCs/>
                <w:color w:val="000000"/>
                <w:sz w:val="22"/>
                <w:szCs w:val="22"/>
                <w:lang w:eastAsia="lv-LV"/>
              </w:rPr>
              <w:t>Iekšējā tirgus uzraudzība</w:t>
            </w:r>
          </w:p>
        </w:tc>
        <w:tc>
          <w:tcPr>
            <w:tcW w:w="3830" w:type="pct"/>
            <w:shd w:val="clear" w:color="000000" w:fill="EBF1E9"/>
            <w:vAlign w:val="center"/>
            <w:hideMark/>
          </w:tcPr>
          <w:p w14:paraId="332BB663" w14:textId="6E805AD2"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Būtisko neatbilstību īpatsvars preču un pakalpojumu uzraudzībā</w:t>
            </w:r>
            <w:r w:rsidR="00B44EE0">
              <w:rPr>
                <w:rFonts w:eastAsia="Times New Roman" w:cs="Times New Roman"/>
                <w:color w:val="000000"/>
                <w:sz w:val="22"/>
                <w:szCs w:val="22"/>
                <w:lang w:eastAsia="lv-LV"/>
              </w:rPr>
              <w:t xml:space="preserve"> (</w:t>
            </w:r>
            <w:r w:rsidRPr="00FE79DB">
              <w:rPr>
                <w:rFonts w:eastAsia="Times New Roman" w:cs="Times New Roman"/>
                <w:color w:val="000000"/>
                <w:sz w:val="22"/>
                <w:szCs w:val="22"/>
                <w:lang w:eastAsia="lv-LV"/>
              </w:rPr>
              <w:t>%</w:t>
            </w:r>
            <w:r w:rsidR="00B44EE0">
              <w:rPr>
                <w:rFonts w:eastAsia="Times New Roman" w:cs="Times New Roman"/>
                <w:color w:val="000000"/>
                <w:sz w:val="22"/>
                <w:szCs w:val="22"/>
                <w:lang w:eastAsia="lv-LV"/>
              </w:rPr>
              <w:t>)</w:t>
            </w:r>
          </w:p>
        </w:tc>
      </w:tr>
      <w:tr w:rsidR="00FE79DB" w:rsidRPr="00FE79DB" w14:paraId="5A87749A" w14:textId="77777777" w:rsidTr="005B592B">
        <w:trPr>
          <w:trHeight w:val="446"/>
        </w:trPr>
        <w:tc>
          <w:tcPr>
            <w:tcW w:w="1170" w:type="pct"/>
            <w:vMerge/>
            <w:vAlign w:val="center"/>
            <w:hideMark/>
          </w:tcPr>
          <w:p w14:paraId="49914FCA" w14:textId="77777777" w:rsidR="00FE79DB" w:rsidRPr="00FE79DB" w:rsidRDefault="00FE79DB" w:rsidP="00FE79DB">
            <w:pPr>
              <w:rPr>
                <w:rFonts w:eastAsia="Times New Roman" w:cs="Times New Roman"/>
                <w:b/>
                <w:bCs/>
                <w:color w:val="000000"/>
                <w:sz w:val="22"/>
                <w:szCs w:val="22"/>
                <w:lang w:eastAsia="lv-LV"/>
              </w:rPr>
            </w:pPr>
          </w:p>
        </w:tc>
        <w:tc>
          <w:tcPr>
            <w:tcW w:w="3830" w:type="pct"/>
            <w:shd w:val="clear" w:color="000000" w:fill="EBF1E9"/>
            <w:vAlign w:val="center"/>
            <w:hideMark/>
          </w:tcPr>
          <w:p w14:paraId="66AEC9FA" w14:textId="11082E56"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 xml:space="preserve">Sabiedrības ieguvums no Konkurences padomes darbības, 3 gadu vidējais (milj. </w:t>
            </w:r>
            <w:proofErr w:type="spellStart"/>
            <w:r w:rsidRPr="00FE79DB">
              <w:rPr>
                <w:rFonts w:eastAsia="Times New Roman" w:cs="Times New Roman"/>
                <w:i/>
                <w:iCs/>
                <w:color w:val="000000"/>
                <w:sz w:val="22"/>
                <w:szCs w:val="22"/>
                <w:lang w:eastAsia="lv-LV"/>
              </w:rPr>
              <w:t>euro</w:t>
            </w:r>
            <w:proofErr w:type="spellEnd"/>
            <w:r w:rsidRPr="00FE79DB">
              <w:rPr>
                <w:rFonts w:eastAsia="Times New Roman" w:cs="Times New Roman"/>
                <w:color w:val="000000"/>
                <w:sz w:val="22"/>
                <w:szCs w:val="22"/>
                <w:lang w:eastAsia="lv-LV"/>
              </w:rPr>
              <w:t>)</w:t>
            </w:r>
          </w:p>
        </w:tc>
      </w:tr>
      <w:tr w:rsidR="00FE79DB" w:rsidRPr="00FE79DB" w14:paraId="60422515" w14:textId="77777777" w:rsidTr="005B592B">
        <w:trPr>
          <w:trHeight w:val="57"/>
        </w:trPr>
        <w:tc>
          <w:tcPr>
            <w:tcW w:w="1170" w:type="pct"/>
            <w:shd w:val="clear" w:color="auto" w:fill="A8D08D" w:themeFill="accent6" w:themeFillTint="99"/>
            <w:vAlign w:val="center"/>
          </w:tcPr>
          <w:p w14:paraId="288C8A85" w14:textId="6A9D9AB8" w:rsidR="00FE79DB" w:rsidRPr="00FE79DB" w:rsidRDefault="00FE79DB" w:rsidP="00FE79DB">
            <w:pPr>
              <w:jc w:val="center"/>
              <w:rPr>
                <w:rFonts w:eastAsia="Times New Roman" w:cs="Times New Roman"/>
                <w:b/>
                <w:bCs/>
                <w:color w:val="000000"/>
                <w:sz w:val="22"/>
                <w:szCs w:val="22"/>
                <w:lang w:eastAsia="lv-LV"/>
              </w:rPr>
            </w:pPr>
            <w:r w:rsidRPr="00FE79DB">
              <w:rPr>
                <w:rFonts w:eastAsia="Times New Roman" w:cs="Times New Roman"/>
                <w:b/>
                <w:bCs/>
                <w:color w:val="000000"/>
                <w:sz w:val="22"/>
                <w:szCs w:val="22"/>
                <w:lang w:eastAsia="lv-LV"/>
              </w:rPr>
              <w:t>Oficiālās statistikas nodrošināšana</w:t>
            </w:r>
          </w:p>
        </w:tc>
        <w:tc>
          <w:tcPr>
            <w:tcW w:w="3830" w:type="pct"/>
            <w:shd w:val="clear" w:color="000000" w:fill="EBF1E9"/>
            <w:vAlign w:val="center"/>
          </w:tcPr>
          <w:p w14:paraId="32AADF38" w14:textId="31657EEA"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Atvērto datu indekss</w:t>
            </w:r>
            <w:r w:rsidR="00B44EE0">
              <w:rPr>
                <w:rFonts w:eastAsia="Times New Roman" w:cs="Times New Roman"/>
                <w:color w:val="000000"/>
                <w:sz w:val="22"/>
                <w:szCs w:val="22"/>
                <w:lang w:eastAsia="lv-LV"/>
              </w:rPr>
              <w:t xml:space="preserve"> (</w:t>
            </w:r>
            <w:r w:rsidRPr="00FE79DB">
              <w:rPr>
                <w:rFonts w:eastAsia="Times New Roman" w:cs="Times New Roman"/>
                <w:color w:val="000000"/>
                <w:sz w:val="22"/>
                <w:szCs w:val="22"/>
                <w:lang w:eastAsia="lv-LV"/>
              </w:rPr>
              <w:t>vieta</w:t>
            </w:r>
            <w:r w:rsidR="00B44EE0">
              <w:rPr>
                <w:rFonts w:eastAsia="Times New Roman" w:cs="Times New Roman"/>
                <w:color w:val="000000"/>
                <w:sz w:val="22"/>
                <w:szCs w:val="22"/>
                <w:lang w:eastAsia="lv-LV"/>
              </w:rPr>
              <w:t>)</w:t>
            </w:r>
          </w:p>
        </w:tc>
      </w:tr>
    </w:tbl>
    <w:p w14:paraId="7D56B766" w14:textId="3ECD48D6" w:rsidR="00FE79DB" w:rsidRPr="004C7170" w:rsidRDefault="00FE79DB" w:rsidP="0056451E">
      <w:pPr>
        <w:spacing w:after="120"/>
        <w:jc w:val="center"/>
        <w:rPr>
          <w:b/>
        </w:rPr>
      </w:pPr>
    </w:p>
    <w:p w14:paraId="64701FDE" w14:textId="32BF29FC" w:rsidR="00E011D5" w:rsidRPr="00E8020B" w:rsidRDefault="00E8020B" w:rsidP="00E8020B">
      <w:pPr>
        <w:spacing w:after="120"/>
        <w:rPr>
          <w:bCs/>
        </w:rPr>
      </w:pPr>
      <w:r w:rsidRPr="00E8020B">
        <w:rPr>
          <w:bCs/>
        </w:rPr>
        <w:t>Finanšu ministrija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6941"/>
      </w:tblGrid>
      <w:tr w:rsidR="005B592B" w:rsidRPr="00FE79DB" w14:paraId="5C630BB7" w14:textId="77777777" w:rsidTr="00E20E29">
        <w:trPr>
          <w:trHeight w:val="77"/>
          <w:tblHeader/>
        </w:trPr>
        <w:tc>
          <w:tcPr>
            <w:tcW w:w="1170" w:type="pct"/>
            <w:shd w:val="clear" w:color="000000" w:fill="A9D08E"/>
            <w:noWrap/>
            <w:vAlign w:val="bottom"/>
            <w:hideMark/>
          </w:tcPr>
          <w:p w14:paraId="0DF288E2" w14:textId="77777777" w:rsidR="00FE79DB" w:rsidRPr="00FE79DB" w:rsidRDefault="00FE79DB" w:rsidP="00FE79DB">
            <w:pPr>
              <w:jc w:val="center"/>
              <w:rPr>
                <w:rFonts w:eastAsia="Times New Roman" w:cs="Times New Roman"/>
                <w:b/>
                <w:bCs/>
                <w:color w:val="000000"/>
                <w:sz w:val="22"/>
                <w:szCs w:val="22"/>
                <w:lang w:eastAsia="lv-LV"/>
              </w:rPr>
            </w:pPr>
            <w:r w:rsidRPr="00FE79DB">
              <w:rPr>
                <w:rFonts w:eastAsia="Times New Roman" w:cs="Times New Roman"/>
                <w:b/>
                <w:bCs/>
                <w:color w:val="000000"/>
                <w:sz w:val="22"/>
                <w:szCs w:val="22"/>
                <w:lang w:eastAsia="lv-LV"/>
              </w:rPr>
              <w:t xml:space="preserve">Joma </w:t>
            </w:r>
          </w:p>
        </w:tc>
        <w:tc>
          <w:tcPr>
            <w:tcW w:w="3830" w:type="pct"/>
            <w:shd w:val="clear" w:color="000000" w:fill="A9D08E"/>
            <w:noWrap/>
            <w:vAlign w:val="bottom"/>
            <w:hideMark/>
          </w:tcPr>
          <w:p w14:paraId="2C79EC17" w14:textId="77777777" w:rsidR="00FE79DB" w:rsidRPr="00FE79DB" w:rsidRDefault="00FE79DB" w:rsidP="00FE79DB">
            <w:pPr>
              <w:jc w:val="center"/>
              <w:rPr>
                <w:rFonts w:eastAsia="Times New Roman" w:cs="Times New Roman"/>
                <w:b/>
                <w:bCs/>
                <w:color w:val="000000"/>
                <w:sz w:val="22"/>
                <w:szCs w:val="22"/>
                <w:lang w:eastAsia="lv-LV"/>
              </w:rPr>
            </w:pPr>
            <w:r w:rsidRPr="00FE79DB">
              <w:rPr>
                <w:rFonts w:eastAsia="Times New Roman" w:cs="Times New Roman"/>
                <w:b/>
                <w:bCs/>
                <w:color w:val="000000"/>
                <w:sz w:val="22"/>
                <w:szCs w:val="22"/>
                <w:lang w:eastAsia="lv-LV"/>
              </w:rPr>
              <w:t>Politikas rezultatīvie rādītāji</w:t>
            </w:r>
          </w:p>
        </w:tc>
      </w:tr>
      <w:tr w:rsidR="005B592B" w:rsidRPr="00FE79DB" w14:paraId="36BC2E1C" w14:textId="77777777" w:rsidTr="005B592B">
        <w:trPr>
          <w:trHeight w:val="237"/>
        </w:trPr>
        <w:tc>
          <w:tcPr>
            <w:tcW w:w="1170" w:type="pct"/>
            <w:vMerge w:val="restart"/>
            <w:shd w:val="clear" w:color="000000" w:fill="A9D18E"/>
            <w:vAlign w:val="center"/>
            <w:hideMark/>
          </w:tcPr>
          <w:p w14:paraId="5EC551C2" w14:textId="77777777" w:rsidR="00FE79DB" w:rsidRPr="00FE79DB" w:rsidRDefault="00FE79DB" w:rsidP="00FE79DB">
            <w:pPr>
              <w:jc w:val="center"/>
              <w:rPr>
                <w:rFonts w:eastAsia="Times New Roman" w:cs="Times New Roman"/>
                <w:b/>
                <w:bCs/>
                <w:color w:val="000000"/>
                <w:sz w:val="22"/>
                <w:szCs w:val="22"/>
                <w:lang w:eastAsia="lv-LV"/>
              </w:rPr>
            </w:pPr>
            <w:r w:rsidRPr="00FE79DB">
              <w:rPr>
                <w:rFonts w:eastAsia="Times New Roman" w:cs="Times New Roman"/>
                <w:b/>
                <w:bCs/>
                <w:color w:val="000000"/>
                <w:sz w:val="22"/>
                <w:szCs w:val="22"/>
                <w:lang w:eastAsia="lv-LV"/>
              </w:rPr>
              <w:t>Publisko izdevumu un valsts parāda vadība</w:t>
            </w:r>
          </w:p>
        </w:tc>
        <w:tc>
          <w:tcPr>
            <w:tcW w:w="3830" w:type="pct"/>
            <w:shd w:val="clear" w:color="000000" w:fill="EBF1E9"/>
            <w:vAlign w:val="bottom"/>
            <w:hideMark/>
          </w:tcPr>
          <w:p w14:paraId="52DE56FE" w14:textId="77777777"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Vispārējās valdības budžeta strukturālās bilances mērķis (% no IKP)</w:t>
            </w:r>
          </w:p>
        </w:tc>
      </w:tr>
      <w:tr w:rsidR="00FE79DB" w:rsidRPr="00FE79DB" w14:paraId="5AF0BC76" w14:textId="77777777" w:rsidTr="005B592B">
        <w:trPr>
          <w:trHeight w:val="127"/>
        </w:trPr>
        <w:tc>
          <w:tcPr>
            <w:tcW w:w="1170" w:type="pct"/>
            <w:vMerge/>
            <w:vAlign w:val="center"/>
            <w:hideMark/>
          </w:tcPr>
          <w:p w14:paraId="6C41A7DC" w14:textId="77777777" w:rsidR="00FE79DB" w:rsidRPr="00FE79DB" w:rsidRDefault="00FE79DB" w:rsidP="00FE79DB">
            <w:pPr>
              <w:rPr>
                <w:rFonts w:eastAsia="Times New Roman" w:cs="Times New Roman"/>
                <w:b/>
                <w:bCs/>
                <w:color w:val="000000"/>
                <w:sz w:val="22"/>
                <w:szCs w:val="22"/>
                <w:lang w:eastAsia="lv-LV"/>
              </w:rPr>
            </w:pPr>
          </w:p>
        </w:tc>
        <w:tc>
          <w:tcPr>
            <w:tcW w:w="3830" w:type="pct"/>
            <w:shd w:val="clear" w:color="000000" w:fill="EBF1E9"/>
            <w:vAlign w:val="bottom"/>
            <w:hideMark/>
          </w:tcPr>
          <w:p w14:paraId="2DD18BE6" w14:textId="77777777"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Valsts budžeta izdevumu īpatsvars no IKP (%)</w:t>
            </w:r>
          </w:p>
        </w:tc>
      </w:tr>
      <w:tr w:rsidR="00FE79DB" w:rsidRPr="00FE79DB" w14:paraId="51A3DFA3" w14:textId="77777777" w:rsidTr="005B592B">
        <w:trPr>
          <w:trHeight w:val="287"/>
        </w:trPr>
        <w:tc>
          <w:tcPr>
            <w:tcW w:w="1170" w:type="pct"/>
            <w:vMerge/>
            <w:vAlign w:val="center"/>
            <w:hideMark/>
          </w:tcPr>
          <w:p w14:paraId="607AE6C3" w14:textId="77777777" w:rsidR="00FE79DB" w:rsidRPr="00FE79DB" w:rsidRDefault="00FE79DB" w:rsidP="00FE79DB">
            <w:pPr>
              <w:rPr>
                <w:rFonts w:eastAsia="Times New Roman" w:cs="Times New Roman"/>
                <w:b/>
                <w:bCs/>
                <w:color w:val="000000"/>
                <w:sz w:val="22"/>
                <w:szCs w:val="22"/>
                <w:lang w:eastAsia="lv-LV"/>
              </w:rPr>
            </w:pPr>
          </w:p>
        </w:tc>
        <w:tc>
          <w:tcPr>
            <w:tcW w:w="3830" w:type="pct"/>
            <w:shd w:val="clear" w:color="000000" w:fill="EBF1E9"/>
            <w:vAlign w:val="bottom"/>
            <w:hideMark/>
          </w:tcPr>
          <w:p w14:paraId="65F3B642" w14:textId="77777777"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 xml:space="preserve">Pašvaldībām pieejamais aizņēmumu kopējais palielinājums ne mazāk kā (milj. </w:t>
            </w:r>
            <w:proofErr w:type="spellStart"/>
            <w:r w:rsidRPr="00FE79DB">
              <w:rPr>
                <w:rFonts w:eastAsia="Times New Roman" w:cs="Times New Roman"/>
                <w:i/>
                <w:iCs/>
                <w:color w:val="000000"/>
                <w:sz w:val="22"/>
                <w:szCs w:val="22"/>
                <w:lang w:eastAsia="lv-LV"/>
              </w:rPr>
              <w:t>euro</w:t>
            </w:r>
            <w:proofErr w:type="spellEnd"/>
            <w:r w:rsidRPr="00FE79DB">
              <w:rPr>
                <w:rFonts w:eastAsia="Times New Roman" w:cs="Times New Roman"/>
                <w:color w:val="000000"/>
                <w:sz w:val="22"/>
                <w:szCs w:val="22"/>
                <w:lang w:eastAsia="lv-LV"/>
              </w:rPr>
              <w:t>)</w:t>
            </w:r>
          </w:p>
        </w:tc>
      </w:tr>
      <w:tr w:rsidR="00FE79DB" w:rsidRPr="00FE79DB" w14:paraId="1392C907" w14:textId="77777777" w:rsidTr="005B592B">
        <w:trPr>
          <w:trHeight w:val="763"/>
        </w:trPr>
        <w:tc>
          <w:tcPr>
            <w:tcW w:w="1170" w:type="pct"/>
            <w:vMerge/>
            <w:vAlign w:val="center"/>
            <w:hideMark/>
          </w:tcPr>
          <w:p w14:paraId="16C74C01" w14:textId="77777777" w:rsidR="00FE79DB" w:rsidRPr="00FE79DB" w:rsidRDefault="00FE79DB" w:rsidP="00FE79DB">
            <w:pPr>
              <w:rPr>
                <w:rFonts w:eastAsia="Times New Roman" w:cs="Times New Roman"/>
                <w:b/>
                <w:bCs/>
                <w:color w:val="000000"/>
                <w:sz w:val="22"/>
                <w:szCs w:val="22"/>
                <w:lang w:eastAsia="lv-LV"/>
              </w:rPr>
            </w:pPr>
          </w:p>
        </w:tc>
        <w:tc>
          <w:tcPr>
            <w:tcW w:w="3830" w:type="pct"/>
            <w:shd w:val="clear" w:color="000000" w:fill="EBF1E9"/>
            <w:vAlign w:val="bottom"/>
            <w:hideMark/>
          </w:tcPr>
          <w:p w14:paraId="76BB8964" w14:textId="77777777"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Kārtējā gadā veikto procentu izdevumu attiecība pret iepriekšējā gada valsts parāda apjomu (pēc nacionālās metodoloģijas) nepārsniedz iepriekšējā gada attiecīgo rādītāju vairāk par 20 bāzes punktiem (novirze no iepriekšējā gada rādītāja bāzes punktos)</w:t>
            </w:r>
          </w:p>
        </w:tc>
      </w:tr>
      <w:tr w:rsidR="005B592B" w:rsidRPr="00FE79DB" w14:paraId="7A6B016C" w14:textId="77777777" w:rsidTr="00E60D9D">
        <w:trPr>
          <w:trHeight w:val="247"/>
        </w:trPr>
        <w:tc>
          <w:tcPr>
            <w:tcW w:w="1170" w:type="pct"/>
            <w:vMerge w:val="restart"/>
            <w:shd w:val="clear" w:color="000000" w:fill="A9D18E"/>
            <w:vAlign w:val="center"/>
            <w:hideMark/>
          </w:tcPr>
          <w:p w14:paraId="0136C339" w14:textId="77777777" w:rsidR="00FE79DB" w:rsidRPr="00FE79DB" w:rsidRDefault="00FE79DB" w:rsidP="00FE79DB">
            <w:pPr>
              <w:jc w:val="center"/>
              <w:rPr>
                <w:rFonts w:eastAsia="Times New Roman" w:cs="Times New Roman"/>
                <w:b/>
                <w:bCs/>
                <w:color w:val="000000"/>
                <w:sz w:val="22"/>
                <w:szCs w:val="22"/>
                <w:lang w:eastAsia="lv-LV"/>
              </w:rPr>
            </w:pPr>
            <w:r w:rsidRPr="00FE79DB">
              <w:rPr>
                <w:rFonts w:eastAsia="Times New Roman" w:cs="Times New Roman"/>
                <w:b/>
                <w:bCs/>
                <w:color w:val="000000"/>
                <w:sz w:val="22"/>
                <w:szCs w:val="22"/>
                <w:lang w:eastAsia="lv-LV"/>
              </w:rPr>
              <w:t>Valsts ieņēmumu un muitas politikas vadība</w:t>
            </w:r>
          </w:p>
        </w:tc>
        <w:tc>
          <w:tcPr>
            <w:tcW w:w="3830" w:type="pct"/>
            <w:shd w:val="clear" w:color="000000" w:fill="EBF1E9"/>
            <w:vAlign w:val="bottom"/>
            <w:hideMark/>
          </w:tcPr>
          <w:p w14:paraId="2CEC2598" w14:textId="5A55ED46" w:rsidR="00FE79DB" w:rsidRPr="00FE79DB" w:rsidRDefault="00E60D9D" w:rsidP="00FE79DB">
            <w:pPr>
              <w:jc w:val="center"/>
              <w:rPr>
                <w:rFonts w:eastAsia="Times New Roman" w:cs="Times New Roman"/>
                <w:color w:val="000000"/>
                <w:sz w:val="22"/>
                <w:szCs w:val="22"/>
                <w:lang w:eastAsia="lv-LV"/>
              </w:rPr>
            </w:pPr>
            <w:r>
              <w:rPr>
                <w:rFonts w:eastAsia="Times New Roman" w:cs="Times New Roman"/>
                <w:color w:val="000000"/>
                <w:sz w:val="22"/>
                <w:szCs w:val="22"/>
                <w:lang w:eastAsia="lv-LV"/>
              </w:rPr>
              <w:t>N</w:t>
            </w:r>
            <w:r w:rsidR="00FE79DB" w:rsidRPr="00FE79DB">
              <w:rPr>
                <w:rFonts w:eastAsia="Times New Roman" w:cs="Times New Roman"/>
                <w:color w:val="000000"/>
                <w:sz w:val="22"/>
                <w:szCs w:val="22"/>
                <w:lang w:eastAsia="lv-LV"/>
              </w:rPr>
              <w:t xml:space="preserve">odokļu ieņēmumi kopā ar </w:t>
            </w:r>
            <w:proofErr w:type="spellStart"/>
            <w:r w:rsidR="00FE79DB" w:rsidRPr="00FE79DB">
              <w:rPr>
                <w:rFonts w:eastAsia="Times New Roman" w:cs="Times New Roman"/>
                <w:color w:val="000000"/>
                <w:sz w:val="22"/>
                <w:szCs w:val="22"/>
                <w:lang w:eastAsia="lv-LV"/>
              </w:rPr>
              <w:t>fondētām</w:t>
            </w:r>
            <w:proofErr w:type="spellEnd"/>
            <w:r w:rsidR="00FE79DB" w:rsidRPr="00FE79DB">
              <w:rPr>
                <w:rFonts w:eastAsia="Times New Roman" w:cs="Times New Roman"/>
                <w:color w:val="000000"/>
                <w:sz w:val="22"/>
                <w:szCs w:val="22"/>
                <w:lang w:eastAsia="lv-LV"/>
              </w:rPr>
              <w:t xml:space="preserve"> iemaksām </w:t>
            </w:r>
            <w:r w:rsidR="00846CF0">
              <w:rPr>
                <w:rFonts w:eastAsia="Times New Roman" w:cs="Times New Roman"/>
                <w:color w:val="000000"/>
                <w:sz w:val="22"/>
                <w:szCs w:val="22"/>
                <w:lang w:eastAsia="lv-LV"/>
              </w:rPr>
              <w:t>(</w:t>
            </w:r>
            <w:r w:rsidR="00FE79DB" w:rsidRPr="00FE79DB">
              <w:rPr>
                <w:rFonts w:eastAsia="Times New Roman" w:cs="Times New Roman"/>
                <w:color w:val="000000"/>
                <w:sz w:val="22"/>
                <w:szCs w:val="22"/>
                <w:lang w:eastAsia="lv-LV"/>
              </w:rPr>
              <w:t>% no IKP)</w:t>
            </w:r>
            <w:r w:rsidR="00846CF0">
              <w:rPr>
                <w:rFonts w:eastAsia="Times New Roman" w:cs="Times New Roman"/>
                <w:color w:val="000000"/>
                <w:sz w:val="22"/>
                <w:szCs w:val="22"/>
                <w:lang w:eastAsia="lv-LV"/>
              </w:rPr>
              <w:t xml:space="preserve"> </w:t>
            </w:r>
          </w:p>
        </w:tc>
      </w:tr>
      <w:tr w:rsidR="00FE79DB" w:rsidRPr="00FE79DB" w14:paraId="39C9AF1B" w14:textId="77777777" w:rsidTr="005B592B">
        <w:trPr>
          <w:trHeight w:val="107"/>
        </w:trPr>
        <w:tc>
          <w:tcPr>
            <w:tcW w:w="1170" w:type="pct"/>
            <w:vMerge/>
            <w:vAlign w:val="center"/>
            <w:hideMark/>
          </w:tcPr>
          <w:p w14:paraId="76228354" w14:textId="77777777" w:rsidR="00FE79DB" w:rsidRPr="00FE79DB" w:rsidRDefault="00FE79DB" w:rsidP="00FE79DB">
            <w:pPr>
              <w:rPr>
                <w:rFonts w:eastAsia="Times New Roman" w:cs="Times New Roman"/>
                <w:b/>
                <w:bCs/>
                <w:color w:val="000000"/>
                <w:sz w:val="22"/>
                <w:szCs w:val="22"/>
                <w:lang w:eastAsia="lv-LV"/>
              </w:rPr>
            </w:pPr>
          </w:p>
        </w:tc>
        <w:tc>
          <w:tcPr>
            <w:tcW w:w="3830" w:type="pct"/>
            <w:shd w:val="clear" w:color="000000" w:fill="EBF1E9"/>
            <w:vAlign w:val="bottom"/>
            <w:hideMark/>
          </w:tcPr>
          <w:p w14:paraId="2515361D" w14:textId="77777777"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 xml:space="preserve">Ēnu ekonomikas īpatsvars no IKP (pēc prof. </w:t>
            </w:r>
            <w:proofErr w:type="spellStart"/>
            <w:r w:rsidRPr="00FE79DB">
              <w:rPr>
                <w:rFonts w:eastAsia="Times New Roman" w:cs="Times New Roman"/>
                <w:color w:val="000000"/>
                <w:sz w:val="22"/>
                <w:szCs w:val="22"/>
                <w:lang w:eastAsia="lv-LV"/>
              </w:rPr>
              <w:t>F.Šneidera</w:t>
            </w:r>
            <w:proofErr w:type="spellEnd"/>
            <w:r w:rsidRPr="00FE79DB">
              <w:rPr>
                <w:rFonts w:eastAsia="Times New Roman" w:cs="Times New Roman"/>
                <w:color w:val="000000"/>
                <w:sz w:val="22"/>
                <w:szCs w:val="22"/>
                <w:lang w:eastAsia="lv-LV"/>
              </w:rPr>
              <w:t xml:space="preserve"> pētījumu datiem) (%)</w:t>
            </w:r>
          </w:p>
        </w:tc>
      </w:tr>
      <w:tr w:rsidR="00FE79DB" w:rsidRPr="00FE79DB" w14:paraId="28AE3373" w14:textId="77777777" w:rsidTr="005B592B">
        <w:trPr>
          <w:trHeight w:val="157"/>
        </w:trPr>
        <w:tc>
          <w:tcPr>
            <w:tcW w:w="1170" w:type="pct"/>
            <w:vMerge/>
            <w:vAlign w:val="center"/>
            <w:hideMark/>
          </w:tcPr>
          <w:p w14:paraId="094F7DF9" w14:textId="77777777" w:rsidR="00FE79DB" w:rsidRPr="00FE79DB" w:rsidRDefault="00FE79DB" w:rsidP="00FE79DB">
            <w:pPr>
              <w:rPr>
                <w:rFonts w:eastAsia="Times New Roman" w:cs="Times New Roman"/>
                <w:b/>
                <w:bCs/>
                <w:color w:val="000000"/>
                <w:sz w:val="22"/>
                <w:szCs w:val="22"/>
                <w:lang w:eastAsia="lv-LV"/>
              </w:rPr>
            </w:pPr>
          </w:p>
        </w:tc>
        <w:tc>
          <w:tcPr>
            <w:tcW w:w="3830" w:type="pct"/>
            <w:shd w:val="clear" w:color="000000" w:fill="EBF1E9"/>
            <w:vAlign w:val="bottom"/>
            <w:hideMark/>
          </w:tcPr>
          <w:p w14:paraId="49A060CB" w14:textId="77777777"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Labprātīgās nodokļu saistību izpildes līmenis (nodokļu maksāšana) (%)</w:t>
            </w:r>
          </w:p>
        </w:tc>
      </w:tr>
      <w:tr w:rsidR="00FE79DB" w:rsidRPr="00FE79DB" w14:paraId="13B91D0B" w14:textId="77777777" w:rsidTr="005B592B">
        <w:trPr>
          <w:trHeight w:val="349"/>
        </w:trPr>
        <w:tc>
          <w:tcPr>
            <w:tcW w:w="1170" w:type="pct"/>
            <w:vMerge/>
            <w:vAlign w:val="center"/>
            <w:hideMark/>
          </w:tcPr>
          <w:p w14:paraId="3DF8853D" w14:textId="77777777" w:rsidR="00FE79DB" w:rsidRPr="00FE79DB" w:rsidRDefault="00FE79DB" w:rsidP="00FE79DB">
            <w:pPr>
              <w:rPr>
                <w:rFonts w:eastAsia="Times New Roman" w:cs="Times New Roman"/>
                <w:b/>
                <w:bCs/>
                <w:color w:val="000000"/>
                <w:sz w:val="22"/>
                <w:szCs w:val="22"/>
                <w:lang w:eastAsia="lv-LV"/>
              </w:rPr>
            </w:pPr>
          </w:p>
        </w:tc>
        <w:tc>
          <w:tcPr>
            <w:tcW w:w="3830" w:type="pct"/>
            <w:shd w:val="clear" w:color="000000" w:fill="EBF1E9"/>
            <w:vAlign w:val="bottom"/>
            <w:hideMark/>
          </w:tcPr>
          <w:p w14:paraId="021C536D" w14:textId="087C4979" w:rsidR="00FE79DB" w:rsidRPr="00FE79DB" w:rsidRDefault="00427C58" w:rsidP="00FE79DB">
            <w:pPr>
              <w:jc w:val="center"/>
              <w:rPr>
                <w:rFonts w:eastAsia="Times New Roman" w:cs="Times New Roman"/>
                <w:color w:val="000000"/>
                <w:sz w:val="22"/>
                <w:szCs w:val="22"/>
                <w:lang w:eastAsia="lv-LV"/>
              </w:rPr>
            </w:pPr>
            <w:r>
              <w:rPr>
                <w:rFonts w:eastAsia="Times New Roman" w:cs="Times New Roman"/>
                <w:color w:val="000000"/>
                <w:sz w:val="22"/>
                <w:szCs w:val="22"/>
                <w:lang w:eastAsia="lv-LV"/>
              </w:rPr>
              <w:t>N</w:t>
            </w:r>
            <w:r w:rsidR="00FE79DB" w:rsidRPr="00FE79DB">
              <w:rPr>
                <w:rFonts w:eastAsia="Times New Roman" w:cs="Times New Roman"/>
                <w:color w:val="000000"/>
                <w:sz w:val="22"/>
                <w:szCs w:val="22"/>
                <w:lang w:eastAsia="lv-LV"/>
              </w:rPr>
              <w:t>odokļu maksātāj</w:t>
            </w:r>
            <w:r>
              <w:rPr>
                <w:rFonts w:eastAsia="Times New Roman" w:cs="Times New Roman"/>
                <w:color w:val="000000"/>
                <w:sz w:val="22"/>
                <w:szCs w:val="22"/>
                <w:lang w:eastAsia="lv-LV"/>
              </w:rPr>
              <w:t>u īpatsvars</w:t>
            </w:r>
            <w:r w:rsidR="00FE79DB" w:rsidRPr="00FE79DB">
              <w:rPr>
                <w:rFonts w:eastAsia="Times New Roman" w:cs="Times New Roman"/>
                <w:color w:val="000000"/>
                <w:sz w:val="22"/>
                <w:szCs w:val="22"/>
                <w:lang w:eastAsia="lv-LV"/>
              </w:rPr>
              <w:t>, kuriem nav pieņemama / attaisnojama rīcība apzināti nemaksāt nodokļus (SKDS aptauja)</w:t>
            </w:r>
            <w:r w:rsidR="00846CF0" w:rsidRPr="00FE79DB">
              <w:rPr>
                <w:rFonts w:eastAsia="Times New Roman" w:cs="Times New Roman"/>
                <w:color w:val="000000"/>
                <w:sz w:val="22"/>
                <w:szCs w:val="22"/>
                <w:lang w:eastAsia="lv-LV"/>
              </w:rPr>
              <w:t xml:space="preserve"> </w:t>
            </w:r>
            <w:r w:rsidR="00846CF0">
              <w:rPr>
                <w:rFonts w:eastAsia="Times New Roman" w:cs="Times New Roman"/>
                <w:color w:val="000000"/>
                <w:sz w:val="22"/>
                <w:szCs w:val="22"/>
                <w:lang w:eastAsia="lv-LV"/>
              </w:rPr>
              <w:t>(</w:t>
            </w:r>
            <w:r w:rsidR="00846CF0" w:rsidRPr="00FE79DB">
              <w:rPr>
                <w:rFonts w:eastAsia="Times New Roman" w:cs="Times New Roman"/>
                <w:color w:val="000000"/>
                <w:sz w:val="22"/>
                <w:szCs w:val="22"/>
                <w:lang w:eastAsia="lv-LV"/>
              </w:rPr>
              <w:t>%</w:t>
            </w:r>
            <w:r w:rsidR="00846CF0">
              <w:rPr>
                <w:rFonts w:eastAsia="Times New Roman" w:cs="Times New Roman"/>
                <w:color w:val="000000"/>
                <w:sz w:val="22"/>
                <w:szCs w:val="22"/>
                <w:lang w:eastAsia="lv-LV"/>
              </w:rPr>
              <w:t>)</w:t>
            </w:r>
          </w:p>
        </w:tc>
      </w:tr>
      <w:tr w:rsidR="00FE79DB" w:rsidRPr="00FE79DB" w14:paraId="27BDE8C4" w14:textId="77777777" w:rsidTr="005B592B">
        <w:trPr>
          <w:trHeight w:val="70"/>
        </w:trPr>
        <w:tc>
          <w:tcPr>
            <w:tcW w:w="1170" w:type="pct"/>
            <w:vMerge/>
            <w:vAlign w:val="center"/>
            <w:hideMark/>
          </w:tcPr>
          <w:p w14:paraId="3F9BFB6D" w14:textId="77777777" w:rsidR="00FE79DB" w:rsidRPr="00FE79DB" w:rsidRDefault="00FE79DB" w:rsidP="00FE79DB">
            <w:pPr>
              <w:rPr>
                <w:rFonts w:eastAsia="Times New Roman" w:cs="Times New Roman"/>
                <w:b/>
                <w:bCs/>
                <w:color w:val="000000"/>
                <w:sz w:val="22"/>
                <w:szCs w:val="22"/>
                <w:lang w:eastAsia="lv-LV"/>
              </w:rPr>
            </w:pPr>
          </w:p>
        </w:tc>
        <w:tc>
          <w:tcPr>
            <w:tcW w:w="3830" w:type="pct"/>
            <w:shd w:val="clear" w:color="000000" w:fill="EBF1E9"/>
            <w:vAlign w:val="center"/>
            <w:hideMark/>
          </w:tcPr>
          <w:p w14:paraId="5E095991" w14:textId="75B1057B"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Muitas fizisko kontroļu rezultativitāte</w:t>
            </w:r>
            <w:r w:rsidR="00846CF0">
              <w:rPr>
                <w:rFonts w:eastAsia="Times New Roman" w:cs="Times New Roman"/>
                <w:color w:val="000000"/>
                <w:sz w:val="22"/>
                <w:szCs w:val="22"/>
                <w:lang w:eastAsia="lv-LV"/>
              </w:rPr>
              <w:t xml:space="preserve"> (</w:t>
            </w:r>
            <w:r w:rsidRPr="00FE79DB">
              <w:rPr>
                <w:rFonts w:eastAsia="Times New Roman" w:cs="Times New Roman"/>
                <w:color w:val="000000"/>
                <w:sz w:val="22"/>
                <w:szCs w:val="22"/>
                <w:lang w:eastAsia="lv-LV"/>
              </w:rPr>
              <w:t>%</w:t>
            </w:r>
            <w:r w:rsidR="00846CF0">
              <w:rPr>
                <w:rFonts w:eastAsia="Times New Roman" w:cs="Times New Roman"/>
                <w:color w:val="000000"/>
                <w:sz w:val="22"/>
                <w:szCs w:val="22"/>
                <w:lang w:eastAsia="lv-LV"/>
              </w:rPr>
              <w:t>)</w:t>
            </w:r>
          </w:p>
        </w:tc>
      </w:tr>
      <w:tr w:rsidR="00FE79DB" w:rsidRPr="00FE79DB" w14:paraId="0222C928" w14:textId="77777777" w:rsidTr="005B592B">
        <w:trPr>
          <w:trHeight w:val="70"/>
        </w:trPr>
        <w:tc>
          <w:tcPr>
            <w:tcW w:w="1170" w:type="pct"/>
            <w:vMerge/>
            <w:vAlign w:val="center"/>
            <w:hideMark/>
          </w:tcPr>
          <w:p w14:paraId="3B977FEB" w14:textId="77777777" w:rsidR="00FE79DB" w:rsidRPr="00FE79DB" w:rsidRDefault="00FE79DB" w:rsidP="00FE79DB">
            <w:pPr>
              <w:rPr>
                <w:rFonts w:eastAsia="Times New Roman" w:cs="Times New Roman"/>
                <w:b/>
                <w:bCs/>
                <w:color w:val="000000"/>
                <w:sz w:val="22"/>
                <w:szCs w:val="22"/>
                <w:lang w:eastAsia="lv-LV"/>
              </w:rPr>
            </w:pPr>
          </w:p>
        </w:tc>
        <w:tc>
          <w:tcPr>
            <w:tcW w:w="3830" w:type="pct"/>
            <w:shd w:val="clear" w:color="000000" w:fill="EBF1E9"/>
            <w:vAlign w:val="bottom"/>
            <w:hideMark/>
          </w:tcPr>
          <w:p w14:paraId="3E13369C" w14:textId="208D2FAB"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Nodokļu ķīlis</w:t>
            </w:r>
            <w:r w:rsidR="00846CF0">
              <w:rPr>
                <w:rFonts w:eastAsia="Times New Roman" w:cs="Times New Roman"/>
                <w:color w:val="000000"/>
                <w:sz w:val="22"/>
                <w:szCs w:val="22"/>
                <w:lang w:eastAsia="lv-LV"/>
              </w:rPr>
              <w:t xml:space="preserve"> (</w:t>
            </w:r>
            <w:r w:rsidRPr="00FE79DB">
              <w:rPr>
                <w:rFonts w:eastAsia="Times New Roman" w:cs="Times New Roman"/>
                <w:color w:val="000000"/>
                <w:sz w:val="22"/>
                <w:szCs w:val="22"/>
                <w:lang w:eastAsia="lv-LV"/>
              </w:rPr>
              <w:t>%</w:t>
            </w:r>
            <w:r w:rsidR="00846CF0">
              <w:rPr>
                <w:rFonts w:eastAsia="Times New Roman" w:cs="Times New Roman"/>
                <w:color w:val="000000"/>
                <w:sz w:val="22"/>
                <w:szCs w:val="22"/>
                <w:lang w:eastAsia="lv-LV"/>
              </w:rPr>
              <w:t>)</w:t>
            </w:r>
          </w:p>
        </w:tc>
      </w:tr>
      <w:tr w:rsidR="005B592B" w:rsidRPr="00FE79DB" w14:paraId="0DDEAB97" w14:textId="77777777" w:rsidTr="005B592B">
        <w:trPr>
          <w:trHeight w:val="325"/>
        </w:trPr>
        <w:tc>
          <w:tcPr>
            <w:tcW w:w="1170" w:type="pct"/>
            <w:vMerge w:val="restart"/>
            <w:shd w:val="clear" w:color="000000" w:fill="A9D18E"/>
            <w:vAlign w:val="center"/>
            <w:hideMark/>
          </w:tcPr>
          <w:p w14:paraId="0B8BA5C7" w14:textId="77777777" w:rsidR="00FE79DB" w:rsidRPr="00FE79DB" w:rsidRDefault="00FE79DB" w:rsidP="00FE79DB">
            <w:pPr>
              <w:jc w:val="center"/>
              <w:rPr>
                <w:rFonts w:eastAsia="Times New Roman" w:cs="Times New Roman"/>
                <w:b/>
                <w:bCs/>
                <w:color w:val="000000"/>
                <w:sz w:val="22"/>
                <w:szCs w:val="22"/>
                <w:lang w:eastAsia="lv-LV"/>
              </w:rPr>
            </w:pPr>
            <w:r w:rsidRPr="00FE79DB">
              <w:rPr>
                <w:rFonts w:eastAsia="Times New Roman" w:cs="Times New Roman"/>
                <w:b/>
                <w:bCs/>
                <w:color w:val="000000"/>
                <w:sz w:val="22"/>
                <w:szCs w:val="22"/>
                <w:lang w:eastAsia="lv-LV"/>
              </w:rPr>
              <w:t>Eiropas Savienības fondu vadība</w:t>
            </w:r>
          </w:p>
        </w:tc>
        <w:tc>
          <w:tcPr>
            <w:tcW w:w="3830" w:type="pct"/>
            <w:shd w:val="clear" w:color="000000" w:fill="EBF1E9"/>
            <w:vAlign w:val="bottom"/>
            <w:hideMark/>
          </w:tcPr>
          <w:p w14:paraId="07637726" w14:textId="77777777"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ES fondu un EEZ/Norvēģijas atbalsta programmu finanšu rādītāju ikgadējās investīciju prognozes izpilde (%)</w:t>
            </w:r>
          </w:p>
        </w:tc>
      </w:tr>
      <w:tr w:rsidR="00FE79DB" w:rsidRPr="00FE79DB" w14:paraId="25B0BD96" w14:textId="77777777" w:rsidTr="005B592B">
        <w:trPr>
          <w:trHeight w:val="233"/>
        </w:trPr>
        <w:tc>
          <w:tcPr>
            <w:tcW w:w="1170" w:type="pct"/>
            <w:vMerge/>
            <w:vAlign w:val="center"/>
            <w:hideMark/>
          </w:tcPr>
          <w:p w14:paraId="32696C51" w14:textId="77777777" w:rsidR="00FE79DB" w:rsidRPr="00FE79DB" w:rsidRDefault="00FE79DB" w:rsidP="00FE79DB">
            <w:pPr>
              <w:rPr>
                <w:rFonts w:eastAsia="Times New Roman" w:cs="Times New Roman"/>
                <w:b/>
                <w:bCs/>
                <w:color w:val="000000"/>
                <w:sz w:val="22"/>
                <w:szCs w:val="22"/>
                <w:lang w:eastAsia="lv-LV"/>
              </w:rPr>
            </w:pPr>
          </w:p>
        </w:tc>
        <w:tc>
          <w:tcPr>
            <w:tcW w:w="3830" w:type="pct"/>
            <w:shd w:val="clear" w:color="000000" w:fill="EBF1E9"/>
            <w:vAlign w:val="bottom"/>
            <w:hideMark/>
          </w:tcPr>
          <w:p w14:paraId="116D35AC" w14:textId="77777777"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 xml:space="preserve">Minimālais Eiropas Komisijai pieprasāmo ES fondu izdevumu slieksnis, lai nodrošinātu ikgadējo saistību izpildi (milj. </w:t>
            </w:r>
            <w:proofErr w:type="spellStart"/>
            <w:r w:rsidRPr="00FE79DB">
              <w:rPr>
                <w:rFonts w:eastAsia="Times New Roman" w:cs="Times New Roman"/>
                <w:i/>
                <w:iCs/>
                <w:color w:val="000000"/>
                <w:sz w:val="22"/>
                <w:szCs w:val="22"/>
                <w:lang w:eastAsia="lv-LV"/>
              </w:rPr>
              <w:t>euro</w:t>
            </w:r>
            <w:proofErr w:type="spellEnd"/>
            <w:r w:rsidRPr="00FE79DB">
              <w:rPr>
                <w:rFonts w:eastAsia="Times New Roman" w:cs="Times New Roman"/>
                <w:color w:val="000000"/>
                <w:sz w:val="22"/>
                <w:szCs w:val="22"/>
                <w:lang w:eastAsia="lv-LV"/>
              </w:rPr>
              <w:t>)</w:t>
            </w:r>
          </w:p>
        </w:tc>
      </w:tr>
      <w:tr w:rsidR="005B592B" w:rsidRPr="00FE79DB" w14:paraId="38E20981" w14:textId="77777777" w:rsidTr="005B592B">
        <w:trPr>
          <w:trHeight w:val="439"/>
        </w:trPr>
        <w:tc>
          <w:tcPr>
            <w:tcW w:w="1170" w:type="pct"/>
            <w:shd w:val="clear" w:color="000000" w:fill="A9D18E"/>
            <w:vAlign w:val="center"/>
            <w:hideMark/>
          </w:tcPr>
          <w:p w14:paraId="0865DC84" w14:textId="77777777" w:rsidR="00FE79DB" w:rsidRPr="00FE79DB" w:rsidRDefault="00FE79DB" w:rsidP="00FE79DB">
            <w:pPr>
              <w:jc w:val="center"/>
              <w:rPr>
                <w:rFonts w:eastAsia="Times New Roman" w:cs="Times New Roman"/>
                <w:b/>
                <w:bCs/>
                <w:color w:val="000000"/>
                <w:sz w:val="22"/>
                <w:szCs w:val="22"/>
                <w:lang w:eastAsia="lv-LV"/>
              </w:rPr>
            </w:pPr>
            <w:r w:rsidRPr="00FE79DB">
              <w:rPr>
                <w:rFonts w:eastAsia="Times New Roman" w:cs="Times New Roman"/>
                <w:b/>
                <w:bCs/>
                <w:color w:val="000000"/>
                <w:sz w:val="22"/>
                <w:szCs w:val="22"/>
                <w:lang w:eastAsia="lv-LV"/>
              </w:rPr>
              <w:t>Valsts nekustamo īpašumu būvniecības finansēšana</w:t>
            </w:r>
          </w:p>
        </w:tc>
        <w:tc>
          <w:tcPr>
            <w:tcW w:w="3830" w:type="pct"/>
            <w:shd w:val="clear" w:color="000000" w:fill="EBF1E9"/>
            <w:vAlign w:val="center"/>
            <w:hideMark/>
          </w:tcPr>
          <w:p w14:paraId="46C97032" w14:textId="2C0DC97D"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FM valdījumā un VNĪ pārvaldīšanā labā un apmierinošā stāvoklī esošu ēku un būvju īpatsvars</w:t>
            </w:r>
            <w:r w:rsidR="00846CF0">
              <w:rPr>
                <w:rFonts w:eastAsia="Times New Roman" w:cs="Times New Roman"/>
                <w:color w:val="000000"/>
                <w:sz w:val="22"/>
                <w:szCs w:val="22"/>
                <w:lang w:eastAsia="lv-LV"/>
              </w:rPr>
              <w:t xml:space="preserve"> (</w:t>
            </w:r>
            <w:r w:rsidRPr="00FE79DB">
              <w:rPr>
                <w:rFonts w:eastAsia="Times New Roman" w:cs="Times New Roman"/>
                <w:color w:val="000000"/>
                <w:sz w:val="22"/>
                <w:szCs w:val="22"/>
                <w:lang w:eastAsia="lv-LV"/>
              </w:rPr>
              <w:t>%</w:t>
            </w:r>
            <w:r w:rsidR="00846CF0">
              <w:rPr>
                <w:rFonts w:eastAsia="Times New Roman" w:cs="Times New Roman"/>
                <w:color w:val="000000"/>
                <w:sz w:val="22"/>
                <w:szCs w:val="22"/>
                <w:lang w:eastAsia="lv-LV"/>
              </w:rPr>
              <w:t>)</w:t>
            </w:r>
          </w:p>
        </w:tc>
      </w:tr>
      <w:tr w:rsidR="005B592B" w:rsidRPr="00FE79DB" w14:paraId="6FA16FAC" w14:textId="77777777" w:rsidTr="004C7170">
        <w:trPr>
          <w:trHeight w:val="223"/>
        </w:trPr>
        <w:tc>
          <w:tcPr>
            <w:tcW w:w="1170" w:type="pct"/>
            <w:tcBorders>
              <w:bottom w:val="single" w:sz="4" w:space="0" w:color="auto"/>
            </w:tcBorders>
            <w:shd w:val="clear" w:color="000000" w:fill="A9D18E"/>
            <w:vAlign w:val="center"/>
            <w:hideMark/>
          </w:tcPr>
          <w:p w14:paraId="52935D73" w14:textId="77777777" w:rsidR="00FE79DB" w:rsidRPr="00FE79DB" w:rsidRDefault="00FE79DB" w:rsidP="00FE79DB">
            <w:pPr>
              <w:jc w:val="center"/>
              <w:rPr>
                <w:rFonts w:eastAsia="Times New Roman" w:cs="Times New Roman"/>
                <w:b/>
                <w:bCs/>
                <w:color w:val="000000"/>
                <w:sz w:val="22"/>
                <w:szCs w:val="22"/>
                <w:lang w:eastAsia="lv-LV"/>
              </w:rPr>
            </w:pPr>
            <w:r w:rsidRPr="00FE79DB">
              <w:rPr>
                <w:rFonts w:eastAsia="Times New Roman" w:cs="Times New Roman"/>
                <w:b/>
                <w:bCs/>
                <w:color w:val="000000"/>
                <w:sz w:val="22"/>
                <w:szCs w:val="22"/>
                <w:lang w:eastAsia="lv-LV"/>
              </w:rPr>
              <w:t>Maksājumu nodrošināšana starptautiskajās organizācijās</w:t>
            </w:r>
          </w:p>
        </w:tc>
        <w:tc>
          <w:tcPr>
            <w:tcW w:w="3830" w:type="pct"/>
            <w:tcBorders>
              <w:bottom w:val="single" w:sz="4" w:space="0" w:color="auto"/>
            </w:tcBorders>
            <w:shd w:val="clear" w:color="000000" w:fill="EBF1E9"/>
            <w:vAlign w:val="center"/>
            <w:hideMark/>
          </w:tcPr>
          <w:p w14:paraId="7A74D878" w14:textId="622F644A"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 xml:space="preserve">Piesaistītais finansējums pret katru iemaksāto </w:t>
            </w:r>
            <w:proofErr w:type="spellStart"/>
            <w:r w:rsidRPr="00FE79DB">
              <w:rPr>
                <w:rFonts w:eastAsia="Times New Roman" w:cs="Times New Roman"/>
                <w:i/>
                <w:iCs/>
                <w:color w:val="000000"/>
                <w:sz w:val="22"/>
                <w:szCs w:val="22"/>
                <w:lang w:eastAsia="lv-LV"/>
              </w:rPr>
              <w:t>e</w:t>
            </w:r>
            <w:r w:rsidR="00E8020B" w:rsidRPr="00E8020B">
              <w:rPr>
                <w:rFonts w:eastAsia="Times New Roman" w:cs="Times New Roman"/>
                <w:i/>
                <w:iCs/>
                <w:color w:val="000000"/>
                <w:sz w:val="22"/>
                <w:szCs w:val="22"/>
                <w:lang w:eastAsia="lv-LV"/>
              </w:rPr>
              <w:t>u</w:t>
            </w:r>
            <w:r w:rsidRPr="00FE79DB">
              <w:rPr>
                <w:rFonts w:eastAsia="Times New Roman" w:cs="Times New Roman"/>
                <w:i/>
                <w:iCs/>
                <w:color w:val="000000"/>
                <w:sz w:val="22"/>
                <w:szCs w:val="22"/>
                <w:lang w:eastAsia="lv-LV"/>
              </w:rPr>
              <w:t>ro</w:t>
            </w:r>
            <w:proofErr w:type="spellEnd"/>
            <w:r w:rsidRPr="00FE79DB">
              <w:rPr>
                <w:rFonts w:eastAsia="Times New Roman" w:cs="Times New Roman"/>
                <w:color w:val="000000"/>
                <w:sz w:val="22"/>
                <w:szCs w:val="22"/>
                <w:lang w:eastAsia="lv-LV"/>
              </w:rPr>
              <w:t xml:space="preserve"> ES budžetā</w:t>
            </w:r>
            <w:r w:rsidR="00846CF0">
              <w:rPr>
                <w:rFonts w:eastAsia="Times New Roman" w:cs="Times New Roman"/>
                <w:color w:val="000000"/>
                <w:sz w:val="22"/>
                <w:szCs w:val="22"/>
                <w:lang w:eastAsia="lv-LV"/>
              </w:rPr>
              <w:t xml:space="preserve"> (</w:t>
            </w:r>
            <w:proofErr w:type="spellStart"/>
            <w:r w:rsidR="00846CF0" w:rsidRPr="00846CF0">
              <w:rPr>
                <w:rFonts w:eastAsia="Times New Roman" w:cs="Times New Roman"/>
                <w:i/>
                <w:iCs/>
                <w:color w:val="000000"/>
                <w:sz w:val="22"/>
                <w:szCs w:val="22"/>
                <w:lang w:eastAsia="lv-LV"/>
              </w:rPr>
              <w:t>euro</w:t>
            </w:r>
            <w:proofErr w:type="spellEnd"/>
            <w:r w:rsidR="00846CF0">
              <w:rPr>
                <w:rFonts w:eastAsia="Times New Roman" w:cs="Times New Roman"/>
                <w:color w:val="000000"/>
                <w:sz w:val="22"/>
                <w:szCs w:val="22"/>
                <w:lang w:eastAsia="lv-LV"/>
              </w:rPr>
              <w:t>)</w:t>
            </w:r>
          </w:p>
        </w:tc>
      </w:tr>
      <w:tr w:rsidR="005B592B" w:rsidRPr="00FE79DB" w14:paraId="728D834D" w14:textId="77777777" w:rsidTr="004C7170">
        <w:trPr>
          <w:trHeight w:val="195"/>
        </w:trPr>
        <w:tc>
          <w:tcPr>
            <w:tcW w:w="1170" w:type="pct"/>
            <w:vMerge w:val="restart"/>
            <w:tcBorders>
              <w:top w:val="single" w:sz="4" w:space="0" w:color="auto"/>
              <w:left w:val="single" w:sz="4" w:space="0" w:color="auto"/>
              <w:bottom w:val="single" w:sz="4" w:space="0" w:color="auto"/>
              <w:right w:val="single" w:sz="4" w:space="0" w:color="auto"/>
            </w:tcBorders>
            <w:shd w:val="clear" w:color="000000" w:fill="A9D18E"/>
            <w:vAlign w:val="center"/>
            <w:hideMark/>
          </w:tcPr>
          <w:p w14:paraId="1F4611E5" w14:textId="77777777" w:rsidR="00FE79DB" w:rsidRPr="00FE79DB" w:rsidRDefault="00FE79DB" w:rsidP="00FE79DB">
            <w:pPr>
              <w:jc w:val="center"/>
              <w:rPr>
                <w:rFonts w:eastAsia="Times New Roman" w:cs="Times New Roman"/>
                <w:b/>
                <w:bCs/>
                <w:color w:val="000000"/>
                <w:sz w:val="22"/>
                <w:szCs w:val="22"/>
                <w:lang w:eastAsia="lv-LV"/>
              </w:rPr>
            </w:pPr>
            <w:r w:rsidRPr="00FE79DB">
              <w:rPr>
                <w:rFonts w:eastAsia="Times New Roman" w:cs="Times New Roman"/>
                <w:b/>
                <w:bCs/>
                <w:color w:val="000000"/>
                <w:sz w:val="22"/>
                <w:szCs w:val="22"/>
                <w:lang w:eastAsia="lv-LV"/>
              </w:rPr>
              <w:t>Izložu un azartspēļu organizēšanas un uzraudzības politika</w:t>
            </w:r>
          </w:p>
        </w:tc>
        <w:tc>
          <w:tcPr>
            <w:tcW w:w="3830" w:type="pct"/>
            <w:tcBorders>
              <w:top w:val="single" w:sz="4" w:space="0" w:color="auto"/>
              <w:left w:val="single" w:sz="4" w:space="0" w:color="auto"/>
              <w:bottom w:val="single" w:sz="4" w:space="0" w:color="auto"/>
              <w:right w:val="single" w:sz="4" w:space="0" w:color="auto"/>
            </w:tcBorders>
            <w:shd w:val="clear" w:color="000000" w:fill="EBF1E9"/>
            <w:vAlign w:val="bottom"/>
            <w:hideMark/>
          </w:tcPr>
          <w:p w14:paraId="5E295422" w14:textId="005A2E9A"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Latvijā nelicencēto interaktīvo azartspēļu un izložu organizētāju piedāvāt</w:t>
            </w:r>
            <w:r w:rsidR="00846CF0">
              <w:rPr>
                <w:rFonts w:eastAsia="Times New Roman" w:cs="Times New Roman"/>
                <w:color w:val="000000"/>
                <w:sz w:val="22"/>
                <w:szCs w:val="22"/>
                <w:lang w:eastAsia="lv-LV"/>
              </w:rPr>
              <w:t>o</w:t>
            </w:r>
            <w:r w:rsidRPr="00FE79DB">
              <w:rPr>
                <w:rFonts w:eastAsia="Times New Roman" w:cs="Times New Roman"/>
                <w:color w:val="000000"/>
                <w:sz w:val="22"/>
                <w:szCs w:val="22"/>
                <w:lang w:eastAsia="lv-LV"/>
              </w:rPr>
              <w:t xml:space="preserve"> spē</w:t>
            </w:r>
            <w:r w:rsidR="00846CF0">
              <w:rPr>
                <w:rFonts w:eastAsia="Times New Roman" w:cs="Times New Roman"/>
                <w:color w:val="000000"/>
                <w:sz w:val="22"/>
                <w:szCs w:val="22"/>
                <w:lang w:eastAsia="lv-LV"/>
              </w:rPr>
              <w:t>ļu īpatsvars</w:t>
            </w:r>
            <w:r w:rsidRPr="00FE79DB">
              <w:rPr>
                <w:rFonts w:eastAsia="Times New Roman" w:cs="Times New Roman"/>
                <w:color w:val="000000"/>
                <w:sz w:val="22"/>
                <w:szCs w:val="22"/>
                <w:lang w:eastAsia="lv-LV"/>
              </w:rPr>
              <w:t xml:space="preserve"> </w:t>
            </w:r>
            <w:r w:rsidR="00846CF0" w:rsidRPr="00FE79DB">
              <w:rPr>
                <w:rFonts w:eastAsia="Times New Roman" w:cs="Times New Roman"/>
                <w:color w:val="000000"/>
                <w:sz w:val="22"/>
                <w:szCs w:val="22"/>
                <w:lang w:eastAsia="lv-LV"/>
              </w:rPr>
              <w:t xml:space="preserve">no kopējā azartspēļu un izložu tirgus </w:t>
            </w:r>
            <w:r w:rsidRPr="00FE79DB">
              <w:rPr>
                <w:rFonts w:eastAsia="Times New Roman" w:cs="Times New Roman"/>
                <w:color w:val="000000"/>
                <w:sz w:val="22"/>
                <w:szCs w:val="22"/>
                <w:lang w:eastAsia="lv-LV"/>
              </w:rPr>
              <w:t>(%)</w:t>
            </w:r>
          </w:p>
        </w:tc>
      </w:tr>
      <w:tr w:rsidR="00FE79DB" w:rsidRPr="00FE79DB" w14:paraId="0ED785EA" w14:textId="77777777" w:rsidTr="004C7170">
        <w:trPr>
          <w:trHeight w:val="401"/>
        </w:trPr>
        <w:tc>
          <w:tcPr>
            <w:tcW w:w="1170" w:type="pct"/>
            <w:vMerge/>
            <w:tcBorders>
              <w:top w:val="single" w:sz="4" w:space="0" w:color="auto"/>
              <w:left w:val="single" w:sz="4" w:space="0" w:color="auto"/>
              <w:bottom w:val="single" w:sz="4" w:space="0" w:color="auto"/>
              <w:right w:val="single" w:sz="4" w:space="0" w:color="auto"/>
            </w:tcBorders>
            <w:vAlign w:val="center"/>
            <w:hideMark/>
          </w:tcPr>
          <w:p w14:paraId="39F310D7" w14:textId="77777777" w:rsidR="00FE79DB" w:rsidRPr="00FE79DB" w:rsidRDefault="00FE79DB" w:rsidP="00FE79DB">
            <w:pPr>
              <w:rPr>
                <w:rFonts w:eastAsia="Times New Roman" w:cs="Times New Roman"/>
                <w:b/>
                <w:bCs/>
                <w:color w:val="000000"/>
                <w:sz w:val="22"/>
                <w:szCs w:val="22"/>
                <w:lang w:eastAsia="lv-LV"/>
              </w:rPr>
            </w:pPr>
          </w:p>
        </w:tc>
        <w:tc>
          <w:tcPr>
            <w:tcW w:w="3830" w:type="pct"/>
            <w:tcBorders>
              <w:top w:val="single" w:sz="4" w:space="0" w:color="auto"/>
              <w:left w:val="single" w:sz="4" w:space="0" w:color="auto"/>
              <w:bottom w:val="single" w:sz="4" w:space="0" w:color="auto"/>
              <w:right w:val="single" w:sz="4" w:space="0" w:color="auto"/>
            </w:tcBorders>
            <w:shd w:val="clear" w:color="000000" w:fill="EBF1E9"/>
            <w:vAlign w:val="bottom"/>
            <w:hideMark/>
          </w:tcPr>
          <w:p w14:paraId="3CD9E94A" w14:textId="79155D97" w:rsidR="00FE79DB" w:rsidRPr="00FE79DB" w:rsidRDefault="00FE79DB" w:rsidP="00FE79DB">
            <w:pPr>
              <w:jc w:val="center"/>
              <w:rPr>
                <w:rFonts w:eastAsia="Times New Roman" w:cs="Times New Roman"/>
                <w:color w:val="000000"/>
                <w:sz w:val="22"/>
                <w:szCs w:val="22"/>
                <w:lang w:eastAsia="lv-LV"/>
              </w:rPr>
            </w:pPr>
            <w:r w:rsidRPr="00FE79DB">
              <w:rPr>
                <w:rFonts w:eastAsia="Times New Roman" w:cs="Times New Roman"/>
                <w:color w:val="000000"/>
                <w:sz w:val="22"/>
                <w:szCs w:val="22"/>
                <w:lang w:eastAsia="lv-LV"/>
              </w:rPr>
              <w:t xml:space="preserve">Pozitīvi ietekmēto problemātisko vai potenciāli problemātisko spēlētāju </w:t>
            </w:r>
            <w:r w:rsidR="00846CF0">
              <w:rPr>
                <w:rFonts w:eastAsia="Times New Roman" w:cs="Times New Roman"/>
                <w:color w:val="000000"/>
                <w:sz w:val="22"/>
                <w:szCs w:val="22"/>
                <w:lang w:eastAsia="lv-LV"/>
              </w:rPr>
              <w:t>īpatsvars</w:t>
            </w:r>
            <w:r w:rsidRPr="00FE79DB">
              <w:rPr>
                <w:rFonts w:eastAsia="Times New Roman" w:cs="Times New Roman"/>
                <w:color w:val="000000"/>
                <w:sz w:val="22"/>
                <w:szCs w:val="22"/>
                <w:lang w:eastAsia="lv-LV"/>
              </w:rPr>
              <w:t xml:space="preserve"> </w:t>
            </w:r>
            <w:r w:rsidR="00846CF0" w:rsidRPr="00FE79DB">
              <w:rPr>
                <w:rFonts w:eastAsia="Times New Roman" w:cs="Times New Roman"/>
                <w:color w:val="000000"/>
                <w:sz w:val="22"/>
                <w:szCs w:val="22"/>
                <w:lang w:eastAsia="lv-LV"/>
              </w:rPr>
              <w:t xml:space="preserve">no visiem potenciāli problemātiskajiem un problemātiskajiem spēlētājiem </w:t>
            </w:r>
            <w:r w:rsidRPr="00FE79DB">
              <w:rPr>
                <w:rFonts w:eastAsia="Times New Roman" w:cs="Times New Roman"/>
                <w:color w:val="000000"/>
                <w:sz w:val="22"/>
                <w:szCs w:val="22"/>
                <w:lang w:eastAsia="lv-LV"/>
              </w:rPr>
              <w:t>(%)</w:t>
            </w:r>
          </w:p>
        </w:tc>
      </w:tr>
    </w:tbl>
    <w:p w14:paraId="09A75A59" w14:textId="77777777" w:rsidR="004B154D" w:rsidRDefault="004B154D" w:rsidP="0056451E">
      <w:pPr>
        <w:spacing w:after="120"/>
        <w:rPr>
          <w:bCs/>
        </w:rPr>
      </w:pPr>
    </w:p>
    <w:p w14:paraId="07D6C83A" w14:textId="29231DA0" w:rsidR="00E8020B" w:rsidRPr="004B154D" w:rsidRDefault="004B154D" w:rsidP="004B154D">
      <w:pPr>
        <w:spacing w:after="120"/>
        <w:rPr>
          <w:bCs/>
        </w:rPr>
      </w:pPr>
      <w:proofErr w:type="spellStart"/>
      <w:r w:rsidRPr="004B154D">
        <w:rPr>
          <w:bCs/>
        </w:rPr>
        <w:t>Iekšlietu</w:t>
      </w:r>
      <w:proofErr w:type="spellEnd"/>
      <w:r w:rsidRPr="004B154D">
        <w:rPr>
          <w:bCs/>
        </w:rPr>
        <w:t xml:space="preserve"> ministrija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39"/>
      </w:tblGrid>
      <w:tr w:rsidR="005B592B" w:rsidRPr="004B154D" w14:paraId="11FCBE45" w14:textId="77777777" w:rsidTr="00E20E29">
        <w:trPr>
          <w:trHeight w:val="70"/>
          <w:tblHeader/>
        </w:trPr>
        <w:tc>
          <w:tcPr>
            <w:tcW w:w="1171" w:type="pct"/>
            <w:shd w:val="clear" w:color="auto" w:fill="A8D08D" w:themeFill="accent6" w:themeFillTint="99"/>
            <w:noWrap/>
            <w:vAlign w:val="bottom"/>
            <w:hideMark/>
          </w:tcPr>
          <w:p w14:paraId="3466F4F7" w14:textId="77777777" w:rsidR="004B154D" w:rsidRPr="004B154D" w:rsidRDefault="004B154D" w:rsidP="004B154D">
            <w:pPr>
              <w:jc w:val="center"/>
              <w:rPr>
                <w:rFonts w:eastAsia="Times New Roman" w:cs="Times New Roman"/>
                <w:b/>
                <w:bCs/>
                <w:color w:val="000000"/>
                <w:sz w:val="22"/>
                <w:szCs w:val="22"/>
                <w:lang w:eastAsia="lv-LV"/>
              </w:rPr>
            </w:pPr>
            <w:r w:rsidRPr="004B154D">
              <w:rPr>
                <w:rFonts w:eastAsia="Times New Roman" w:cs="Times New Roman"/>
                <w:b/>
                <w:bCs/>
                <w:color w:val="000000"/>
                <w:sz w:val="22"/>
                <w:szCs w:val="22"/>
                <w:lang w:eastAsia="lv-LV"/>
              </w:rPr>
              <w:t xml:space="preserve">Joma </w:t>
            </w:r>
          </w:p>
        </w:tc>
        <w:tc>
          <w:tcPr>
            <w:tcW w:w="3829" w:type="pct"/>
            <w:shd w:val="clear" w:color="000000" w:fill="A9D08E"/>
            <w:noWrap/>
            <w:vAlign w:val="bottom"/>
            <w:hideMark/>
          </w:tcPr>
          <w:p w14:paraId="6CD06698" w14:textId="77777777" w:rsidR="004B154D" w:rsidRPr="004B154D" w:rsidRDefault="004B154D" w:rsidP="004B154D">
            <w:pPr>
              <w:jc w:val="center"/>
              <w:rPr>
                <w:rFonts w:eastAsia="Times New Roman" w:cs="Times New Roman"/>
                <w:b/>
                <w:bCs/>
                <w:color w:val="000000"/>
                <w:sz w:val="22"/>
                <w:szCs w:val="22"/>
                <w:lang w:eastAsia="lv-LV"/>
              </w:rPr>
            </w:pPr>
            <w:r w:rsidRPr="004B154D">
              <w:rPr>
                <w:rFonts w:eastAsia="Times New Roman" w:cs="Times New Roman"/>
                <w:b/>
                <w:bCs/>
                <w:color w:val="000000"/>
                <w:sz w:val="22"/>
                <w:szCs w:val="22"/>
                <w:lang w:eastAsia="lv-LV"/>
              </w:rPr>
              <w:t>Politikas rezultatīvie rādītāji</w:t>
            </w:r>
          </w:p>
        </w:tc>
      </w:tr>
      <w:tr w:rsidR="005B592B" w:rsidRPr="004B154D" w14:paraId="104DCBD7" w14:textId="77777777" w:rsidTr="00846CF0">
        <w:trPr>
          <w:trHeight w:val="178"/>
        </w:trPr>
        <w:tc>
          <w:tcPr>
            <w:tcW w:w="1171" w:type="pct"/>
            <w:vMerge w:val="restart"/>
            <w:shd w:val="clear" w:color="auto" w:fill="A8D08D" w:themeFill="accent6" w:themeFillTint="99"/>
            <w:vAlign w:val="center"/>
            <w:hideMark/>
          </w:tcPr>
          <w:p w14:paraId="281C2A05" w14:textId="77777777" w:rsidR="004B154D" w:rsidRPr="004B154D" w:rsidRDefault="004B154D" w:rsidP="004B154D">
            <w:pPr>
              <w:jc w:val="center"/>
              <w:rPr>
                <w:rFonts w:eastAsia="Times New Roman" w:cs="Times New Roman"/>
                <w:b/>
                <w:bCs/>
                <w:color w:val="000000"/>
                <w:sz w:val="22"/>
                <w:szCs w:val="22"/>
                <w:lang w:eastAsia="lv-LV"/>
              </w:rPr>
            </w:pPr>
            <w:r w:rsidRPr="004B154D">
              <w:rPr>
                <w:rFonts w:eastAsia="Times New Roman" w:cs="Times New Roman"/>
                <w:b/>
                <w:bCs/>
                <w:color w:val="000000"/>
                <w:sz w:val="22"/>
                <w:szCs w:val="22"/>
                <w:lang w:eastAsia="lv-LV"/>
              </w:rPr>
              <w:t xml:space="preserve">Sabiedriskā kārtība un drošība, </w:t>
            </w:r>
            <w:r w:rsidRPr="004B154D">
              <w:rPr>
                <w:rFonts w:eastAsia="Times New Roman" w:cs="Times New Roman"/>
                <w:b/>
                <w:bCs/>
                <w:color w:val="000000"/>
                <w:sz w:val="22"/>
                <w:szCs w:val="22"/>
                <w:lang w:eastAsia="lv-LV"/>
              </w:rPr>
              <w:lastRenderedPageBreak/>
              <w:t>noziedzības novēršana un apkarošana</w:t>
            </w:r>
          </w:p>
        </w:tc>
        <w:tc>
          <w:tcPr>
            <w:tcW w:w="3829" w:type="pct"/>
            <w:shd w:val="clear" w:color="000000" w:fill="EBF1E9"/>
            <w:vAlign w:val="center"/>
            <w:hideMark/>
          </w:tcPr>
          <w:p w14:paraId="5B84CA32" w14:textId="336D32D9" w:rsidR="004B154D" w:rsidRPr="004B154D" w:rsidRDefault="004B154D" w:rsidP="004B154D">
            <w:pPr>
              <w:jc w:val="center"/>
              <w:rPr>
                <w:rFonts w:eastAsia="Times New Roman" w:cs="Times New Roman"/>
                <w:color w:val="000000"/>
                <w:sz w:val="22"/>
                <w:szCs w:val="22"/>
                <w:lang w:eastAsia="lv-LV"/>
              </w:rPr>
            </w:pPr>
            <w:r w:rsidRPr="004B154D">
              <w:rPr>
                <w:rFonts w:eastAsia="Times New Roman" w:cs="Times New Roman"/>
                <w:color w:val="000000"/>
                <w:sz w:val="22"/>
                <w:szCs w:val="22"/>
                <w:lang w:eastAsia="lv-LV"/>
              </w:rPr>
              <w:lastRenderedPageBreak/>
              <w:t>Noziedzīg</w:t>
            </w:r>
            <w:r w:rsidR="00846CF0">
              <w:rPr>
                <w:rFonts w:eastAsia="Times New Roman" w:cs="Times New Roman"/>
                <w:color w:val="000000"/>
                <w:sz w:val="22"/>
                <w:szCs w:val="22"/>
                <w:lang w:eastAsia="lv-LV"/>
              </w:rPr>
              <w:t>ie</w:t>
            </w:r>
            <w:r w:rsidRPr="004B154D">
              <w:rPr>
                <w:rFonts w:eastAsia="Times New Roman" w:cs="Times New Roman"/>
                <w:color w:val="000000"/>
                <w:sz w:val="22"/>
                <w:szCs w:val="22"/>
                <w:lang w:eastAsia="lv-LV"/>
              </w:rPr>
              <w:t xml:space="preserve"> nodarījum</w:t>
            </w:r>
            <w:r w:rsidR="00846CF0">
              <w:rPr>
                <w:rFonts w:eastAsia="Times New Roman" w:cs="Times New Roman"/>
                <w:color w:val="000000"/>
                <w:sz w:val="22"/>
                <w:szCs w:val="22"/>
                <w:lang w:eastAsia="lv-LV"/>
              </w:rPr>
              <w:t>i</w:t>
            </w:r>
            <w:r w:rsidRPr="004B154D">
              <w:rPr>
                <w:rFonts w:eastAsia="Times New Roman" w:cs="Times New Roman"/>
                <w:color w:val="000000"/>
                <w:sz w:val="22"/>
                <w:szCs w:val="22"/>
                <w:lang w:eastAsia="lv-LV"/>
              </w:rPr>
              <w:t xml:space="preserve"> uz 100 000 iedzīvotājiem </w:t>
            </w:r>
            <w:r w:rsidR="00846CF0">
              <w:rPr>
                <w:rFonts w:eastAsia="Times New Roman" w:cs="Times New Roman"/>
                <w:color w:val="000000"/>
                <w:sz w:val="22"/>
                <w:szCs w:val="22"/>
                <w:lang w:eastAsia="lv-LV"/>
              </w:rPr>
              <w:t xml:space="preserve">(skaits) </w:t>
            </w:r>
            <w:r w:rsidRPr="004B154D">
              <w:rPr>
                <w:rFonts w:eastAsia="Times New Roman" w:cs="Times New Roman"/>
                <w:color w:val="000000"/>
                <w:sz w:val="22"/>
                <w:szCs w:val="22"/>
                <w:lang w:eastAsia="lv-LV"/>
              </w:rPr>
              <w:t>(Valsts policija)</w:t>
            </w:r>
          </w:p>
        </w:tc>
      </w:tr>
      <w:tr w:rsidR="005B592B" w:rsidRPr="004B154D" w14:paraId="4CC835E1" w14:textId="77777777" w:rsidTr="005B592B">
        <w:trPr>
          <w:trHeight w:val="228"/>
        </w:trPr>
        <w:tc>
          <w:tcPr>
            <w:tcW w:w="1171" w:type="pct"/>
            <w:vMerge/>
            <w:shd w:val="clear" w:color="auto" w:fill="A8D08D" w:themeFill="accent6" w:themeFillTint="99"/>
            <w:vAlign w:val="center"/>
            <w:hideMark/>
          </w:tcPr>
          <w:p w14:paraId="1391AB42" w14:textId="77777777" w:rsidR="004B154D" w:rsidRPr="004B154D" w:rsidRDefault="004B154D" w:rsidP="004B154D">
            <w:pPr>
              <w:rPr>
                <w:rFonts w:eastAsia="Times New Roman" w:cs="Times New Roman"/>
                <w:b/>
                <w:bCs/>
                <w:color w:val="000000"/>
                <w:sz w:val="22"/>
                <w:szCs w:val="22"/>
                <w:lang w:eastAsia="lv-LV"/>
              </w:rPr>
            </w:pPr>
          </w:p>
        </w:tc>
        <w:tc>
          <w:tcPr>
            <w:tcW w:w="3829" w:type="pct"/>
            <w:shd w:val="clear" w:color="000000" w:fill="EBF1E9"/>
            <w:vAlign w:val="center"/>
            <w:hideMark/>
          </w:tcPr>
          <w:p w14:paraId="5663C6A3" w14:textId="02AAFD53" w:rsidR="004B154D" w:rsidRPr="004B154D" w:rsidRDefault="004B154D" w:rsidP="004B154D">
            <w:pPr>
              <w:jc w:val="center"/>
              <w:rPr>
                <w:rFonts w:eastAsia="Times New Roman" w:cs="Times New Roman"/>
                <w:color w:val="000000"/>
                <w:sz w:val="22"/>
                <w:szCs w:val="22"/>
                <w:lang w:eastAsia="lv-LV"/>
              </w:rPr>
            </w:pPr>
            <w:r w:rsidRPr="004B154D">
              <w:rPr>
                <w:rFonts w:eastAsia="Times New Roman" w:cs="Times New Roman"/>
                <w:color w:val="000000"/>
                <w:sz w:val="22"/>
                <w:szCs w:val="22"/>
                <w:lang w:eastAsia="lv-LV"/>
              </w:rPr>
              <w:t xml:space="preserve">Atklāto noziedzīgo nodarījumu īpatsvars </w:t>
            </w:r>
            <w:r w:rsidR="00846CF0">
              <w:rPr>
                <w:rFonts w:eastAsia="Times New Roman" w:cs="Times New Roman"/>
                <w:color w:val="000000"/>
                <w:sz w:val="22"/>
                <w:szCs w:val="22"/>
                <w:lang w:eastAsia="lv-LV"/>
              </w:rPr>
              <w:t>(</w:t>
            </w:r>
            <w:r w:rsidRPr="004B154D">
              <w:rPr>
                <w:rFonts w:eastAsia="Times New Roman" w:cs="Times New Roman"/>
                <w:color w:val="000000"/>
                <w:sz w:val="22"/>
                <w:szCs w:val="22"/>
                <w:lang w:eastAsia="lv-LV"/>
              </w:rPr>
              <w:t>%</w:t>
            </w:r>
            <w:r w:rsidR="00846CF0">
              <w:rPr>
                <w:rFonts w:eastAsia="Times New Roman" w:cs="Times New Roman"/>
                <w:color w:val="000000"/>
                <w:sz w:val="22"/>
                <w:szCs w:val="22"/>
                <w:lang w:eastAsia="lv-LV"/>
              </w:rPr>
              <w:t>)</w:t>
            </w:r>
            <w:r w:rsidRPr="004B154D">
              <w:rPr>
                <w:rFonts w:eastAsia="Times New Roman" w:cs="Times New Roman"/>
                <w:color w:val="000000"/>
                <w:sz w:val="22"/>
                <w:szCs w:val="22"/>
                <w:lang w:eastAsia="lv-LV"/>
              </w:rPr>
              <w:t xml:space="preserve"> (Valsts policija)</w:t>
            </w:r>
          </w:p>
        </w:tc>
      </w:tr>
      <w:tr w:rsidR="005B592B" w:rsidRPr="004B154D" w14:paraId="465AA71B" w14:textId="77777777" w:rsidTr="005B592B">
        <w:trPr>
          <w:trHeight w:val="259"/>
        </w:trPr>
        <w:tc>
          <w:tcPr>
            <w:tcW w:w="1171" w:type="pct"/>
            <w:vMerge/>
            <w:shd w:val="clear" w:color="auto" w:fill="A8D08D" w:themeFill="accent6" w:themeFillTint="99"/>
            <w:vAlign w:val="center"/>
            <w:hideMark/>
          </w:tcPr>
          <w:p w14:paraId="37C7CA56" w14:textId="77777777" w:rsidR="004B154D" w:rsidRPr="004B154D" w:rsidRDefault="004B154D" w:rsidP="004B154D">
            <w:pPr>
              <w:rPr>
                <w:rFonts w:eastAsia="Times New Roman" w:cs="Times New Roman"/>
                <w:b/>
                <w:bCs/>
                <w:color w:val="000000"/>
                <w:sz w:val="22"/>
                <w:szCs w:val="22"/>
                <w:lang w:eastAsia="lv-LV"/>
              </w:rPr>
            </w:pPr>
          </w:p>
        </w:tc>
        <w:tc>
          <w:tcPr>
            <w:tcW w:w="3829" w:type="pct"/>
            <w:shd w:val="clear" w:color="000000" w:fill="EBF1E9"/>
            <w:vAlign w:val="center"/>
            <w:hideMark/>
          </w:tcPr>
          <w:p w14:paraId="06AA17AB" w14:textId="24C79A2F" w:rsidR="004B154D" w:rsidRPr="004B154D" w:rsidRDefault="004B154D" w:rsidP="004B154D">
            <w:pPr>
              <w:jc w:val="center"/>
              <w:rPr>
                <w:rFonts w:eastAsia="Times New Roman" w:cs="Times New Roman"/>
                <w:color w:val="000000"/>
                <w:sz w:val="22"/>
                <w:szCs w:val="22"/>
                <w:lang w:eastAsia="lv-LV"/>
              </w:rPr>
            </w:pPr>
            <w:r w:rsidRPr="004B154D">
              <w:rPr>
                <w:rFonts w:eastAsia="Times New Roman" w:cs="Times New Roman"/>
                <w:color w:val="000000"/>
                <w:sz w:val="22"/>
                <w:szCs w:val="22"/>
                <w:lang w:eastAsia="lv-LV"/>
              </w:rPr>
              <w:t>Sabiedrības vērtējums par drošību savā dzīvesvietā un tās apkārtnē</w:t>
            </w:r>
            <w:r w:rsidR="00846CF0">
              <w:rPr>
                <w:rFonts w:eastAsia="Times New Roman" w:cs="Times New Roman"/>
                <w:color w:val="000000"/>
                <w:sz w:val="22"/>
                <w:szCs w:val="22"/>
                <w:lang w:eastAsia="lv-LV"/>
              </w:rPr>
              <w:t xml:space="preserve"> (</w:t>
            </w:r>
            <w:r w:rsidRPr="004B154D">
              <w:rPr>
                <w:rFonts w:eastAsia="Times New Roman" w:cs="Times New Roman"/>
                <w:color w:val="000000"/>
                <w:sz w:val="22"/>
                <w:szCs w:val="22"/>
                <w:lang w:eastAsia="lv-LV"/>
              </w:rPr>
              <w:t>%</w:t>
            </w:r>
            <w:r w:rsidR="00846CF0">
              <w:rPr>
                <w:rFonts w:eastAsia="Times New Roman" w:cs="Times New Roman"/>
                <w:color w:val="000000"/>
                <w:sz w:val="22"/>
                <w:szCs w:val="22"/>
                <w:lang w:eastAsia="lv-LV"/>
              </w:rPr>
              <w:t>)</w:t>
            </w:r>
            <w:r w:rsidRPr="004B154D">
              <w:rPr>
                <w:rFonts w:eastAsia="Times New Roman" w:cs="Times New Roman"/>
                <w:color w:val="000000"/>
                <w:sz w:val="22"/>
                <w:szCs w:val="22"/>
                <w:lang w:eastAsia="lv-LV"/>
              </w:rPr>
              <w:t xml:space="preserve"> (Valsts policija)</w:t>
            </w:r>
          </w:p>
        </w:tc>
      </w:tr>
      <w:tr w:rsidR="005B592B" w:rsidRPr="004B154D" w14:paraId="58A5D850" w14:textId="77777777" w:rsidTr="005B592B">
        <w:trPr>
          <w:trHeight w:val="153"/>
        </w:trPr>
        <w:tc>
          <w:tcPr>
            <w:tcW w:w="1171" w:type="pct"/>
            <w:vMerge/>
            <w:shd w:val="clear" w:color="auto" w:fill="A8D08D" w:themeFill="accent6" w:themeFillTint="99"/>
            <w:vAlign w:val="center"/>
            <w:hideMark/>
          </w:tcPr>
          <w:p w14:paraId="1EC98230" w14:textId="77777777" w:rsidR="004B154D" w:rsidRPr="004B154D" w:rsidRDefault="004B154D" w:rsidP="004B154D">
            <w:pPr>
              <w:rPr>
                <w:rFonts w:eastAsia="Times New Roman" w:cs="Times New Roman"/>
                <w:b/>
                <w:bCs/>
                <w:color w:val="000000"/>
                <w:sz w:val="22"/>
                <w:szCs w:val="22"/>
                <w:lang w:eastAsia="lv-LV"/>
              </w:rPr>
            </w:pPr>
          </w:p>
        </w:tc>
        <w:tc>
          <w:tcPr>
            <w:tcW w:w="3829" w:type="pct"/>
            <w:shd w:val="clear" w:color="000000" w:fill="EBF1E9"/>
            <w:vAlign w:val="center"/>
            <w:hideMark/>
          </w:tcPr>
          <w:p w14:paraId="33943AF0" w14:textId="3C0F4493" w:rsidR="004B154D" w:rsidRPr="004B154D" w:rsidRDefault="004B154D" w:rsidP="004B154D">
            <w:pPr>
              <w:jc w:val="center"/>
              <w:rPr>
                <w:rFonts w:eastAsia="Times New Roman" w:cs="Times New Roman"/>
                <w:color w:val="000000"/>
                <w:sz w:val="22"/>
                <w:szCs w:val="22"/>
                <w:lang w:eastAsia="lv-LV"/>
              </w:rPr>
            </w:pPr>
            <w:r w:rsidRPr="004B154D">
              <w:rPr>
                <w:rFonts w:eastAsia="Times New Roman" w:cs="Times New Roman"/>
                <w:color w:val="000000"/>
                <w:sz w:val="22"/>
                <w:szCs w:val="22"/>
                <w:lang w:eastAsia="lv-LV"/>
              </w:rPr>
              <w:t>Institūciju rādītājs</w:t>
            </w:r>
            <w:r w:rsidR="00846CF0">
              <w:rPr>
                <w:rFonts w:eastAsia="Times New Roman" w:cs="Times New Roman"/>
                <w:color w:val="000000"/>
                <w:sz w:val="22"/>
                <w:szCs w:val="22"/>
                <w:lang w:eastAsia="lv-LV"/>
              </w:rPr>
              <w:t xml:space="preserve"> </w:t>
            </w:r>
            <w:r w:rsidRPr="004B154D">
              <w:rPr>
                <w:rFonts w:eastAsia="Times New Roman" w:cs="Times New Roman"/>
                <w:color w:val="000000"/>
                <w:sz w:val="22"/>
                <w:szCs w:val="22"/>
                <w:lang w:eastAsia="lv-LV"/>
              </w:rPr>
              <w:t>(Globālās konkurētspējas indekss)</w:t>
            </w:r>
            <w:r w:rsidR="00846CF0" w:rsidRPr="004B154D">
              <w:rPr>
                <w:rFonts w:eastAsia="Times New Roman" w:cs="Times New Roman"/>
                <w:color w:val="000000"/>
                <w:sz w:val="22"/>
                <w:szCs w:val="22"/>
                <w:lang w:eastAsia="lv-LV"/>
              </w:rPr>
              <w:t xml:space="preserve"> </w:t>
            </w:r>
            <w:r w:rsidR="00846CF0">
              <w:rPr>
                <w:rFonts w:eastAsia="Times New Roman" w:cs="Times New Roman"/>
                <w:color w:val="000000"/>
                <w:sz w:val="22"/>
                <w:szCs w:val="22"/>
                <w:lang w:eastAsia="lv-LV"/>
              </w:rPr>
              <w:t>(</w:t>
            </w:r>
            <w:r w:rsidR="00846CF0" w:rsidRPr="004B154D">
              <w:rPr>
                <w:rFonts w:eastAsia="Times New Roman" w:cs="Times New Roman"/>
                <w:color w:val="000000"/>
                <w:sz w:val="22"/>
                <w:szCs w:val="22"/>
                <w:lang w:eastAsia="lv-LV"/>
              </w:rPr>
              <w:t>vieta</w:t>
            </w:r>
            <w:r w:rsidR="00846CF0">
              <w:rPr>
                <w:rFonts w:eastAsia="Times New Roman" w:cs="Times New Roman"/>
                <w:color w:val="000000"/>
                <w:sz w:val="22"/>
                <w:szCs w:val="22"/>
                <w:lang w:eastAsia="lv-LV"/>
              </w:rPr>
              <w:t>)</w:t>
            </w:r>
          </w:p>
        </w:tc>
      </w:tr>
      <w:tr w:rsidR="005B592B" w:rsidRPr="004B154D" w14:paraId="45EC55E4" w14:textId="77777777" w:rsidTr="005B592B">
        <w:trPr>
          <w:trHeight w:val="185"/>
        </w:trPr>
        <w:tc>
          <w:tcPr>
            <w:tcW w:w="1171" w:type="pct"/>
            <w:vMerge/>
            <w:shd w:val="clear" w:color="auto" w:fill="A8D08D" w:themeFill="accent6" w:themeFillTint="99"/>
            <w:vAlign w:val="center"/>
            <w:hideMark/>
          </w:tcPr>
          <w:p w14:paraId="6D6847B5" w14:textId="77777777" w:rsidR="004B154D" w:rsidRPr="004B154D" w:rsidRDefault="004B154D" w:rsidP="004B154D">
            <w:pPr>
              <w:rPr>
                <w:rFonts w:eastAsia="Times New Roman" w:cs="Times New Roman"/>
                <w:b/>
                <w:bCs/>
                <w:color w:val="000000"/>
                <w:sz w:val="22"/>
                <w:szCs w:val="22"/>
                <w:lang w:eastAsia="lv-LV"/>
              </w:rPr>
            </w:pPr>
          </w:p>
        </w:tc>
        <w:tc>
          <w:tcPr>
            <w:tcW w:w="3829" w:type="pct"/>
            <w:shd w:val="clear" w:color="000000" w:fill="EBF1E9"/>
            <w:vAlign w:val="center"/>
            <w:hideMark/>
          </w:tcPr>
          <w:p w14:paraId="5493D201" w14:textId="3F87D287" w:rsidR="004B154D" w:rsidRPr="004B154D" w:rsidRDefault="004B154D" w:rsidP="004B154D">
            <w:pPr>
              <w:jc w:val="center"/>
              <w:rPr>
                <w:rFonts w:eastAsia="Times New Roman" w:cs="Times New Roman"/>
                <w:color w:val="000000"/>
                <w:sz w:val="22"/>
                <w:szCs w:val="22"/>
                <w:lang w:eastAsia="lv-LV"/>
              </w:rPr>
            </w:pPr>
            <w:r w:rsidRPr="004B154D">
              <w:rPr>
                <w:rFonts w:eastAsia="Times New Roman" w:cs="Times New Roman"/>
                <w:color w:val="000000"/>
                <w:sz w:val="22"/>
                <w:szCs w:val="22"/>
                <w:lang w:eastAsia="lv-LV"/>
              </w:rPr>
              <w:t>Ceļu satiksmes negadījumos bojā gājušo skaita samazinājums</w:t>
            </w:r>
            <w:r w:rsidR="00846CF0">
              <w:rPr>
                <w:rFonts w:eastAsia="Times New Roman" w:cs="Times New Roman"/>
                <w:color w:val="000000"/>
                <w:sz w:val="22"/>
                <w:szCs w:val="22"/>
                <w:lang w:eastAsia="lv-LV"/>
              </w:rPr>
              <w:t xml:space="preserve"> (</w:t>
            </w:r>
            <w:r w:rsidRPr="004B154D">
              <w:rPr>
                <w:rFonts w:eastAsia="Times New Roman" w:cs="Times New Roman"/>
                <w:color w:val="000000"/>
                <w:sz w:val="22"/>
                <w:szCs w:val="22"/>
                <w:lang w:eastAsia="lv-LV"/>
              </w:rPr>
              <w:t>%</w:t>
            </w:r>
            <w:r w:rsidR="00846CF0">
              <w:rPr>
                <w:rFonts w:eastAsia="Times New Roman" w:cs="Times New Roman"/>
                <w:color w:val="000000"/>
                <w:sz w:val="22"/>
                <w:szCs w:val="22"/>
                <w:lang w:eastAsia="lv-LV"/>
              </w:rPr>
              <w:t>)</w:t>
            </w:r>
          </w:p>
        </w:tc>
      </w:tr>
      <w:tr w:rsidR="005B592B" w:rsidRPr="004B154D" w14:paraId="69202E3F" w14:textId="77777777" w:rsidTr="005B592B">
        <w:trPr>
          <w:trHeight w:val="70"/>
        </w:trPr>
        <w:tc>
          <w:tcPr>
            <w:tcW w:w="1171" w:type="pct"/>
            <w:vMerge/>
            <w:shd w:val="clear" w:color="auto" w:fill="A8D08D" w:themeFill="accent6" w:themeFillTint="99"/>
            <w:vAlign w:val="center"/>
            <w:hideMark/>
          </w:tcPr>
          <w:p w14:paraId="16A7EA64" w14:textId="77777777" w:rsidR="004B154D" w:rsidRPr="004B154D" w:rsidRDefault="004B154D" w:rsidP="004B154D">
            <w:pPr>
              <w:rPr>
                <w:rFonts w:eastAsia="Times New Roman" w:cs="Times New Roman"/>
                <w:b/>
                <w:bCs/>
                <w:color w:val="000000"/>
                <w:sz w:val="22"/>
                <w:szCs w:val="22"/>
                <w:lang w:eastAsia="lv-LV"/>
              </w:rPr>
            </w:pPr>
          </w:p>
        </w:tc>
        <w:tc>
          <w:tcPr>
            <w:tcW w:w="3829" w:type="pct"/>
            <w:shd w:val="clear" w:color="000000" w:fill="EBF1E9"/>
            <w:vAlign w:val="center"/>
            <w:hideMark/>
          </w:tcPr>
          <w:p w14:paraId="42D7BAA5" w14:textId="34FC9209" w:rsidR="004B154D" w:rsidRPr="004B154D" w:rsidRDefault="004B154D" w:rsidP="004B154D">
            <w:pPr>
              <w:jc w:val="center"/>
              <w:rPr>
                <w:rFonts w:eastAsia="Times New Roman" w:cs="Times New Roman"/>
                <w:color w:val="000000"/>
                <w:sz w:val="22"/>
                <w:szCs w:val="22"/>
                <w:lang w:eastAsia="lv-LV"/>
              </w:rPr>
            </w:pPr>
            <w:r w:rsidRPr="004B154D">
              <w:rPr>
                <w:rFonts w:eastAsia="Times New Roman" w:cs="Times New Roman"/>
                <w:color w:val="000000"/>
                <w:sz w:val="22"/>
                <w:szCs w:val="22"/>
                <w:lang w:eastAsia="lv-LV"/>
              </w:rPr>
              <w:t>Iedzīvotāju politiskās uzticēšanās indekss (tiesībaizsardzības sistēma/policija</w:t>
            </w:r>
            <w:r w:rsidR="00610254">
              <w:rPr>
                <w:rFonts w:eastAsia="Times New Roman" w:cs="Times New Roman"/>
                <w:color w:val="000000"/>
                <w:sz w:val="22"/>
                <w:szCs w:val="22"/>
                <w:lang w:eastAsia="lv-LV"/>
              </w:rPr>
              <w:t>) (skala 1-10)</w:t>
            </w:r>
          </w:p>
        </w:tc>
      </w:tr>
      <w:tr w:rsidR="005B592B" w:rsidRPr="004B154D" w14:paraId="79D99F6A" w14:textId="77777777" w:rsidTr="005B592B">
        <w:trPr>
          <w:trHeight w:val="111"/>
        </w:trPr>
        <w:tc>
          <w:tcPr>
            <w:tcW w:w="1171" w:type="pct"/>
            <w:vMerge/>
            <w:shd w:val="clear" w:color="auto" w:fill="A8D08D" w:themeFill="accent6" w:themeFillTint="99"/>
            <w:vAlign w:val="center"/>
            <w:hideMark/>
          </w:tcPr>
          <w:p w14:paraId="129B0CB8" w14:textId="77777777" w:rsidR="004B154D" w:rsidRPr="004B154D" w:rsidRDefault="004B154D" w:rsidP="004B154D">
            <w:pPr>
              <w:rPr>
                <w:rFonts w:eastAsia="Times New Roman" w:cs="Times New Roman"/>
                <w:b/>
                <w:bCs/>
                <w:color w:val="000000"/>
                <w:sz w:val="22"/>
                <w:szCs w:val="22"/>
                <w:lang w:eastAsia="lv-LV"/>
              </w:rPr>
            </w:pPr>
          </w:p>
        </w:tc>
        <w:tc>
          <w:tcPr>
            <w:tcW w:w="3829" w:type="pct"/>
            <w:shd w:val="clear" w:color="000000" w:fill="EBF1E9"/>
            <w:vAlign w:val="center"/>
            <w:hideMark/>
          </w:tcPr>
          <w:p w14:paraId="61439C8C" w14:textId="47485A0D" w:rsidR="004B154D" w:rsidRPr="004B154D" w:rsidRDefault="004B154D" w:rsidP="004B154D">
            <w:pPr>
              <w:jc w:val="center"/>
              <w:rPr>
                <w:rFonts w:eastAsia="Times New Roman" w:cs="Times New Roman"/>
                <w:color w:val="000000"/>
                <w:sz w:val="22"/>
                <w:szCs w:val="22"/>
                <w:lang w:eastAsia="lv-LV"/>
              </w:rPr>
            </w:pPr>
            <w:r w:rsidRPr="004B154D">
              <w:rPr>
                <w:rFonts w:eastAsia="Times New Roman" w:cs="Times New Roman"/>
                <w:color w:val="000000"/>
                <w:sz w:val="22"/>
                <w:szCs w:val="22"/>
                <w:lang w:eastAsia="lv-LV"/>
              </w:rPr>
              <w:t>Uzticēšanās tiesībaizsardzības sistēmai: policija</w:t>
            </w:r>
            <w:r w:rsidR="00610254">
              <w:rPr>
                <w:rFonts w:eastAsia="Times New Roman" w:cs="Times New Roman"/>
                <w:color w:val="000000"/>
                <w:sz w:val="22"/>
                <w:szCs w:val="22"/>
                <w:lang w:eastAsia="lv-LV"/>
              </w:rPr>
              <w:t xml:space="preserve"> (%)</w:t>
            </w:r>
          </w:p>
        </w:tc>
      </w:tr>
      <w:tr w:rsidR="005B592B" w:rsidRPr="004B154D" w14:paraId="63BA0A3B" w14:textId="77777777" w:rsidTr="005B592B">
        <w:trPr>
          <w:trHeight w:val="271"/>
        </w:trPr>
        <w:tc>
          <w:tcPr>
            <w:tcW w:w="1171" w:type="pct"/>
            <w:vMerge w:val="restart"/>
            <w:shd w:val="clear" w:color="auto" w:fill="A8D08D" w:themeFill="accent6" w:themeFillTint="99"/>
            <w:vAlign w:val="center"/>
            <w:hideMark/>
          </w:tcPr>
          <w:p w14:paraId="2CC5AFAD" w14:textId="77777777" w:rsidR="004B154D" w:rsidRPr="004B154D" w:rsidRDefault="004B154D" w:rsidP="004B154D">
            <w:pPr>
              <w:jc w:val="center"/>
              <w:rPr>
                <w:rFonts w:eastAsia="Times New Roman" w:cs="Times New Roman"/>
                <w:b/>
                <w:bCs/>
                <w:color w:val="000000"/>
                <w:sz w:val="22"/>
                <w:szCs w:val="22"/>
                <w:lang w:eastAsia="lv-LV"/>
              </w:rPr>
            </w:pPr>
            <w:r w:rsidRPr="004B154D">
              <w:rPr>
                <w:rFonts w:eastAsia="Times New Roman" w:cs="Times New Roman"/>
                <w:b/>
                <w:bCs/>
                <w:color w:val="000000"/>
                <w:sz w:val="22"/>
                <w:szCs w:val="22"/>
                <w:lang w:eastAsia="lv-LV"/>
              </w:rPr>
              <w:t>Valsts robežas drošība</w:t>
            </w:r>
          </w:p>
        </w:tc>
        <w:tc>
          <w:tcPr>
            <w:tcW w:w="3829" w:type="pct"/>
            <w:shd w:val="clear" w:color="000000" w:fill="EBF1E9"/>
            <w:vAlign w:val="center"/>
            <w:hideMark/>
          </w:tcPr>
          <w:p w14:paraId="36F15797" w14:textId="337471E7" w:rsidR="004B154D" w:rsidRPr="004B154D" w:rsidRDefault="004B154D" w:rsidP="004B154D">
            <w:pPr>
              <w:jc w:val="center"/>
              <w:rPr>
                <w:rFonts w:eastAsia="Times New Roman" w:cs="Times New Roman"/>
                <w:color w:val="000000"/>
                <w:sz w:val="22"/>
                <w:szCs w:val="22"/>
                <w:lang w:eastAsia="lv-LV"/>
              </w:rPr>
            </w:pPr>
            <w:r w:rsidRPr="004B154D">
              <w:rPr>
                <w:rFonts w:eastAsia="Times New Roman" w:cs="Times New Roman"/>
                <w:color w:val="000000"/>
                <w:sz w:val="22"/>
                <w:szCs w:val="22"/>
                <w:lang w:eastAsia="lv-LV"/>
              </w:rPr>
              <w:t>Faktiski atvērto kravas automašīnu skaits salīdzinājumā ar kopējo apstrādāto kravas automašīnu skaitu</w:t>
            </w:r>
            <w:r w:rsidR="00846CF0">
              <w:rPr>
                <w:rFonts w:eastAsia="Times New Roman" w:cs="Times New Roman"/>
                <w:color w:val="000000"/>
                <w:sz w:val="22"/>
                <w:szCs w:val="22"/>
                <w:lang w:eastAsia="lv-LV"/>
              </w:rPr>
              <w:t xml:space="preserve"> (</w:t>
            </w:r>
            <w:r w:rsidRPr="004B154D">
              <w:rPr>
                <w:rFonts w:eastAsia="Times New Roman" w:cs="Times New Roman"/>
                <w:color w:val="000000"/>
                <w:sz w:val="22"/>
                <w:szCs w:val="22"/>
                <w:lang w:eastAsia="lv-LV"/>
              </w:rPr>
              <w:t>%</w:t>
            </w:r>
            <w:r w:rsidR="00846CF0">
              <w:rPr>
                <w:rFonts w:eastAsia="Times New Roman" w:cs="Times New Roman"/>
                <w:color w:val="000000"/>
                <w:sz w:val="22"/>
                <w:szCs w:val="22"/>
                <w:lang w:eastAsia="lv-LV"/>
              </w:rPr>
              <w:t>)</w:t>
            </w:r>
          </w:p>
        </w:tc>
      </w:tr>
      <w:tr w:rsidR="005B592B" w:rsidRPr="004B154D" w14:paraId="6ADCC90D" w14:textId="77777777" w:rsidTr="005B592B">
        <w:trPr>
          <w:trHeight w:val="477"/>
        </w:trPr>
        <w:tc>
          <w:tcPr>
            <w:tcW w:w="1171" w:type="pct"/>
            <w:vMerge/>
            <w:shd w:val="clear" w:color="auto" w:fill="A8D08D" w:themeFill="accent6" w:themeFillTint="99"/>
            <w:vAlign w:val="center"/>
            <w:hideMark/>
          </w:tcPr>
          <w:p w14:paraId="7327531F" w14:textId="77777777" w:rsidR="004B154D" w:rsidRPr="004B154D" w:rsidRDefault="004B154D" w:rsidP="004B154D">
            <w:pPr>
              <w:rPr>
                <w:rFonts w:eastAsia="Times New Roman" w:cs="Times New Roman"/>
                <w:b/>
                <w:bCs/>
                <w:color w:val="000000"/>
                <w:sz w:val="22"/>
                <w:szCs w:val="22"/>
                <w:lang w:eastAsia="lv-LV"/>
              </w:rPr>
            </w:pPr>
          </w:p>
        </w:tc>
        <w:tc>
          <w:tcPr>
            <w:tcW w:w="3829" w:type="pct"/>
            <w:shd w:val="clear" w:color="000000" w:fill="EBF1E9"/>
            <w:vAlign w:val="center"/>
            <w:hideMark/>
          </w:tcPr>
          <w:p w14:paraId="46ACB65C" w14:textId="4063BDD9" w:rsidR="004B154D" w:rsidRPr="004B154D" w:rsidRDefault="004B154D" w:rsidP="004B154D">
            <w:pPr>
              <w:jc w:val="center"/>
              <w:rPr>
                <w:rFonts w:eastAsia="Times New Roman" w:cs="Times New Roman"/>
                <w:color w:val="000000"/>
                <w:sz w:val="22"/>
                <w:szCs w:val="22"/>
                <w:lang w:eastAsia="lv-LV"/>
              </w:rPr>
            </w:pPr>
            <w:r w:rsidRPr="004B154D">
              <w:rPr>
                <w:rFonts w:eastAsia="Times New Roman" w:cs="Times New Roman"/>
                <w:color w:val="000000"/>
                <w:sz w:val="22"/>
                <w:szCs w:val="22"/>
                <w:lang w:eastAsia="lv-LV"/>
              </w:rPr>
              <w:t>Personu pārbaužu laikā atklāto pārkāpumu skaits salīdzinājumā ar kopējo pārbaudīto personu skaitu</w:t>
            </w:r>
            <w:r w:rsidR="00846CF0">
              <w:rPr>
                <w:rFonts w:eastAsia="Times New Roman" w:cs="Times New Roman"/>
                <w:color w:val="000000"/>
                <w:sz w:val="22"/>
                <w:szCs w:val="22"/>
                <w:lang w:eastAsia="lv-LV"/>
              </w:rPr>
              <w:t xml:space="preserve"> (</w:t>
            </w:r>
            <w:r w:rsidRPr="004B154D">
              <w:rPr>
                <w:rFonts w:eastAsia="Times New Roman" w:cs="Times New Roman"/>
                <w:color w:val="000000"/>
                <w:sz w:val="22"/>
                <w:szCs w:val="22"/>
                <w:lang w:eastAsia="lv-LV"/>
              </w:rPr>
              <w:t>%</w:t>
            </w:r>
            <w:r w:rsidR="00846CF0">
              <w:rPr>
                <w:rFonts w:eastAsia="Times New Roman" w:cs="Times New Roman"/>
                <w:color w:val="000000"/>
                <w:sz w:val="22"/>
                <w:szCs w:val="22"/>
                <w:lang w:eastAsia="lv-LV"/>
              </w:rPr>
              <w:t>)</w:t>
            </w:r>
          </w:p>
        </w:tc>
      </w:tr>
      <w:tr w:rsidR="005B592B" w:rsidRPr="004B154D" w14:paraId="28B8AEBD" w14:textId="77777777" w:rsidTr="005B592B">
        <w:trPr>
          <w:trHeight w:val="371"/>
        </w:trPr>
        <w:tc>
          <w:tcPr>
            <w:tcW w:w="1171" w:type="pct"/>
            <w:vMerge/>
            <w:shd w:val="clear" w:color="auto" w:fill="A8D08D" w:themeFill="accent6" w:themeFillTint="99"/>
            <w:vAlign w:val="center"/>
            <w:hideMark/>
          </w:tcPr>
          <w:p w14:paraId="3319EB90" w14:textId="77777777" w:rsidR="004B154D" w:rsidRPr="004B154D" w:rsidRDefault="004B154D" w:rsidP="004B154D">
            <w:pPr>
              <w:rPr>
                <w:rFonts w:eastAsia="Times New Roman" w:cs="Times New Roman"/>
                <w:b/>
                <w:bCs/>
                <w:color w:val="000000"/>
                <w:sz w:val="22"/>
                <w:szCs w:val="22"/>
                <w:lang w:eastAsia="lv-LV"/>
              </w:rPr>
            </w:pPr>
          </w:p>
        </w:tc>
        <w:tc>
          <w:tcPr>
            <w:tcW w:w="3829" w:type="pct"/>
            <w:shd w:val="clear" w:color="000000" w:fill="EBF1E9"/>
            <w:vAlign w:val="center"/>
            <w:hideMark/>
          </w:tcPr>
          <w:p w14:paraId="046EC643" w14:textId="66CDBDA5" w:rsidR="004B154D" w:rsidRPr="004B154D" w:rsidRDefault="004B154D" w:rsidP="004B154D">
            <w:pPr>
              <w:jc w:val="center"/>
              <w:rPr>
                <w:rFonts w:eastAsia="Times New Roman" w:cs="Times New Roman"/>
                <w:color w:val="000000"/>
                <w:sz w:val="22"/>
                <w:szCs w:val="22"/>
                <w:lang w:eastAsia="lv-LV"/>
              </w:rPr>
            </w:pPr>
            <w:r w:rsidRPr="004B154D">
              <w:rPr>
                <w:rFonts w:eastAsia="Times New Roman" w:cs="Times New Roman"/>
                <w:color w:val="000000"/>
                <w:sz w:val="22"/>
                <w:szCs w:val="22"/>
                <w:lang w:eastAsia="lv-LV"/>
              </w:rPr>
              <w:t>No kaimiņvalstīm atgrieztas personas, kuras nelikumīgi šķērsojušas valsts robežu</w:t>
            </w:r>
            <w:r w:rsidR="00846CF0">
              <w:rPr>
                <w:rFonts w:eastAsia="Times New Roman" w:cs="Times New Roman"/>
                <w:color w:val="000000"/>
                <w:sz w:val="22"/>
                <w:szCs w:val="22"/>
                <w:lang w:eastAsia="lv-LV"/>
              </w:rPr>
              <w:t xml:space="preserve"> (</w:t>
            </w:r>
            <w:r w:rsidRPr="004B154D">
              <w:rPr>
                <w:rFonts w:eastAsia="Times New Roman" w:cs="Times New Roman"/>
                <w:color w:val="000000"/>
                <w:sz w:val="22"/>
                <w:szCs w:val="22"/>
                <w:lang w:eastAsia="lv-LV"/>
              </w:rPr>
              <w:t>skaits</w:t>
            </w:r>
            <w:r w:rsidR="00846CF0">
              <w:rPr>
                <w:rFonts w:eastAsia="Times New Roman" w:cs="Times New Roman"/>
                <w:color w:val="000000"/>
                <w:sz w:val="22"/>
                <w:szCs w:val="22"/>
                <w:lang w:eastAsia="lv-LV"/>
              </w:rPr>
              <w:t>)</w:t>
            </w:r>
          </w:p>
        </w:tc>
      </w:tr>
      <w:tr w:rsidR="005B592B" w:rsidRPr="004B154D" w14:paraId="51E71697" w14:textId="77777777" w:rsidTr="005B592B">
        <w:trPr>
          <w:trHeight w:val="434"/>
        </w:trPr>
        <w:tc>
          <w:tcPr>
            <w:tcW w:w="1171" w:type="pct"/>
            <w:vMerge/>
            <w:shd w:val="clear" w:color="auto" w:fill="A8D08D" w:themeFill="accent6" w:themeFillTint="99"/>
            <w:vAlign w:val="center"/>
            <w:hideMark/>
          </w:tcPr>
          <w:p w14:paraId="50145D8E" w14:textId="77777777" w:rsidR="004B154D" w:rsidRPr="004B154D" w:rsidRDefault="004B154D" w:rsidP="004B154D">
            <w:pPr>
              <w:rPr>
                <w:rFonts w:eastAsia="Times New Roman" w:cs="Times New Roman"/>
                <w:b/>
                <w:bCs/>
                <w:color w:val="000000"/>
                <w:sz w:val="22"/>
                <w:szCs w:val="22"/>
                <w:lang w:eastAsia="lv-LV"/>
              </w:rPr>
            </w:pPr>
          </w:p>
        </w:tc>
        <w:tc>
          <w:tcPr>
            <w:tcW w:w="3829" w:type="pct"/>
            <w:shd w:val="clear" w:color="000000" w:fill="EBF1E9"/>
            <w:vAlign w:val="center"/>
            <w:hideMark/>
          </w:tcPr>
          <w:p w14:paraId="3855E2B5" w14:textId="29E753B7" w:rsidR="004B154D" w:rsidRPr="004B154D" w:rsidRDefault="004B154D" w:rsidP="004B154D">
            <w:pPr>
              <w:jc w:val="center"/>
              <w:rPr>
                <w:rFonts w:eastAsia="Times New Roman" w:cs="Times New Roman"/>
                <w:color w:val="000000"/>
                <w:sz w:val="22"/>
                <w:szCs w:val="22"/>
                <w:lang w:eastAsia="lv-LV"/>
              </w:rPr>
            </w:pPr>
            <w:r w:rsidRPr="004B154D">
              <w:rPr>
                <w:rFonts w:eastAsia="Times New Roman" w:cs="Times New Roman"/>
                <w:color w:val="000000"/>
                <w:sz w:val="22"/>
                <w:szCs w:val="22"/>
                <w:lang w:eastAsia="lv-LV"/>
              </w:rPr>
              <w:t>Vidējais robežas šķērsošanas laiks (kravas automašīnām, kas iebrauc valstī, tas ir laiks starp robežas šķērsošanu un robežkontroles punkta pamešanu)</w:t>
            </w:r>
            <w:r w:rsidR="00846CF0">
              <w:rPr>
                <w:rFonts w:eastAsia="Times New Roman" w:cs="Times New Roman"/>
                <w:color w:val="000000"/>
                <w:sz w:val="22"/>
                <w:szCs w:val="22"/>
                <w:lang w:eastAsia="lv-LV"/>
              </w:rPr>
              <w:t xml:space="preserve"> (</w:t>
            </w:r>
            <w:r w:rsidRPr="004B154D">
              <w:rPr>
                <w:rFonts w:eastAsia="Times New Roman" w:cs="Times New Roman"/>
                <w:color w:val="000000"/>
                <w:sz w:val="22"/>
                <w:szCs w:val="22"/>
                <w:lang w:eastAsia="lv-LV"/>
              </w:rPr>
              <w:t>minūtes</w:t>
            </w:r>
            <w:r w:rsidR="00846CF0">
              <w:rPr>
                <w:rFonts w:eastAsia="Times New Roman" w:cs="Times New Roman"/>
                <w:color w:val="000000"/>
                <w:sz w:val="22"/>
                <w:szCs w:val="22"/>
                <w:lang w:eastAsia="lv-LV"/>
              </w:rPr>
              <w:t>)</w:t>
            </w:r>
          </w:p>
        </w:tc>
      </w:tr>
      <w:tr w:rsidR="005B592B" w:rsidRPr="004B154D" w14:paraId="4133E5AE" w14:textId="77777777" w:rsidTr="005B592B">
        <w:trPr>
          <w:trHeight w:val="233"/>
        </w:trPr>
        <w:tc>
          <w:tcPr>
            <w:tcW w:w="1171" w:type="pct"/>
            <w:vMerge w:val="restart"/>
            <w:shd w:val="clear" w:color="auto" w:fill="A8D08D" w:themeFill="accent6" w:themeFillTint="99"/>
            <w:vAlign w:val="center"/>
            <w:hideMark/>
          </w:tcPr>
          <w:p w14:paraId="295A7AB8" w14:textId="77777777" w:rsidR="004B154D" w:rsidRPr="004B154D" w:rsidRDefault="004B154D" w:rsidP="004B154D">
            <w:pPr>
              <w:jc w:val="center"/>
              <w:rPr>
                <w:rFonts w:eastAsia="Times New Roman" w:cs="Times New Roman"/>
                <w:b/>
                <w:bCs/>
                <w:color w:val="000000"/>
                <w:sz w:val="22"/>
                <w:szCs w:val="22"/>
                <w:lang w:eastAsia="lv-LV"/>
              </w:rPr>
            </w:pPr>
            <w:r w:rsidRPr="004B154D">
              <w:rPr>
                <w:rFonts w:eastAsia="Times New Roman" w:cs="Times New Roman"/>
                <w:b/>
                <w:bCs/>
                <w:color w:val="000000"/>
                <w:sz w:val="22"/>
                <w:szCs w:val="22"/>
                <w:lang w:eastAsia="lv-LV"/>
              </w:rPr>
              <w:t>Civilā aizsardzība, ugunsdrošība, ugunsdzēsība un glābšana</w:t>
            </w:r>
          </w:p>
        </w:tc>
        <w:tc>
          <w:tcPr>
            <w:tcW w:w="3829" w:type="pct"/>
            <w:shd w:val="clear" w:color="000000" w:fill="EBF1E9"/>
            <w:vAlign w:val="center"/>
            <w:hideMark/>
          </w:tcPr>
          <w:p w14:paraId="0F22B2D9" w14:textId="1616B84C" w:rsidR="004B154D" w:rsidRPr="004B154D" w:rsidRDefault="00846CF0" w:rsidP="004B154D">
            <w:pPr>
              <w:jc w:val="center"/>
              <w:rPr>
                <w:rFonts w:eastAsia="Times New Roman" w:cs="Times New Roman"/>
                <w:color w:val="000000"/>
                <w:sz w:val="22"/>
                <w:szCs w:val="22"/>
                <w:lang w:eastAsia="lv-LV"/>
              </w:rPr>
            </w:pPr>
            <w:r>
              <w:rPr>
                <w:rFonts w:eastAsia="Times New Roman" w:cs="Times New Roman"/>
                <w:color w:val="000000"/>
                <w:sz w:val="22"/>
                <w:szCs w:val="22"/>
                <w:lang w:eastAsia="lv-LV"/>
              </w:rPr>
              <w:t>U</w:t>
            </w:r>
            <w:r w:rsidR="004B154D" w:rsidRPr="004B154D">
              <w:rPr>
                <w:rFonts w:eastAsia="Times New Roman" w:cs="Times New Roman"/>
                <w:color w:val="000000"/>
                <w:sz w:val="22"/>
                <w:szCs w:val="22"/>
                <w:lang w:eastAsia="lv-LV"/>
              </w:rPr>
              <w:t>gunsgrēkos bojāgājuš</w:t>
            </w:r>
            <w:r>
              <w:rPr>
                <w:rFonts w:eastAsia="Times New Roman" w:cs="Times New Roman"/>
                <w:color w:val="000000"/>
                <w:sz w:val="22"/>
                <w:szCs w:val="22"/>
                <w:lang w:eastAsia="lv-LV"/>
              </w:rPr>
              <w:t>ie</w:t>
            </w:r>
            <w:r w:rsidR="004B154D" w:rsidRPr="004B154D">
              <w:rPr>
                <w:rFonts w:eastAsia="Times New Roman" w:cs="Times New Roman"/>
                <w:color w:val="000000"/>
                <w:sz w:val="22"/>
                <w:szCs w:val="22"/>
                <w:lang w:eastAsia="lv-LV"/>
              </w:rPr>
              <w:t xml:space="preserve"> cilvēk</w:t>
            </w:r>
            <w:r>
              <w:rPr>
                <w:rFonts w:eastAsia="Times New Roman" w:cs="Times New Roman"/>
                <w:color w:val="000000"/>
                <w:sz w:val="22"/>
                <w:szCs w:val="22"/>
                <w:lang w:eastAsia="lv-LV"/>
              </w:rPr>
              <w:t xml:space="preserve">i </w:t>
            </w:r>
            <w:r w:rsidR="004B154D" w:rsidRPr="004B154D">
              <w:rPr>
                <w:rFonts w:eastAsia="Times New Roman" w:cs="Times New Roman"/>
                <w:color w:val="000000"/>
                <w:sz w:val="22"/>
                <w:szCs w:val="22"/>
                <w:lang w:eastAsia="lv-LV"/>
              </w:rPr>
              <w:t>uz 100 000 iedzīvotāj</w:t>
            </w:r>
            <w:r>
              <w:rPr>
                <w:rFonts w:eastAsia="Times New Roman" w:cs="Times New Roman"/>
                <w:color w:val="000000"/>
                <w:sz w:val="22"/>
                <w:szCs w:val="22"/>
                <w:lang w:eastAsia="lv-LV"/>
              </w:rPr>
              <w:t>iem (skaits)</w:t>
            </w:r>
          </w:p>
        </w:tc>
      </w:tr>
      <w:tr w:rsidR="005B592B" w:rsidRPr="004B154D" w14:paraId="7485786A" w14:textId="77777777" w:rsidTr="005B592B">
        <w:trPr>
          <w:trHeight w:val="127"/>
        </w:trPr>
        <w:tc>
          <w:tcPr>
            <w:tcW w:w="1171" w:type="pct"/>
            <w:vMerge/>
            <w:shd w:val="clear" w:color="auto" w:fill="A8D08D" w:themeFill="accent6" w:themeFillTint="99"/>
            <w:vAlign w:val="center"/>
            <w:hideMark/>
          </w:tcPr>
          <w:p w14:paraId="7EFF1C8C" w14:textId="77777777" w:rsidR="004B154D" w:rsidRPr="004B154D" w:rsidRDefault="004B154D" w:rsidP="004B154D">
            <w:pPr>
              <w:rPr>
                <w:rFonts w:eastAsia="Times New Roman" w:cs="Times New Roman"/>
                <w:b/>
                <w:bCs/>
                <w:color w:val="000000"/>
                <w:sz w:val="22"/>
                <w:szCs w:val="22"/>
                <w:lang w:eastAsia="lv-LV"/>
              </w:rPr>
            </w:pPr>
          </w:p>
        </w:tc>
        <w:tc>
          <w:tcPr>
            <w:tcW w:w="3829" w:type="pct"/>
            <w:shd w:val="clear" w:color="000000" w:fill="EBF1E9"/>
            <w:vAlign w:val="center"/>
            <w:hideMark/>
          </w:tcPr>
          <w:p w14:paraId="1BF72CFC" w14:textId="01C37940" w:rsidR="004B154D" w:rsidRPr="004B154D" w:rsidRDefault="00846CF0" w:rsidP="004B154D">
            <w:pPr>
              <w:jc w:val="center"/>
              <w:rPr>
                <w:rFonts w:eastAsia="Times New Roman" w:cs="Times New Roman"/>
                <w:color w:val="000000"/>
                <w:sz w:val="22"/>
                <w:szCs w:val="22"/>
                <w:lang w:eastAsia="lv-LV"/>
              </w:rPr>
            </w:pPr>
            <w:r>
              <w:rPr>
                <w:rFonts w:eastAsia="Times New Roman" w:cs="Times New Roman"/>
                <w:color w:val="000000"/>
                <w:sz w:val="22"/>
                <w:szCs w:val="22"/>
                <w:lang w:eastAsia="lv-LV"/>
              </w:rPr>
              <w:t>N</w:t>
            </w:r>
            <w:r w:rsidR="004B154D" w:rsidRPr="004B154D">
              <w:rPr>
                <w:rFonts w:eastAsia="Times New Roman" w:cs="Times New Roman"/>
                <w:color w:val="000000"/>
                <w:sz w:val="22"/>
                <w:szCs w:val="22"/>
                <w:lang w:eastAsia="lv-LV"/>
              </w:rPr>
              <w:t>o slīkšanas bojāgājuš</w:t>
            </w:r>
            <w:r>
              <w:rPr>
                <w:rFonts w:eastAsia="Times New Roman" w:cs="Times New Roman"/>
                <w:color w:val="000000"/>
                <w:sz w:val="22"/>
                <w:szCs w:val="22"/>
                <w:lang w:eastAsia="lv-LV"/>
              </w:rPr>
              <w:t>ie</w:t>
            </w:r>
            <w:r w:rsidR="004B154D" w:rsidRPr="004B154D">
              <w:rPr>
                <w:rFonts w:eastAsia="Times New Roman" w:cs="Times New Roman"/>
                <w:color w:val="000000"/>
                <w:sz w:val="22"/>
                <w:szCs w:val="22"/>
                <w:lang w:eastAsia="lv-LV"/>
              </w:rPr>
              <w:t xml:space="preserve"> cilvēk</w:t>
            </w:r>
            <w:r>
              <w:rPr>
                <w:rFonts w:eastAsia="Times New Roman" w:cs="Times New Roman"/>
                <w:color w:val="000000"/>
                <w:sz w:val="22"/>
                <w:szCs w:val="22"/>
                <w:lang w:eastAsia="lv-LV"/>
              </w:rPr>
              <w:t>i</w:t>
            </w:r>
            <w:r w:rsidR="004B154D" w:rsidRPr="004B154D">
              <w:rPr>
                <w:rFonts w:eastAsia="Times New Roman" w:cs="Times New Roman"/>
                <w:color w:val="000000"/>
                <w:sz w:val="22"/>
                <w:szCs w:val="22"/>
                <w:lang w:eastAsia="lv-LV"/>
              </w:rPr>
              <w:t xml:space="preserve"> uz 100 000 iedzīvotāj</w:t>
            </w:r>
            <w:r>
              <w:rPr>
                <w:rFonts w:eastAsia="Times New Roman" w:cs="Times New Roman"/>
                <w:color w:val="000000"/>
                <w:sz w:val="22"/>
                <w:szCs w:val="22"/>
                <w:lang w:eastAsia="lv-LV"/>
              </w:rPr>
              <w:t>iem</w:t>
            </w:r>
            <w:r w:rsidRPr="004B154D">
              <w:rPr>
                <w:rFonts w:eastAsia="Times New Roman" w:cs="Times New Roman"/>
                <w:color w:val="000000"/>
                <w:sz w:val="22"/>
                <w:szCs w:val="22"/>
                <w:lang w:eastAsia="lv-LV"/>
              </w:rPr>
              <w:t xml:space="preserve"> </w:t>
            </w:r>
            <w:r>
              <w:rPr>
                <w:rFonts w:eastAsia="Times New Roman" w:cs="Times New Roman"/>
                <w:color w:val="000000"/>
                <w:sz w:val="22"/>
                <w:szCs w:val="22"/>
                <w:lang w:eastAsia="lv-LV"/>
              </w:rPr>
              <w:t>(</w:t>
            </w:r>
            <w:r w:rsidRPr="004B154D">
              <w:rPr>
                <w:rFonts w:eastAsia="Times New Roman" w:cs="Times New Roman"/>
                <w:color w:val="000000"/>
                <w:sz w:val="22"/>
                <w:szCs w:val="22"/>
                <w:lang w:eastAsia="lv-LV"/>
              </w:rPr>
              <w:t>skaits</w:t>
            </w:r>
            <w:r>
              <w:rPr>
                <w:rFonts w:eastAsia="Times New Roman" w:cs="Times New Roman"/>
                <w:color w:val="000000"/>
                <w:sz w:val="22"/>
                <w:szCs w:val="22"/>
                <w:lang w:eastAsia="lv-LV"/>
              </w:rPr>
              <w:t>)</w:t>
            </w:r>
          </w:p>
        </w:tc>
      </w:tr>
      <w:tr w:rsidR="005B592B" w:rsidRPr="004B154D" w14:paraId="6213790E" w14:textId="77777777" w:rsidTr="005B592B">
        <w:trPr>
          <w:trHeight w:val="584"/>
        </w:trPr>
        <w:tc>
          <w:tcPr>
            <w:tcW w:w="1171" w:type="pct"/>
            <w:vMerge/>
            <w:shd w:val="clear" w:color="auto" w:fill="A8D08D" w:themeFill="accent6" w:themeFillTint="99"/>
            <w:vAlign w:val="center"/>
            <w:hideMark/>
          </w:tcPr>
          <w:p w14:paraId="3F69758A" w14:textId="77777777" w:rsidR="004B154D" w:rsidRPr="004B154D" w:rsidRDefault="004B154D" w:rsidP="004B154D">
            <w:pPr>
              <w:rPr>
                <w:rFonts w:eastAsia="Times New Roman" w:cs="Times New Roman"/>
                <w:b/>
                <w:bCs/>
                <w:color w:val="000000"/>
                <w:sz w:val="22"/>
                <w:szCs w:val="22"/>
                <w:lang w:eastAsia="lv-LV"/>
              </w:rPr>
            </w:pPr>
          </w:p>
        </w:tc>
        <w:tc>
          <w:tcPr>
            <w:tcW w:w="3829" w:type="pct"/>
            <w:shd w:val="clear" w:color="000000" w:fill="EBF1E9"/>
            <w:vAlign w:val="center"/>
            <w:hideMark/>
          </w:tcPr>
          <w:p w14:paraId="4BCF12DD" w14:textId="13A2B90D" w:rsidR="004B154D" w:rsidRPr="004B154D" w:rsidRDefault="004B154D" w:rsidP="004B154D">
            <w:pPr>
              <w:jc w:val="center"/>
              <w:rPr>
                <w:rFonts w:eastAsia="Times New Roman" w:cs="Times New Roman"/>
                <w:color w:val="000000"/>
                <w:sz w:val="22"/>
                <w:szCs w:val="22"/>
                <w:lang w:eastAsia="lv-LV"/>
              </w:rPr>
            </w:pPr>
            <w:r w:rsidRPr="004B154D">
              <w:rPr>
                <w:rFonts w:eastAsia="Times New Roman" w:cs="Times New Roman"/>
                <w:color w:val="000000"/>
                <w:sz w:val="22"/>
                <w:szCs w:val="22"/>
                <w:lang w:eastAsia="lv-LV"/>
              </w:rPr>
              <w:t xml:space="preserve">Iedzīvotāju īpatsvars, kas zina, kā reaģēt, dzirdot trauksmes sirēnas vai saņemot informāciju elektroniskajos plašsaziņas līdzekļos (radio, televīzija)/saņemot apziņošanas informāciju mobilajos tālruņos (īsziņas vai šūnas apraides risinājums, vai cits sakaru pakalpojumu sniedzēju risinājums) </w:t>
            </w:r>
            <w:r w:rsidR="00846CF0">
              <w:rPr>
                <w:rFonts w:eastAsia="Times New Roman" w:cs="Times New Roman"/>
                <w:color w:val="000000"/>
                <w:sz w:val="22"/>
                <w:szCs w:val="22"/>
                <w:lang w:eastAsia="lv-LV"/>
              </w:rPr>
              <w:t>(</w:t>
            </w:r>
            <w:r w:rsidRPr="004B154D">
              <w:rPr>
                <w:rFonts w:eastAsia="Times New Roman" w:cs="Times New Roman"/>
                <w:color w:val="000000"/>
                <w:sz w:val="22"/>
                <w:szCs w:val="22"/>
                <w:lang w:eastAsia="lv-LV"/>
              </w:rPr>
              <w:t>%</w:t>
            </w:r>
            <w:r w:rsidR="00846CF0">
              <w:rPr>
                <w:rFonts w:eastAsia="Times New Roman" w:cs="Times New Roman"/>
                <w:color w:val="000000"/>
                <w:sz w:val="22"/>
                <w:szCs w:val="22"/>
                <w:lang w:eastAsia="lv-LV"/>
              </w:rPr>
              <w:t>)</w:t>
            </w:r>
          </w:p>
        </w:tc>
      </w:tr>
      <w:tr w:rsidR="005B592B" w:rsidRPr="004B154D" w14:paraId="2F85DDB1" w14:textId="77777777" w:rsidTr="005B592B">
        <w:trPr>
          <w:trHeight w:val="70"/>
        </w:trPr>
        <w:tc>
          <w:tcPr>
            <w:tcW w:w="1171" w:type="pct"/>
            <w:vMerge/>
            <w:shd w:val="clear" w:color="auto" w:fill="A8D08D" w:themeFill="accent6" w:themeFillTint="99"/>
            <w:vAlign w:val="center"/>
            <w:hideMark/>
          </w:tcPr>
          <w:p w14:paraId="201806F3" w14:textId="77777777" w:rsidR="004B154D" w:rsidRPr="004B154D" w:rsidRDefault="004B154D" w:rsidP="004B154D">
            <w:pPr>
              <w:rPr>
                <w:rFonts w:eastAsia="Times New Roman" w:cs="Times New Roman"/>
                <w:b/>
                <w:bCs/>
                <w:color w:val="000000"/>
                <w:sz w:val="22"/>
                <w:szCs w:val="22"/>
                <w:lang w:eastAsia="lv-LV"/>
              </w:rPr>
            </w:pPr>
          </w:p>
        </w:tc>
        <w:tc>
          <w:tcPr>
            <w:tcW w:w="3829" w:type="pct"/>
            <w:shd w:val="clear" w:color="000000" w:fill="EBF1E9"/>
            <w:vAlign w:val="center"/>
            <w:hideMark/>
          </w:tcPr>
          <w:p w14:paraId="54CF4B3A" w14:textId="2CBC2290" w:rsidR="004B154D" w:rsidRPr="004B154D" w:rsidRDefault="004B154D" w:rsidP="004B154D">
            <w:pPr>
              <w:jc w:val="center"/>
              <w:rPr>
                <w:rFonts w:eastAsia="Times New Roman" w:cs="Times New Roman"/>
                <w:color w:val="000000"/>
                <w:sz w:val="22"/>
                <w:szCs w:val="22"/>
                <w:lang w:eastAsia="lv-LV"/>
              </w:rPr>
            </w:pPr>
            <w:r w:rsidRPr="004B154D">
              <w:rPr>
                <w:rFonts w:eastAsia="Times New Roman" w:cs="Times New Roman"/>
                <w:color w:val="000000"/>
                <w:sz w:val="22"/>
                <w:szCs w:val="22"/>
                <w:lang w:eastAsia="lv-LV"/>
              </w:rPr>
              <w:t>Vidējais VUGD ierašanās laiks notikuma vietā</w:t>
            </w:r>
            <w:r w:rsidR="00846CF0">
              <w:rPr>
                <w:rFonts w:eastAsia="Times New Roman" w:cs="Times New Roman"/>
                <w:color w:val="000000"/>
                <w:sz w:val="22"/>
                <w:szCs w:val="22"/>
                <w:lang w:eastAsia="lv-LV"/>
              </w:rPr>
              <w:t xml:space="preserve"> (</w:t>
            </w:r>
            <w:r w:rsidRPr="004B154D">
              <w:rPr>
                <w:rFonts w:eastAsia="Times New Roman" w:cs="Times New Roman"/>
                <w:color w:val="000000"/>
                <w:sz w:val="22"/>
                <w:szCs w:val="22"/>
                <w:lang w:eastAsia="lv-LV"/>
              </w:rPr>
              <w:t>min.</w:t>
            </w:r>
            <w:r w:rsidR="00846CF0">
              <w:rPr>
                <w:rFonts w:eastAsia="Times New Roman" w:cs="Times New Roman"/>
                <w:color w:val="000000"/>
                <w:sz w:val="22"/>
                <w:szCs w:val="22"/>
                <w:lang w:eastAsia="lv-LV"/>
              </w:rPr>
              <w:t>)</w:t>
            </w:r>
          </w:p>
        </w:tc>
      </w:tr>
      <w:tr w:rsidR="005B592B" w:rsidRPr="004B154D" w14:paraId="0745EAAF" w14:textId="77777777" w:rsidTr="005B592B">
        <w:trPr>
          <w:trHeight w:val="309"/>
        </w:trPr>
        <w:tc>
          <w:tcPr>
            <w:tcW w:w="1171" w:type="pct"/>
            <w:vMerge w:val="restart"/>
            <w:shd w:val="clear" w:color="auto" w:fill="A8D08D" w:themeFill="accent6" w:themeFillTint="99"/>
            <w:vAlign w:val="center"/>
            <w:hideMark/>
          </w:tcPr>
          <w:p w14:paraId="3D969F2D" w14:textId="77777777" w:rsidR="004B154D" w:rsidRPr="004B154D" w:rsidRDefault="004B154D" w:rsidP="004B154D">
            <w:pPr>
              <w:jc w:val="center"/>
              <w:rPr>
                <w:rFonts w:eastAsia="Times New Roman" w:cs="Times New Roman"/>
                <w:b/>
                <w:bCs/>
                <w:color w:val="000000"/>
                <w:sz w:val="22"/>
                <w:szCs w:val="22"/>
                <w:lang w:eastAsia="lv-LV"/>
              </w:rPr>
            </w:pPr>
            <w:r w:rsidRPr="004B154D">
              <w:rPr>
                <w:rFonts w:eastAsia="Times New Roman" w:cs="Times New Roman"/>
                <w:b/>
                <w:bCs/>
                <w:color w:val="000000"/>
                <w:sz w:val="22"/>
                <w:szCs w:val="22"/>
                <w:lang w:eastAsia="lv-LV"/>
              </w:rPr>
              <w:t>Pilsonība, migrācija, personu apliecinoši dokumenti un iedzīvotāju uzskaite</w:t>
            </w:r>
          </w:p>
        </w:tc>
        <w:tc>
          <w:tcPr>
            <w:tcW w:w="3829" w:type="pct"/>
            <w:shd w:val="clear" w:color="000000" w:fill="EBF1E9"/>
            <w:vAlign w:val="center"/>
            <w:hideMark/>
          </w:tcPr>
          <w:p w14:paraId="56654CF3" w14:textId="49C2F971" w:rsidR="004B154D" w:rsidRPr="004B154D" w:rsidRDefault="004B154D" w:rsidP="004B154D">
            <w:pPr>
              <w:jc w:val="center"/>
              <w:rPr>
                <w:rFonts w:eastAsia="Times New Roman" w:cs="Times New Roman"/>
                <w:color w:val="000000"/>
                <w:sz w:val="22"/>
                <w:szCs w:val="22"/>
                <w:lang w:eastAsia="lv-LV"/>
              </w:rPr>
            </w:pPr>
            <w:r w:rsidRPr="004B154D">
              <w:rPr>
                <w:rFonts w:eastAsia="Times New Roman" w:cs="Times New Roman"/>
                <w:color w:val="000000"/>
                <w:sz w:val="22"/>
                <w:szCs w:val="22"/>
                <w:lang w:eastAsia="lv-LV"/>
              </w:rPr>
              <w:t>Atgriešanas lēmumu izpildes attiecība pret pieņemtajiem atgriešanas lēmumiem</w:t>
            </w:r>
            <w:r w:rsidR="00846CF0">
              <w:rPr>
                <w:rFonts w:eastAsia="Times New Roman" w:cs="Times New Roman"/>
                <w:color w:val="000000"/>
                <w:sz w:val="22"/>
                <w:szCs w:val="22"/>
                <w:lang w:eastAsia="lv-LV"/>
              </w:rPr>
              <w:t xml:space="preserve"> (</w:t>
            </w:r>
            <w:r w:rsidRPr="004B154D">
              <w:rPr>
                <w:rFonts w:eastAsia="Times New Roman" w:cs="Times New Roman"/>
                <w:color w:val="000000"/>
                <w:sz w:val="22"/>
                <w:szCs w:val="22"/>
                <w:lang w:eastAsia="lv-LV"/>
              </w:rPr>
              <w:t>%</w:t>
            </w:r>
            <w:r w:rsidR="00846CF0">
              <w:rPr>
                <w:rFonts w:eastAsia="Times New Roman" w:cs="Times New Roman"/>
                <w:color w:val="000000"/>
                <w:sz w:val="22"/>
                <w:szCs w:val="22"/>
                <w:lang w:eastAsia="lv-LV"/>
              </w:rPr>
              <w:t>)</w:t>
            </w:r>
          </w:p>
        </w:tc>
      </w:tr>
      <w:tr w:rsidR="005B592B" w:rsidRPr="004B154D" w14:paraId="036438C8" w14:textId="77777777" w:rsidTr="005B592B">
        <w:trPr>
          <w:trHeight w:val="231"/>
        </w:trPr>
        <w:tc>
          <w:tcPr>
            <w:tcW w:w="1171" w:type="pct"/>
            <w:vMerge/>
            <w:shd w:val="clear" w:color="auto" w:fill="A8D08D" w:themeFill="accent6" w:themeFillTint="99"/>
            <w:vAlign w:val="center"/>
            <w:hideMark/>
          </w:tcPr>
          <w:p w14:paraId="2048FE56" w14:textId="77777777" w:rsidR="004B154D" w:rsidRPr="004B154D" w:rsidRDefault="004B154D" w:rsidP="004B154D">
            <w:pPr>
              <w:rPr>
                <w:rFonts w:eastAsia="Times New Roman" w:cs="Times New Roman"/>
                <w:b/>
                <w:bCs/>
                <w:color w:val="000000"/>
                <w:sz w:val="22"/>
                <w:szCs w:val="22"/>
                <w:lang w:eastAsia="lv-LV"/>
              </w:rPr>
            </w:pPr>
          </w:p>
        </w:tc>
        <w:tc>
          <w:tcPr>
            <w:tcW w:w="3829" w:type="pct"/>
            <w:shd w:val="clear" w:color="000000" w:fill="EBF1E9"/>
            <w:vAlign w:val="center"/>
            <w:hideMark/>
          </w:tcPr>
          <w:p w14:paraId="2B51FD03" w14:textId="69A4129D" w:rsidR="004B154D" w:rsidRPr="004B154D" w:rsidRDefault="004B154D" w:rsidP="004B154D">
            <w:pPr>
              <w:jc w:val="center"/>
              <w:rPr>
                <w:rFonts w:eastAsia="Times New Roman" w:cs="Times New Roman"/>
                <w:color w:val="000000"/>
                <w:sz w:val="22"/>
                <w:szCs w:val="22"/>
                <w:lang w:eastAsia="lv-LV"/>
              </w:rPr>
            </w:pPr>
            <w:r w:rsidRPr="004B154D">
              <w:rPr>
                <w:rFonts w:eastAsia="Times New Roman" w:cs="Times New Roman"/>
                <w:color w:val="000000"/>
                <w:sz w:val="22"/>
                <w:szCs w:val="22"/>
                <w:lang w:eastAsia="lv-LV"/>
              </w:rPr>
              <w:t>E-vidē nodrošinātie pakalpojumi no visiem sniegtajiem pakalpojumiem</w:t>
            </w:r>
            <w:r w:rsidR="00846CF0">
              <w:rPr>
                <w:rFonts w:eastAsia="Times New Roman" w:cs="Times New Roman"/>
                <w:color w:val="000000"/>
                <w:sz w:val="22"/>
                <w:szCs w:val="22"/>
                <w:lang w:eastAsia="lv-LV"/>
              </w:rPr>
              <w:t xml:space="preserve"> (</w:t>
            </w:r>
            <w:r w:rsidRPr="004B154D">
              <w:rPr>
                <w:rFonts w:eastAsia="Times New Roman" w:cs="Times New Roman"/>
                <w:color w:val="000000"/>
                <w:sz w:val="22"/>
                <w:szCs w:val="22"/>
                <w:lang w:eastAsia="lv-LV"/>
              </w:rPr>
              <w:t>%</w:t>
            </w:r>
            <w:r w:rsidR="00846CF0">
              <w:rPr>
                <w:rFonts w:eastAsia="Times New Roman" w:cs="Times New Roman"/>
                <w:color w:val="000000"/>
                <w:sz w:val="22"/>
                <w:szCs w:val="22"/>
                <w:lang w:eastAsia="lv-LV"/>
              </w:rPr>
              <w:t>)</w:t>
            </w:r>
          </w:p>
        </w:tc>
      </w:tr>
      <w:tr w:rsidR="005B592B" w:rsidRPr="004B154D" w14:paraId="49C220F4" w14:textId="77777777" w:rsidTr="005B592B">
        <w:trPr>
          <w:trHeight w:val="409"/>
        </w:trPr>
        <w:tc>
          <w:tcPr>
            <w:tcW w:w="1171" w:type="pct"/>
            <w:vMerge/>
            <w:shd w:val="clear" w:color="auto" w:fill="A8D08D" w:themeFill="accent6" w:themeFillTint="99"/>
            <w:vAlign w:val="center"/>
            <w:hideMark/>
          </w:tcPr>
          <w:p w14:paraId="36E2F838" w14:textId="77777777" w:rsidR="004B154D" w:rsidRPr="004B154D" w:rsidRDefault="004B154D" w:rsidP="004B154D">
            <w:pPr>
              <w:rPr>
                <w:rFonts w:eastAsia="Times New Roman" w:cs="Times New Roman"/>
                <w:b/>
                <w:bCs/>
                <w:color w:val="000000"/>
                <w:sz w:val="22"/>
                <w:szCs w:val="22"/>
                <w:lang w:eastAsia="lv-LV"/>
              </w:rPr>
            </w:pPr>
          </w:p>
        </w:tc>
        <w:tc>
          <w:tcPr>
            <w:tcW w:w="3829" w:type="pct"/>
            <w:shd w:val="clear" w:color="000000" w:fill="EBF1E9"/>
            <w:vAlign w:val="center"/>
            <w:hideMark/>
          </w:tcPr>
          <w:p w14:paraId="3C595296" w14:textId="7812189F" w:rsidR="004B154D" w:rsidRPr="004B154D" w:rsidRDefault="004B154D" w:rsidP="004B154D">
            <w:pPr>
              <w:jc w:val="center"/>
              <w:rPr>
                <w:rFonts w:eastAsia="Times New Roman" w:cs="Times New Roman"/>
                <w:color w:val="000000"/>
                <w:sz w:val="22"/>
                <w:szCs w:val="22"/>
                <w:lang w:eastAsia="lv-LV"/>
              </w:rPr>
            </w:pPr>
            <w:r w:rsidRPr="004B154D">
              <w:rPr>
                <w:rFonts w:eastAsia="Times New Roman" w:cs="Times New Roman"/>
                <w:color w:val="000000"/>
                <w:sz w:val="22"/>
                <w:szCs w:val="22"/>
                <w:lang w:eastAsia="lv-LV"/>
              </w:rPr>
              <w:t>Naturalizācijas pārbaudes nokārtojušo personu skaita īpatsvars pret kopējo pārbaužu kārtošanas mēģinājumu skaitu</w:t>
            </w:r>
            <w:r w:rsidR="00846CF0">
              <w:rPr>
                <w:rFonts w:eastAsia="Times New Roman" w:cs="Times New Roman"/>
                <w:color w:val="000000"/>
                <w:sz w:val="22"/>
                <w:szCs w:val="22"/>
                <w:lang w:eastAsia="lv-LV"/>
              </w:rPr>
              <w:t xml:space="preserve"> (</w:t>
            </w:r>
            <w:r w:rsidRPr="004B154D">
              <w:rPr>
                <w:rFonts w:eastAsia="Times New Roman" w:cs="Times New Roman"/>
                <w:color w:val="000000"/>
                <w:sz w:val="22"/>
                <w:szCs w:val="22"/>
                <w:lang w:eastAsia="lv-LV"/>
              </w:rPr>
              <w:t>%</w:t>
            </w:r>
            <w:r w:rsidR="00846CF0">
              <w:rPr>
                <w:rFonts w:eastAsia="Times New Roman" w:cs="Times New Roman"/>
                <w:color w:val="000000"/>
                <w:sz w:val="22"/>
                <w:szCs w:val="22"/>
                <w:lang w:eastAsia="lv-LV"/>
              </w:rPr>
              <w:t>)</w:t>
            </w:r>
          </w:p>
        </w:tc>
      </w:tr>
      <w:tr w:rsidR="005B592B" w:rsidRPr="004B154D" w14:paraId="5E28325B" w14:textId="77777777" w:rsidTr="005B592B">
        <w:trPr>
          <w:trHeight w:val="473"/>
        </w:trPr>
        <w:tc>
          <w:tcPr>
            <w:tcW w:w="1171" w:type="pct"/>
            <w:shd w:val="clear" w:color="auto" w:fill="A8D08D" w:themeFill="accent6" w:themeFillTint="99"/>
            <w:vAlign w:val="center"/>
            <w:hideMark/>
          </w:tcPr>
          <w:p w14:paraId="37771006" w14:textId="77777777" w:rsidR="004B154D" w:rsidRPr="004B154D" w:rsidRDefault="004B154D" w:rsidP="004B154D">
            <w:pPr>
              <w:jc w:val="center"/>
              <w:rPr>
                <w:rFonts w:eastAsia="Times New Roman" w:cs="Times New Roman"/>
                <w:b/>
                <w:bCs/>
                <w:color w:val="000000"/>
                <w:sz w:val="22"/>
                <w:szCs w:val="22"/>
                <w:lang w:eastAsia="lv-LV"/>
              </w:rPr>
            </w:pPr>
            <w:r w:rsidRPr="004B154D">
              <w:rPr>
                <w:rFonts w:eastAsia="Times New Roman" w:cs="Times New Roman"/>
                <w:b/>
                <w:bCs/>
                <w:color w:val="000000"/>
                <w:sz w:val="22"/>
                <w:szCs w:val="22"/>
                <w:lang w:eastAsia="lv-LV"/>
              </w:rPr>
              <w:t>Vienotās sakaru un informācijas sistēmas nodrošināšana</w:t>
            </w:r>
          </w:p>
        </w:tc>
        <w:tc>
          <w:tcPr>
            <w:tcW w:w="3829" w:type="pct"/>
            <w:shd w:val="clear" w:color="000000" w:fill="EBF1E9"/>
            <w:vAlign w:val="center"/>
            <w:hideMark/>
          </w:tcPr>
          <w:p w14:paraId="6DAE98C8" w14:textId="249289AA" w:rsidR="004B154D" w:rsidRPr="004B154D" w:rsidRDefault="004B154D" w:rsidP="004B154D">
            <w:pPr>
              <w:jc w:val="center"/>
              <w:rPr>
                <w:rFonts w:eastAsia="Times New Roman" w:cs="Times New Roman"/>
                <w:color w:val="000000"/>
                <w:sz w:val="22"/>
                <w:szCs w:val="22"/>
                <w:lang w:eastAsia="lv-LV"/>
              </w:rPr>
            </w:pPr>
            <w:r w:rsidRPr="004B154D">
              <w:rPr>
                <w:rFonts w:eastAsia="Times New Roman" w:cs="Times New Roman"/>
                <w:color w:val="000000"/>
                <w:sz w:val="22"/>
                <w:szCs w:val="22"/>
                <w:lang w:eastAsia="lv-LV"/>
              </w:rPr>
              <w:t>Digitālie publiskie pakalpojumi (DESI indekss)</w:t>
            </w:r>
            <w:r w:rsidR="00846CF0" w:rsidRPr="004B154D">
              <w:rPr>
                <w:rFonts w:eastAsia="Times New Roman" w:cs="Times New Roman"/>
                <w:color w:val="000000"/>
                <w:sz w:val="22"/>
                <w:szCs w:val="22"/>
                <w:lang w:eastAsia="lv-LV"/>
              </w:rPr>
              <w:t xml:space="preserve"> </w:t>
            </w:r>
            <w:r w:rsidR="00846CF0">
              <w:rPr>
                <w:rFonts w:eastAsia="Times New Roman" w:cs="Times New Roman"/>
                <w:color w:val="000000"/>
                <w:sz w:val="22"/>
                <w:szCs w:val="22"/>
                <w:lang w:eastAsia="lv-LV"/>
              </w:rPr>
              <w:t>(</w:t>
            </w:r>
            <w:r w:rsidR="00846CF0" w:rsidRPr="004B154D">
              <w:rPr>
                <w:rFonts w:eastAsia="Times New Roman" w:cs="Times New Roman"/>
                <w:color w:val="000000"/>
                <w:sz w:val="22"/>
                <w:szCs w:val="22"/>
                <w:lang w:eastAsia="lv-LV"/>
              </w:rPr>
              <w:t>vieta</w:t>
            </w:r>
            <w:r w:rsidR="00846CF0">
              <w:rPr>
                <w:rFonts w:eastAsia="Times New Roman" w:cs="Times New Roman"/>
                <w:color w:val="000000"/>
                <w:sz w:val="22"/>
                <w:szCs w:val="22"/>
                <w:lang w:eastAsia="lv-LV"/>
              </w:rPr>
              <w:t>)</w:t>
            </w:r>
          </w:p>
        </w:tc>
      </w:tr>
      <w:tr w:rsidR="005B592B" w:rsidRPr="004B154D" w14:paraId="58B2BDD8" w14:textId="77777777" w:rsidTr="005B592B">
        <w:trPr>
          <w:trHeight w:val="129"/>
        </w:trPr>
        <w:tc>
          <w:tcPr>
            <w:tcW w:w="1171" w:type="pct"/>
            <w:shd w:val="clear" w:color="auto" w:fill="A8D08D" w:themeFill="accent6" w:themeFillTint="99"/>
            <w:vAlign w:val="center"/>
            <w:hideMark/>
          </w:tcPr>
          <w:p w14:paraId="4720B715" w14:textId="77777777" w:rsidR="004B154D" w:rsidRPr="004B154D" w:rsidRDefault="004B154D" w:rsidP="004B154D">
            <w:pPr>
              <w:jc w:val="center"/>
              <w:rPr>
                <w:rFonts w:eastAsia="Times New Roman" w:cs="Times New Roman"/>
                <w:b/>
                <w:bCs/>
                <w:color w:val="000000"/>
                <w:sz w:val="22"/>
                <w:szCs w:val="22"/>
                <w:lang w:eastAsia="lv-LV"/>
              </w:rPr>
            </w:pPr>
            <w:r w:rsidRPr="004B154D">
              <w:rPr>
                <w:rFonts w:eastAsia="Times New Roman" w:cs="Times New Roman"/>
                <w:b/>
                <w:bCs/>
                <w:color w:val="000000"/>
                <w:sz w:val="22"/>
                <w:szCs w:val="22"/>
                <w:lang w:eastAsia="lv-LV"/>
              </w:rPr>
              <w:t>Personāla fiziskā sagatavotība, veselības un sociālā aprūpe</w:t>
            </w:r>
          </w:p>
        </w:tc>
        <w:tc>
          <w:tcPr>
            <w:tcW w:w="3829" w:type="pct"/>
            <w:shd w:val="clear" w:color="000000" w:fill="EBF1E9"/>
            <w:vAlign w:val="center"/>
            <w:hideMark/>
          </w:tcPr>
          <w:p w14:paraId="4D1C7B4B" w14:textId="33FCE17E" w:rsidR="004B154D" w:rsidRPr="004B154D" w:rsidRDefault="004B154D" w:rsidP="004B154D">
            <w:pPr>
              <w:jc w:val="center"/>
              <w:rPr>
                <w:rFonts w:eastAsia="Times New Roman" w:cs="Times New Roman"/>
                <w:color w:val="000000"/>
                <w:sz w:val="22"/>
                <w:szCs w:val="22"/>
                <w:lang w:eastAsia="lv-LV"/>
              </w:rPr>
            </w:pPr>
            <w:r w:rsidRPr="004B154D">
              <w:rPr>
                <w:rFonts w:eastAsia="Times New Roman" w:cs="Times New Roman"/>
                <w:color w:val="000000"/>
                <w:sz w:val="22"/>
                <w:szCs w:val="22"/>
                <w:lang w:eastAsia="lv-LV"/>
              </w:rPr>
              <w:t>Veselības stāvokļa dēļ atvaļināto īpatsvars no kopējā atvaļināto amatpersonu skaita</w:t>
            </w:r>
            <w:r w:rsidR="00846CF0">
              <w:rPr>
                <w:rFonts w:eastAsia="Times New Roman" w:cs="Times New Roman"/>
                <w:color w:val="000000"/>
                <w:sz w:val="22"/>
                <w:szCs w:val="22"/>
                <w:lang w:eastAsia="lv-LV"/>
              </w:rPr>
              <w:t xml:space="preserve"> (</w:t>
            </w:r>
            <w:r w:rsidRPr="004B154D">
              <w:rPr>
                <w:rFonts w:eastAsia="Times New Roman" w:cs="Times New Roman"/>
                <w:color w:val="000000"/>
                <w:sz w:val="22"/>
                <w:szCs w:val="22"/>
                <w:lang w:eastAsia="lv-LV"/>
              </w:rPr>
              <w:t>%</w:t>
            </w:r>
            <w:r w:rsidR="00846CF0">
              <w:rPr>
                <w:rFonts w:eastAsia="Times New Roman" w:cs="Times New Roman"/>
                <w:color w:val="000000"/>
                <w:sz w:val="22"/>
                <w:szCs w:val="22"/>
                <w:lang w:eastAsia="lv-LV"/>
              </w:rPr>
              <w:t>)</w:t>
            </w:r>
          </w:p>
        </w:tc>
      </w:tr>
      <w:tr w:rsidR="005B592B" w:rsidRPr="004B154D" w14:paraId="1DC3D3BA" w14:textId="77777777" w:rsidTr="005B592B">
        <w:trPr>
          <w:trHeight w:val="920"/>
        </w:trPr>
        <w:tc>
          <w:tcPr>
            <w:tcW w:w="1171" w:type="pct"/>
            <w:vMerge w:val="restart"/>
            <w:shd w:val="clear" w:color="auto" w:fill="A8D08D" w:themeFill="accent6" w:themeFillTint="99"/>
            <w:vAlign w:val="center"/>
            <w:hideMark/>
          </w:tcPr>
          <w:p w14:paraId="5C29D9E3" w14:textId="77777777" w:rsidR="004B154D" w:rsidRPr="004B154D" w:rsidRDefault="004B154D" w:rsidP="004B154D">
            <w:pPr>
              <w:jc w:val="center"/>
              <w:rPr>
                <w:rFonts w:eastAsia="Times New Roman" w:cs="Times New Roman"/>
                <w:b/>
                <w:bCs/>
                <w:color w:val="000000"/>
                <w:sz w:val="22"/>
                <w:szCs w:val="22"/>
                <w:lang w:eastAsia="lv-LV"/>
              </w:rPr>
            </w:pPr>
            <w:r w:rsidRPr="004B154D">
              <w:rPr>
                <w:rFonts w:eastAsia="Times New Roman" w:cs="Times New Roman"/>
                <w:b/>
                <w:bCs/>
                <w:color w:val="000000"/>
                <w:sz w:val="22"/>
                <w:szCs w:val="22"/>
                <w:lang w:eastAsia="lv-LV"/>
              </w:rPr>
              <w:t>Nodrošinājums iestāžu funkciju īstenošanā, atbalsts lietisko pierādījumu, arestētās un izņemtās mantas glabāšanā</w:t>
            </w:r>
          </w:p>
        </w:tc>
        <w:tc>
          <w:tcPr>
            <w:tcW w:w="3829" w:type="pct"/>
            <w:shd w:val="clear" w:color="000000" w:fill="EBF1E9"/>
            <w:vAlign w:val="center"/>
            <w:hideMark/>
          </w:tcPr>
          <w:p w14:paraId="4C98D22D" w14:textId="4B228CAA" w:rsidR="004B154D" w:rsidRPr="004B154D" w:rsidRDefault="004B154D" w:rsidP="004B154D">
            <w:pPr>
              <w:jc w:val="center"/>
              <w:rPr>
                <w:rFonts w:eastAsia="Times New Roman" w:cs="Times New Roman"/>
                <w:color w:val="000000"/>
                <w:sz w:val="22"/>
                <w:szCs w:val="22"/>
                <w:lang w:eastAsia="lv-LV"/>
              </w:rPr>
            </w:pPr>
            <w:r w:rsidRPr="004B154D">
              <w:rPr>
                <w:rFonts w:eastAsia="Times New Roman" w:cs="Times New Roman"/>
                <w:color w:val="000000"/>
                <w:sz w:val="22"/>
                <w:szCs w:val="22"/>
                <w:lang w:eastAsia="lv-LV"/>
              </w:rPr>
              <w:t>IeM valdījumā un pārvaldīšanā labā un apmierinošā stāvoklī esošu ēku un būvju īpatsvars</w:t>
            </w:r>
            <w:r w:rsidR="00846CF0">
              <w:rPr>
                <w:rFonts w:eastAsia="Times New Roman" w:cs="Times New Roman"/>
                <w:color w:val="000000"/>
                <w:sz w:val="22"/>
                <w:szCs w:val="22"/>
                <w:lang w:eastAsia="lv-LV"/>
              </w:rPr>
              <w:t xml:space="preserve"> (</w:t>
            </w:r>
            <w:r w:rsidRPr="004B154D">
              <w:rPr>
                <w:rFonts w:eastAsia="Times New Roman" w:cs="Times New Roman"/>
                <w:color w:val="000000"/>
                <w:sz w:val="22"/>
                <w:szCs w:val="22"/>
                <w:lang w:eastAsia="lv-LV"/>
              </w:rPr>
              <w:t>%</w:t>
            </w:r>
            <w:r w:rsidR="00846CF0">
              <w:rPr>
                <w:rFonts w:eastAsia="Times New Roman" w:cs="Times New Roman"/>
                <w:color w:val="000000"/>
                <w:sz w:val="22"/>
                <w:szCs w:val="22"/>
                <w:lang w:eastAsia="lv-LV"/>
              </w:rPr>
              <w:t>)</w:t>
            </w:r>
          </w:p>
        </w:tc>
      </w:tr>
      <w:tr w:rsidR="005B592B" w:rsidRPr="004B154D" w14:paraId="24BDAF68" w14:textId="77777777" w:rsidTr="005B592B">
        <w:trPr>
          <w:trHeight w:val="615"/>
        </w:trPr>
        <w:tc>
          <w:tcPr>
            <w:tcW w:w="1171" w:type="pct"/>
            <w:vMerge/>
            <w:shd w:val="clear" w:color="auto" w:fill="A8D08D" w:themeFill="accent6" w:themeFillTint="99"/>
            <w:vAlign w:val="center"/>
            <w:hideMark/>
          </w:tcPr>
          <w:p w14:paraId="7C9E5611" w14:textId="77777777" w:rsidR="004B154D" w:rsidRPr="004B154D" w:rsidRDefault="004B154D" w:rsidP="004B154D">
            <w:pPr>
              <w:rPr>
                <w:rFonts w:eastAsia="Times New Roman" w:cs="Times New Roman"/>
                <w:b/>
                <w:bCs/>
                <w:color w:val="000000"/>
                <w:sz w:val="22"/>
                <w:szCs w:val="22"/>
                <w:lang w:eastAsia="lv-LV"/>
              </w:rPr>
            </w:pPr>
          </w:p>
        </w:tc>
        <w:tc>
          <w:tcPr>
            <w:tcW w:w="3829" w:type="pct"/>
            <w:shd w:val="clear" w:color="000000" w:fill="EBF1E9"/>
            <w:vAlign w:val="center"/>
            <w:hideMark/>
          </w:tcPr>
          <w:p w14:paraId="6158BFA9" w14:textId="0914EB74" w:rsidR="004B154D" w:rsidRPr="004B154D" w:rsidRDefault="004B154D" w:rsidP="004B154D">
            <w:pPr>
              <w:jc w:val="center"/>
              <w:rPr>
                <w:rFonts w:eastAsia="Times New Roman" w:cs="Times New Roman"/>
                <w:color w:val="000000"/>
                <w:sz w:val="22"/>
                <w:szCs w:val="22"/>
                <w:lang w:eastAsia="lv-LV"/>
              </w:rPr>
            </w:pPr>
            <w:r w:rsidRPr="004B154D">
              <w:rPr>
                <w:rFonts w:eastAsia="Times New Roman" w:cs="Times New Roman"/>
                <w:color w:val="000000"/>
                <w:sz w:val="22"/>
                <w:szCs w:val="22"/>
                <w:lang w:eastAsia="lv-LV"/>
              </w:rPr>
              <w:t>Inovatīvu metožu (konkursa procedūra ar sarunām, konkursa dialogs u.tml.) īpatsvars</w:t>
            </w:r>
            <w:r w:rsidR="00846CF0">
              <w:rPr>
                <w:rFonts w:eastAsia="Times New Roman" w:cs="Times New Roman"/>
                <w:color w:val="000000"/>
                <w:sz w:val="22"/>
                <w:szCs w:val="22"/>
                <w:lang w:eastAsia="lv-LV"/>
              </w:rPr>
              <w:t xml:space="preserve"> (</w:t>
            </w:r>
            <w:r w:rsidRPr="004B154D">
              <w:rPr>
                <w:rFonts w:eastAsia="Times New Roman" w:cs="Times New Roman"/>
                <w:color w:val="000000"/>
                <w:sz w:val="22"/>
                <w:szCs w:val="22"/>
                <w:lang w:eastAsia="lv-LV"/>
              </w:rPr>
              <w:t>%</w:t>
            </w:r>
            <w:r w:rsidR="00846CF0">
              <w:rPr>
                <w:rFonts w:eastAsia="Times New Roman" w:cs="Times New Roman"/>
                <w:color w:val="000000"/>
                <w:sz w:val="22"/>
                <w:szCs w:val="22"/>
                <w:lang w:eastAsia="lv-LV"/>
              </w:rPr>
              <w:t>)</w:t>
            </w:r>
          </w:p>
        </w:tc>
      </w:tr>
      <w:tr w:rsidR="005B592B" w:rsidRPr="004B154D" w14:paraId="34064120" w14:textId="77777777" w:rsidTr="005B592B">
        <w:trPr>
          <w:trHeight w:val="70"/>
        </w:trPr>
        <w:tc>
          <w:tcPr>
            <w:tcW w:w="1171" w:type="pct"/>
            <w:vMerge w:val="restart"/>
            <w:shd w:val="clear" w:color="auto" w:fill="A8D08D" w:themeFill="accent6" w:themeFillTint="99"/>
            <w:vAlign w:val="center"/>
            <w:hideMark/>
          </w:tcPr>
          <w:p w14:paraId="1BFEE9AC" w14:textId="77777777" w:rsidR="004B154D" w:rsidRPr="004B154D" w:rsidRDefault="004B154D" w:rsidP="004B154D">
            <w:pPr>
              <w:jc w:val="center"/>
              <w:rPr>
                <w:rFonts w:eastAsia="Times New Roman" w:cs="Times New Roman"/>
                <w:b/>
                <w:bCs/>
                <w:color w:val="000000"/>
                <w:sz w:val="22"/>
                <w:szCs w:val="22"/>
                <w:lang w:eastAsia="lv-LV"/>
              </w:rPr>
            </w:pPr>
            <w:r w:rsidRPr="004B154D">
              <w:rPr>
                <w:rFonts w:eastAsia="Times New Roman" w:cs="Times New Roman"/>
                <w:b/>
                <w:bCs/>
                <w:color w:val="000000"/>
                <w:sz w:val="22"/>
                <w:szCs w:val="22"/>
                <w:lang w:eastAsia="lv-LV"/>
              </w:rPr>
              <w:t xml:space="preserve">Nozaru vadība un </w:t>
            </w:r>
            <w:proofErr w:type="spellStart"/>
            <w:r w:rsidRPr="004B154D">
              <w:rPr>
                <w:rFonts w:eastAsia="Times New Roman" w:cs="Times New Roman"/>
                <w:b/>
                <w:bCs/>
                <w:color w:val="000000"/>
                <w:sz w:val="22"/>
                <w:szCs w:val="22"/>
                <w:lang w:eastAsia="lv-LV"/>
              </w:rPr>
              <w:t>iekšlietu</w:t>
            </w:r>
            <w:proofErr w:type="spellEnd"/>
            <w:r w:rsidRPr="004B154D">
              <w:rPr>
                <w:rFonts w:eastAsia="Times New Roman" w:cs="Times New Roman"/>
                <w:b/>
                <w:bCs/>
                <w:color w:val="000000"/>
                <w:sz w:val="22"/>
                <w:szCs w:val="22"/>
                <w:lang w:eastAsia="lv-LV"/>
              </w:rPr>
              <w:t xml:space="preserve"> politikas plānošana</w:t>
            </w:r>
          </w:p>
        </w:tc>
        <w:tc>
          <w:tcPr>
            <w:tcW w:w="3829" w:type="pct"/>
            <w:shd w:val="clear" w:color="000000" w:fill="EBF1E9"/>
            <w:vAlign w:val="center"/>
            <w:hideMark/>
          </w:tcPr>
          <w:p w14:paraId="1D572A80" w14:textId="7FE43FB6" w:rsidR="004B154D" w:rsidRPr="004B154D" w:rsidRDefault="004B154D" w:rsidP="004B154D">
            <w:pPr>
              <w:jc w:val="center"/>
              <w:rPr>
                <w:rFonts w:eastAsia="Times New Roman" w:cs="Times New Roman"/>
                <w:color w:val="000000"/>
                <w:sz w:val="22"/>
                <w:szCs w:val="22"/>
                <w:lang w:eastAsia="lv-LV"/>
              </w:rPr>
            </w:pPr>
            <w:r w:rsidRPr="004B154D">
              <w:rPr>
                <w:rFonts w:eastAsia="Times New Roman" w:cs="Times New Roman"/>
                <w:color w:val="000000"/>
                <w:sz w:val="22"/>
                <w:szCs w:val="22"/>
                <w:lang w:eastAsia="lv-LV"/>
              </w:rPr>
              <w:t>Miruš</w:t>
            </w:r>
            <w:r w:rsidR="00846CF0">
              <w:rPr>
                <w:rFonts w:eastAsia="Times New Roman" w:cs="Times New Roman"/>
                <w:color w:val="000000"/>
                <w:sz w:val="22"/>
                <w:szCs w:val="22"/>
                <w:lang w:eastAsia="lv-LV"/>
              </w:rPr>
              <w:t xml:space="preserve">ie </w:t>
            </w:r>
            <w:r w:rsidRPr="004B154D">
              <w:rPr>
                <w:rFonts w:eastAsia="Times New Roman" w:cs="Times New Roman"/>
                <w:color w:val="000000"/>
                <w:sz w:val="22"/>
                <w:szCs w:val="22"/>
                <w:lang w:eastAsia="lv-LV"/>
              </w:rPr>
              <w:t>no ārējiem nāves cēloņiem gadā uz 100 000 iedzīvotāj</w:t>
            </w:r>
            <w:r w:rsidR="00846CF0">
              <w:rPr>
                <w:rFonts w:eastAsia="Times New Roman" w:cs="Times New Roman"/>
                <w:color w:val="000000"/>
                <w:sz w:val="22"/>
                <w:szCs w:val="22"/>
                <w:lang w:eastAsia="lv-LV"/>
              </w:rPr>
              <w:t>iem (skaits)</w:t>
            </w:r>
          </w:p>
        </w:tc>
      </w:tr>
      <w:tr w:rsidR="005B592B" w:rsidRPr="004B154D" w14:paraId="086B1E83" w14:textId="77777777" w:rsidTr="005B592B">
        <w:trPr>
          <w:trHeight w:val="70"/>
        </w:trPr>
        <w:tc>
          <w:tcPr>
            <w:tcW w:w="1171" w:type="pct"/>
            <w:vMerge/>
            <w:shd w:val="clear" w:color="auto" w:fill="A8D08D" w:themeFill="accent6" w:themeFillTint="99"/>
            <w:vAlign w:val="center"/>
            <w:hideMark/>
          </w:tcPr>
          <w:p w14:paraId="6EFD2D2F" w14:textId="77777777" w:rsidR="004B154D" w:rsidRPr="004B154D" w:rsidRDefault="004B154D" w:rsidP="004B154D">
            <w:pPr>
              <w:rPr>
                <w:rFonts w:eastAsia="Times New Roman" w:cs="Times New Roman"/>
                <w:b/>
                <w:bCs/>
                <w:color w:val="000000"/>
                <w:sz w:val="22"/>
                <w:szCs w:val="22"/>
                <w:lang w:eastAsia="lv-LV"/>
              </w:rPr>
            </w:pPr>
          </w:p>
        </w:tc>
        <w:tc>
          <w:tcPr>
            <w:tcW w:w="3829" w:type="pct"/>
            <w:shd w:val="clear" w:color="000000" w:fill="EBF1E9"/>
            <w:vAlign w:val="center"/>
            <w:hideMark/>
          </w:tcPr>
          <w:p w14:paraId="7D6F080E" w14:textId="6334E760" w:rsidR="004B154D" w:rsidRDefault="004B154D" w:rsidP="004B154D">
            <w:pPr>
              <w:jc w:val="center"/>
              <w:rPr>
                <w:rFonts w:eastAsia="Times New Roman" w:cs="Times New Roman"/>
                <w:color w:val="000000"/>
                <w:sz w:val="22"/>
                <w:szCs w:val="22"/>
                <w:lang w:eastAsia="lv-LV"/>
              </w:rPr>
            </w:pPr>
            <w:r w:rsidRPr="004B154D">
              <w:rPr>
                <w:rFonts w:eastAsia="Times New Roman" w:cs="Times New Roman"/>
                <w:color w:val="000000"/>
                <w:sz w:val="22"/>
                <w:szCs w:val="22"/>
                <w:lang w:eastAsia="lv-LV"/>
              </w:rPr>
              <w:t>Korupcijas uztvere</w:t>
            </w:r>
            <w:r w:rsidR="00846CF0">
              <w:rPr>
                <w:rFonts w:eastAsia="Times New Roman" w:cs="Times New Roman"/>
                <w:color w:val="000000"/>
                <w:sz w:val="22"/>
                <w:szCs w:val="22"/>
                <w:lang w:eastAsia="lv-LV"/>
              </w:rPr>
              <w:t xml:space="preserve"> (</w:t>
            </w:r>
            <w:r w:rsidRPr="004B154D">
              <w:rPr>
                <w:rFonts w:eastAsia="Times New Roman" w:cs="Times New Roman"/>
                <w:color w:val="000000"/>
                <w:sz w:val="22"/>
                <w:szCs w:val="22"/>
                <w:lang w:eastAsia="lv-LV"/>
              </w:rPr>
              <w:t>punkti</w:t>
            </w:r>
            <w:r w:rsidR="00846CF0">
              <w:rPr>
                <w:rFonts w:eastAsia="Times New Roman" w:cs="Times New Roman"/>
                <w:color w:val="000000"/>
                <w:sz w:val="22"/>
                <w:szCs w:val="22"/>
                <w:lang w:eastAsia="lv-LV"/>
              </w:rPr>
              <w:t>)</w:t>
            </w:r>
          </w:p>
          <w:p w14:paraId="01BB45A3" w14:textId="4B906492" w:rsidR="005B592B" w:rsidRPr="004B154D" w:rsidRDefault="005B592B" w:rsidP="004B154D">
            <w:pPr>
              <w:jc w:val="center"/>
              <w:rPr>
                <w:rFonts w:eastAsia="Times New Roman" w:cs="Times New Roman"/>
                <w:color w:val="000000"/>
                <w:sz w:val="22"/>
                <w:szCs w:val="22"/>
                <w:lang w:eastAsia="lv-LV"/>
              </w:rPr>
            </w:pPr>
          </w:p>
        </w:tc>
      </w:tr>
      <w:tr w:rsidR="005B592B" w:rsidRPr="004B154D" w14:paraId="371C6479" w14:textId="77777777" w:rsidTr="005B592B">
        <w:trPr>
          <w:trHeight w:val="70"/>
        </w:trPr>
        <w:tc>
          <w:tcPr>
            <w:tcW w:w="1171" w:type="pct"/>
            <w:vMerge/>
            <w:shd w:val="clear" w:color="auto" w:fill="A8D08D" w:themeFill="accent6" w:themeFillTint="99"/>
            <w:vAlign w:val="center"/>
            <w:hideMark/>
          </w:tcPr>
          <w:p w14:paraId="107E4616" w14:textId="77777777" w:rsidR="004B154D" w:rsidRPr="004B154D" w:rsidRDefault="004B154D" w:rsidP="004B154D">
            <w:pPr>
              <w:rPr>
                <w:rFonts w:eastAsia="Times New Roman" w:cs="Times New Roman"/>
                <w:b/>
                <w:bCs/>
                <w:color w:val="000000"/>
                <w:sz w:val="22"/>
                <w:szCs w:val="22"/>
                <w:lang w:eastAsia="lv-LV"/>
              </w:rPr>
            </w:pPr>
          </w:p>
        </w:tc>
        <w:tc>
          <w:tcPr>
            <w:tcW w:w="3829" w:type="pct"/>
            <w:shd w:val="clear" w:color="000000" w:fill="EBF1E9"/>
            <w:vAlign w:val="bottom"/>
            <w:hideMark/>
          </w:tcPr>
          <w:p w14:paraId="575370D4" w14:textId="77777777" w:rsidR="004B154D" w:rsidRPr="004B154D" w:rsidRDefault="004B154D" w:rsidP="004B154D">
            <w:pPr>
              <w:jc w:val="center"/>
              <w:rPr>
                <w:rFonts w:eastAsia="Times New Roman" w:cs="Times New Roman"/>
                <w:i/>
                <w:iCs/>
                <w:color w:val="FF0000"/>
                <w:sz w:val="22"/>
                <w:szCs w:val="22"/>
                <w:lang w:eastAsia="lv-LV"/>
              </w:rPr>
            </w:pPr>
            <w:r w:rsidRPr="004B154D">
              <w:rPr>
                <w:rFonts w:eastAsia="Times New Roman" w:cs="Times New Roman"/>
                <w:i/>
                <w:iCs/>
                <w:sz w:val="22"/>
                <w:szCs w:val="22"/>
                <w:lang w:eastAsia="lv-LV"/>
              </w:rPr>
              <w:t>Indikators, kas raksturotu pret vardarbību vērsto pasākumu efektivitāti</w:t>
            </w:r>
          </w:p>
        </w:tc>
      </w:tr>
    </w:tbl>
    <w:p w14:paraId="16E1666C" w14:textId="77777777" w:rsidR="0056451E" w:rsidRDefault="0056451E" w:rsidP="005B592B">
      <w:pPr>
        <w:rPr>
          <w:bCs/>
        </w:rPr>
      </w:pPr>
    </w:p>
    <w:p w14:paraId="7B4DC0D5" w14:textId="5DC8A000" w:rsidR="00F05A7B" w:rsidRPr="005B592B" w:rsidRDefault="005B592B" w:rsidP="00341E0B">
      <w:pPr>
        <w:spacing w:after="120"/>
        <w:rPr>
          <w:bCs/>
        </w:rPr>
      </w:pPr>
      <w:r w:rsidRPr="005B592B">
        <w:rPr>
          <w:bCs/>
        </w:rPr>
        <w:t>Izglītības un zinātnes ministrija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6941"/>
      </w:tblGrid>
      <w:tr w:rsidR="005B592B" w:rsidRPr="005B592B" w14:paraId="337BEFDB" w14:textId="77777777" w:rsidTr="00341E0B">
        <w:trPr>
          <w:trHeight w:val="126"/>
          <w:tblHeader/>
        </w:trPr>
        <w:tc>
          <w:tcPr>
            <w:tcW w:w="1170" w:type="pct"/>
            <w:shd w:val="clear" w:color="auto" w:fill="A8D08D" w:themeFill="accent6" w:themeFillTint="99"/>
            <w:noWrap/>
            <w:vAlign w:val="bottom"/>
            <w:hideMark/>
          </w:tcPr>
          <w:p w14:paraId="52052319" w14:textId="77777777" w:rsidR="005B592B" w:rsidRPr="005B592B" w:rsidRDefault="005B592B" w:rsidP="005B592B">
            <w:pPr>
              <w:jc w:val="center"/>
              <w:rPr>
                <w:rFonts w:eastAsia="Times New Roman" w:cs="Times New Roman"/>
                <w:b/>
                <w:bCs/>
                <w:color w:val="000000"/>
                <w:sz w:val="22"/>
                <w:szCs w:val="22"/>
                <w:lang w:eastAsia="lv-LV"/>
              </w:rPr>
            </w:pPr>
            <w:r w:rsidRPr="005B592B">
              <w:rPr>
                <w:rFonts w:eastAsia="Times New Roman" w:cs="Times New Roman"/>
                <w:b/>
                <w:bCs/>
                <w:color w:val="000000"/>
                <w:sz w:val="22"/>
                <w:szCs w:val="22"/>
                <w:lang w:eastAsia="lv-LV"/>
              </w:rPr>
              <w:t xml:space="preserve">Joma </w:t>
            </w:r>
          </w:p>
        </w:tc>
        <w:tc>
          <w:tcPr>
            <w:tcW w:w="3830" w:type="pct"/>
            <w:shd w:val="clear" w:color="000000" w:fill="A9D08E"/>
            <w:noWrap/>
            <w:vAlign w:val="bottom"/>
            <w:hideMark/>
          </w:tcPr>
          <w:p w14:paraId="2A204821" w14:textId="77777777" w:rsidR="005B592B" w:rsidRPr="005B592B" w:rsidRDefault="005B592B" w:rsidP="005B592B">
            <w:pPr>
              <w:jc w:val="center"/>
              <w:rPr>
                <w:rFonts w:eastAsia="Times New Roman" w:cs="Times New Roman"/>
                <w:b/>
                <w:bCs/>
                <w:color w:val="000000"/>
                <w:sz w:val="22"/>
                <w:szCs w:val="22"/>
                <w:lang w:eastAsia="lv-LV"/>
              </w:rPr>
            </w:pPr>
            <w:r w:rsidRPr="005B592B">
              <w:rPr>
                <w:rFonts w:eastAsia="Times New Roman" w:cs="Times New Roman"/>
                <w:b/>
                <w:bCs/>
                <w:color w:val="000000"/>
                <w:sz w:val="22"/>
                <w:szCs w:val="22"/>
                <w:lang w:eastAsia="lv-LV"/>
              </w:rPr>
              <w:t>Politikas rezultatīvie rādītāji</w:t>
            </w:r>
          </w:p>
        </w:tc>
      </w:tr>
      <w:tr w:rsidR="005B592B" w:rsidRPr="005B592B" w14:paraId="670603FE" w14:textId="77777777" w:rsidTr="005B592B">
        <w:trPr>
          <w:trHeight w:val="144"/>
        </w:trPr>
        <w:tc>
          <w:tcPr>
            <w:tcW w:w="1170" w:type="pct"/>
            <w:vMerge w:val="restart"/>
            <w:shd w:val="clear" w:color="auto" w:fill="A8D08D" w:themeFill="accent6" w:themeFillTint="99"/>
            <w:vAlign w:val="center"/>
            <w:hideMark/>
          </w:tcPr>
          <w:p w14:paraId="34AD848B" w14:textId="77777777" w:rsidR="005B592B" w:rsidRPr="005B592B" w:rsidRDefault="005B592B" w:rsidP="005B592B">
            <w:pPr>
              <w:jc w:val="center"/>
              <w:rPr>
                <w:rFonts w:eastAsia="Times New Roman" w:cs="Times New Roman"/>
                <w:b/>
                <w:bCs/>
                <w:color w:val="000000"/>
                <w:sz w:val="22"/>
                <w:szCs w:val="22"/>
                <w:lang w:eastAsia="lv-LV"/>
              </w:rPr>
            </w:pPr>
            <w:r w:rsidRPr="005B592B">
              <w:rPr>
                <w:rFonts w:eastAsia="Times New Roman" w:cs="Times New Roman"/>
                <w:b/>
                <w:bCs/>
                <w:color w:val="000000"/>
                <w:sz w:val="22"/>
                <w:szCs w:val="22"/>
                <w:lang w:eastAsia="lv-LV"/>
              </w:rPr>
              <w:t>Vispārējā izglītība</w:t>
            </w:r>
          </w:p>
        </w:tc>
        <w:tc>
          <w:tcPr>
            <w:tcW w:w="3830" w:type="pct"/>
            <w:shd w:val="clear" w:color="000000" w:fill="EBF1E9"/>
            <w:vAlign w:val="center"/>
            <w:hideMark/>
          </w:tcPr>
          <w:p w14:paraId="7FC2961E" w14:textId="2D97B339" w:rsidR="005B592B" w:rsidRPr="005B592B" w:rsidRDefault="005B592B" w:rsidP="005B592B">
            <w:pPr>
              <w:jc w:val="center"/>
              <w:rPr>
                <w:rFonts w:eastAsia="Times New Roman" w:cs="Times New Roman"/>
                <w:color w:val="000000"/>
                <w:sz w:val="22"/>
                <w:szCs w:val="22"/>
                <w:lang w:eastAsia="lv-LV"/>
              </w:rPr>
            </w:pPr>
            <w:r w:rsidRPr="005B592B">
              <w:rPr>
                <w:rFonts w:eastAsia="Times New Roman" w:cs="Times New Roman"/>
                <w:color w:val="000000"/>
                <w:sz w:val="22"/>
                <w:szCs w:val="22"/>
                <w:lang w:eastAsia="lv-LV"/>
              </w:rPr>
              <w:t xml:space="preserve"> Skolēn</w:t>
            </w:r>
            <w:r w:rsidR="00846CF0">
              <w:rPr>
                <w:rFonts w:eastAsia="Times New Roman" w:cs="Times New Roman"/>
                <w:color w:val="000000"/>
                <w:sz w:val="22"/>
                <w:szCs w:val="22"/>
                <w:lang w:eastAsia="lv-LV"/>
              </w:rPr>
              <w:t>i</w:t>
            </w:r>
            <w:r w:rsidRPr="005B592B">
              <w:rPr>
                <w:rFonts w:eastAsia="Times New Roman" w:cs="Times New Roman"/>
                <w:color w:val="000000"/>
                <w:sz w:val="22"/>
                <w:szCs w:val="22"/>
                <w:lang w:eastAsia="lv-LV"/>
              </w:rPr>
              <w:t xml:space="preserve"> uz vienu pedagoga slodzi (ISCED 1–3 līmenī)</w:t>
            </w:r>
            <w:r w:rsidR="00846CF0">
              <w:rPr>
                <w:rFonts w:eastAsia="Times New Roman" w:cs="Times New Roman"/>
                <w:color w:val="000000"/>
                <w:sz w:val="22"/>
                <w:szCs w:val="22"/>
                <w:lang w:eastAsia="lv-LV"/>
              </w:rPr>
              <w:t xml:space="preserve"> (skaits)</w:t>
            </w:r>
          </w:p>
        </w:tc>
      </w:tr>
      <w:tr w:rsidR="005B592B" w:rsidRPr="005B592B" w14:paraId="7928B9CD" w14:textId="77777777" w:rsidTr="005B592B">
        <w:trPr>
          <w:trHeight w:val="304"/>
        </w:trPr>
        <w:tc>
          <w:tcPr>
            <w:tcW w:w="1170" w:type="pct"/>
            <w:vMerge/>
            <w:shd w:val="clear" w:color="auto" w:fill="A8D08D" w:themeFill="accent6" w:themeFillTint="99"/>
            <w:vAlign w:val="center"/>
            <w:hideMark/>
          </w:tcPr>
          <w:p w14:paraId="6CD4144B" w14:textId="77777777" w:rsidR="005B592B" w:rsidRPr="005B592B" w:rsidRDefault="005B592B" w:rsidP="005B592B">
            <w:pPr>
              <w:rPr>
                <w:rFonts w:eastAsia="Times New Roman" w:cs="Times New Roman"/>
                <w:b/>
                <w:bCs/>
                <w:color w:val="000000"/>
                <w:sz w:val="22"/>
                <w:szCs w:val="22"/>
                <w:lang w:eastAsia="lv-LV"/>
              </w:rPr>
            </w:pPr>
          </w:p>
        </w:tc>
        <w:tc>
          <w:tcPr>
            <w:tcW w:w="3830" w:type="pct"/>
            <w:shd w:val="clear" w:color="000000" w:fill="EBF1E9"/>
            <w:vAlign w:val="center"/>
            <w:hideMark/>
          </w:tcPr>
          <w:p w14:paraId="1F1B661A" w14:textId="22BED540" w:rsidR="005B592B" w:rsidRPr="005B592B" w:rsidRDefault="005B592B" w:rsidP="005B592B">
            <w:pPr>
              <w:jc w:val="center"/>
              <w:rPr>
                <w:rFonts w:eastAsia="Times New Roman" w:cs="Times New Roman"/>
                <w:color w:val="000000"/>
                <w:sz w:val="22"/>
                <w:szCs w:val="22"/>
                <w:lang w:eastAsia="lv-LV"/>
              </w:rPr>
            </w:pPr>
            <w:r w:rsidRPr="005B592B">
              <w:rPr>
                <w:rFonts w:eastAsia="Times New Roman" w:cs="Times New Roman"/>
                <w:color w:val="000000"/>
                <w:sz w:val="22"/>
                <w:szCs w:val="22"/>
                <w:lang w:eastAsia="lv-LV"/>
              </w:rPr>
              <w:t xml:space="preserve"> 15 gadus vecu skolēnu īpatsvars ar augstiem/zemiem mācību sasniegumiem lasīšanā, matemātikā un dabaszinātnēs </w:t>
            </w:r>
            <w:r w:rsidR="00846CF0">
              <w:rPr>
                <w:rFonts w:eastAsia="Times New Roman" w:cs="Times New Roman"/>
                <w:color w:val="000000"/>
                <w:sz w:val="22"/>
                <w:szCs w:val="22"/>
                <w:lang w:eastAsia="lv-LV"/>
              </w:rPr>
              <w:t>(</w:t>
            </w:r>
            <w:r w:rsidRPr="005B592B">
              <w:rPr>
                <w:rFonts w:eastAsia="Times New Roman" w:cs="Times New Roman"/>
                <w:color w:val="000000"/>
                <w:sz w:val="22"/>
                <w:szCs w:val="22"/>
                <w:lang w:eastAsia="lv-LV"/>
              </w:rPr>
              <w:t>%</w:t>
            </w:r>
            <w:r w:rsidR="00846CF0">
              <w:rPr>
                <w:rFonts w:eastAsia="Times New Roman" w:cs="Times New Roman"/>
                <w:color w:val="000000"/>
                <w:sz w:val="22"/>
                <w:szCs w:val="22"/>
                <w:lang w:eastAsia="lv-LV"/>
              </w:rPr>
              <w:t>)</w:t>
            </w:r>
          </w:p>
        </w:tc>
      </w:tr>
      <w:tr w:rsidR="00AC7742" w:rsidRPr="005B592B" w14:paraId="5A09910C" w14:textId="77777777" w:rsidTr="00AC7742">
        <w:trPr>
          <w:trHeight w:val="968"/>
        </w:trPr>
        <w:tc>
          <w:tcPr>
            <w:tcW w:w="1170" w:type="pct"/>
            <w:vMerge/>
            <w:shd w:val="clear" w:color="auto" w:fill="A8D08D" w:themeFill="accent6" w:themeFillTint="99"/>
            <w:vAlign w:val="center"/>
            <w:hideMark/>
          </w:tcPr>
          <w:p w14:paraId="2A6CDCD1" w14:textId="77777777" w:rsidR="00AC7742" w:rsidRPr="005B592B" w:rsidRDefault="00AC7742" w:rsidP="005B592B">
            <w:pPr>
              <w:rPr>
                <w:rFonts w:eastAsia="Times New Roman" w:cs="Times New Roman"/>
                <w:b/>
                <w:bCs/>
                <w:color w:val="000000"/>
                <w:sz w:val="22"/>
                <w:szCs w:val="22"/>
                <w:lang w:eastAsia="lv-LV"/>
              </w:rPr>
            </w:pPr>
          </w:p>
        </w:tc>
        <w:tc>
          <w:tcPr>
            <w:tcW w:w="3830" w:type="pct"/>
            <w:shd w:val="clear" w:color="000000" w:fill="EBF1E9"/>
            <w:vAlign w:val="center"/>
            <w:hideMark/>
          </w:tcPr>
          <w:p w14:paraId="411FB496" w14:textId="0B35E2A3" w:rsidR="00AC7742" w:rsidRDefault="00AC7742" w:rsidP="005B592B">
            <w:pPr>
              <w:jc w:val="center"/>
              <w:rPr>
                <w:rFonts w:eastAsia="Times New Roman" w:cs="Times New Roman"/>
                <w:color w:val="000000"/>
                <w:sz w:val="22"/>
                <w:szCs w:val="22"/>
                <w:lang w:eastAsia="lv-LV"/>
              </w:rPr>
            </w:pPr>
            <w:r w:rsidRPr="005B592B">
              <w:rPr>
                <w:rFonts w:eastAsia="Times New Roman" w:cs="Times New Roman"/>
                <w:color w:val="000000"/>
                <w:sz w:val="22"/>
                <w:szCs w:val="22"/>
                <w:lang w:eastAsia="lv-LV"/>
              </w:rPr>
              <w:t>Pedagogu mēneša vidējās bruto samaksas attiecība pret pārējo profesiju darbinieku ar augstāko izglītību mēneša vidējo bruto samaksu</w:t>
            </w:r>
            <w:r w:rsidR="00846CF0">
              <w:rPr>
                <w:rFonts w:eastAsia="Times New Roman" w:cs="Times New Roman"/>
                <w:color w:val="000000"/>
                <w:sz w:val="22"/>
                <w:szCs w:val="22"/>
                <w:lang w:eastAsia="lv-LV"/>
              </w:rPr>
              <w:t xml:space="preserve"> (</w:t>
            </w:r>
            <w:r w:rsidRPr="005B592B">
              <w:rPr>
                <w:rFonts w:eastAsia="Times New Roman" w:cs="Times New Roman"/>
                <w:color w:val="000000"/>
                <w:sz w:val="22"/>
                <w:szCs w:val="22"/>
                <w:lang w:eastAsia="lv-LV"/>
              </w:rPr>
              <w:t>%</w:t>
            </w:r>
            <w:r w:rsidR="00846CF0">
              <w:rPr>
                <w:rFonts w:eastAsia="Times New Roman" w:cs="Times New Roman"/>
                <w:color w:val="000000"/>
                <w:sz w:val="22"/>
                <w:szCs w:val="22"/>
                <w:lang w:eastAsia="lv-LV"/>
              </w:rPr>
              <w:t>)</w:t>
            </w:r>
            <w:r w:rsidRPr="005B592B">
              <w:rPr>
                <w:rFonts w:eastAsia="Times New Roman" w:cs="Times New Roman"/>
                <w:color w:val="000000"/>
                <w:sz w:val="22"/>
                <w:szCs w:val="22"/>
                <w:lang w:eastAsia="lv-LV"/>
              </w:rPr>
              <w:t>:</w:t>
            </w:r>
          </w:p>
          <w:p w14:paraId="069FE6CB" w14:textId="3F65A56E" w:rsidR="00AC7742" w:rsidRPr="00AC7742" w:rsidRDefault="00AC7742" w:rsidP="00AC7742">
            <w:pPr>
              <w:pStyle w:val="ListParagraph"/>
              <w:numPr>
                <w:ilvl w:val="0"/>
                <w:numId w:val="4"/>
              </w:numPr>
              <w:jc w:val="center"/>
              <w:rPr>
                <w:rFonts w:eastAsia="Times New Roman" w:cs="Times New Roman"/>
                <w:color w:val="000000"/>
                <w:sz w:val="22"/>
                <w:szCs w:val="22"/>
                <w:lang w:eastAsia="lv-LV"/>
              </w:rPr>
            </w:pPr>
            <w:r w:rsidRPr="00AC7742">
              <w:rPr>
                <w:rFonts w:eastAsia="Times New Roman" w:cs="Times New Roman"/>
                <w:color w:val="000000"/>
                <w:sz w:val="22"/>
                <w:szCs w:val="22"/>
                <w:lang w:eastAsia="lv-LV"/>
              </w:rPr>
              <w:t>Pamatizglītības un pirmsskolas pedagogi;</w:t>
            </w:r>
          </w:p>
          <w:p w14:paraId="2D6014C5" w14:textId="40950954" w:rsidR="00AC7742" w:rsidRPr="00AC7742" w:rsidRDefault="00AC7742" w:rsidP="00AC7742">
            <w:pPr>
              <w:pStyle w:val="ListParagraph"/>
              <w:numPr>
                <w:ilvl w:val="0"/>
                <w:numId w:val="4"/>
              </w:numPr>
              <w:jc w:val="center"/>
              <w:rPr>
                <w:rFonts w:eastAsia="Times New Roman" w:cs="Times New Roman"/>
                <w:color w:val="000000"/>
                <w:sz w:val="22"/>
                <w:szCs w:val="22"/>
                <w:lang w:eastAsia="lv-LV"/>
              </w:rPr>
            </w:pPr>
            <w:r w:rsidRPr="005B592B">
              <w:rPr>
                <w:rFonts w:eastAsia="Times New Roman" w:cs="Times New Roman"/>
                <w:color w:val="000000"/>
                <w:sz w:val="22"/>
                <w:szCs w:val="22"/>
                <w:lang w:eastAsia="lv-LV"/>
              </w:rPr>
              <w:t>Vidējās izglītības pedagogi</w:t>
            </w:r>
          </w:p>
        </w:tc>
      </w:tr>
      <w:tr w:rsidR="005B592B" w:rsidRPr="005B592B" w14:paraId="47F62DFB" w14:textId="77777777" w:rsidTr="005B592B">
        <w:trPr>
          <w:trHeight w:val="201"/>
        </w:trPr>
        <w:tc>
          <w:tcPr>
            <w:tcW w:w="1170" w:type="pct"/>
            <w:vMerge/>
            <w:shd w:val="clear" w:color="auto" w:fill="A8D08D" w:themeFill="accent6" w:themeFillTint="99"/>
            <w:vAlign w:val="center"/>
            <w:hideMark/>
          </w:tcPr>
          <w:p w14:paraId="3C272EC7" w14:textId="77777777" w:rsidR="005B592B" w:rsidRPr="005B592B" w:rsidRDefault="005B592B" w:rsidP="005B592B">
            <w:pPr>
              <w:rPr>
                <w:rFonts w:eastAsia="Times New Roman" w:cs="Times New Roman"/>
                <w:b/>
                <w:bCs/>
                <w:color w:val="000000"/>
                <w:sz w:val="22"/>
                <w:szCs w:val="22"/>
                <w:lang w:eastAsia="lv-LV"/>
              </w:rPr>
            </w:pPr>
          </w:p>
        </w:tc>
        <w:tc>
          <w:tcPr>
            <w:tcW w:w="3830" w:type="pct"/>
            <w:shd w:val="clear" w:color="000000" w:fill="EBF1E9"/>
            <w:vAlign w:val="center"/>
            <w:hideMark/>
          </w:tcPr>
          <w:p w14:paraId="463A5C5D" w14:textId="7B540A30" w:rsidR="005B592B" w:rsidRPr="005B592B" w:rsidRDefault="005B592B" w:rsidP="005B592B">
            <w:pPr>
              <w:jc w:val="center"/>
              <w:rPr>
                <w:rFonts w:eastAsia="Times New Roman" w:cs="Times New Roman"/>
                <w:color w:val="000000"/>
                <w:sz w:val="22"/>
                <w:szCs w:val="22"/>
                <w:lang w:eastAsia="lv-LV"/>
              </w:rPr>
            </w:pPr>
            <w:r w:rsidRPr="005B592B">
              <w:rPr>
                <w:rFonts w:eastAsia="Times New Roman" w:cs="Times New Roman"/>
                <w:color w:val="000000"/>
                <w:sz w:val="22"/>
                <w:szCs w:val="22"/>
                <w:lang w:eastAsia="lv-LV"/>
              </w:rPr>
              <w:t>Valsts atbalsts pašvaldībām vispārējās izglītības iestāžu skolēnu ēdināšanai</w:t>
            </w:r>
            <w:r w:rsidR="00846CF0">
              <w:rPr>
                <w:rFonts w:eastAsia="Times New Roman" w:cs="Times New Roman"/>
                <w:color w:val="000000"/>
                <w:sz w:val="22"/>
                <w:szCs w:val="22"/>
                <w:lang w:eastAsia="lv-LV"/>
              </w:rPr>
              <w:t xml:space="preserve"> </w:t>
            </w:r>
            <w:r w:rsidR="004B58E9">
              <w:rPr>
                <w:rFonts w:eastAsia="Times New Roman" w:cs="Times New Roman"/>
                <w:color w:val="000000"/>
                <w:sz w:val="22"/>
                <w:szCs w:val="22"/>
                <w:lang w:eastAsia="lv-LV"/>
              </w:rPr>
              <w:t>–</w:t>
            </w:r>
            <w:r w:rsidR="00846CF0">
              <w:rPr>
                <w:rFonts w:eastAsia="Times New Roman" w:cs="Times New Roman"/>
                <w:color w:val="000000"/>
                <w:sz w:val="22"/>
                <w:szCs w:val="22"/>
                <w:lang w:eastAsia="lv-LV"/>
              </w:rPr>
              <w:t xml:space="preserve"> </w:t>
            </w:r>
            <w:r w:rsidRPr="005B592B">
              <w:rPr>
                <w:rFonts w:eastAsia="Times New Roman" w:cs="Times New Roman"/>
                <w:color w:val="000000"/>
                <w:sz w:val="22"/>
                <w:szCs w:val="22"/>
                <w:lang w:eastAsia="lv-LV"/>
              </w:rPr>
              <w:t xml:space="preserve"> klašu grup</w:t>
            </w:r>
            <w:r w:rsidR="004B58E9">
              <w:rPr>
                <w:rFonts w:eastAsia="Times New Roman" w:cs="Times New Roman"/>
                <w:color w:val="000000"/>
                <w:sz w:val="22"/>
                <w:szCs w:val="22"/>
                <w:lang w:eastAsia="lv-LV"/>
              </w:rPr>
              <w:t>as</w:t>
            </w:r>
            <w:r w:rsidRPr="005B592B">
              <w:rPr>
                <w:rFonts w:eastAsia="Times New Roman" w:cs="Times New Roman"/>
                <w:color w:val="000000"/>
                <w:sz w:val="22"/>
                <w:szCs w:val="22"/>
                <w:lang w:eastAsia="lv-LV"/>
              </w:rPr>
              <w:t xml:space="preserve"> </w:t>
            </w:r>
            <w:r w:rsidR="004B58E9">
              <w:rPr>
                <w:rFonts w:eastAsia="Times New Roman" w:cs="Times New Roman"/>
                <w:color w:val="000000"/>
                <w:sz w:val="22"/>
                <w:szCs w:val="22"/>
                <w:lang w:eastAsia="lv-LV"/>
              </w:rPr>
              <w:t>(</w:t>
            </w:r>
            <w:r w:rsidRPr="005B592B">
              <w:rPr>
                <w:rFonts w:eastAsia="Times New Roman" w:cs="Times New Roman"/>
                <w:color w:val="000000"/>
                <w:sz w:val="22"/>
                <w:szCs w:val="22"/>
                <w:lang w:eastAsia="lv-LV"/>
              </w:rPr>
              <w:t>skaits</w:t>
            </w:r>
            <w:r w:rsidR="004B58E9">
              <w:rPr>
                <w:rFonts w:eastAsia="Times New Roman" w:cs="Times New Roman"/>
                <w:color w:val="000000"/>
                <w:sz w:val="22"/>
                <w:szCs w:val="22"/>
                <w:lang w:eastAsia="lv-LV"/>
              </w:rPr>
              <w:t xml:space="preserve">) </w:t>
            </w:r>
          </w:p>
        </w:tc>
      </w:tr>
      <w:tr w:rsidR="005B592B" w:rsidRPr="005B592B" w14:paraId="7A59530A" w14:textId="77777777" w:rsidTr="005B592B">
        <w:trPr>
          <w:trHeight w:val="393"/>
        </w:trPr>
        <w:tc>
          <w:tcPr>
            <w:tcW w:w="1170" w:type="pct"/>
            <w:vMerge/>
            <w:shd w:val="clear" w:color="auto" w:fill="A8D08D" w:themeFill="accent6" w:themeFillTint="99"/>
            <w:vAlign w:val="center"/>
            <w:hideMark/>
          </w:tcPr>
          <w:p w14:paraId="4A4ED9FD" w14:textId="77777777" w:rsidR="005B592B" w:rsidRPr="005B592B" w:rsidRDefault="005B592B" w:rsidP="005B592B">
            <w:pPr>
              <w:rPr>
                <w:rFonts w:eastAsia="Times New Roman" w:cs="Times New Roman"/>
                <w:b/>
                <w:bCs/>
                <w:color w:val="000000"/>
                <w:sz w:val="22"/>
                <w:szCs w:val="22"/>
                <w:lang w:eastAsia="lv-LV"/>
              </w:rPr>
            </w:pPr>
          </w:p>
        </w:tc>
        <w:tc>
          <w:tcPr>
            <w:tcW w:w="3830" w:type="pct"/>
            <w:shd w:val="clear" w:color="000000" w:fill="EBF1E9"/>
            <w:vAlign w:val="center"/>
            <w:hideMark/>
          </w:tcPr>
          <w:p w14:paraId="4E0D96A7" w14:textId="65E7B829" w:rsidR="005B592B" w:rsidRPr="005B592B" w:rsidRDefault="005B592B" w:rsidP="005B592B">
            <w:pPr>
              <w:jc w:val="center"/>
              <w:rPr>
                <w:rFonts w:eastAsia="Times New Roman" w:cs="Times New Roman"/>
                <w:color w:val="000000"/>
                <w:sz w:val="22"/>
                <w:szCs w:val="22"/>
                <w:lang w:eastAsia="lv-LV"/>
              </w:rPr>
            </w:pPr>
            <w:r w:rsidRPr="005B592B">
              <w:rPr>
                <w:rFonts w:eastAsia="Times New Roman" w:cs="Times New Roman"/>
                <w:color w:val="000000"/>
                <w:sz w:val="22"/>
                <w:szCs w:val="22"/>
                <w:lang w:eastAsia="lv-LV"/>
              </w:rPr>
              <w:t xml:space="preserve">Bērnu un jauniešu ar speciālām vajadzībām īpatsvars, kas mācās vispārizglītojošajās mācību iestādēs un programmās, no kopējā šādu bērnu un jauniešu skaita </w:t>
            </w:r>
            <w:r w:rsidR="004B58E9">
              <w:rPr>
                <w:rFonts w:eastAsia="Times New Roman" w:cs="Times New Roman"/>
                <w:color w:val="000000"/>
                <w:sz w:val="22"/>
                <w:szCs w:val="22"/>
                <w:lang w:eastAsia="lv-LV"/>
              </w:rPr>
              <w:t>(</w:t>
            </w:r>
            <w:r w:rsidRPr="005B592B">
              <w:rPr>
                <w:rFonts w:eastAsia="Times New Roman" w:cs="Times New Roman"/>
                <w:color w:val="000000"/>
                <w:sz w:val="22"/>
                <w:szCs w:val="22"/>
                <w:lang w:eastAsia="lv-LV"/>
              </w:rPr>
              <w:t>%</w:t>
            </w:r>
            <w:r w:rsidR="004B58E9">
              <w:rPr>
                <w:rFonts w:eastAsia="Times New Roman" w:cs="Times New Roman"/>
                <w:color w:val="000000"/>
                <w:sz w:val="22"/>
                <w:szCs w:val="22"/>
                <w:lang w:eastAsia="lv-LV"/>
              </w:rPr>
              <w:t>)</w:t>
            </w:r>
          </w:p>
        </w:tc>
      </w:tr>
      <w:tr w:rsidR="005B592B" w:rsidRPr="005B592B" w14:paraId="104E94FD" w14:textId="77777777" w:rsidTr="005B592B">
        <w:trPr>
          <w:trHeight w:val="474"/>
        </w:trPr>
        <w:tc>
          <w:tcPr>
            <w:tcW w:w="1170" w:type="pct"/>
            <w:vMerge w:val="restart"/>
            <w:shd w:val="clear" w:color="auto" w:fill="A8D08D" w:themeFill="accent6" w:themeFillTint="99"/>
            <w:vAlign w:val="center"/>
            <w:hideMark/>
          </w:tcPr>
          <w:p w14:paraId="4FD3A6AF" w14:textId="77777777" w:rsidR="005B592B" w:rsidRPr="005B592B" w:rsidRDefault="005B592B" w:rsidP="005B592B">
            <w:pPr>
              <w:jc w:val="center"/>
              <w:rPr>
                <w:rFonts w:eastAsia="Times New Roman" w:cs="Times New Roman"/>
                <w:b/>
                <w:bCs/>
                <w:color w:val="000000"/>
                <w:sz w:val="22"/>
                <w:szCs w:val="22"/>
                <w:lang w:eastAsia="lv-LV"/>
              </w:rPr>
            </w:pPr>
            <w:r w:rsidRPr="005B592B">
              <w:rPr>
                <w:rFonts w:eastAsia="Times New Roman" w:cs="Times New Roman"/>
                <w:b/>
                <w:bCs/>
                <w:color w:val="000000"/>
                <w:sz w:val="22"/>
                <w:szCs w:val="22"/>
                <w:lang w:eastAsia="lv-LV"/>
              </w:rPr>
              <w:t>Profesionālā izglītība</w:t>
            </w:r>
          </w:p>
        </w:tc>
        <w:tc>
          <w:tcPr>
            <w:tcW w:w="3830" w:type="pct"/>
            <w:shd w:val="clear" w:color="000000" w:fill="EBF1E9"/>
            <w:vAlign w:val="center"/>
            <w:hideMark/>
          </w:tcPr>
          <w:p w14:paraId="05AE71C0" w14:textId="4AFF9D65" w:rsidR="005B592B" w:rsidRPr="005B592B" w:rsidRDefault="005B592B" w:rsidP="005B592B">
            <w:pPr>
              <w:jc w:val="center"/>
              <w:rPr>
                <w:rFonts w:eastAsia="Times New Roman" w:cs="Times New Roman"/>
                <w:color w:val="000000"/>
                <w:sz w:val="22"/>
                <w:szCs w:val="22"/>
                <w:lang w:eastAsia="lv-LV"/>
              </w:rPr>
            </w:pPr>
            <w:r w:rsidRPr="005B592B">
              <w:rPr>
                <w:rFonts w:eastAsia="Times New Roman" w:cs="Times New Roman"/>
                <w:color w:val="000000"/>
                <w:sz w:val="22"/>
                <w:szCs w:val="22"/>
                <w:lang w:eastAsia="lv-LV"/>
              </w:rPr>
              <w:t>Skolēnu proporcija vispārējā un profesionālajā izglītībā vidējās izglītības pakāpē</w:t>
            </w:r>
            <w:r w:rsidR="004B58E9">
              <w:rPr>
                <w:rFonts w:eastAsia="Times New Roman" w:cs="Times New Roman"/>
                <w:color w:val="000000"/>
                <w:sz w:val="22"/>
                <w:szCs w:val="22"/>
                <w:lang w:eastAsia="lv-LV"/>
              </w:rPr>
              <w:t xml:space="preserve"> (</w:t>
            </w:r>
            <w:r w:rsidRPr="005B592B">
              <w:rPr>
                <w:rFonts w:eastAsia="Times New Roman" w:cs="Times New Roman"/>
                <w:color w:val="000000"/>
                <w:sz w:val="22"/>
                <w:szCs w:val="22"/>
                <w:lang w:eastAsia="lv-LV"/>
              </w:rPr>
              <w:t>%</w:t>
            </w:r>
            <w:r w:rsidR="004B58E9">
              <w:rPr>
                <w:rFonts w:eastAsia="Times New Roman" w:cs="Times New Roman"/>
                <w:color w:val="000000"/>
                <w:sz w:val="22"/>
                <w:szCs w:val="22"/>
                <w:lang w:eastAsia="lv-LV"/>
              </w:rPr>
              <w:t>)</w:t>
            </w:r>
          </w:p>
        </w:tc>
      </w:tr>
      <w:tr w:rsidR="005B592B" w:rsidRPr="005B592B" w14:paraId="641AE2AD" w14:textId="77777777" w:rsidTr="005B592B">
        <w:trPr>
          <w:trHeight w:val="524"/>
        </w:trPr>
        <w:tc>
          <w:tcPr>
            <w:tcW w:w="1170" w:type="pct"/>
            <w:vMerge/>
            <w:shd w:val="clear" w:color="auto" w:fill="A8D08D" w:themeFill="accent6" w:themeFillTint="99"/>
            <w:vAlign w:val="center"/>
            <w:hideMark/>
          </w:tcPr>
          <w:p w14:paraId="31B67744" w14:textId="77777777" w:rsidR="005B592B" w:rsidRPr="005B592B" w:rsidRDefault="005B592B" w:rsidP="005B592B">
            <w:pPr>
              <w:rPr>
                <w:rFonts w:eastAsia="Times New Roman" w:cs="Times New Roman"/>
                <w:b/>
                <w:bCs/>
                <w:color w:val="000000"/>
                <w:sz w:val="22"/>
                <w:szCs w:val="22"/>
                <w:lang w:eastAsia="lv-LV"/>
              </w:rPr>
            </w:pPr>
          </w:p>
        </w:tc>
        <w:tc>
          <w:tcPr>
            <w:tcW w:w="3830" w:type="pct"/>
            <w:shd w:val="clear" w:color="000000" w:fill="EBF1E9"/>
            <w:vAlign w:val="center"/>
            <w:hideMark/>
          </w:tcPr>
          <w:p w14:paraId="400A3EE0" w14:textId="35435177" w:rsidR="005B592B" w:rsidRPr="005B592B" w:rsidRDefault="004B58E9" w:rsidP="005B592B">
            <w:pPr>
              <w:jc w:val="center"/>
              <w:rPr>
                <w:rFonts w:eastAsia="Times New Roman" w:cs="Times New Roman"/>
                <w:color w:val="000000"/>
                <w:sz w:val="22"/>
                <w:szCs w:val="22"/>
                <w:lang w:eastAsia="lv-LV"/>
              </w:rPr>
            </w:pPr>
            <w:r>
              <w:rPr>
                <w:rFonts w:eastAsia="Times New Roman" w:cs="Times New Roman"/>
                <w:color w:val="000000"/>
                <w:sz w:val="22"/>
                <w:szCs w:val="22"/>
                <w:lang w:eastAsia="lv-LV"/>
              </w:rPr>
              <w:t>P</w:t>
            </w:r>
            <w:r w:rsidRPr="005B592B">
              <w:rPr>
                <w:rFonts w:eastAsia="Times New Roman" w:cs="Times New Roman"/>
                <w:color w:val="000000"/>
                <w:sz w:val="22"/>
                <w:szCs w:val="22"/>
                <w:lang w:eastAsia="lv-LV"/>
              </w:rPr>
              <w:t xml:space="preserve">rofesionālās izglītības </w:t>
            </w:r>
            <w:r>
              <w:rPr>
                <w:rFonts w:eastAsia="Times New Roman" w:cs="Times New Roman"/>
                <w:color w:val="000000"/>
                <w:sz w:val="22"/>
                <w:szCs w:val="22"/>
                <w:lang w:eastAsia="lv-LV"/>
              </w:rPr>
              <w:t>p</w:t>
            </w:r>
            <w:r w:rsidR="005B592B" w:rsidRPr="005B592B">
              <w:rPr>
                <w:rFonts w:eastAsia="Times New Roman" w:cs="Times New Roman"/>
                <w:color w:val="000000"/>
                <w:sz w:val="22"/>
                <w:szCs w:val="22"/>
                <w:lang w:eastAsia="lv-LV"/>
              </w:rPr>
              <w:t>edagogu mēneša vidējās bruto samaksas attiecība pret pārējo profesiju darbinieku ar augstāko izglītību mēneša vidējo bruto samaksu</w:t>
            </w:r>
            <w:r>
              <w:rPr>
                <w:rFonts w:eastAsia="Times New Roman" w:cs="Times New Roman"/>
                <w:color w:val="000000"/>
                <w:sz w:val="22"/>
                <w:szCs w:val="22"/>
                <w:lang w:eastAsia="lv-LV"/>
              </w:rPr>
              <w:t xml:space="preserve"> (</w:t>
            </w:r>
            <w:r w:rsidR="005B592B" w:rsidRPr="005B592B">
              <w:rPr>
                <w:rFonts w:eastAsia="Times New Roman" w:cs="Times New Roman"/>
                <w:color w:val="000000"/>
                <w:sz w:val="22"/>
                <w:szCs w:val="22"/>
                <w:lang w:eastAsia="lv-LV"/>
              </w:rPr>
              <w:t>%</w:t>
            </w:r>
            <w:r>
              <w:rPr>
                <w:rFonts w:eastAsia="Times New Roman" w:cs="Times New Roman"/>
                <w:color w:val="000000"/>
                <w:sz w:val="22"/>
                <w:szCs w:val="22"/>
                <w:lang w:eastAsia="lv-LV"/>
              </w:rPr>
              <w:t>)</w:t>
            </w:r>
          </w:p>
        </w:tc>
      </w:tr>
      <w:tr w:rsidR="005B592B" w:rsidRPr="005B592B" w14:paraId="3BA7226A" w14:textId="77777777" w:rsidTr="005B592B">
        <w:trPr>
          <w:trHeight w:val="465"/>
        </w:trPr>
        <w:tc>
          <w:tcPr>
            <w:tcW w:w="1170" w:type="pct"/>
            <w:vMerge/>
            <w:shd w:val="clear" w:color="auto" w:fill="A8D08D" w:themeFill="accent6" w:themeFillTint="99"/>
            <w:vAlign w:val="center"/>
            <w:hideMark/>
          </w:tcPr>
          <w:p w14:paraId="7676F5BD" w14:textId="77777777" w:rsidR="005B592B" w:rsidRPr="005B592B" w:rsidRDefault="005B592B" w:rsidP="005B592B">
            <w:pPr>
              <w:rPr>
                <w:rFonts w:eastAsia="Times New Roman" w:cs="Times New Roman"/>
                <w:b/>
                <w:bCs/>
                <w:color w:val="000000"/>
                <w:sz w:val="22"/>
                <w:szCs w:val="22"/>
                <w:lang w:eastAsia="lv-LV"/>
              </w:rPr>
            </w:pPr>
          </w:p>
        </w:tc>
        <w:tc>
          <w:tcPr>
            <w:tcW w:w="3830" w:type="pct"/>
            <w:shd w:val="clear" w:color="000000" w:fill="EBF1E9"/>
            <w:vAlign w:val="center"/>
            <w:hideMark/>
          </w:tcPr>
          <w:p w14:paraId="4CBE4D45" w14:textId="425AFA30" w:rsidR="005B592B" w:rsidRPr="005B592B" w:rsidRDefault="005B592B" w:rsidP="005B592B">
            <w:pPr>
              <w:jc w:val="center"/>
              <w:rPr>
                <w:rFonts w:eastAsia="Times New Roman" w:cs="Times New Roman"/>
                <w:color w:val="000000"/>
                <w:sz w:val="22"/>
                <w:szCs w:val="22"/>
                <w:lang w:eastAsia="lv-LV"/>
              </w:rPr>
            </w:pPr>
            <w:r w:rsidRPr="005B592B">
              <w:rPr>
                <w:rFonts w:eastAsia="Times New Roman" w:cs="Times New Roman"/>
                <w:color w:val="000000"/>
                <w:sz w:val="22"/>
                <w:szCs w:val="22"/>
                <w:lang w:eastAsia="lv-LV"/>
              </w:rPr>
              <w:t>Izglītojamo īpatsvars, kas piedalās darba vidē balstītās mācībās un praksēs pie darba devējiem</w:t>
            </w:r>
            <w:r w:rsidR="004B58E9">
              <w:rPr>
                <w:rFonts w:eastAsia="Times New Roman" w:cs="Times New Roman"/>
                <w:color w:val="000000"/>
                <w:sz w:val="22"/>
                <w:szCs w:val="22"/>
                <w:lang w:eastAsia="lv-LV"/>
              </w:rPr>
              <w:t xml:space="preserve"> (</w:t>
            </w:r>
            <w:r w:rsidRPr="005B592B">
              <w:rPr>
                <w:rFonts w:eastAsia="Times New Roman" w:cs="Times New Roman"/>
                <w:color w:val="000000"/>
                <w:sz w:val="22"/>
                <w:szCs w:val="22"/>
                <w:lang w:eastAsia="lv-LV"/>
              </w:rPr>
              <w:t>%</w:t>
            </w:r>
            <w:r w:rsidR="004B58E9">
              <w:rPr>
                <w:rFonts w:eastAsia="Times New Roman" w:cs="Times New Roman"/>
                <w:color w:val="000000"/>
                <w:sz w:val="22"/>
                <w:szCs w:val="22"/>
                <w:lang w:eastAsia="lv-LV"/>
              </w:rPr>
              <w:t>)</w:t>
            </w:r>
          </w:p>
        </w:tc>
      </w:tr>
      <w:tr w:rsidR="005B592B" w:rsidRPr="005B592B" w14:paraId="3996F8DB" w14:textId="77777777" w:rsidTr="005B592B">
        <w:trPr>
          <w:trHeight w:val="359"/>
        </w:trPr>
        <w:tc>
          <w:tcPr>
            <w:tcW w:w="1170" w:type="pct"/>
            <w:vMerge w:val="restart"/>
            <w:shd w:val="clear" w:color="auto" w:fill="A8D08D" w:themeFill="accent6" w:themeFillTint="99"/>
            <w:vAlign w:val="center"/>
            <w:hideMark/>
          </w:tcPr>
          <w:p w14:paraId="15E007E3" w14:textId="77777777" w:rsidR="005B592B" w:rsidRPr="005B592B" w:rsidRDefault="005B592B" w:rsidP="005B592B">
            <w:pPr>
              <w:jc w:val="center"/>
              <w:rPr>
                <w:rFonts w:eastAsia="Times New Roman" w:cs="Times New Roman"/>
                <w:b/>
                <w:bCs/>
                <w:color w:val="000000"/>
                <w:sz w:val="22"/>
                <w:szCs w:val="22"/>
                <w:lang w:eastAsia="lv-LV"/>
              </w:rPr>
            </w:pPr>
            <w:r w:rsidRPr="005B592B">
              <w:rPr>
                <w:rFonts w:eastAsia="Times New Roman" w:cs="Times New Roman"/>
                <w:b/>
                <w:bCs/>
                <w:color w:val="000000"/>
                <w:sz w:val="22"/>
                <w:szCs w:val="22"/>
                <w:lang w:eastAsia="lv-LV"/>
              </w:rPr>
              <w:t>Augstākā izglītība</w:t>
            </w:r>
          </w:p>
        </w:tc>
        <w:tc>
          <w:tcPr>
            <w:tcW w:w="3830" w:type="pct"/>
            <w:shd w:val="clear" w:color="000000" w:fill="EBF1E9"/>
            <w:vAlign w:val="center"/>
            <w:hideMark/>
          </w:tcPr>
          <w:p w14:paraId="4E9B5EF7" w14:textId="046AA836" w:rsidR="005B592B" w:rsidRPr="005B592B" w:rsidRDefault="005B592B" w:rsidP="005B592B">
            <w:pPr>
              <w:jc w:val="center"/>
              <w:rPr>
                <w:rFonts w:eastAsia="Times New Roman" w:cs="Times New Roman"/>
                <w:color w:val="000000"/>
                <w:sz w:val="22"/>
                <w:szCs w:val="22"/>
                <w:lang w:eastAsia="lv-LV"/>
              </w:rPr>
            </w:pPr>
            <w:r w:rsidRPr="005B592B">
              <w:rPr>
                <w:rFonts w:eastAsia="Times New Roman" w:cs="Times New Roman"/>
                <w:color w:val="000000"/>
                <w:sz w:val="22"/>
                <w:szCs w:val="22"/>
                <w:lang w:eastAsia="lv-LV"/>
              </w:rPr>
              <w:t>Augstākās izglītības iestāžu nesenu (pirms viena-trim gadiem) absolventu (20–34 gadu vecumā) nodarbinātības līmenis</w:t>
            </w:r>
            <w:r w:rsidR="004B58E9">
              <w:rPr>
                <w:rFonts w:eastAsia="Times New Roman" w:cs="Times New Roman"/>
                <w:color w:val="000000"/>
                <w:sz w:val="22"/>
                <w:szCs w:val="22"/>
                <w:lang w:eastAsia="lv-LV"/>
              </w:rPr>
              <w:t xml:space="preserve"> (</w:t>
            </w:r>
            <w:r w:rsidRPr="005B592B">
              <w:rPr>
                <w:rFonts w:eastAsia="Times New Roman" w:cs="Times New Roman"/>
                <w:color w:val="000000"/>
                <w:sz w:val="22"/>
                <w:szCs w:val="22"/>
                <w:lang w:eastAsia="lv-LV"/>
              </w:rPr>
              <w:t>%</w:t>
            </w:r>
            <w:r w:rsidR="004B58E9">
              <w:rPr>
                <w:rFonts w:eastAsia="Times New Roman" w:cs="Times New Roman"/>
                <w:color w:val="000000"/>
                <w:sz w:val="22"/>
                <w:szCs w:val="22"/>
                <w:lang w:eastAsia="lv-LV"/>
              </w:rPr>
              <w:t>)</w:t>
            </w:r>
          </w:p>
        </w:tc>
      </w:tr>
      <w:tr w:rsidR="005B592B" w:rsidRPr="005B592B" w14:paraId="629F909B" w14:textId="77777777" w:rsidTr="005B592B">
        <w:trPr>
          <w:trHeight w:val="280"/>
        </w:trPr>
        <w:tc>
          <w:tcPr>
            <w:tcW w:w="1170" w:type="pct"/>
            <w:vMerge/>
            <w:shd w:val="clear" w:color="auto" w:fill="A8D08D" w:themeFill="accent6" w:themeFillTint="99"/>
            <w:vAlign w:val="center"/>
            <w:hideMark/>
          </w:tcPr>
          <w:p w14:paraId="6FD5BC34" w14:textId="77777777" w:rsidR="005B592B" w:rsidRPr="005B592B" w:rsidRDefault="005B592B" w:rsidP="005B592B">
            <w:pPr>
              <w:rPr>
                <w:rFonts w:eastAsia="Times New Roman" w:cs="Times New Roman"/>
                <w:b/>
                <w:bCs/>
                <w:color w:val="000000"/>
                <w:sz w:val="22"/>
                <w:szCs w:val="22"/>
                <w:lang w:eastAsia="lv-LV"/>
              </w:rPr>
            </w:pPr>
          </w:p>
        </w:tc>
        <w:tc>
          <w:tcPr>
            <w:tcW w:w="3830" w:type="pct"/>
            <w:shd w:val="clear" w:color="000000" w:fill="EBF1E9"/>
            <w:vAlign w:val="center"/>
            <w:hideMark/>
          </w:tcPr>
          <w:p w14:paraId="75A1FE24" w14:textId="495C91AD" w:rsidR="005B592B" w:rsidRPr="005B592B" w:rsidRDefault="005B592B" w:rsidP="005B592B">
            <w:pPr>
              <w:jc w:val="center"/>
              <w:rPr>
                <w:rFonts w:eastAsia="Times New Roman" w:cs="Times New Roman"/>
                <w:color w:val="000000"/>
                <w:sz w:val="22"/>
                <w:szCs w:val="22"/>
                <w:lang w:eastAsia="lv-LV"/>
              </w:rPr>
            </w:pPr>
            <w:r w:rsidRPr="005B592B">
              <w:rPr>
                <w:rFonts w:eastAsia="Times New Roman" w:cs="Times New Roman"/>
                <w:color w:val="000000"/>
                <w:sz w:val="22"/>
                <w:szCs w:val="22"/>
                <w:lang w:eastAsia="lv-LV"/>
              </w:rPr>
              <w:t>Dabaszinātņu, matemātikas un informācijas tehnoloģiju jomu absolventu īpatsvars no kopējā absolventu skaita augstākajā izglītībā</w:t>
            </w:r>
            <w:r w:rsidR="004B58E9">
              <w:rPr>
                <w:rFonts w:eastAsia="Times New Roman" w:cs="Times New Roman"/>
                <w:color w:val="000000"/>
                <w:sz w:val="22"/>
                <w:szCs w:val="22"/>
                <w:lang w:eastAsia="lv-LV"/>
              </w:rPr>
              <w:t xml:space="preserve"> (</w:t>
            </w:r>
            <w:r w:rsidRPr="005B592B">
              <w:rPr>
                <w:rFonts w:eastAsia="Times New Roman" w:cs="Times New Roman"/>
                <w:color w:val="000000"/>
                <w:sz w:val="22"/>
                <w:szCs w:val="22"/>
                <w:lang w:eastAsia="lv-LV"/>
              </w:rPr>
              <w:t>%</w:t>
            </w:r>
            <w:r w:rsidR="004B58E9">
              <w:rPr>
                <w:rFonts w:eastAsia="Times New Roman" w:cs="Times New Roman"/>
                <w:color w:val="000000"/>
                <w:sz w:val="22"/>
                <w:szCs w:val="22"/>
                <w:lang w:eastAsia="lv-LV"/>
              </w:rPr>
              <w:t>)</w:t>
            </w:r>
          </w:p>
        </w:tc>
      </w:tr>
      <w:tr w:rsidR="005B592B" w:rsidRPr="005B592B" w14:paraId="659AB5B6" w14:textId="77777777" w:rsidTr="005B592B">
        <w:trPr>
          <w:trHeight w:val="70"/>
        </w:trPr>
        <w:tc>
          <w:tcPr>
            <w:tcW w:w="1170" w:type="pct"/>
            <w:vMerge/>
            <w:shd w:val="clear" w:color="auto" w:fill="A8D08D" w:themeFill="accent6" w:themeFillTint="99"/>
            <w:vAlign w:val="center"/>
            <w:hideMark/>
          </w:tcPr>
          <w:p w14:paraId="1E7B68F2" w14:textId="77777777" w:rsidR="005B592B" w:rsidRPr="005B592B" w:rsidRDefault="005B592B" w:rsidP="005B592B">
            <w:pPr>
              <w:rPr>
                <w:rFonts w:eastAsia="Times New Roman" w:cs="Times New Roman"/>
                <w:b/>
                <w:bCs/>
                <w:color w:val="000000"/>
                <w:sz w:val="22"/>
                <w:szCs w:val="22"/>
                <w:lang w:eastAsia="lv-LV"/>
              </w:rPr>
            </w:pPr>
          </w:p>
        </w:tc>
        <w:tc>
          <w:tcPr>
            <w:tcW w:w="3830" w:type="pct"/>
            <w:shd w:val="clear" w:color="000000" w:fill="EBF1E9"/>
            <w:vAlign w:val="center"/>
            <w:hideMark/>
          </w:tcPr>
          <w:p w14:paraId="7F75CF32" w14:textId="5A1304E7" w:rsidR="005B592B" w:rsidRPr="005B592B" w:rsidRDefault="004B58E9" w:rsidP="005B592B">
            <w:pPr>
              <w:jc w:val="center"/>
              <w:rPr>
                <w:rFonts w:eastAsia="Times New Roman" w:cs="Times New Roman"/>
                <w:color w:val="000000"/>
                <w:sz w:val="22"/>
                <w:szCs w:val="22"/>
                <w:lang w:eastAsia="lv-LV"/>
              </w:rPr>
            </w:pPr>
            <w:r>
              <w:rPr>
                <w:rFonts w:eastAsia="Times New Roman" w:cs="Times New Roman"/>
                <w:color w:val="000000"/>
                <w:sz w:val="22"/>
                <w:szCs w:val="22"/>
                <w:lang w:eastAsia="lv-LV"/>
              </w:rPr>
              <w:t>A</w:t>
            </w:r>
            <w:r w:rsidR="005B592B" w:rsidRPr="005B592B">
              <w:rPr>
                <w:rFonts w:eastAsia="Times New Roman" w:cs="Times New Roman"/>
                <w:color w:val="000000"/>
                <w:sz w:val="22"/>
                <w:szCs w:val="22"/>
                <w:lang w:eastAsia="lv-LV"/>
              </w:rPr>
              <w:t>kadēmiskā personāla īpatsvars, kuri nodarbināti pilna laika slodzē augstākās izglītības iestādēs (ISCED 5-8)</w:t>
            </w:r>
            <w:r>
              <w:rPr>
                <w:rFonts w:eastAsia="Times New Roman" w:cs="Times New Roman"/>
                <w:color w:val="000000"/>
                <w:sz w:val="22"/>
                <w:szCs w:val="22"/>
                <w:lang w:eastAsia="lv-LV"/>
              </w:rPr>
              <w:t xml:space="preserve"> (</w:t>
            </w:r>
            <w:r w:rsidR="005B592B" w:rsidRPr="005B592B">
              <w:rPr>
                <w:rFonts w:eastAsia="Times New Roman" w:cs="Times New Roman"/>
                <w:color w:val="000000"/>
                <w:sz w:val="22"/>
                <w:szCs w:val="22"/>
                <w:lang w:eastAsia="lv-LV"/>
              </w:rPr>
              <w:t>%</w:t>
            </w:r>
            <w:r>
              <w:rPr>
                <w:rFonts w:eastAsia="Times New Roman" w:cs="Times New Roman"/>
                <w:color w:val="000000"/>
                <w:sz w:val="22"/>
                <w:szCs w:val="22"/>
                <w:lang w:eastAsia="lv-LV"/>
              </w:rPr>
              <w:t>)</w:t>
            </w:r>
          </w:p>
        </w:tc>
      </w:tr>
      <w:tr w:rsidR="005B592B" w:rsidRPr="005B592B" w14:paraId="72CEB816" w14:textId="77777777" w:rsidTr="005B592B">
        <w:trPr>
          <w:trHeight w:val="349"/>
        </w:trPr>
        <w:tc>
          <w:tcPr>
            <w:tcW w:w="1170" w:type="pct"/>
            <w:vMerge/>
            <w:shd w:val="clear" w:color="auto" w:fill="A8D08D" w:themeFill="accent6" w:themeFillTint="99"/>
            <w:vAlign w:val="center"/>
            <w:hideMark/>
          </w:tcPr>
          <w:p w14:paraId="7B39ED64" w14:textId="77777777" w:rsidR="005B592B" w:rsidRPr="005B592B" w:rsidRDefault="005B592B" w:rsidP="005B592B">
            <w:pPr>
              <w:rPr>
                <w:rFonts w:eastAsia="Times New Roman" w:cs="Times New Roman"/>
                <w:b/>
                <w:bCs/>
                <w:color w:val="000000"/>
                <w:sz w:val="22"/>
                <w:szCs w:val="22"/>
                <w:lang w:eastAsia="lv-LV"/>
              </w:rPr>
            </w:pPr>
          </w:p>
        </w:tc>
        <w:tc>
          <w:tcPr>
            <w:tcW w:w="3830" w:type="pct"/>
            <w:shd w:val="clear" w:color="000000" w:fill="EBF1E9"/>
            <w:vAlign w:val="center"/>
            <w:hideMark/>
          </w:tcPr>
          <w:p w14:paraId="78551334" w14:textId="2C7707ED" w:rsidR="005B592B" w:rsidRPr="005B592B" w:rsidRDefault="005B592B" w:rsidP="005B592B">
            <w:pPr>
              <w:jc w:val="center"/>
              <w:rPr>
                <w:rFonts w:eastAsia="Times New Roman" w:cs="Times New Roman"/>
                <w:color w:val="000000"/>
                <w:sz w:val="22"/>
                <w:szCs w:val="22"/>
                <w:lang w:eastAsia="lv-LV"/>
              </w:rPr>
            </w:pPr>
            <w:r w:rsidRPr="005B592B">
              <w:rPr>
                <w:rFonts w:eastAsia="Times New Roman" w:cs="Times New Roman"/>
                <w:color w:val="000000"/>
                <w:sz w:val="22"/>
                <w:szCs w:val="22"/>
                <w:lang w:eastAsia="lv-LV"/>
              </w:rPr>
              <w:t>Augstāko izglītību ieguvušo īpatsvars vecuma grupā no 30 līdz 34 gadiem</w:t>
            </w:r>
            <w:r w:rsidR="004B58E9">
              <w:rPr>
                <w:rFonts w:eastAsia="Times New Roman" w:cs="Times New Roman"/>
                <w:color w:val="000000"/>
                <w:sz w:val="22"/>
                <w:szCs w:val="22"/>
                <w:lang w:eastAsia="lv-LV"/>
              </w:rPr>
              <w:t xml:space="preserve"> (</w:t>
            </w:r>
            <w:r w:rsidRPr="005B592B">
              <w:rPr>
                <w:rFonts w:eastAsia="Times New Roman" w:cs="Times New Roman"/>
                <w:color w:val="000000"/>
                <w:sz w:val="22"/>
                <w:szCs w:val="22"/>
                <w:lang w:eastAsia="lv-LV"/>
              </w:rPr>
              <w:t>%</w:t>
            </w:r>
            <w:r w:rsidR="004B58E9">
              <w:rPr>
                <w:rFonts w:eastAsia="Times New Roman" w:cs="Times New Roman"/>
                <w:color w:val="000000"/>
                <w:sz w:val="22"/>
                <w:szCs w:val="22"/>
                <w:lang w:eastAsia="lv-LV"/>
              </w:rPr>
              <w:t>)</w:t>
            </w:r>
          </w:p>
        </w:tc>
      </w:tr>
      <w:tr w:rsidR="005B592B" w:rsidRPr="005B592B" w14:paraId="6F43D020" w14:textId="77777777" w:rsidTr="005B592B">
        <w:trPr>
          <w:trHeight w:val="70"/>
        </w:trPr>
        <w:tc>
          <w:tcPr>
            <w:tcW w:w="1170" w:type="pct"/>
            <w:vMerge/>
            <w:shd w:val="clear" w:color="auto" w:fill="A8D08D" w:themeFill="accent6" w:themeFillTint="99"/>
            <w:vAlign w:val="center"/>
            <w:hideMark/>
          </w:tcPr>
          <w:p w14:paraId="7F790A1E" w14:textId="77777777" w:rsidR="005B592B" w:rsidRPr="005B592B" w:rsidRDefault="005B592B" w:rsidP="005B592B">
            <w:pPr>
              <w:rPr>
                <w:rFonts w:eastAsia="Times New Roman" w:cs="Times New Roman"/>
                <w:b/>
                <w:bCs/>
                <w:color w:val="000000"/>
                <w:sz w:val="22"/>
                <w:szCs w:val="22"/>
                <w:lang w:eastAsia="lv-LV"/>
              </w:rPr>
            </w:pPr>
          </w:p>
        </w:tc>
        <w:tc>
          <w:tcPr>
            <w:tcW w:w="3830" w:type="pct"/>
            <w:shd w:val="clear" w:color="000000" w:fill="EBF1E9"/>
            <w:vAlign w:val="center"/>
            <w:hideMark/>
          </w:tcPr>
          <w:p w14:paraId="618610EA" w14:textId="731EFC7C" w:rsidR="005B592B" w:rsidRPr="005B592B" w:rsidRDefault="005B592B" w:rsidP="005B592B">
            <w:pPr>
              <w:jc w:val="center"/>
              <w:rPr>
                <w:rFonts w:eastAsia="Times New Roman" w:cs="Times New Roman"/>
                <w:color w:val="000000"/>
                <w:sz w:val="22"/>
                <w:szCs w:val="22"/>
                <w:lang w:eastAsia="lv-LV"/>
              </w:rPr>
            </w:pPr>
            <w:r w:rsidRPr="005B592B">
              <w:rPr>
                <w:rFonts w:eastAsia="Times New Roman" w:cs="Times New Roman"/>
                <w:color w:val="000000"/>
                <w:sz w:val="22"/>
                <w:szCs w:val="22"/>
                <w:lang w:eastAsia="lv-LV"/>
              </w:rPr>
              <w:t xml:space="preserve">Absolventu nodarbinātība ir atbilstoša profesiju </w:t>
            </w:r>
            <w:proofErr w:type="spellStart"/>
            <w:r w:rsidRPr="005B592B">
              <w:rPr>
                <w:rFonts w:eastAsia="Times New Roman" w:cs="Times New Roman"/>
                <w:color w:val="000000"/>
                <w:sz w:val="22"/>
                <w:szCs w:val="22"/>
                <w:lang w:eastAsia="lv-LV"/>
              </w:rPr>
              <w:t>pamatgrupās</w:t>
            </w:r>
            <w:proofErr w:type="spellEnd"/>
            <w:r w:rsidRPr="005B592B">
              <w:rPr>
                <w:rFonts w:eastAsia="Times New Roman" w:cs="Times New Roman"/>
                <w:color w:val="000000"/>
                <w:sz w:val="22"/>
                <w:szCs w:val="22"/>
                <w:lang w:eastAsia="lv-LV"/>
              </w:rPr>
              <w:t xml:space="preserve"> no 0 līdz 3 (vadītāji, vecākie speciālisti un speciālisti) pret kopējo nodarbināto absolventu skaitu</w:t>
            </w:r>
            <w:r w:rsidR="004B58E9">
              <w:rPr>
                <w:rFonts w:eastAsia="Times New Roman" w:cs="Times New Roman"/>
                <w:color w:val="000000"/>
                <w:sz w:val="22"/>
                <w:szCs w:val="22"/>
                <w:lang w:eastAsia="lv-LV"/>
              </w:rPr>
              <w:t xml:space="preserve"> (%)</w:t>
            </w:r>
          </w:p>
        </w:tc>
      </w:tr>
      <w:tr w:rsidR="005B592B" w:rsidRPr="005B592B" w14:paraId="4203232A" w14:textId="77777777" w:rsidTr="005B592B">
        <w:trPr>
          <w:trHeight w:val="211"/>
        </w:trPr>
        <w:tc>
          <w:tcPr>
            <w:tcW w:w="1170" w:type="pct"/>
            <w:vMerge w:val="restart"/>
            <w:shd w:val="clear" w:color="auto" w:fill="A8D08D" w:themeFill="accent6" w:themeFillTint="99"/>
            <w:vAlign w:val="center"/>
            <w:hideMark/>
          </w:tcPr>
          <w:p w14:paraId="179443C7" w14:textId="77777777" w:rsidR="005B592B" w:rsidRPr="005B592B" w:rsidRDefault="005B592B" w:rsidP="005B592B">
            <w:pPr>
              <w:jc w:val="center"/>
              <w:rPr>
                <w:rFonts w:eastAsia="Times New Roman" w:cs="Times New Roman"/>
                <w:b/>
                <w:bCs/>
                <w:color w:val="000000"/>
                <w:sz w:val="22"/>
                <w:szCs w:val="22"/>
                <w:lang w:eastAsia="lv-LV"/>
              </w:rPr>
            </w:pPr>
            <w:r w:rsidRPr="005B592B">
              <w:rPr>
                <w:rFonts w:eastAsia="Times New Roman" w:cs="Times New Roman"/>
                <w:b/>
                <w:bCs/>
                <w:color w:val="000000"/>
                <w:sz w:val="22"/>
                <w:szCs w:val="22"/>
                <w:lang w:eastAsia="lv-LV"/>
              </w:rPr>
              <w:t>Valsts valodas politikas īstenošana</w:t>
            </w:r>
          </w:p>
        </w:tc>
        <w:tc>
          <w:tcPr>
            <w:tcW w:w="3830" w:type="pct"/>
            <w:shd w:val="clear" w:color="000000" w:fill="EBF1E9"/>
            <w:vAlign w:val="center"/>
            <w:hideMark/>
          </w:tcPr>
          <w:p w14:paraId="2DF8EF5A" w14:textId="42CC5DA0" w:rsidR="005B592B" w:rsidRPr="005B592B" w:rsidRDefault="005B592B" w:rsidP="005B592B">
            <w:pPr>
              <w:jc w:val="center"/>
              <w:rPr>
                <w:rFonts w:eastAsia="Times New Roman" w:cs="Times New Roman"/>
                <w:color w:val="000000"/>
                <w:sz w:val="22"/>
                <w:szCs w:val="22"/>
                <w:lang w:eastAsia="lv-LV"/>
              </w:rPr>
            </w:pPr>
            <w:r w:rsidRPr="005B592B">
              <w:rPr>
                <w:rFonts w:eastAsia="Times New Roman" w:cs="Times New Roman"/>
                <w:color w:val="000000"/>
                <w:sz w:val="22"/>
                <w:szCs w:val="22"/>
                <w:lang w:eastAsia="lv-LV"/>
              </w:rPr>
              <w:t>Pieaugušo iedzīvotāju īpatsvars, kuri prot latviešu valodu un kuru dzimtā valoda nav latviešu valoda (25–64 g. v.)</w:t>
            </w:r>
            <w:r w:rsidR="004B58E9">
              <w:rPr>
                <w:rFonts w:eastAsia="Times New Roman" w:cs="Times New Roman"/>
                <w:color w:val="000000"/>
                <w:sz w:val="22"/>
                <w:szCs w:val="22"/>
                <w:lang w:eastAsia="lv-LV"/>
              </w:rPr>
              <w:t xml:space="preserve"> (</w:t>
            </w:r>
            <w:r w:rsidRPr="005B592B">
              <w:rPr>
                <w:rFonts w:eastAsia="Times New Roman" w:cs="Times New Roman"/>
                <w:color w:val="000000"/>
                <w:sz w:val="22"/>
                <w:szCs w:val="22"/>
                <w:lang w:eastAsia="lv-LV"/>
              </w:rPr>
              <w:t>%</w:t>
            </w:r>
            <w:r w:rsidR="004B58E9">
              <w:rPr>
                <w:rFonts w:eastAsia="Times New Roman" w:cs="Times New Roman"/>
                <w:color w:val="000000"/>
                <w:sz w:val="22"/>
                <w:szCs w:val="22"/>
                <w:lang w:eastAsia="lv-LV"/>
              </w:rPr>
              <w:t>)</w:t>
            </w:r>
          </w:p>
        </w:tc>
      </w:tr>
      <w:tr w:rsidR="005B592B" w:rsidRPr="005B592B" w14:paraId="2844720B" w14:textId="77777777" w:rsidTr="005B592B">
        <w:trPr>
          <w:trHeight w:val="105"/>
        </w:trPr>
        <w:tc>
          <w:tcPr>
            <w:tcW w:w="1170" w:type="pct"/>
            <w:vMerge/>
            <w:shd w:val="clear" w:color="auto" w:fill="A8D08D" w:themeFill="accent6" w:themeFillTint="99"/>
            <w:vAlign w:val="center"/>
            <w:hideMark/>
          </w:tcPr>
          <w:p w14:paraId="0D68E970" w14:textId="77777777" w:rsidR="005B592B" w:rsidRPr="005B592B" w:rsidRDefault="005B592B" w:rsidP="005B592B">
            <w:pPr>
              <w:rPr>
                <w:rFonts w:eastAsia="Times New Roman" w:cs="Times New Roman"/>
                <w:b/>
                <w:bCs/>
                <w:color w:val="000000"/>
                <w:sz w:val="22"/>
                <w:szCs w:val="22"/>
                <w:lang w:eastAsia="lv-LV"/>
              </w:rPr>
            </w:pPr>
          </w:p>
        </w:tc>
        <w:tc>
          <w:tcPr>
            <w:tcW w:w="3830" w:type="pct"/>
            <w:shd w:val="clear" w:color="000000" w:fill="EBF1E9"/>
            <w:vAlign w:val="center"/>
            <w:hideMark/>
          </w:tcPr>
          <w:p w14:paraId="0CD025BD" w14:textId="44EA0EAD" w:rsidR="005B592B" w:rsidRPr="005B592B" w:rsidRDefault="005B592B" w:rsidP="005B592B">
            <w:pPr>
              <w:jc w:val="center"/>
              <w:rPr>
                <w:rFonts w:eastAsia="Times New Roman" w:cs="Times New Roman"/>
                <w:color w:val="000000"/>
                <w:sz w:val="22"/>
                <w:szCs w:val="22"/>
                <w:lang w:eastAsia="lv-LV"/>
              </w:rPr>
            </w:pPr>
            <w:r w:rsidRPr="005B592B">
              <w:rPr>
                <w:rFonts w:eastAsia="Times New Roman" w:cs="Times New Roman"/>
                <w:color w:val="000000"/>
                <w:sz w:val="22"/>
                <w:szCs w:val="22"/>
                <w:lang w:eastAsia="lv-LV"/>
              </w:rPr>
              <w:t>Latvieši, kuri publiskajā vidē izmanto latviešu vai galvenokārt latviešu valodu</w:t>
            </w:r>
            <w:r w:rsidR="004B58E9">
              <w:rPr>
                <w:rFonts w:eastAsia="Times New Roman" w:cs="Times New Roman"/>
                <w:color w:val="000000"/>
                <w:sz w:val="22"/>
                <w:szCs w:val="22"/>
                <w:lang w:eastAsia="lv-LV"/>
              </w:rPr>
              <w:t xml:space="preserve"> (</w:t>
            </w:r>
            <w:r w:rsidRPr="005B592B">
              <w:rPr>
                <w:rFonts w:eastAsia="Times New Roman" w:cs="Times New Roman"/>
                <w:color w:val="000000"/>
                <w:sz w:val="22"/>
                <w:szCs w:val="22"/>
                <w:lang w:eastAsia="lv-LV"/>
              </w:rPr>
              <w:t>%</w:t>
            </w:r>
            <w:r w:rsidR="004B58E9">
              <w:rPr>
                <w:rFonts w:eastAsia="Times New Roman" w:cs="Times New Roman"/>
                <w:color w:val="000000"/>
                <w:sz w:val="22"/>
                <w:szCs w:val="22"/>
                <w:lang w:eastAsia="lv-LV"/>
              </w:rPr>
              <w:t>)</w:t>
            </w:r>
          </w:p>
        </w:tc>
      </w:tr>
      <w:tr w:rsidR="005B592B" w:rsidRPr="005B592B" w14:paraId="122A9980" w14:textId="77777777" w:rsidTr="005B592B">
        <w:trPr>
          <w:trHeight w:val="70"/>
        </w:trPr>
        <w:tc>
          <w:tcPr>
            <w:tcW w:w="1170" w:type="pct"/>
            <w:vMerge/>
            <w:shd w:val="clear" w:color="auto" w:fill="A8D08D" w:themeFill="accent6" w:themeFillTint="99"/>
            <w:vAlign w:val="center"/>
            <w:hideMark/>
          </w:tcPr>
          <w:p w14:paraId="64D7D42E" w14:textId="77777777" w:rsidR="005B592B" w:rsidRPr="005B592B" w:rsidRDefault="005B592B" w:rsidP="005B592B">
            <w:pPr>
              <w:rPr>
                <w:rFonts w:eastAsia="Times New Roman" w:cs="Times New Roman"/>
                <w:b/>
                <w:bCs/>
                <w:color w:val="000000"/>
                <w:sz w:val="22"/>
                <w:szCs w:val="22"/>
                <w:lang w:eastAsia="lv-LV"/>
              </w:rPr>
            </w:pPr>
          </w:p>
        </w:tc>
        <w:tc>
          <w:tcPr>
            <w:tcW w:w="3830" w:type="pct"/>
            <w:shd w:val="clear" w:color="000000" w:fill="EBF1E9"/>
            <w:vAlign w:val="center"/>
            <w:hideMark/>
          </w:tcPr>
          <w:p w14:paraId="46F3CDCA" w14:textId="44104E87" w:rsidR="005B592B" w:rsidRPr="00053091" w:rsidRDefault="005B592B" w:rsidP="005B592B">
            <w:pPr>
              <w:jc w:val="center"/>
              <w:rPr>
                <w:rFonts w:eastAsia="Times New Roman" w:cs="Times New Roman"/>
                <w:color w:val="000000"/>
                <w:sz w:val="22"/>
                <w:szCs w:val="22"/>
                <w:lang w:eastAsia="lv-LV"/>
              </w:rPr>
            </w:pPr>
            <w:r w:rsidRPr="00053091">
              <w:rPr>
                <w:rFonts w:eastAsia="Times New Roman" w:cs="Times New Roman"/>
                <w:color w:val="000000"/>
                <w:sz w:val="22"/>
                <w:szCs w:val="22"/>
                <w:lang w:eastAsia="lv-LV"/>
              </w:rPr>
              <w:t>Diasporās skolās iesaistījušies bērn</w:t>
            </w:r>
            <w:r w:rsidR="00053091" w:rsidRPr="00053091">
              <w:rPr>
                <w:rFonts w:eastAsia="Times New Roman" w:cs="Times New Roman"/>
                <w:color w:val="000000"/>
                <w:sz w:val="22"/>
                <w:szCs w:val="22"/>
                <w:lang w:eastAsia="lv-LV"/>
              </w:rPr>
              <w:t>u</w:t>
            </w:r>
            <w:r w:rsidRPr="00053091">
              <w:rPr>
                <w:rFonts w:eastAsia="Times New Roman" w:cs="Times New Roman"/>
                <w:color w:val="000000"/>
                <w:sz w:val="22"/>
                <w:szCs w:val="22"/>
                <w:lang w:eastAsia="lv-LV"/>
              </w:rPr>
              <w:t xml:space="preserve"> īpatsvars, kuri apmeklē latviešu skolu </w:t>
            </w:r>
            <w:r w:rsidR="00053091" w:rsidRPr="00053091">
              <w:rPr>
                <w:rFonts w:eastAsia="Times New Roman" w:cs="Times New Roman"/>
                <w:color w:val="000000"/>
                <w:sz w:val="22"/>
                <w:szCs w:val="22"/>
                <w:lang w:eastAsia="lv-LV"/>
              </w:rPr>
              <w:t>(</w:t>
            </w:r>
            <w:r w:rsidRPr="00053091">
              <w:rPr>
                <w:rFonts w:eastAsia="Times New Roman" w:cs="Times New Roman"/>
                <w:color w:val="000000"/>
                <w:sz w:val="22"/>
                <w:szCs w:val="22"/>
                <w:lang w:eastAsia="lv-LV"/>
              </w:rPr>
              <w:t>%</w:t>
            </w:r>
            <w:r w:rsidR="00053091" w:rsidRPr="00053091">
              <w:rPr>
                <w:rFonts w:eastAsia="Times New Roman" w:cs="Times New Roman"/>
                <w:color w:val="000000"/>
                <w:sz w:val="22"/>
                <w:szCs w:val="22"/>
                <w:lang w:eastAsia="lv-LV"/>
              </w:rPr>
              <w:t>)</w:t>
            </w:r>
          </w:p>
        </w:tc>
      </w:tr>
      <w:tr w:rsidR="005B592B" w:rsidRPr="005B592B" w14:paraId="52FB1029" w14:textId="77777777" w:rsidTr="005B592B">
        <w:trPr>
          <w:trHeight w:val="205"/>
        </w:trPr>
        <w:tc>
          <w:tcPr>
            <w:tcW w:w="1170" w:type="pct"/>
            <w:vMerge w:val="restart"/>
            <w:shd w:val="clear" w:color="auto" w:fill="A8D08D" w:themeFill="accent6" w:themeFillTint="99"/>
            <w:vAlign w:val="center"/>
            <w:hideMark/>
          </w:tcPr>
          <w:p w14:paraId="074F722F" w14:textId="77777777" w:rsidR="005B592B" w:rsidRPr="005B592B" w:rsidRDefault="005B592B" w:rsidP="005B592B">
            <w:pPr>
              <w:jc w:val="center"/>
              <w:rPr>
                <w:rFonts w:eastAsia="Times New Roman" w:cs="Times New Roman"/>
                <w:b/>
                <w:bCs/>
                <w:color w:val="000000"/>
                <w:sz w:val="22"/>
                <w:szCs w:val="22"/>
                <w:lang w:eastAsia="lv-LV"/>
              </w:rPr>
            </w:pPr>
            <w:r w:rsidRPr="005B592B">
              <w:rPr>
                <w:rFonts w:eastAsia="Times New Roman" w:cs="Times New Roman"/>
                <w:b/>
                <w:bCs/>
                <w:color w:val="000000"/>
                <w:sz w:val="22"/>
                <w:szCs w:val="22"/>
                <w:lang w:eastAsia="lv-LV"/>
              </w:rPr>
              <w:t>Zinātne</w:t>
            </w:r>
          </w:p>
        </w:tc>
        <w:tc>
          <w:tcPr>
            <w:tcW w:w="3830" w:type="pct"/>
            <w:shd w:val="clear" w:color="000000" w:fill="EBF1E9"/>
            <w:vAlign w:val="center"/>
            <w:hideMark/>
          </w:tcPr>
          <w:p w14:paraId="0DDC2EC6" w14:textId="1D3FABAB" w:rsidR="005B592B" w:rsidRPr="005B592B" w:rsidRDefault="005B592B" w:rsidP="005B592B">
            <w:pPr>
              <w:jc w:val="center"/>
              <w:rPr>
                <w:rFonts w:eastAsia="Times New Roman" w:cs="Times New Roman"/>
                <w:color w:val="000000"/>
                <w:sz w:val="22"/>
                <w:szCs w:val="22"/>
                <w:lang w:eastAsia="lv-LV"/>
              </w:rPr>
            </w:pPr>
            <w:r w:rsidRPr="005B592B">
              <w:rPr>
                <w:rFonts w:eastAsia="Times New Roman" w:cs="Times New Roman"/>
                <w:color w:val="000000"/>
                <w:sz w:val="22"/>
                <w:szCs w:val="22"/>
                <w:lang w:eastAsia="lv-LV"/>
              </w:rPr>
              <w:t>Nodarbinātā zinātniskā personāla īpatsvars no kopējā nodarbināto skaita pilna laika slodzēs</w:t>
            </w:r>
            <w:r w:rsidR="00053091">
              <w:rPr>
                <w:rFonts w:eastAsia="Times New Roman" w:cs="Times New Roman"/>
                <w:color w:val="000000"/>
                <w:sz w:val="22"/>
                <w:szCs w:val="22"/>
                <w:lang w:eastAsia="lv-LV"/>
              </w:rPr>
              <w:t xml:space="preserve"> (</w:t>
            </w:r>
            <w:r w:rsidRPr="005B592B">
              <w:rPr>
                <w:rFonts w:eastAsia="Times New Roman" w:cs="Times New Roman"/>
                <w:color w:val="000000"/>
                <w:sz w:val="22"/>
                <w:szCs w:val="22"/>
                <w:lang w:eastAsia="lv-LV"/>
              </w:rPr>
              <w:t>%</w:t>
            </w:r>
            <w:r w:rsidR="00053091">
              <w:rPr>
                <w:rFonts w:eastAsia="Times New Roman" w:cs="Times New Roman"/>
                <w:color w:val="000000"/>
                <w:sz w:val="22"/>
                <w:szCs w:val="22"/>
                <w:lang w:eastAsia="lv-LV"/>
              </w:rPr>
              <w:t>)</w:t>
            </w:r>
          </w:p>
        </w:tc>
      </w:tr>
      <w:tr w:rsidR="005B592B" w:rsidRPr="005B592B" w14:paraId="3BA7F870" w14:textId="77777777" w:rsidTr="005B592B">
        <w:trPr>
          <w:trHeight w:val="128"/>
        </w:trPr>
        <w:tc>
          <w:tcPr>
            <w:tcW w:w="1170" w:type="pct"/>
            <w:vMerge/>
            <w:shd w:val="clear" w:color="auto" w:fill="A8D08D" w:themeFill="accent6" w:themeFillTint="99"/>
            <w:vAlign w:val="center"/>
            <w:hideMark/>
          </w:tcPr>
          <w:p w14:paraId="04A7D183" w14:textId="77777777" w:rsidR="005B592B" w:rsidRPr="005B592B" w:rsidRDefault="005B592B" w:rsidP="005B592B">
            <w:pPr>
              <w:rPr>
                <w:rFonts w:eastAsia="Times New Roman" w:cs="Times New Roman"/>
                <w:b/>
                <w:bCs/>
                <w:color w:val="000000"/>
                <w:sz w:val="22"/>
                <w:szCs w:val="22"/>
                <w:lang w:eastAsia="lv-LV"/>
              </w:rPr>
            </w:pPr>
          </w:p>
        </w:tc>
        <w:tc>
          <w:tcPr>
            <w:tcW w:w="3830" w:type="pct"/>
            <w:shd w:val="clear" w:color="000000" w:fill="EBF1E9"/>
            <w:vAlign w:val="center"/>
            <w:hideMark/>
          </w:tcPr>
          <w:p w14:paraId="351D2F2F" w14:textId="6A5B44F6" w:rsidR="005B592B" w:rsidRPr="005B592B" w:rsidRDefault="005B592B" w:rsidP="005B592B">
            <w:pPr>
              <w:jc w:val="center"/>
              <w:rPr>
                <w:rFonts w:eastAsia="Times New Roman" w:cs="Times New Roman"/>
                <w:color w:val="000000"/>
                <w:sz w:val="22"/>
                <w:szCs w:val="22"/>
                <w:lang w:eastAsia="lv-LV"/>
              </w:rPr>
            </w:pPr>
            <w:r w:rsidRPr="005B592B">
              <w:rPr>
                <w:rFonts w:eastAsia="Times New Roman" w:cs="Times New Roman"/>
                <w:color w:val="000000"/>
                <w:sz w:val="22"/>
                <w:szCs w:val="22"/>
                <w:lang w:eastAsia="lv-LV"/>
              </w:rPr>
              <w:t xml:space="preserve">Starptautiskās </w:t>
            </w:r>
            <w:proofErr w:type="spellStart"/>
            <w:r w:rsidRPr="005B592B">
              <w:rPr>
                <w:rFonts w:eastAsia="Times New Roman" w:cs="Times New Roman"/>
                <w:color w:val="000000"/>
                <w:sz w:val="22"/>
                <w:szCs w:val="22"/>
                <w:lang w:eastAsia="lv-LV"/>
              </w:rPr>
              <w:t>citējamības</w:t>
            </w:r>
            <w:proofErr w:type="spellEnd"/>
            <w:r w:rsidRPr="005B592B">
              <w:rPr>
                <w:rFonts w:eastAsia="Times New Roman" w:cs="Times New Roman"/>
                <w:color w:val="000000"/>
                <w:sz w:val="22"/>
                <w:szCs w:val="22"/>
                <w:lang w:eastAsia="lv-LV"/>
              </w:rPr>
              <w:t xml:space="preserve"> datubāzē </w:t>
            </w:r>
            <w:proofErr w:type="spellStart"/>
            <w:r w:rsidRPr="005B592B">
              <w:rPr>
                <w:rFonts w:eastAsia="Times New Roman" w:cs="Times New Roman"/>
                <w:color w:val="000000"/>
                <w:sz w:val="22"/>
                <w:szCs w:val="22"/>
                <w:lang w:eastAsia="lv-LV"/>
              </w:rPr>
              <w:t>Scopus</w:t>
            </w:r>
            <w:proofErr w:type="spellEnd"/>
            <w:r w:rsidRPr="005B592B">
              <w:rPr>
                <w:rFonts w:eastAsia="Times New Roman" w:cs="Times New Roman"/>
                <w:color w:val="000000"/>
                <w:sz w:val="22"/>
                <w:szCs w:val="22"/>
                <w:lang w:eastAsia="lv-LV"/>
              </w:rPr>
              <w:t xml:space="preserve"> iekļauto Latvijas autoru zinātnisko publikāciju skaits gadā</w:t>
            </w:r>
            <w:r w:rsidR="00053091">
              <w:rPr>
                <w:rFonts w:eastAsia="Times New Roman" w:cs="Times New Roman"/>
                <w:color w:val="000000"/>
                <w:sz w:val="22"/>
                <w:szCs w:val="22"/>
                <w:lang w:eastAsia="lv-LV"/>
              </w:rPr>
              <w:t xml:space="preserve"> (</w:t>
            </w:r>
            <w:r w:rsidRPr="005B592B">
              <w:rPr>
                <w:rFonts w:eastAsia="Times New Roman" w:cs="Times New Roman"/>
                <w:color w:val="000000"/>
                <w:sz w:val="22"/>
                <w:szCs w:val="22"/>
                <w:lang w:eastAsia="lv-LV"/>
              </w:rPr>
              <w:t>%</w:t>
            </w:r>
            <w:r w:rsidR="00053091">
              <w:rPr>
                <w:rFonts w:eastAsia="Times New Roman" w:cs="Times New Roman"/>
                <w:color w:val="000000"/>
                <w:sz w:val="22"/>
                <w:szCs w:val="22"/>
                <w:lang w:eastAsia="lv-LV"/>
              </w:rPr>
              <w:t>)</w:t>
            </w:r>
          </w:p>
        </w:tc>
      </w:tr>
      <w:tr w:rsidR="005B592B" w:rsidRPr="005B592B" w14:paraId="1F181498" w14:textId="77777777" w:rsidTr="005B592B">
        <w:trPr>
          <w:trHeight w:val="177"/>
        </w:trPr>
        <w:tc>
          <w:tcPr>
            <w:tcW w:w="1170" w:type="pct"/>
            <w:vMerge/>
            <w:shd w:val="clear" w:color="auto" w:fill="A8D08D" w:themeFill="accent6" w:themeFillTint="99"/>
            <w:vAlign w:val="center"/>
            <w:hideMark/>
          </w:tcPr>
          <w:p w14:paraId="35F2BCC6" w14:textId="77777777" w:rsidR="005B592B" w:rsidRPr="005B592B" w:rsidRDefault="005B592B" w:rsidP="005B592B">
            <w:pPr>
              <w:rPr>
                <w:rFonts w:eastAsia="Times New Roman" w:cs="Times New Roman"/>
                <w:b/>
                <w:bCs/>
                <w:color w:val="000000"/>
                <w:sz w:val="22"/>
                <w:szCs w:val="22"/>
                <w:lang w:eastAsia="lv-LV"/>
              </w:rPr>
            </w:pPr>
          </w:p>
        </w:tc>
        <w:tc>
          <w:tcPr>
            <w:tcW w:w="3830" w:type="pct"/>
            <w:shd w:val="clear" w:color="000000" w:fill="EBF1E9"/>
            <w:vAlign w:val="center"/>
            <w:hideMark/>
          </w:tcPr>
          <w:p w14:paraId="3C40DAD6" w14:textId="73724133" w:rsidR="005B592B" w:rsidRPr="005B592B" w:rsidRDefault="005B592B" w:rsidP="005B592B">
            <w:pPr>
              <w:jc w:val="center"/>
              <w:rPr>
                <w:rFonts w:eastAsia="Times New Roman" w:cs="Times New Roman"/>
                <w:color w:val="000000"/>
                <w:sz w:val="22"/>
                <w:szCs w:val="22"/>
                <w:lang w:eastAsia="lv-LV"/>
              </w:rPr>
            </w:pPr>
            <w:r w:rsidRPr="005B592B">
              <w:rPr>
                <w:rFonts w:eastAsia="Times New Roman" w:cs="Times New Roman"/>
                <w:color w:val="000000"/>
                <w:sz w:val="22"/>
                <w:szCs w:val="22"/>
                <w:lang w:eastAsia="lv-LV"/>
              </w:rPr>
              <w:t>Jauno doktoru īpatsvars no 25–34 gadus veciem iedzīvotājiem</w:t>
            </w:r>
            <w:r w:rsidR="00053091">
              <w:rPr>
                <w:rFonts w:eastAsia="Times New Roman" w:cs="Times New Roman"/>
                <w:color w:val="000000"/>
                <w:sz w:val="22"/>
                <w:szCs w:val="22"/>
                <w:lang w:eastAsia="lv-LV"/>
              </w:rPr>
              <w:t xml:space="preserve"> (</w:t>
            </w:r>
            <w:r w:rsidRPr="005B592B">
              <w:rPr>
                <w:rFonts w:eastAsia="Times New Roman" w:cs="Times New Roman"/>
                <w:color w:val="000000"/>
                <w:sz w:val="22"/>
                <w:szCs w:val="22"/>
                <w:lang w:eastAsia="lv-LV"/>
              </w:rPr>
              <w:t>%</w:t>
            </w:r>
            <w:r w:rsidR="00053091">
              <w:rPr>
                <w:rFonts w:eastAsia="Times New Roman" w:cs="Times New Roman"/>
                <w:color w:val="000000"/>
                <w:sz w:val="22"/>
                <w:szCs w:val="22"/>
                <w:lang w:eastAsia="lv-LV"/>
              </w:rPr>
              <w:t>)</w:t>
            </w:r>
          </w:p>
        </w:tc>
      </w:tr>
      <w:tr w:rsidR="005B592B" w:rsidRPr="005B592B" w14:paraId="1ACB9F41" w14:textId="77777777" w:rsidTr="005B592B">
        <w:trPr>
          <w:trHeight w:val="70"/>
        </w:trPr>
        <w:tc>
          <w:tcPr>
            <w:tcW w:w="1170" w:type="pct"/>
            <w:vMerge/>
            <w:shd w:val="clear" w:color="auto" w:fill="A8D08D" w:themeFill="accent6" w:themeFillTint="99"/>
            <w:vAlign w:val="center"/>
            <w:hideMark/>
          </w:tcPr>
          <w:p w14:paraId="79DABE51" w14:textId="77777777" w:rsidR="005B592B" w:rsidRPr="005B592B" w:rsidRDefault="005B592B" w:rsidP="005B592B">
            <w:pPr>
              <w:rPr>
                <w:rFonts w:eastAsia="Times New Roman" w:cs="Times New Roman"/>
                <w:b/>
                <w:bCs/>
                <w:color w:val="000000"/>
                <w:sz w:val="22"/>
                <w:szCs w:val="22"/>
                <w:lang w:eastAsia="lv-LV"/>
              </w:rPr>
            </w:pPr>
          </w:p>
        </w:tc>
        <w:tc>
          <w:tcPr>
            <w:tcW w:w="3830" w:type="pct"/>
            <w:shd w:val="clear" w:color="000000" w:fill="EBF1E9"/>
            <w:vAlign w:val="center"/>
            <w:hideMark/>
          </w:tcPr>
          <w:p w14:paraId="57C424FB" w14:textId="77777777" w:rsidR="005B592B" w:rsidRPr="005B592B" w:rsidRDefault="005B592B" w:rsidP="005B592B">
            <w:pPr>
              <w:jc w:val="center"/>
              <w:rPr>
                <w:rFonts w:eastAsia="Times New Roman" w:cs="Times New Roman"/>
                <w:color w:val="000000"/>
                <w:sz w:val="22"/>
                <w:szCs w:val="22"/>
                <w:lang w:eastAsia="lv-LV"/>
              </w:rPr>
            </w:pPr>
            <w:r w:rsidRPr="005B592B">
              <w:rPr>
                <w:rFonts w:eastAsia="Times New Roman" w:cs="Times New Roman"/>
                <w:color w:val="000000"/>
                <w:sz w:val="22"/>
                <w:szCs w:val="22"/>
                <w:lang w:eastAsia="lv-LV"/>
              </w:rPr>
              <w:t>Nodarbināto zinātnisko darbinieku vidējā slodze, PLE izteiksmē</w:t>
            </w:r>
          </w:p>
        </w:tc>
      </w:tr>
      <w:tr w:rsidR="005B592B" w:rsidRPr="005B592B" w14:paraId="39323977" w14:textId="77777777" w:rsidTr="005B592B">
        <w:trPr>
          <w:trHeight w:val="214"/>
        </w:trPr>
        <w:tc>
          <w:tcPr>
            <w:tcW w:w="1170" w:type="pct"/>
            <w:vMerge w:val="restart"/>
            <w:shd w:val="clear" w:color="auto" w:fill="A8D08D" w:themeFill="accent6" w:themeFillTint="99"/>
            <w:vAlign w:val="center"/>
            <w:hideMark/>
          </w:tcPr>
          <w:p w14:paraId="10A953F0" w14:textId="77777777" w:rsidR="005B592B" w:rsidRPr="005B592B" w:rsidRDefault="005B592B" w:rsidP="005B592B">
            <w:pPr>
              <w:jc w:val="center"/>
              <w:rPr>
                <w:rFonts w:eastAsia="Times New Roman" w:cs="Times New Roman"/>
                <w:b/>
                <w:bCs/>
                <w:color w:val="000000"/>
                <w:sz w:val="22"/>
                <w:szCs w:val="22"/>
                <w:lang w:eastAsia="lv-LV"/>
              </w:rPr>
            </w:pPr>
            <w:r w:rsidRPr="005B592B">
              <w:rPr>
                <w:rFonts w:eastAsia="Times New Roman" w:cs="Times New Roman"/>
                <w:b/>
                <w:bCs/>
                <w:color w:val="000000"/>
                <w:sz w:val="22"/>
                <w:szCs w:val="22"/>
                <w:lang w:eastAsia="lv-LV"/>
              </w:rPr>
              <w:t>Sports</w:t>
            </w:r>
          </w:p>
        </w:tc>
        <w:tc>
          <w:tcPr>
            <w:tcW w:w="3830" w:type="pct"/>
            <w:shd w:val="clear" w:color="000000" w:fill="EBF1E9"/>
            <w:vAlign w:val="center"/>
            <w:hideMark/>
          </w:tcPr>
          <w:p w14:paraId="4B05D110" w14:textId="081FC7CB" w:rsidR="005B592B" w:rsidRPr="005B592B" w:rsidRDefault="005B592B" w:rsidP="005B592B">
            <w:pPr>
              <w:jc w:val="center"/>
              <w:rPr>
                <w:rFonts w:eastAsia="Times New Roman" w:cs="Times New Roman"/>
                <w:color w:val="000000"/>
                <w:sz w:val="22"/>
                <w:szCs w:val="22"/>
                <w:lang w:eastAsia="lv-LV"/>
              </w:rPr>
            </w:pPr>
            <w:r w:rsidRPr="005B592B">
              <w:rPr>
                <w:rFonts w:eastAsia="Times New Roman" w:cs="Times New Roman"/>
                <w:color w:val="000000"/>
                <w:sz w:val="22"/>
                <w:szCs w:val="22"/>
                <w:lang w:eastAsia="lv-LV"/>
              </w:rPr>
              <w:t>15–74 gadus vecu iedzīvotāju īpatsvars ar pietiekamu fizisko aktivitāti – vismaz 2 reizes nedēļā 30 min.</w:t>
            </w:r>
            <w:r w:rsidR="00053091">
              <w:rPr>
                <w:rFonts w:eastAsia="Times New Roman" w:cs="Times New Roman"/>
                <w:color w:val="000000"/>
                <w:sz w:val="22"/>
                <w:szCs w:val="22"/>
                <w:lang w:eastAsia="lv-LV"/>
              </w:rPr>
              <w:t xml:space="preserve"> (</w:t>
            </w:r>
            <w:r w:rsidRPr="005B592B">
              <w:rPr>
                <w:rFonts w:eastAsia="Times New Roman" w:cs="Times New Roman"/>
                <w:color w:val="000000"/>
                <w:sz w:val="22"/>
                <w:szCs w:val="22"/>
                <w:lang w:eastAsia="lv-LV"/>
              </w:rPr>
              <w:t>%</w:t>
            </w:r>
            <w:r w:rsidR="00053091">
              <w:rPr>
                <w:rFonts w:eastAsia="Times New Roman" w:cs="Times New Roman"/>
                <w:color w:val="000000"/>
                <w:sz w:val="22"/>
                <w:szCs w:val="22"/>
                <w:lang w:eastAsia="lv-LV"/>
              </w:rPr>
              <w:t>)</w:t>
            </w:r>
          </w:p>
        </w:tc>
      </w:tr>
      <w:tr w:rsidR="005B592B" w:rsidRPr="005B592B" w14:paraId="7CA92588" w14:textId="77777777" w:rsidTr="005B592B">
        <w:trPr>
          <w:trHeight w:val="263"/>
        </w:trPr>
        <w:tc>
          <w:tcPr>
            <w:tcW w:w="1170" w:type="pct"/>
            <w:vMerge/>
            <w:shd w:val="clear" w:color="auto" w:fill="A8D08D" w:themeFill="accent6" w:themeFillTint="99"/>
            <w:vAlign w:val="center"/>
            <w:hideMark/>
          </w:tcPr>
          <w:p w14:paraId="56D35E39" w14:textId="77777777" w:rsidR="005B592B" w:rsidRPr="005B592B" w:rsidRDefault="005B592B" w:rsidP="005B592B">
            <w:pPr>
              <w:rPr>
                <w:rFonts w:eastAsia="Times New Roman" w:cs="Times New Roman"/>
                <w:b/>
                <w:bCs/>
                <w:color w:val="000000"/>
                <w:sz w:val="22"/>
                <w:szCs w:val="22"/>
                <w:lang w:eastAsia="lv-LV"/>
              </w:rPr>
            </w:pPr>
          </w:p>
        </w:tc>
        <w:tc>
          <w:tcPr>
            <w:tcW w:w="3830" w:type="pct"/>
            <w:shd w:val="clear" w:color="000000" w:fill="EBF1E9"/>
            <w:vAlign w:val="center"/>
            <w:hideMark/>
          </w:tcPr>
          <w:p w14:paraId="05D2A24D" w14:textId="1004EF84" w:rsidR="005B592B" w:rsidRPr="005B592B" w:rsidRDefault="005B592B" w:rsidP="005B592B">
            <w:pPr>
              <w:jc w:val="center"/>
              <w:rPr>
                <w:rFonts w:eastAsia="Times New Roman" w:cs="Times New Roman"/>
                <w:color w:val="000000"/>
                <w:sz w:val="22"/>
                <w:szCs w:val="22"/>
                <w:lang w:eastAsia="lv-LV"/>
              </w:rPr>
            </w:pPr>
            <w:r w:rsidRPr="005B592B">
              <w:rPr>
                <w:rFonts w:eastAsia="Times New Roman" w:cs="Times New Roman"/>
                <w:color w:val="000000"/>
                <w:sz w:val="22"/>
                <w:szCs w:val="22"/>
                <w:lang w:eastAsia="lv-LV"/>
              </w:rPr>
              <w:t>Latviju pārstāvošo sportist</w:t>
            </w:r>
            <w:r w:rsidR="00053091">
              <w:rPr>
                <w:rFonts w:eastAsia="Times New Roman" w:cs="Times New Roman"/>
                <w:color w:val="000000"/>
                <w:sz w:val="22"/>
                <w:szCs w:val="22"/>
                <w:lang w:eastAsia="lv-LV"/>
              </w:rPr>
              <w:t>i</w:t>
            </w:r>
            <w:r w:rsidRPr="005B592B">
              <w:rPr>
                <w:rFonts w:eastAsia="Times New Roman" w:cs="Times New Roman"/>
                <w:color w:val="000000"/>
                <w:sz w:val="22"/>
                <w:szCs w:val="22"/>
                <w:lang w:eastAsia="lv-LV"/>
              </w:rPr>
              <w:t>, kuri piedalās Eiropas un pasaules čempionātos pieaugušajiem, un tiem līdzvērtīgās sacensībās (</w:t>
            </w:r>
            <w:r w:rsidR="00053091">
              <w:rPr>
                <w:rFonts w:eastAsia="Times New Roman" w:cs="Times New Roman"/>
                <w:color w:val="000000"/>
                <w:sz w:val="22"/>
                <w:szCs w:val="22"/>
                <w:lang w:eastAsia="lv-LV"/>
              </w:rPr>
              <w:t>skaits</w:t>
            </w:r>
            <w:r w:rsidRPr="005B592B">
              <w:rPr>
                <w:rFonts w:eastAsia="Times New Roman" w:cs="Times New Roman"/>
                <w:color w:val="000000"/>
                <w:sz w:val="22"/>
                <w:szCs w:val="22"/>
                <w:lang w:eastAsia="lv-LV"/>
              </w:rPr>
              <w:t xml:space="preserve">) </w:t>
            </w:r>
          </w:p>
        </w:tc>
      </w:tr>
      <w:tr w:rsidR="005B592B" w:rsidRPr="005B592B" w14:paraId="03A62EB7" w14:textId="77777777" w:rsidTr="005B592B">
        <w:trPr>
          <w:trHeight w:val="185"/>
        </w:trPr>
        <w:tc>
          <w:tcPr>
            <w:tcW w:w="1170" w:type="pct"/>
            <w:vMerge/>
            <w:shd w:val="clear" w:color="auto" w:fill="A8D08D" w:themeFill="accent6" w:themeFillTint="99"/>
            <w:vAlign w:val="center"/>
            <w:hideMark/>
          </w:tcPr>
          <w:p w14:paraId="0011D024" w14:textId="77777777" w:rsidR="005B592B" w:rsidRPr="005B592B" w:rsidRDefault="005B592B" w:rsidP="005B592B">
            <w:pPr>
              <w:rPr>
                <w:rFonts w:eastAsia="Times New Roman" w:cs="Times New Roman"/>
                <w:b/>
                <w:bCs/>
                <w:color w:val="000000"/>
                <w:sz w:val="22"/>
                <w:szCs w:val="22"/>
                <w:lang w:eastAsia="lv-LV"/>
              </w:rPr>
            </w:pPr>
          </w:p>
        </w:tc>
        <w:tc>
          <w:tcPr>
            <w:tcW w:w="3830" w:type="pct"/>
            <w:shd w:val="clear" w:color="000000" w:fill="EBF1E9"/>
            <w:vAlign w:val="center"/>
            <w:hideMark/>
          </w:tcPr>
          <w:p w14:paraId="466AA0C3" w14:textId="68B2206E" w:rsidR="005B592B" w:rsidRPr="005B592B" w:rsidRDefault="005B592B" w:rsidP="005B592B">
            <w:pPr>
              <w:jc w:val="center"/>
              <w:rPr>
                <w:rFonts w:eastAsia="Times New Roman" w:cs="Times New Roman"/>
                <w:color w:val="000000"/>
                <w:sz w:val="22"/>
                <w:szCs w:val="22"/>
                <w:lang w:eastAsia="lv-LV"/>
              </w:rPr>
            </w:pPr>
            <w:r w:rsidRPr="005B592B">
              <w:rPr>
                <w:rFonts w:eastAsia="Times New Roman" w:cs="Times New Roman"/>
                <w:color w:val="000000"/>
                <w:sz w:val="22"/>
                <w:szCs w:val="22"/>
                <w:lang w:eastAsia="lv-LV"/>
              </w:rPr>
              <w:t>Sporta nozarē nodarbināto īpatsvars no kopējā nodarbināto skaita</w:t>
            </w:r>
            <w:r w:rsidR="00053091">
              <w:rPr>
                <w:rFonts w:eastAsia="Times New Roman" w:cs="Times New Roman"/>
                <w:color w:val="000000"/>
                <w:sz w:val="22"/>
                <w:szCs w:val="22"/>
                <w:lang w:eastAsia="lv-LV"/>
              </w:rPr>
              <w:t xml:space="preserve"> (%)</w:t>
            </w:r>
          </w:p>
        </w:tc>
      </w:tr>
      <w:tr w:rsidR="005B592B" w:rsidRPr="005B592B" w14:paraId="64B0D65A" w14:textId="77777777" w:rsidTr="005B592B">
        <w:trPr>
          <w:trHeight w:val="70"/>
        </w:trPr>
        <w:tc>
          <w:tcPr>
            <w:tcW w:w="1170" w:type="pct"/>
            <w:vMerge w:val="restart"/>
            <w:shd w:val="clear" w:color="auto" w:fill="A8D08D" w:themeFill="accent6" w:themeFillTint="99"/>
            <w:vAlign w:val="center"/>
            <w:hideMark/>
          </w:tcPr>
          <w:p w14:paraId="195AC360" w14:textId="77777777" w:rsidR="005B592B" w:rsidRPr="005B592B" w:rsidRDefault="005B592B" w:rsidP="005B592B">
            <w:pPr>
              <w:jc w:val="center"/>
              <w:rPr>
                <w:rFonts w:eastAsia="Times New Roman" w:cs="Times New Roman"/>
                <w:b/>
                <w:bCs/>
                <w:color w:val="000000"/>
                <w:sz w:val="22"/>
                <w:szCs w:val="22"/>
                <w:lang w:eastAsia="lv-LV"/>
              </w:rPr>
            </w:pPr>
            <w:r w:rsidRPr="005B592B">
              <w:rPr>
                <w:rFonts w:eastAsia="Times New Roman" w:cs="Times New Roman"/>
                <w:b/>
                <w:bCs/>
                <w:color w:val="000000"/>
                <w:sz w:val="22"/>
                <w:szCs w:val="22"/>
                <w:lang w:eastAsia="lv-LV"/>
              </w:rPr>
              <w:t>Jaunatnes politikas īstenošana</w:t>
            </w:r>
          </w:p>
        </w:tc>
        <w:tc>
          <w:tcPr>
            <w:tcW w:w="3830" w:type="pct"/>
            <w:shd w:val="clear" w:color="000000" w:fill="EBF1E9"/>
            <w:vAlign w:val="center"/>
            <w:hideMark/>
          </w:tcPr>
          <w:p w14:paraId="4A0609C0" w14:textId="2C5AA56A" w:rsidR="005B592B" w:rsidRPr="005B592B" w:rsidRDefault="005B592B" w:rsidP="005B592B">
            <w:pPr>
              <w:jc w:val="center"/>
              <w:rPr>
                <w:rFonts w:eastAsia="Times New Roman" w:cs="Times New Roman"/>
                <w:color w:val="000000"/>
                <w:sz w:val="22"/>
                <w:szCs w:val="22"/>
                <w:lang w:eastAsia="lv-LV"/>
              </w:rPr>
            </w:pPr>
            <w:r w:rsidRPr="005B592B">
              <w:rPr>
                <w:rFonts w:eastAsia="Times New Roman" w:cs="Times New Roman"/>
                <w:color w:val="000000"/>
                <w:sz w:val="22"/>
                <w:szCs w:val="22"/>
                <w:lang w:eastAsia="lv-LV"/>
              </w:rPr>
              <w:t>Jauniešu īpatsvars, kuri iesaistās jauniešu projektos</w:t>
            </w:r>
            <w:r w:rsidR="00053091">
              <w:rPr>
                <w:rFonts w:eastAsia="Times New Roman" w:cs="Times New Roman"/>
                <w:color w:val="000000"/>
                <w:sz w:val="22"/>
                <w:szCs w:val="22"/>
                <w:lang w:eastAsia="lv-LV"/>
              </w:rPr>
              <w:t xml:space="preserve"> (</w:t>
            </w:r>
            <w:r w:rsidRPr="005B592B">
              <w:rPr>
                <w:rFonts w:eastAsia="Times New Roman" w:cs="Times New Roman"/>
                <w:color w:val="000000"/>
                <w:sz w:val="22"/>
                <w:szCs w:val="22"/>
                <w:lang w:eastAsia="lv-LV"/>
              </w:rPr>
              <w:t>%</w:t>
            </w:r>
            <w:r w:rsidR="00053091">
              <w:rPr>
                <w:rFonts w:eastAsia="Times New Roman" w:cs="Times New Roman"/>
                <w:color w:val="000000"/>
                <w:sz w:val="22"/>
                <w:szCs w:val="22"/>
                <w:lang w:eastAsia="lv-LV"/>
              </w:rPr>
              <w:t>)</w:t>
            </w:r>
          </w:p>
        </w:tc>
      </w:tr>
      <w:tr w:rsidR="005B592B" w:rsidRPr="005B592B" w14:paraId="0A09241A" w14:textId="77777777" w:rsidTr="005B592B">
        <w:trPr>
          <w:trHeight w:val="362"/>
        </w:trPr>
        <w:tc>
          <w:tcPr>
            <w:tcW w:w="1170" w:type="pct"/>
            <w:vMerge/>
            <w:shd w:val="clear" w:color="auto" w:fill="A8D08D" w:themeFill="accent6" w:themeFillTint="99"/>
            <w:vAlign w:val="center"/>
            <w:hideMark/>
          </w:tcPr>
          <w:p w14:paraId="6F1C1F19" w14:textId="77777777" w:rsidR="005B592B" w:rsidRPr="005B592B" w:rsidRDefault="005B592B" w:rsidP="005B592B">
            <w:pPr>
              <w:rPr>
                <w:rFonts w:eastAsia="Times New Roman" w:cs="Times New Roman"/>
                <w:b/>
                <w:bCs/>
                <w:color w:val="000000"/>
                <w:sz w:val="22"/>
                <w:szCs w:val="22"/>
                <w:lang w:eastAsia="lv-LV"/>
              </w:rPr>
            </w:pPr>
          </w:p>
        </w:tc>
        <w:tc>
          <w:tcPr>
            <w:tcW w:w="3830" w:type="pct"/>
            <w:shd w:val="clear" w:color="000000" w:fill="EBF1E9"/>
            <w:vAlign w:val="center"/>
            <w:hideMark/>
          </w:tcPr>
          <w:p w14:paraId="24E1EB35" w14:textId="1ED49A65" w:rsidR="005B592B" w:rsidRPr="005B592B" w:rsidRDefault="005B592B" w:rsidP="005B592B">
            <w:pPr>
              <w:jc w:val="center"/>
              <w:rPr>
                <w:rFonts w:eastAsia="Times New Roman" w:cs="Times New Roman"/>
                <w:color w:val="000000"/>
                <w:sz w:val="22"/>
                <w:szCs w:val="22"/>
                <w:lang w:eastAsia="lv-LV"/>
              </w:rPr>
            </w:pPr>
            <w:r w:rsidRPr="005B592B">
              <w:rPr>
                <w:rFonts w:eastAsia="Times New Roman" w:cs="Times New Roman"/>
                <w:color w:val="000000"/>
                <w:sz w:val="22"/>
                <w:szCs w:val="22"/>
                <w:lang w:eastAsia="lv-LV"/>
              </w:rPr>
              <w:t>15–24 gadus vecu personu īpatsvars, kuras nav iesaistītas izglītībā vai darba tirgū (NEET)</w:t>
            </w:r>
            <w:r w:rsidR="00053091">
              <w:rPr>
                <w:rFonts w:eastAsia="Times New Roman" w:cs="Times New Roman"/>
                <w:color w:val="000000"/>
                <w:sz w:val="22"/>
                <w:szCs w:val="22"/>
                <w:lang w:eastAsia="lv-LV"/>
              </w:rPr>
              <w:t xml:space="preserve"> (</w:t>
            </w:r>
            <w:r w:rsidRPr="005B592B">
              <w:rPr>
                <w:rFonts w:eastAsia="Times New Roman" w:cs="Times New Roman"/>
                <w:color w:val="000000"/>
                <w:sz w:val="22"/>
                <w:szCs w:val="22"/>
                <w:lang w:eastAsia="lv-LV"/>
              </w:rPr>
              <w:t>%</w:t>
            </w:r>
            <w:r w:rsidR="00053091">
              <w:rPr>
                <w:rFonts w:eastAsia="Times New Roman" w:cs="Times New Roman"/>
                <w:color w:val="000000"/>
                <w:sz w:val="22"/>
                <w:szCs w:val="22"/>
                <w:lang w:eastAsia="lv-LV"/>
              </w:rPr>
              <w:t>)</w:t>
            </w:r>
          </w:p>
        </w:tc>
      </w:tr>
      <w:tr w:rsidR="005B592B" w:rsidRPr="005B592B" w14:paraId="7B2CBDD8" w14:textId="77777777" w:rsidTr="005B592B">
        <w:trPr>
          <w:trHeight w:val="126"/>
        </w:trPr>
        <w:tc>
          <w:tcPr>
            <w:tcW w:w="1170" w:type="pct"/>
            <w:vMerge/>
            <w:shd w:val="clear" w:color="auto" w:fill="A8D08D" w:themeFill="accent6" w:themeFillTint="99"/>
            <w:vAlign w:val="center"/>
            <w:hideMark/>
          </w:tcPr>
          <w:p w14:paraId="1BBAB6BD" w14:textId="77777777" w:rsidR="005B592B" w:rsidRPr="005B592B" w:rsidRDefault="005B592B" w:rsidP="005B592B">
            <w:pPr>
              <w:rPr>
                <w:rFonts w:eastAsia="Times New Roman" w:cs="Times New Roman"/>
                <w:b/>
                <w:bCs/>
                <w:color w:val="000000"/>
                <w:sz w:val="22"/>
                <w:szCs w:val="22"/>
                <w:lang w:eastAsia="lv-LV"/>
              </w:rPr>
            </w:pPr>
          </w:p>
        </w:tc>
        <w:tc>
          <w:tcPr>
            <w:tcW w:w="3830" w:type="pct"/>
            <w:shd w:val="clear" w:color="000000" w:fill="EBF1E9"/>
            <w:vAlign w:val="center"/>
            <w:hideMark/>
          </w:tcPr>
          <w:p w14:paraId="65013A76" w14:textId="609DE365" w:rsidR="005B592B" w:rsidRPr="005B592B" w:rsidRDefault="005B592B" w:rsidP="005B592B">
            <w:pPr>
              <w:jc w:val="center"/>
              <w:rPr>
                <w:rFonts w:eastAsia="Times New Roman" w:cs="Times New Roman"/>
                <w:color w:val="000000"/>
                <w:sz w:val="22"/>
                <w:szCs w:val="22"/>
                <w:lang w:eastAsia="lv-LV"/>
              </w:rPr>
            </w:pPr>
            <w:r w:rsidRPr="005B592B">
              <w:rPr>
                <w:rFonts w:eastAsia="Times New Roman" w:cs="Times New Roman"/>
                <w:color w:val="000000"/>
                <w:sz w:val="22"/>
                <w:szCs w:val="22"/>
                <w:lang w:eastAsia="lv-LV"/>
              </w:rPr>
              <w:t>Jauniešu īpatsvars, kuri piedalās jauniešu centru un jauniešu NVO aktivitātēs</w:t>
            </w:r>
            <w:r w:rsidR="00053091">
              <w:rPr>
                <w:rFonts w:eastAsia="Times New Roman" w:cs="Times New Roman"/>
                <w:color w:val="000000"/>
                <w:sz w:val="22"/>
                <w:szCs w:val="22"/>
                <w:lang w:eastAsia="lv-LV"/>
              </w:rPr>
              <w:t xml:space="preserve"> (</w:t>
            </w:r>
            <w:r w:rsidRPr="005B592B">
              <w:rPr>
                <w:rFonts w:eastAsia="Times New Roman" w:cs="Times New Roman"/>
                <w:color w:val="000000"/>
                <w:sz w:val="22"/>
                <w:szCs w:val="22"/>
                <w:lang w:eastAsia="lv-LV"/>
              </w:rPr>
              <w:t>%</w:t>
            </w:r>
            <w:r w:rsidR="00053091">
              <w:rPr>
                <w:rFonts w:eastAsia="Times New Roman" w:cs="Times New Roman"/>
                <w:color w:val="000000"/>
                <w:sz w:val="22"/>
                <w:szCs w:val="22"/>
                <w:lang w:eastAsia="lv-LV"/>
              </w:rPr>
              <w:t>)</w:t>
            </w:r>
          </w:p>
        </w:tc>
      </w:tr>
      <w:tr w:rsidR="005B592B" w:rsidRPr="005B592B" w14:paraId="20EA782E" w14:textId="77777777" w:rsidTr="005B592B">
        <w:trPr>
          <w:trHeight w:val="410"/>
        </w:trPr>
        <w:tc>
          <w:tcPr>
            <w:tcW w:w="1170" w:type="pct"/>
            <w:shd w:val="clear" w:color="auto" w:fill="A8D08D" w:themeFill="accent6" w:themeFillTint="99"/>
            <w:vAlign w:val="center"/>
            <w:hideMark/>
          </w:tcPr>
          <w:p w14:paraId="7E7C06C5" w14:textId="77777777" w:rsidR="005B592B" w:rsidRPr="005B592B" w:rsidRDefault="005B592B" w:rsidP="005B592B">
            <w:pPr>
              <w:jc w:val="center"/>
              <w:rPr>
                <w:rFonts w:eastAsia="Times New Roman" w:cs="Times New Roman"/>
                <w:b/>
                <w:bCs/>
                <w:color w:val="000000"/>
                <w:sz w:val="22"/>
                <w:szCs w:val="22"/>
                <w:lang w:eastAsia="lv-LV"/>
              </w:rPr>
            </w:pPr>
            <w:r w:rsidRPr="005B592B">
              <w:rPr>
                <w:rFonts w:eastAsia="Times New Roman" w:cs="Times New Roman"/>
                <w:b/>
                <w:bCs/>
                <w:color w:val="000000"/>
                <w:sz w:val="22"/>
                <w:szCs w:val="22"/>
                <w:lang w:eastAsia="lv-LV"/>
              </w:rPr>
              <w:t xml:space="preserve">ES fondu un citu ES politiku instrumentu un </w:t>
            </w:r>
            <w:r w:rsidRPr="005B592B">
              <w:rPr>
                <w:rFonts w:eastAsia="Times New Roman" w:cs="Times New Roman"/>
                <w:b/>
                <w:bCs/>
                <w:color w:val="000000"/>
                <w:sz w:val="22"/>
                <w:szCs w:val="22"/>
                <w:lang w:eastAsia="lv-LV"/>
              </w:rPr>
              <w:lastRenderedPageBreak/>
              <w:t>ārvalstu finansējuma projektu un pasākumu īstenošana</w:t>
            </w:r>
          </w:p>
        </w:tc>
        <w:tc>
          <w:tcPr>
            <w:tcW w:w="3830" w:type="pct"/>
            <w:shd w:val="clear" w:color="000000" w:fill="EBF1E9"/>
            <w:vAlign w:val="center"/>
            <w:hideMark/>
          </w:tcPr>
          <w:p w14:paraId="771CA4C8" w14:textId="7E56ECC8" w:rsidR="005B592B" w:rsidRPr="005B592B" w:rsidRDefault="005B592B" w:rsidP="005B592B">
            <w:pPr>
              <w:jc w:val="center"/>
              <w:rPr>
                <w:rFonts w:eastAsia="Times New Roman" w:cs="Times New Roman"/>
                <w:color w:val="000000"/>
                <w:sz w:val="22"/>
                <w:szCs w:val="22"/>
                <w:lang w:eastAsia="lv-LV"/>
              </w:rPr>
            </w:pPr>
            <w:r w:rsidRPr="005B592B">
              <w:rPr>
                <w:rFonts w:eastAsia="Times New Roman" w:cs="Times New Roman"/>
                <w:color w:val="000000"/>
                <w:sz w:val="22"/>
                <w:szCs w:val="22"/>
                <w:lang w:eastAsia="lv-LV"/>
              </w:rPr>
              <w:lastRenderedPageBreak/>
              <w:t xml:space="preserve">Nodrošināta ERAF un ESF snieguma ietvarā iekļauto rādītāju izpilde IZM un IZM padotības iestāžu projektos vismaz 85% no izvirzītajām starpposma </w:t>
            </w:r>
            <w:r w:rsidRPr="005B592B">
              <w:rPr>
                <w:rFonts w:eastAsia="Times New Roman" w:cs="Times New Roman"/>
                <w:color w:val="000000"/>
                <w:sz w:val="22"/>
                <w:szCs w:val="22"/>
                <w:lang w:eastAsia="lv-LV"/>
              </w:rPr>
              <w:lastRenderedPageBreak/>
              <w:t>mērķa vērtībām līdz 2021.gada beigām (finanšu rādītājs - sertificēti izdevumi gada ietvaros)</w:t>
            </w:r>
            <w:r w:rsidR="00053091">
              <w:rPr>
                <w:rFonts w:eastAsia="Times New Roman" w:cs="Times New Roman"/>
                <w:color w:val="000000"/>
                <w:sz w:val="22"/>
                <w:szCs w:val="22"/>
                <w:lang w:eastAsia="lv-LV"/>
              </w:rPr>
              <w:t xml:space="preserve"> (</w:t>
            </w:r>
            <w:proofErr w:type="spellStart"/>
            <w:r w:rsidR="00053091" w:rsidRPr="00053091">
              <w:rPr>
                <w:rFonts w:eastAsia="Times New Roman" w:cs="Times New Roman"/>
                <w:i/>
                <w:iCs/>
                <w:color w:val="000000"/>
                <w:sz w:val="22"/>
                <w:szCs w:val="22"/>
                <w:lang w:eastAsia="lv-LV"/>
              </w:rPr>
              <w:t>euro</w:t>
            </w:r>
            <w:proofErr w:type="spellEnd"/>
            <w:r w:rsidR="00053091">
              <w:rPr>
                <w:rFonts w:eastAsia="Times New Roman" w:cs="Times New Roman"/>
                <w:color w:val="000000"/>
                <w:sz w:val="22"/>
                <w:szCs w:val="22"/>
                <w:lang w:eastAsia="lv-LV"/>
              </w:rPr>
              <w:t>)</w:t>
            </w:r>
          </w:p>
        </w:tc>
      </w:tr>
      <w:tr w:rsidR="005B592B" w:rsidRPr="005B592B" w14:paraId="0221CDD4" w14:textId="77777777" w:rsidTr="00341E0B">
        <w:trPr>
          <w:trHeight w:val="70"/>
        </w:trPr>
        <w:tc>
          <w:tcPr>
            <w:tcW w:w="1170" w:type="pct"/>
            <w:vMerge w:val="restart"/>
            <w:shd w:val="clear" w:color="auto" w:fill="A8D08D" w:themeFill="accent6" w:themeFillTint="99"/>
            <w:vAlign w:val="center"/>
            <w:hideMark/>
          </w:tcPr>
          <w:p w14:paraId="5E11495C" w14:textId="77777777" w:rsidR="005B592B" w:rsidRPr="005B592B" w:rsidRDefault="005B592B" w:rsidP="005B592B">
            <w:pPr>
              <w:jc w:val="center"/>
              <w:rPr>
                <w:rFonts w:eastAsia="Times New Roman" w:cs="Times New Roman"/>
                <w:b/>
                <w:bCs/>
                <w:color w:val="000000"/>
                <w:sz w:val="22"/>
                <w:szCs w:val="22"/>
                <w:lang w:eastAsia="lv-LV"/>
              </w:rPr>
            </w:pPr>
            <w:r w:rsidRPr="005B592B">
              <w:rPr>
                <w:rFonts w:eastAsia="Times New Roman" w:cs="Times New Roman"/>
                <w:b/>
                <w:bCs/>
                <w:color w:val="000000"/>
                <w:sz w:val="22"/>
                <w:szCs w:val="22"/>
                <w:lang w:eastAsia="lv-LV"/>
              </w:rPr>
              <w:lastRenderedPageBreak/>
              <w:t>Nozaru vadība un politikas plānošana</w:t>
            </w:r>
          </w:p>
        </w:tc>
        <w:tc>
          <w:tcPr>
            <w:tcW w:w="3830" w:type="pct"/>
            <w:shd w:val="clear" w:color="000000" w:fill="EBF1E9"/>
            <w:vAlign w:val="center"/>
            <w:hideMark/>
          </w:tcPr>
          <w:p w14:paraId="583847A8" w14:textId="5508FADF" w:rsidR="005B592B" w:rsidRPr="005B592B" w:rsidRDefault="005B592B" w:rsidP="005B592B">
            <w:pPr>
              <w:jc w:val="center"/>
              <w:rPr>
                <w:rFonts w:eastAsia="Times New Roman" w:cs="Times New Roman"/>
                <w:color w:val="000000"/>
                <w:sz w:val="22"/>
                <w:szCs w:val="22"/>
                <w:lang w:eastAsia="lv-LV"/>
              </w:rPr>
            </w:pPr>
            <w:r w:rsidRPr="005B592B">
              <w:rPr>
                <w:rFonts w:eastAsia="Times New Roman" w:cs="Times New Roman"/>
                <w:color w:val="000000"/>
                <w:sz w:val="22"/>
                <w:szCs w:val="22"/>
                <w:lang w:eastAsia="lv-LV"/>
              </w:rPr>
              <w:t>Labu, ļoti labu, teicamu un izcilu vērtējumu īpatsvars profesionālās kvalifikācijas eksāmenos</w:t>
            </w:r>
            <w:r w:rsidR="00053091">
              <w:rPr>
                <w:rFonts w:eastAsia="Times New Roman" w:cs="Times New Roman"/>
                <w:color w:val="000000"/>
                <w:sz w:val="22"/>
                <w:szCs w:val="22"/>
                <w:lang w:eastAsia="lv-LV"/>
              </w:rPr>
              <w:t xml:space="preserve"> (</w:t>
            </w:r>
            <w:r w:rsidRPr="005B592B">
              <w:rPr>
                <w:rFonts w:eastAsia="Times New Roman" w:cs="Times New Roman"/>
                <w:color w:val="000000"/>
                <w:sz w:val="22"/>
                <w:szCs w:val="22"/>
                <w:lang w:eastAsia="lv-LV"/>
              </w:rPr>
              <w:t>%</w:t>
            </w:r>
            <w:r w:rsidR="00053091">
              <w:rPr>
                <w:rFonts w:eastAsia="Times New Roman" w:cs="Times New Roman"/>
                <w:color w:val="000000"/>
                <w:sz w:val="22"/>
                <w:szCs w:val="22"/>
                <w:lang w:eastAsia="lv-LV"/>
              </w:rPr>
              <w:t>)</w:t>
            </w:r>
          </w:p>
        </w:tc>
      </w:tr>
      <w:tr w:rsidR="005B592B" w:rsidRPr="005B592B" w14:paraId="0980B903" w14:textId="77777777" w:rsidTr="00AC7742">
        <w:trPr>
          <w:trHeight w:val="293"/>
        </w:trPr>
        <w:tc>
          <w:tcPr>
            <w:tcW w:w="1170" w:type="pct"/>
            <w:vMerge/>
            <w:shd w:val="clear" w:color="auto" w:fill="A8D08D" w:themeFill="accent6" w:themeFillTint="99"/>
            <w:vAlign w:val="center"/>
            <w:hideMark/>
          </w:tcPr>
          <w:p w14:paraId="65E1F0AA" w14:textId="77777777" w:rsidR="005B592B" w:rsidRPr="005B592B" w:rsidRDefault="005B592B" w:rsidP="005B592B">
            <w:pPr>
              <w:rPr>
                <w:rFonts w:eastAsia="Times New Roman" w:cs="Times New Roman"/>
                <w:b/>
                <w:bCs/>
                <w:color w:val="000000"/>
                <w:sz w:val="22"/>
                <w:szCs w:val="22"/>
                <w:lang w:eastAsia="lv-LV"/>
              </w:rPr>
            </w:pPr>
          </w:p>
        </w:tc>
        <w:tc>
          <w:tcPr>
            <w:tcW w:w="3830" w:type="pct"/>
            <w:shd w:val="clear" w:color="000000" w:fill="EBF1E9"/>
            <w:vAlign w:val="center"/>
            <w:hideMark/>
          </w:tcPr>
          <w:p w14:paraId="27DAA1DF" w14:textId="0AC4B18F" w:rsidR="005B592B" w:rsidRPr="005B592B" w:rsidRDefault="005B592B" w:rsidP="005B592B">
            <w:pPr>
              <w:jc w:val="center"/>
              <w:rPr>
                <w:rFonts w:eastAsia="Times New Roman" w:cs="Times New Roman"/>
                <w:color w:val="000000"/>
                <w:sz w:val="22"/>
                <w:szCs w:val="22"/>
                <w:lang w:eastAsia="lv-LV"/>
              </w:rPr>
            </w:pPr>
            <w:r w:rsidRPr="005B592B">
              <w:rPr>
                <w:rFonts w:eastAsia="Times New Roman" w:cs="Times New Roman"/>
                <w:color w:val="000000"/>
                <w:sz w:val="22"/>
                <w:szCs w:val="22"/>
                <w:lang w:eastAsia="lv-LV"/>
              </w:rPr>
              <w:t>18–24 gadus veci iedzīvotāji, kuriem nav vidējās izglītības un kuri neturpina mācības</w:t>
            </w:r>
            <w:r w:rsidR="00053091">
              <w:rPr>
                <w:rFonts w:eastAsia="Times New Roman" w:cs="Times New Roman"/>
                <w:color w:val="000000"/>
                <w:sz w:val="22"/>
                <w:szCs w:val="22"/>
                <w:lang w:eastAsia="lv-LV"/>
              </w:rPr>
              <w:t xml:space="preserve"> (</w:t>
            </w:r>
            <w:r w:rsidRPr="005B592B">
              <w:rPr>
                <w:rFonts w:eastAsia="Times New Roman" w:cs="Times New Roman"/>
                <w:color w:val="000000"/>
                <w:sz w:val="22"/>
                <w:szCs w:val="22"/>
                <w:lang w:eastAsia="lv-LV"/>
              </w:rPr>
              <w:t>%</w:t>
            </w:r>
            <w:r w:rsidR="00053091">
              <w:rPr>
                <w:rFonts w:eastAsia="Times New Roman" w:cs="Times New Roman"/>
                <w:color w:val="000000"/>
                <w:sz w:val="22"/>
                <w:szCs w:val="22"/>
                <w:lang w:eastAsia="lv-LV"/>
              </w:rPr>
              <w:t>)</w:t>
            </w:r>
          </w:p>
        </w:tc>
      </w:tr>
    </w:tbl>
    <w:p w14:paraId="28D5BA6B" w14:textId="77777777" w:rsidR="005B592B" w:rsidRPr="004C7170" w:rsidRDefault="005B592B" w:rsidP="0056451E">
      <w:pPr>
        <w:spacing w:after="120"/>
        <w:jc w:val="center"/>
        <w:rPr>
          <w:b/>
        </w:rPr>
      </w:pPr>
    </w:p>
    <w:p w14:paraId="33A2E35E" w14:textId="2463D3CD" w:rsidR="00341E0B" w:rsidRDefault="00341E0B" w:rsidP="00341E0B">
      <w:pPr>
        <w:spacing w:after="120"/>
      </w:pPr>
      <w:r>
        <w:t>Kultūras ministrija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6941"/>
      </w:tblGrid>
      <w:tr w:rsidR="00341E0B" w:rsidRPr="00341E0B" w14:paraId="7AD4A4DF" w14:textId="77777777" w:rsidTr="00E20E29">
        <w:trPr>
          <w:trHeight w:val="199"/>
          <w:tblHeader/>
        </w:trPr>
        <w:tc>
          <w:tcPr>
            <w:tcW w:w="1170" w:type="pct"/>
            <w:shd w:val="clear" w:color="000000" w:fill="A9D08E"/>
            <w:noWrap/>
            <w:vAlign w:val="bottom"/>
            <w:hideMark/>
          </w:tcPr>
          <w:p w14:paraId="2700F40C" w14:textId="77777777" w:rsidR="00341E0B" w:rsidRPr="00341E0B" w:rsidRDefault="00341E0B" w:rsidP="00341E0B">
            <w:pPr>
              <w:jc w:val="center"/>
              <w:rPr>
                <w:rFonts w:eastAsia="Times New Roman" w:cs="Times New Roman"/>
                <w:b/>
                <w:bCs/>
                <w:color w:val="000000"/>
                <w:sz w:val="22"/>
                <w:szCs w:val="22"/>
                <w:lang w:eastAsia="lv-LV"/>
              </w:rPr>
            </w:pPr>
            <w:r w:rsidRPr="00341E0B">
              <w:rPr>
                <w:rFonts w:eastAsia="Times New Roman" w:cs="Times New Roman"/>
                <w:b/>
                <w:bCs/>
                <w:color w:val="000000"/>
                <w:sz w:val="22"/>
                <w:szCs w:val="22"/>
                <w:lang w:eastAsia="lv-LV"/>
              </w:rPr>
              <w:t xml:space="preserve">Joma </w:t>
            </w:r>
          </w:p>
        </w:tc>
        <w:tc>
          <w:tcPr>
            <w:tcW w:w="3830" w:type="pct"/>
            <w:shd w:val="clear" w:color="000000" w:fill="A9D08E"/>
            <w:noWrap/>
            <w:vAlign w:val="bottom"/>
            <w:hideMark/>
          </w:tcPr>
          <w:p w14:paraId="6A9F42DA" w14:textId="77777777" w:rsidR="00341E0B" w:rsidRPr="00341E0B" w:rsidRDefault="00341E0B" w:rsidP="00341E0B">
            <w:pPr>
              <w:jc w:val="center"/>
              <w:rPr>
                <w:rFonts w:eastAsia="Times New Roman" w:cs="Times New Roman"/>
                <w:b/>
                <w:bCs/>
                <w:color w:val="000000"/>
                <w:sz w:val="22"/>
                <w:szCs w:val="22"/>
                <w:lang w:eastAsia="lv-LV"/>
              </w:rPr>
            </w:pPr>
            <w:r w:rsidRPr="00341E0B">
              <w:rPr>
                <w:rFonts w:eastAsia="Times New Roman" w:cs="Times New Roman"/>
                <w:b/>
                <w:bCs/>
                <w:color w:val="000000"/>
                <w:sz w:val="22"/>
                <w:szCs w:val="22"/>
                <w:lang w:eastAsia="lv-LV"/>
              </w:rPr>
              <w:t>Politikas rezultatīvie rādītāji</w:t>
            </w:r>
          </w:p>
        </w:tc>
      </w:tr>
      <w:tr w:rsidR="00341E0B" w:rsidRPr="00341E0B" w14:paraId="618AD50B" w14:textId="77777777" w:rsidTr="002B18B1">
        <w:trPr>
          <w:trHeight w:val="203"/>
        </w:trPr>
        <w:tc>
          <w:tcPr>
            <w:tcW w:w="1170" w:type="pct"/>
            <w:vMerge w:val="restart"/>
            <w:shd w:val="clear" w:color="000000" w:fill="A9D18E"/>
            <w:vAlign w:val="center"/>
            <w:hideMark/>
          </w:tcPr>
          <w:p w14:paraId="4AC5ECA2" w14:textId="77777777" w:rsidR="00341E0B" w:rsidRPr="00341E0B" w:rsidRDefault="00341E0B" w:rsidP="00341E0B">
            <w:pPr>
              <w:jc w:val="center"/>
              <w:rPr>
                <w:rFonts w:eastAsia="Times New Roman" w:cs="Times New Roman"/>
                <w:b/>
                <w:bCs/>
                <w:color w:val="000000"/>
                <w:sz w:val="22"/>
                <w:szCs w:val="22"/>
                <w:lang w:eastAsia="lv-LV"/>
              </w:rPr>
            </w:pPr>
            <w:r w:rsidRPr="00341E0B">
              <w:rPr>
                <w:rFonts w:eastAsia="Times New Roman" w:cs="Times New Roman"/>
                <w:b/>
                <w:bCs/>
                <w:color w:val="000000"/>
                <w:sz w:val="22"/>
                <w:szCs w:val="22"/>
                <w:lang w:eastAsia="lv-LV"/>
              </w:rPr>
              <w:t>Nozares vadība un kultūras politikas plānošana</w:t>
            </w:r>
          </w:p>
        </w:tc>
        <w:tc>
          <w:tcPr>
            <w:tcW w:w="3830" w:type="pct"/>
            <w:shd w:val="clear" w:color="000000" w:fill="EBF1E9"/>
            <w:hideMark/>
          </w:tcPr>
          <w:p w14:paraId="2613D2CD" w14:textId="254B7683" w:rsidR="00341E0B" w:rsidRPr="00053091" w:rsidRDefault="00341E0B" w:rsidP="00341E0B">
            <w:pPr>
              <w:jc w:val="center"/>
              <w:rPr>
                <w:rFonts w:eastAsia="Times New Roman" w:cs="Times New Roman"/>
                <w:color w:val="000000"/>
                <w:sz w:val="22"/>
                <w:szCs w:val="22"/>
                <w:lang w:eastAsia="lv-LV"/>
              </w:rPr>
            </w:pPr>
            <w:r w:rsidRPr="00341E0B">
              <w:rPr>
                <w:rFonts w:eastAsia="Times New Roman" w:cs="Times New Roman"/>
                <w:color w:val="000000"/>
                <w:sz w:val="22"/>
                <w:szCs w:val="22"/>
                <w:lang w:eastAsia="lv-LV"/>
              </w:rPr>
              <w:t>Ārvalstu </w:t>
            </w:r>
            <w:proofErr w:type="spellStart"/>
            <w:r w:rsidRPr="00341E0B">
              <w:rPr>
                <w:rFonts w:eastAsia="Times New Roman" w:cs="Times New Roman"/>
                <w:color w:val="000000"/>
                <w:sz w:val="22"/>
                <w:szCs w:val="22"/>
                <w:lang w:eastAsia="lv-LV"/>
              </w:rPr>
              <w:t>vairākdienu</w:t>
            </w:r>
            <w:proofErr w:type="spellEnd"/>
            <w:r w:rsidRPr="00341E0B">
              <w:rPr>
                <w:rFonts w:eastAsia="Times New Roman" w:cs="Times New Roman"/>
                <w:color w:val="000000"/>
                <w:sz w:val="22"/>
                <w:szCs w:val="22"/>
                <w:lang w:eastAsia="lv-LV"/>
              </w:rPr>
              <w:t> ceļotāju Latvijā kopējie izdevumi</w:t>
            </w:r>
            <w:r w:rsidR="00053091">
              <w:rPr>
                <w:rFonts w:eastAsia="Times New Roman" w:cs="Times New Roman"/>
                <w:color w:val="000000"/>
                <w:sz w:val="22"/>
                <w:szCs w:val="22"/>
                <w:lang w:eastAsia="lv-LV"/>
              </w:rPr>
              <w:t xml:space="preserve"> (</w:t>
            </w:r>
            <w:r w:rsidRPr="00341E0B">
              <w:rPr>
                <w:rFonts w:eastAsia="Times New Roman" w:cs="Times New Roman"/>
                <w:color w:val="000000"/>
                <w:sz w:val="22"/>
                <w:szCs w:val="22"/>
                <w:lang w:eastAsia="lv-LV"/>
              </w:rPr>
              <w:t xml:space="preserve">milj. </w:t>
            </w:r>
            <w:proofErr w:type="spellStart"/>
            <w:r w:rsidRPr="00341E0B">
              <w:rPr>
                <w:rFonts w:eastAsia="Times New Roman" w:cs="Times New Roman"/>
                <w:i/>
                <w:iCs/>
                <w:color w:val="000000"/>
                <w:sz w:val="22"/>
                <w:szCs w:val="22"/>
                <w:lang w:eastAsia="lv-LV"/>
              </w:rPr>
              <w:t>euro</w:t>
            </w:r>
            <w:proofErr w:type="spellEnd"/>
            <w:r w:rsidR="00053091">
              <w:rPr>
                <w:rFonts w:eastAsia="Times New Roman" w:cs="Times New Roman"/>
                <w:color w:val="000000"/>
                <w:sz w:val="22"/>
                <w:szCs w:val="22"/>
                <w:lang w:eastAsia="lv-LV"/>
              </w:rPr>
              <w:t>)</w:t>
            </w:r>
          </w:p>
        </w:tc>
      </w:tr>
      <w:tr w:rsidR="00341E0B" w:rsidRPr="00341E0B" w14:paraId="5007A57E" w14:textId="77777777" w:rsidTr="002B18B1">
        <w:trPr>
          <w:trHeight w:val="93"/>
        </w:trPr>
        <w:tc>
          <w:tcPr>
            <w:tcW w:w="1170" w:type="pct"/>
            <w:vMerge/>
            <w:vAlign w:val="center"/>
            <w:hideMark/>
          </w:tcPr>
          <w:p w14:paraId="261BE748" w14:textId="77777777" w:rsidR="00341E0B" w:rsidRPr="00341E0B" w:rsidRDefault="00341E0B" w:rsidP="00341E0B">
            <w:pPr>
              <w:rPr>
                <w:rFonts w:eastAsia="Times New Roman" w:cs="Times New Roman"/>
                <w:b/>
                <w:bCs/>
                <w:color w:val="000000"/>
                <w:sz w:val="22"/>
                <w:szCs w:val="22"/>
                <w:lang w:eastAsia="lv-LV"/>
              </w:rPr>
            </w:pPr>
          </w:p>
        </w:tc>
        <w:tc>
          <w:tcPr>
            <w:tcW w:w="3830" w:type="pct"/>
            <w:shd w:val="clear" w:color="000000" w:fill="EBF1E9"/>
            <w:vAlign w:val="bottom"/>
            <w:hideMark/>
          </w:tcPr>
          <w:p w14:paraId="1784784B" w14:textId="324BCF96" w:rsidR="00341E0B" w:rsidRPr="00341E0B" w:rsidRDefault="00341E0B" w:rsidP="00341E0B">
            <w:pPr>
              <w:jc w:val="center"/>
              <w:rPr>
                <w:rFonts w:eastAsia="Times New Roman" w:cs="Times New Roman"/>
                <w:color w:val="000000"/>
                <w:sz w:val="22"/>
                <w:szCs w:val="22"/>
                <w:lang w:eastAsia="lv-LV"/>
              </w:rPr>
            </w:pPr>
            <w:r w:rsidRPr="00341E0B">
              <w:rPr>
                <w:rFonts w:eastAsia="Times New Roman" w:cs="Times New Roman"/>
                <w:color w:val="000000"/>
                <w:sz w:val="22"/>
                <w:szCs w:val="22"/>
                <w:lang w:eastAsia="lv-LV"/>
              </w:rPr>
              <w:t>Eksporta daļa valsts kopējā kultūras preču apjomā</w:t>
            </w:r>
            <w:r w:rsidR="00053091">
              <w:rPr>
                <w:rFonts w:eastAsia="Times New Roman" w:cs="Times New Roman"/>
                <w:color w:val="000000"/>
                <w:sz w:val="22"/>
                <w:szCs w:val="22"/>
                <w:lang w:eastAsia="lv-LV"/>
              </w:rPr>
              <w:t xml:space="preserve"> (</w:t>
            </w:r>
            <w:r w:rsidRPr="00341E0B">
              <w:rPr>
                <w:rFonts w:eastAsia="Times New Roman" w:cs="Times New Roman"/>
                <w:color w:val="000000"/>
                <w:sz w:val="22"/>
                <w:szCs w:val="22"/>
                <w:lang w:eastAsia="lv-LV"/>
              </w:rPr>
              <w:t>%</w:t>
            </w:r>
            <w:r w:rsidR="00053091">
              <w:rPr>
                <w:rFonts w:eastAsia="Times New Roman" w:cs="Times New Roman"/>
                <w:color w:val="000000"/>
                <w:sz w:val="22"/>
                <w:szCs w:val="22"/>
                <w:lang w:eastAsia="lv-LV"/>
              </w:rPr>
              <w:t>)</w:t>
            </w:r>
          </w:p>
        </w:tc>
      </w:tr>
      <w:tr w:rsidR="00341E0B" w:rsidRPr="00341E0B" w14:paraId="1816BD14" w14:textId="77777777" w:rsidTr="002B18B1">
        <w:trPr>
          <w:trHeight w:val="70"/>
        </w:trPr>
        <w:tc>
          <w:tcPr>
            <w:tcW w:w="1170" w:type="pct"/>
            <w:vMerge/>
            <w:vAlign w:val="center"/>
            <w:hideMark/>
          </w:tcPr>
          <w:p w14:paraId="5064C138" w14:textId="77777777" w:rsidR="00341E0B" w:rsidRPr="00341E0B" w:rsidRDefault="00341E0B" w:rsidP="00341E0B">
            <w:pPr>
              <w:rPr>
                <w:rFonts w:eastAsia="Times New Roman" w:cs="Times New Roman"/>
                <w:b/>
                <w:bCs/>
                <w:color w:val="000000"/>
                <w:sz w:val="22"/>
                <w:szCs w:val="22"/>
                <w:lang w:eastAsia="lv-LV"/>
              </w:rPr>
            </w:pPr>
          </w:p>
        </w:tc>
        <w:tc>
          <w:tcPr>
            <w:tcW w:w="3830" w:type="pct"/>
            <w:shd w:val="clear" w:color="000000" w:fill="EBF1E9"/>
            <w:hideMark/>
          </w:tcPr>
          <w:p w14:paraId="44555124" w14:textId="78D7FDEB" w:rsidR="00341E0B" w:rsidRPr="00341E0B" w:rsidRDefault="00341E0B" w:rsidP="00341E0B">
            <w:pPr>
              <w:jc w:val="center"/>
              <w:rPr>
                <w:rFonts w:eastAsia="Times New Roman" w:cs="Times New Roman"/>
                <w:color w:val="000000"/>
                <w:sz w:val="22"/>
                <w:szCs w:val="22"/>
                <w:lang w:eastAsia="lv-LV"/>
              </w:rPr>
            </w:pPr>
            <w:r w:rsidRPr="00341E0B">
              <w:rPr>
                <w:rFonts w:eastAsia="Times New Roman" w:cs="Times New Roman"/>
                <w:color w:val="000000"/>
                <w:sz w:val="22"/>
                <w:szCs w:val="22"/>
                <w:lang w:eastAsia="lv-LV"/>
              </w:rPr>
              <w:t>Kultūras un radošo nozaru īpatsvars IKP</w:t>
            </w:r>
            <w:r w:rsidR="00053091">
              <w:rPr>
                <w:rFonts w:eastAsia="Times New Roman" w:cs="Times New Roman"/>
                <w:color w:val="000000"/>
                <w:sz w:val="22"/>
                <w:szCs w:val="22"/>
                <w:lang w:eastAsia="lv-LV"/>
              </w:rPr>
              <w:t xml:space="preserve"> (</w:t>
            </w:r>
            <w:r w:rsidRPr="00341E0B">
              <w:rPr>
                <w:rFonts w:eastAsia="Times New Roman" w:cs="Times New Roman"/>
                <w:color w:val="000000"/>
                <w:sz w:val="22"/>
                <w:szCs w:val="22"/>
                <w:lang w:eastAsia="lv-LV"/>
              </w:rPr>
              <w:t>%</w:t>
            </w:r>
            <w:r w:rsidR="00053091">
              <w:rPr>
                <w:rFonts w:eastAsia="Times New Roman" w:cs="Times New Roman"/>
                <w:color w:val="000000"/>
                <w:sz w:val="22"/>
                <w:szCs w:val="22"/>
                <w:lang w:eastAsia="lv-LV"/>
              </w:rPr>
              <w:t>)</w:t>
            </w:r>
          </w:p>
        </w:tc>
      </w:tr>
      <w:tr w:rsidR="00341E0B" w:rsidRPr="00341E0B" w14:paraId="2EE2EDA0" w14:textId="77777777" w:rsidTr="002B18B1">
        <w:trPr>
          <w:trHeight w:val="271"/>
        </w:trPr>
        <w:tc>
          <w:tcPr>
            <w:tcW w:w="1170" w:type="pct"/>
            <w:vMerge/>
            <w:vAlign w:val="center"/>
            <w:hideMark/>
          </w:tcPr>
          <w:p w14:paraId="3B606A6E" w14:textId="77777777" w:rsidR="00341E0B" w:rsidRPr="00341E0B" w:rsidRDefault="00341E0B" w:rsidP="00341E0B">
            <w:pPr>
              <w:rPr>
                <w:rFonts w:eastAsia="Times New Roman" w:cs="Times New Roman"/>
                <w:b/>
                <w:bCs/>
                <w:color w:val="000000"/>
                <w:sz w:val="22"/>
                <w:szCs w:val="22"/>
                <w:lang w:eastAsia="lv-LV"/>
              </w:rPr>
            </w:pPr>
          </w:p>
        </w:tc>
        <w:tc>
          <w:tcPr>
            <w:tcW w:w="3830" w:type="pct"/>
            <w:shd w:val="clear" w:color="000000" w:fill="EBF1E9"/>
            <w:vAlign w:val="bottom"/>
            <w:hideMark/>
          </w:tcPr>
          <w:p w14:paraId="7CDFC058" w14:textId="5C22446D" w:rsidR="00341E0B" w:rsidRPr="00341E0B" w:rsidRDefault="00341E0B" w:rsidP="00341E0B">
            <w:pPr>
              <w:jc w:val="center"/>
              <w:rPr>
                <w:rFonts w:eastAsia="Times New Roman" w:cs="Times New Roman"/>
                <w:color w:val="000000"/>
                <w:sz w:val="22"/>
                <w:szCs w:val="22"/>
                <w:lang w:eastAsia="lv-LV"/>
              </w:rPr>
            </w:pPr>
            <w:r w:rsidRPr="00341E0B">
              <w:rPr>
                <w:rFonts w:eastAsia="Times New Roman" w:cs="Times New Roman"/>
                <w:color w:val="000000"/>
                <w:sz w:val="22"/>
                <w:szCs w:val="22"/>
                <w:lang w:eastAsia="lv-LV"/>
              </w:rPr>
              <w:t xml:space="preserve">Mājsaimniecību patēriņš kultūrai un atpūtai no mājsaimniecību kopējā patēriņa izdevumiem </w:t>
            </w:r>
            <w:r w:rsidR="00053091">
              <w:rPr>
                <w:rFonts w:eastAsia="Times New Roman" w:cs="Times New Roman"/>
                <w:color w:val="000000"/>
                <w:sz w:val="22"/>
                <w:szCs w:val="22"/>
                <w:lang w:eastAsia="lv-LV"/>
              </w:rPr>
              <w:t>(</w:t>
            </w:r>
            <w:r w:rsidRPr="00341E0B">
              <w:rPr>
                <w:rFonts w:eastAsia="Times New Roman" w:cs="Times New Roman"/>
                <w:color w:val="000000"/>
                <w:sz w:val="22"/>
                <w:szCs w:val="22"/>
                <w:lang w:eastAsia="lv-LV"/>
              </w:rPr>
              <w:t>%</w:t>
            </w:r>
            <w:r w:rsidR="00053091">
              <w:rPr>
                <w:rFonts w:eastAsia="Times New Roman" w:cs="Times New Roman"/>
                <w:color w:val="000000"/>
                <w:sz w:val="22"/>
                <w:szCs w:val="22"/>
                <w:lang w:eastAsia="lv-LV"/>
              </w:rPr>
              <w:t>)</w:t>
            </w:r>
          </w:p>
        </w:tc>
      </w:tr>
      <w:tr w:rsidR="00341E0B" w:rsidRPr="00341E0B" w14:paraId="0EA60F76" w14:textId="77777777" w:rsidTr="002B18B1">
        <w:trPr>
          <w:trHeight w:val="70"/>
        </w:trPr>
        <w:tc>
          <w:tcPr>
            <w:tcW w:w="1170" w:type="pct"/>
            <w:shd w:val="clear" w:color="000000" w:fill="A9D18E"/>
            <w:vAlign w:val="center"/>
            <w:hideMark/>
          </w:tcPr>
          <w:p w14:paraId="52C2DE21" w14:textId="77777777" w:rsidR="00341E0B" w:rsidRPr="00341E0B" w:rsidRDefault="00341E0B" w:rsidP="00341E0B">
            <w:pPr>
              <w:jc w:val="center"/>
              <w:rPr>
                <w:rFonts w:eastAsia="Times New Roman" w:cs="Times New Roman"/>
                <w:b/>
                <w:bCs/>
                <w:color w:val="000000"/>
                <w:sz w:val="22"/>
                <w:szCs w:val="22"/>
                <w:lang w:eastAsia="lv-LV"/>
              </w:rPr>
            </w:pPr>
            <w:r w:rsidRPr="00341E0B">
              <w:rPr>
                <w:rFonts w:eastAsia="Times New Roman" w:cs="Times New Roman"/>
                <w:b/>
                <w:bCs/>
                <w:color w:val="000000"/>
                <w:sz w:val="22"/>
                <w:szCs w:val="22"/>
                <w:lang w:eastAsia="lv-LV"/>
              </w:rPr>
              <w:t>Kultūras telpas attīstība</w:t>
            </w:r>
          </w:p>
        </w:tc>
        <w:tc>
          <w:tcPr>
            <w:tcW w:w="3830" w:type="pct"/>
            <w:shd w:val="clear" w:color="000000" w:fill="EBF1E9"/>
            <w:vAlign w:val="center"/>
            <w:hideMark/>
          </w:tcPr>
          <w:p w14:paraId="18D06B03" w14:textId="2D2200EC" w:rsidR="00341E0B" w:rsidRPr="00341E0B" w:rsidRDefault="00341E0B" w:rsidP="002B18B1">
            <w:pPr>
              <w:jc w:val="center"/>
              <w:rPr>
                <w:rFonts w:eastAsia="Times New Roman" w:cs="Times New Roman"/>
                <w:color w:val="000000"/>
                <w:sz w:val="22"/>
                <w:szCs w:val="22"/>
                <w:lang w:eastAsia="lv-LV"/>
              </w:rPr>
            </w:pPr>
            <w:r w:rsidRPr="00341E0B">
              <w:rPr>
                <w:rFonts w:eastAsia="Times New Roman" w:cs="Times New Roman"/>
                <w:color w:val="000000"/>
                <w:sz w:val="22"/>
                <w:szCs w:val="22"/>
                <w:lang w:eastAsia="lv-LV"/>
              </w:rPr>
              <w:t>Kultūras pasākumu apmeklējumi gadā uz 100 iedzīvotājiem</w:t>
            </w:r>
            <w:r w:rsidR="00053091">
              <w:rPr>
                <w:rFonts w:eastAsia="Times New Roman" w:cs="Times New Roman"/>
                <w:color w:val="000000"/>
                <w:sz w:val="22"/>
                <w:szCs w:val="22"/>
                <w:lang w:eastAsia="lv-LV"/>
              </w:rPr>
              <w:t xml:space="preserve"> (</w:t>
            </w:r>
            <w:r w:rsidRPr="00341E0B">
              <w:rPr>
                <w:rFonts w:eastAsia="Times New Roman" w:cs="Times New Roman"/>
                <w:color w:val="000000"/>
                <w:sz w:val="22"/>
                <w:szCs w:val="22"/>
                <w:lang w:eastAsia="lv-LV"/>
              </w:rPr>
              <w:t>skaits</w:t>
            </w:r>
            <w:r w:rsidR="00053091">
              <w:rPr>
                <w:rFonts w:eastAsia="Times New Roman" w:cs="Times New Roman"/>
                <w:color w:val="000000"/>
                <w:sz w:val="22"/>
                <w:szCs w:val="22"/>
                <w:lang w:eastAsia="lv-LV"/>
              </w:rPr>
              <w:t>)</w:t>
            </w:r>
          </w:p>
        </w:tc>
      </w:tr>
      <w:tr w:rsidR="00341E0B" w:rsidRPr="00341E0B" w14:paraId="69A0FA32" w14:textId="77777777" w:rsidTr="002B18B1">
        <w:trPr>
          <w:trHeight w:val="212"/>
        </w:trPr>
        <w:tc>
          <w:tcPr>
            <w:tcW w:w="1170" w:type="pct"/>
            <w:vMerge w:val="restart"/>
            <w:shd w:val="clear" w:color="000000" w:fill="A9D18E"/>
            <w:vAlign w:val="center"/>
            <w:hideMark/>
          </w:tcPr>
          <w:p w14:paraId="13ABCC48" w14:textId="77777777" w:rsidR="00341E0B" w:rsidRPr="00341E0B" w:rsidRDefault="00341E0B" w:rsidP="00341E0B">
            <w:pPr>
              <w:jc w:val="center"/>
              <w:rPr>
                <w:rFonts w:eastAsia="Times New Roman" w:cs="Times New Roman"/>
                <w:b/>
                <w:bCs/>
                <w:color w:val="000000"/>
                <w:sz w:val="22"/>
                <w:szCs w:val="22"/>
                <w:lang w:eastAsia="lv-LV"/>
              </w:rPr>
            </w:pPr>
            <w:r w:rsidRPr="00341E0B">
              <w:rPr>
                <w:rFonts w:eastAsia="Times New Roman" w:cs="Times New Roman"/>
                <w:b/>
                <w:bCs/>
                <w:color w:val="000000"/>
                <w:sz w:val="22"/>
                <w:szCs w:val="22"/>
                <w:lang w:eastAsia="lv-LV"/>
              </w:rPr>
              <w:t>Kultūras saglabāšana un uzturēšana</w:t>
            </w:r>
          </w:p>
        </w:tc>
        <w:tc>
          <w:tcPr>
            <w:tcW w:w="3830" w:type="pct"/>
            <w:shd w:val="clear" w:color="000000" w:fill="EBF1E9"/>
            <w:hideMark/>
          </w:tcPr>
          <w:p w14:paraId="40C8924A" w14:textId="56A3D0D9" w:rsidR="00341E0B" w:rsidRPr="00341E0B" w:rsidRDefault="00341E0B" w:rsidP="00341E0B">
            <w:pPr>
              <w:jc w:val="center"/>
              <w:rPr>
                <w:rFonts w:eastAsia="Times New Roman" w:cs="Times New Roman"/>
                <w:color w:val="000000"/>
                <w:sz w:val="22"/>
                <w:szCs w:val="22"/>
                <w:lang w:eastAsia="lv-LV"/>
              </w:rPr>
            </w:pPr>
            <w:r w:rsidRPr="00341E0B">
              <w:rPr>
                <w:rFonts w:eastAsia="Times New Roman" w:cs="Times New Roman"/>
                <w:color w:val="000000"/>
                <w:sz w:val="22"/>
                <w:szCs w:val="22"/>
                <w:lang w:eastAsia="lv-LV"/>
              </w:rPr>
              <w:t>Nemateriālā kultūras mantojuma sarakstā iekļaut</w:t>
            </w:r>
            <w:r w:rsidR="00053091">
              <w:rPr>
                <w:rFonts w:eastAsia="Times New Roman" w:cs="Times New Roman"/>
                <w:color w:val="000000"/>
                <w:sz w:val="22"/>
                <w:szCs w:val="22"/>
                <w:lang w:eastAsia="lv-LV"/>
              </w:rPr>
              <w:t>as</w:t>
            </w:r>
            <w:r w:rsidRPr="00341E0B">
              <w:rPr>
                <w:rFonts w:eastAsia="Times New Roman" w:cs="Times New Roman"/>
                <w:color w:val="000000"/>
                <w:sz w:val="22"/>
                <w:szCs w:val="22"/>
                <w:lang w:eastAsia="lv-LV"/>
              </w:rPr>
              <w:t xml:space="preserve"> vērtīb</w:t>
            </w:r>
            <w:r w:rsidR="00053091">
              <w:rPr>
                <w:rFonts w:eastAsia="Times New Roman" w:cs="Times New Roman"/>
                <w:color w:val="000000"/>
                <w:sz w:val="22"/>
                <w:szCs w:val="22"/>
                <w:lang w:eastAsia="lv-LV"/>
              </w:rPr>
              <w:t>as</w:t>
            </w:r>
            <w:r w:rsidRPr="00341E0B">
              <w:rPr>
                <w:rFonts w:eastAsia="Times New Roman" w:cs="Times New Roman"/>
                <w:color w:val="000000"/>
                <w:sz w:val="22"/>
                <w:szCs w:val="22"/>
                <w:lang w:eastAsia="lv-LV"/>
              </w:rPr>
              <w:t xml:space="preserve"> </w:t>
            </w:r>
            <w:r w:rsidR="00053091">
              <w:rPr>
                <w:rFonts w:eastAsia="Times New Roman" w:cs="Times New Roman"/>
                <w:color w:val="000000"/>
                <w:sz w:val="22"/>
                <w:szCs w:val="22"/>
                <w:lang w:eastAsia="lv-LV"/>
              </w:rPr>
              <w:t>(</w:t>
            </w:r>
            <w:r w:rsidRPr="00341E0B">
              <w:rPr>
                <w:rFonts w:eastAsia="Times New Roman" w:cs="Times New Roman"/>
                <w:color w:val="000000"/>
                <w:sz w:val="22"/>
                <w:szCs w:val="22"/>
                <w:lang w:eastAsia="lv-LV"/>
              </w:rPr>
              <w:t>skaits</w:t>
            </w:r>
            <w:r w:rsidR="00053091">
              <w:rPr>
                <w:rFonts w:eastAsia="Times New Roman" w:cs="Times New Roman"/>
                <w:color w:val="000000"/>
                <w:sz w:val="22"/>
                <w:szCs w:val="22"/>
                <w:lang w:eastAsia="lv-LV"/>
              </w:rPr>
              <w:t>)</w:t>
            </w:r>
          </w:p>
        </w:tc>
      </w:tr>
      <w:tr w:rsidR="00341E0B" w:rsidRPr="00341E0B" w14:paraId="659777CB" w14:textId="77777777" w:rsidTr="002B18B1">
        <w:trPr>
          <w:trHeight w:val="215"/>
        </w:trPr>
        <w:tc>
          <w:tcPr>
            <w:tcW w:w="1170" w:type="pct"/>
            <w:vMerge/>
            <w:vAlign w:val="center"/>
            <w:hideMark/>
          </w:tcPr>
          <w:p w14:paraId="5FAB3DC8" w14:textId="77777777" w:rsidR="00341E0B" w:rsidRPr="00341E0B" w:rsidRDefault="00341E0B" w:rsidP="00341E0B">
            <w:pPr>
              <w:rPr>
                <w:rFonts w:eastAsia="Times New Roman" w:cs="Times New Roman"/>
                <w:b/>
                <w:bCs/>
                <w:color w:val="000000"/>
                <w:sz w:val="22"/>
                <w:szCs w:val="22"/>
                <w:lang w:eastAsia="lv-LV"/>
              </w:rPr>
            </w:pPr>
          </w:p>
        </w:tc>
        <w:tc>
          <w:tcPr>
            <w:tcW w:w="3830" w:type="pct"/>
            <w:shd w:val="clear" w:color="000000" w:fill="EBF1E9"/>
            <w:vAlign w:val="bottom"/>
            <w:hideMark/>
          </w:tcPr>
          <w:p w14:paraId="476E17E5" w14:textId="2469343E" w:rsidR="00341E0B" w:rsidRPr="00341E0B" w:rsidRDefault="00341E0B" w:rsidP="00341E0B">
            <w:pPr>
              <w:jc w:val="center"/>
              <w:rPr>
                <w:rFonts w:eastAsia="Times New Roman" w:cs="Times New Roman"/>
                <w:color w:val="000000"/>
                <w:sz w:val="22"/>
                <w:szCs w:val="22"/>
                <w:lang w:eastAsia="lv-LV"/>
              </w:rPr>
            </w:pPr>
            <w:r w:rsidRPr="00341E0B">
              <w:rPr>
                <w:rFonts w:eastAsia="Times New Roman" w:cs="Times New Roman"/>
                <w:color w:val="000000"/>
                <w:sz w:val="22"/>
                <w:szCs w:val="22"/>
                <w:lang w:eastAsia="lv-LV"/>
              </w:rPr>
              <w:t>Dalībnieki mākslinieciskās pašdarbības kolektīvos kultūras centros</w:t>
            </w:r>
            <w:r w:rsidR="00053091">
              <w:rPr>
                <w:rFonts w:eastAsia="Times New Roman" w:cs="Times New Roman"/>
                <w:color w:val="000000"/>
                <w:sz w:val="22"/>
                <w:szCs w:val="22"/>
                <w:lang w:eastAsia="lv-LV"/>
              </w:rPr>
              <w:t xml:space="preserve"> (</w:t>
            </w:r>
            <w:r w:rsidRPr="00341E0B">
              <w:rPr>
                <w:rFonts w:eastAsia="Times New Roman" w:cs="Times New Roman"/>
                <w:color w:val="000000"/>
                <w:sz w:val="22"/>
                <w:szCs w:val="22"/>
                <w:lang w:eastAsia="lv-LV"/>
              </w:rPr>
              <w:t>skaits tūkst.</w:t>
            </w:r>
            <w:r w:rsidR="00053091">
              <w:rPr>
                <w:rFonts w:eastAsia="Times New Roman" w:cs="Times New Roman"/>
                <w:color w:val="000000"/>
                <w:sz w:val="22"/>
                <w:szCs w:val="22"/>
                <w:lang w:eastAsia="lv-LV"/>
              </w:rPr>
              <w:t>)</w:t>
            </w:r>
          </w:p>
        </w:tc>
      </w:tr>
      <w:tr w:rsidR="00341E0B" w:rsidRPr="00341E0B" w14:paraId="18CD934F" w14:textId="77777777" w:rsidTr="002B18B1">
        <w:trPr>
          <w:trHeight w:val="736"/>
        </w:trPr>
        <w:tc>
          <w:tcPr>
            <w:tcW w:w="1170" w:type="pct"/>
            <w:vMerge w:val="restart"/>
            <w:shd w:val="clear" w:color="000000" w:fill="A9D18E"/>
            <w:vAlign w:val="center"/>
            <w:hideMark/>
          </w:tcPr>
          <w:p w14:paraId="7EDB8B26" w14:textId="77777777" w:rsidR="00341E0B" w:rsidRPr="00341E0B" w:rsidRDefault="00341E0B" w:rsidP="00341E0B">
            <w:pPr>
              <w:jc w:val="center"/>
              <w:rPr>
                <w:rFonts w:eastAsia="Times New Roman" w:cs="Times New Roman"/>
                <w:b/>
                <w:bCs/>
                <w:color w:val="000000"/>
                <w:sz w:val="22"/>
                <w:szCs w:val="22"/>
                <w:lang w:eastAsia="lv-LV"/>
              </w:rPr>
            </w:pPr>
            <w:r w:rsidRPr="00341E0B">
              <w:rPr>
                <w:rFonts w:eastAsia="Times New Roman" w:cs="Times New Roman"/>
                <w:b/>
                <w:bCs/>
                <w:color w:val="000000"/>
                <w:sz w:val="22"/>
                <w:szCs w:val="22"/>
                <w:lang w:eastAsia="lv-LV"/>
              </w:rPr>
              <w:t>Sabiedrības integrācijas un mediju politikas pasākumu īstenošana</w:t>
            </w:r>
          </w:p>
        </w:tc>
        <w:tc>
          <w:tcPr>
            <w:tcW w:w="3830" w:type="pct"/>
            <w:shd w:val="clear" w:color="000000" w:fill="EBF1E9"/>
            <w:vAlign w:val="center"/>
            <w:hideMark/>
          </w:tcPr>
          <w:p w14:paraId="477619EE" w14:textId="6D7EF33B" w:rsidR="00341E0B" w:rsidRPr="00341E0B" w:rsidRDefault="00341E0B" w:rsidP="002B18B1">
            <w:pPr>
              <w:jc w:val="center"/>
              <w:rPr>
                <w:rFonts w:eastAsia="Times New Roman" w:cs="Times New Roman"/>
                <w:color w:val="000000"/>
                <w:sz w:val="22"/>
                <w:szCs w:val="22"/>
                <w:lang w:eastAsia="lv-LV"/>
              </w:rPr>
            </w:pPr>
            <w:proofErr w:type="spellStart"/>
            <w:r w:rsidRPr="00341E0B">
              <w:rPr>
                <w:rFonts w:eastAsia="Times New Roman" w:cs="Times New Roman"/>
                <w:color w:val="000000"/>
                <w:sz w:val="22"/>
                <w:szCs w:val="22"/>
                <w:lang w:eastAsia="lv-LV"/>
              </w:rPr>
              <w:t>Medijpratības</w:t>
            </w:r>
            <w:proofErr w:type="spellEnd"/>
            <w:r w:rsidRPr="00341E0B">
              <w:rPr>
                <w:rFonts w:eastAsia="Times New Roman" w:cs="Times New Roman"/>
                <w:color w:val="000000"/>
                <w:sz w:val="22"/>
                <w:szCs w:val="22"/>
                <w:lang w:eastAsia="lv-LV"/>
              </w:rPr>
              <w:t xml:space="preserve"> pieredze </w:t>
            </w:r>
            <w:r w:rsidR="00053091">
              <w:rPr>
                <w:rFonts w:eastAsia="Times New Roman" w:cs="Times New Roman"/>
                <w:color w:val="000000"/>
                <w:sz w:val="22"/>
                <w:szCs w:val="22"/>
                <w:lang w:eastAsia="lv-LV"/>
              </w:rPr>
              <w:t xml:space="preserve">– </w:t>
            </w:r>
            <w:r w:rsidRPr="00341E0B">
              <w:rPr>
                <w:rFonts w:eastAsia="Times New Roman" w:cs="Times New Roman"/>
                <w:color w:val="000000"/>
                <w:sz w:val="22"/>
                <w:szCs w:val="22"/>
                <w:lang w:eastAsia="lv-LV"/>
              </w:rPr>
              <w:t xml:space="preserve">pārbauda, ar ko dalās sociālajos medijos/pārliecinās par informācijas avotu uzticamību </w:t>
            </w:r>
            <w:r w:rsidR="00053091">
              <w:rPr>
                <w:rFonts w:eastAsia="Times New Roman" w:cs="Times New Roman"/>
                <w:color w:val="000000"/>
                <w:sz w:val="22"/>
                <w:szCs w:val="22"/>
                <w:lang w:eastAsia="lv-LV"/>
              </w:rPr>
              <w:t>(</w:t>
            </w:r>
            <w:r w:rsidRPr="00341E0B">
              <w:rPr>
                <w:rFonts w:eastAsia="Times New Roman" w:cs="Times New Roman"/>
                <w:color w:val="000000"/>
                <w:sz w:val="22"/>
                <w:szCs w:val="22"/>
                <w:lang w:eastAsia="lv-LV"/>
              </w:rPr>
              <w:t>%</w:t>
            </w:r>
            <w:r w:rsidR="00053091">
              <w:rPr>
                <w:rFonts w:eastAsia="Times New Roman" w:cs="Times New Roman"/>
                <w:color w:val="000000"/>
                <w:sz w:val="22"/>
                <w:szCs w:val="22"/>
                <w:lang w:eastAsia="lv-LV"/>
              </w:rPr>
              <w:t>)</w:t>
            </w:r>
          </w:p>
        </w:tc>
      </w:tr>
      <w:tr w:rsidR="00341E0B" w:rsidRPr="00341E0B" w14:paraId="609351E2" w14:textId="77777777" w:rsidTr="002B18B1">
        <w:trPr>
          <w:trHeight w:val="187"/>
        </w:trPr>
        <w:tc>
          <w:tcPr>
            <w:tcW w:w="1170" w:type="pct"/>
            <w:vMerge/>
            <w:vAlign w:val="center"/>
            <w:hideMark/>
          </w:tcPr>
          <w:p w14:paraId="2198FAFE" w14:textId="77777777" w:rsidR="00341E0B" w:rsidRPr="00341E0B" w:rsidRDefault="00341E0B" w:rsidP="00341E0B">
            <w:pPr>
              <w:rPr>
                <w:rFonts w:eastAsia="Times New Roman" w:cs="Times New Roman"/>
                <w:b/>
                <w:bCs/>
                <w:color w:val="000000"/>
                <w:sz w:val="22"/>
                <w:szCs w:val="22"/>
                <w:lang w:eastAsia="lv-LV"/>
              </w:rPr>
            </w:pPr>
          </w:p>
        </w:tc>
        <w:tc>
          <w:tcPr>
            <w:tcW w:w="3830" w:type="pct"/>
            <w:shd w:val="clear" w:color="000000" w:fill="EBF1E9"/>
            <w:vAlign w:val="center"/>
            <w:hideMark/>
          </w:tcPr>
          <w:p w14:paraId="04E1AC15" w14:textId="179CE0F7" w:rsidR="00341E0B" w:rsidRPr="00341E0B" w:rsidRDefault="00A652AE" w:rsidP="002B18B1">
            <w:pPr>
              <w:jc w:val="center"/>
              <w:rPr>
                <w:rFonts w:eastAsia="Times New Roman" w:cs="Times New Roman"/>
                <w:color w:val="000000"/>
                <w:sz w:val="22"/>
                <w:szCs w:val="22"/>
                <w:lang w:eastAsia="lv-LV"/>
              </w:rPr>
            </w:pPr>
            <w:r w:rsidRPr="00A652AE">
              <w:rPr>
                <w:rFonts w:eastAsia="Times New Roman" w:cs="Times New Roman"/>
                <w:color w:val="000000"/>
                <w:sz w:val="22"/>
                <w:szCs w:val="22"/>
                <w:lang w:eastAsia="lv-LV"/>
              </w:rPr>
              <w:t>Piederības sajūta Latvijai (ļoti tuvs, tuvs) (%)</w:t>
            </w:r>
          </w:p>
        </w:tc>
      </w:tr>
      <w:tr w:rsidR="00341E0B" w:rsidRPr="00341E0B" w14:paraId="2EFA8469" w14:textId="77777777" w:rsidTr="002B18B1">
        <w:trPr>
          <w:trHeight w:val="205"/>
        </w:trPr>
        <w:tc>
          <w:tcPr>
            <w:tcW w:w="1170" w:type="pct"/>
            <w:shd w:val="clear" w:color="000000" w:fill="A9D18E"/>
            <w:vAlign w:val="center"/>
            <w:hideMark/>
          </w:tcPr>
          <w:p w14:paraId="0EB9240B" w14:textId="77777777" w:rsidR="00341E0B" w:rsidRPr="00341E0B" w:rsidRDefault="00341E0B" w:rsidP="00341E0B">
            <w:pPr>
              <w:jc w:val="center"/>
              <w:rPr>
                <w:rFonts w:eastAsia="Times New Roman" w:cs="Times New Roman"/>
                <w:b/>
                <w:bCs/>
                <w:color w:val="000000"/>
                <w:sz w:val="22"/>
                <w:szCs w:val="22"/>
                <w:lang w:eastAsia="lv-LV"/>
              </w:rPr>
            </w:pPr>
            <w:r w:rsidRPr="00341E0B">
              <w:rPr>
                <w:rFonts w:eastAsia="Times New Roman" w:cs="Times New Roman"/>
                <w:b/>
                <w:bCs/>
                <w:color w:val="000000"/>
                <w:sz w:val="22"/>
                <w:szCs w:val="22"/>
                <w:lang w:eastAsia="lv-LV"/>
              </w:rPr>
              <w:t>Kultūrizglītība</w:t>
            </w:r>
          </w:p>
        </w:tc>
        <w:tc>
          <w:tcPr>
            <w:tcW w:w="3830" w:type="pct"/>
            <w:shd w:val="clear" w:color="000000" w:fill="EBF1E9"/>
            <w:hideMark/>
          </w:tcPr>
          <w:p w14:paraId="6FA884C6" w14:textId="6023EE4D" w:rsidR="00341E0B" w:rsidRPr="00341E0B" w:rsidRDefault="00341E0B" w:rsidP="00341E0B">
            <w:pPr>
              <w:jc w:val="center"/>
              <w:rPr>
                <w:rFonts w:eastAsia="Times New Roman" w:cs="Times New Roman"/>
                <w:color w:val="000000"/>
                <w:sz w:val="22"/>
                <w:szCs w:val="22"/>
                <w:lang w:eastAsia="lv-LV"/>
              </w:rPr>
            </w:pPr>
            <w:r w:rsidRPr="00341E0B">
              <w:rPr>
                <w:rFonts w:eastAsia="Times New Roman" w:cs="Times New Roman"/>
                <w:color w:val="000000"/>
                <w:sz w:val="22"/>
                <w:szCs w:val="22"/>
                <w:lang w:eastAsia="lv-LV"/>
              </w:rPr>
              <w:t>Skolēnu proporcija vispārējā un profesionālajā izglītībā vidējās izglītības pakāpē</w:t>
            </w:r>
            <w:r w:rsidR="00053091">
              <w:rPr>
                <w:rFonts w:eastAsia="Times New Roman" w:cs="Times New Roman"/>
                <w:color w:val="000000"/>
                <w:sz w:val="22"/>
                <w:szCs w:val="22"/>
                <w:lang w:eastAsia="lv-LV"/>
              </w:rPr>
              <w:t xml:space="preserve"> (</w:t>
            </w:r>
            <w:r w:rsidRPr="00341E0B">
              <w:rPr>
                <w:rFonts w:eastAsia="Times New Roman" w:cs="Times New Roman"/>
                <w:color w:val="000000"/>
                <w:sz w:val="22"/>
                <w:szCs w:val="22"/>
                <w:lang w:eastAsia="lv-LV"/>
              </w:rPr>
              <w:t>%</w:t>
            </w:r>
            <w:r w:rsidR="00053091">
              <w:rPr>
                <w:rFonts w:eastAsia="Times New Roman" w:cs="Times New Roman"/>
                <w:color w:val="000000"/>
                <w:sz w:val="22"/>
                <w:szCs w:val="22"/>
                <w:lang w:eastAsia="lv-LV"/>
              </w:rPr>
              <w:t>)</w:t>
            </w:r>
          </w:p>
        </w:tc>
      </w:tr>
    </w:tbl>
    <w:p w14:paraId="24C11978" w14:textId="77777777" w:rsidR="00341E0B" w:rsidRDefault="00341E0B" w:rsidP="0056451E">
      <w:pPr>
        <w:spacing w:after="120"/>
      </w:pPr>
    </w:p>
    <w:p w14:paraId="51FDC535" w14:textId="73C6B6D2" w:rsidR="002B18B1" w:rsidRDefault="002B18B1" w:rsidP="002B18B1">
      <w:pPr>
        <w:spacing w:after="120"/>
      </w:pPr>
      <w:r>
        <w:t>Labklājības ministrija</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6945"/>
      </w:tblGrid>
      <w:tr w:rsidR="002B18B1" w:rsidRPr="002B18B1" w14:paraId="73E2DD0E" w14:textId="77777777" w:rsidTr="002B18B1">
        <w:trPr>
          <w:trHeight w:val="70"/>
          <w:tblHeader/>
        </w:trPr>
        <w:tc>
          <w:tcPr>
            <w:tcW w:w="1170" w:type="pct"/>
            <w:shd w:val="clear" w:color="000000" w:fill="A9D08E"/>
            <w:noWrap/>
            <w:vAlign w:val="bottom"/>
            <w:hideMark/>
          </w:tcPr>
          <w:p w14:paraId="57E6DB4E" w14:textId="77777777" w:rsidR="002B18B1" w:rsidRPr="002B18B1" w:rsidRDefault="002B18B1" w:rsidP="002B18B1">
            <w:pPr>
              <w:jc w:val="center"/>
              <w:rPr>
                <w:rFonts w:eastAsia="Times New Roman" w:cs="Times New Roman"/>
                <w:b/>
                <w:bCs/>
                <w:color w:val="000000"/>
                <w:sz w:val="22"/>
                <w:szCs w:val="22"/>
                <w:lang w:eastAsia="lv-LV"/>
              </w:rPr>
            </w:pPr>
            <w:r w:rsidRPr="002B18B1">
              <w:rPr>
                <w:rFonts w:eastAsia="Times New Roman" w:cs="Times New Roman"/>
                <w:b/>
                <w:bCs/>
                <w:color w:val="000000"/>
                <w:sz w:val="22"/>
                <w:szCs w:val="22"/>
                <w:lang w:eastAsia="lv-LV"/>
              </w:rPr>
              <w:t xml:space="preserve">Joma </w:t>
            </w:r>
          </w:p>
        </w:tc>
        <w:tc>
          <w:tcPr>
            <w:tcW w:w="3830" w:type="pct"/>
            <w:shd w:val="clear" w:color="000000" w:fill="A9D08E"/>
            <w:noWrap/>
            <w:vAlign w:val="bottom"/>
            <w:hideMark/>
          </w:tcPr>
          <w:p w14:paraId="4E783054" w14:textId="77777777" w:rsidR="002B18B1" w:rsidRPr="002B18B1" w:rsidRDefault="002B18B1" w:rsidP="002B18B1">
            <w:pPr>
              <w:jc w:val="center"/>
              <w:rPr>
                <w:rFonts w:eastAsia="Times New Roman" w:cs="Times New Roman"/>
                <w:b/>
                <w:bCs/>
                <w:color w:val="000000"/>
                <w:sz w:val="22"/>
                <w:szCs w:val="22"/>
                <w:lang w:eastAsia="lv-LV"/>
              </w:rPr>
            </w:pPr>
            <w:r w:rsidRPr="002B18B1">
              <w:rPr>
                <w:rFonts w:eastAsia="Times New Roman" w:cs="Times New Roman"/>
                <w:b/>
                <w:bCs/>
                <w:color w:val="000000"/>
                <w:sz w:val="22"/>
                <w:szCs w:val="22"/>
                <w:lang w:eastAsia="lv-LV"/>
              </w:rPr>
              <w:t>Politikas rezultatīvie rādītāji</w:t>
            </w:r>
          </w:p>
        </w:tc>
      </w:tr>
      <w:tr w:rsidR="002B18B1" w:rsidRPr="002B18B1" w14:paraId="76CBAC32" w14:textId="77777777" w:rsidTr="002B18B1">
        <w:trPr>
          <w:trHeight w:val="534"/>
        </w:trPr>
        <w:tc>
          <w:tcPr>
            <w:tcW w:w="1170" w:type="pct"/>
            <w:vMerge w:val="restart"/>
            <w:shd w:val="clear" w:color="000000" w:fill="A9D18E"/>
            <w:vAlign w:val="center"/>
            <w:hideMark/>
          </w:tcPr>
          <w:p w14:paraId="61475A6B" w14:textId="77777777" w:rsidR="002B18B1" w:rsidRPr="002B18B1" w:rsidRDefault="002B18B1" w:rsidP="002B18B1">
            <w:pPr>
              <w:jc w:val="center"/>
              <w:rPr>
                <w:rFonts w:eastAsia="Times New Roman" w:cs="Times New Roman"/>
                <w:b/>
                <w:bCs/>
                <w:color w:val="000000"/>
                <w:sz w:val="22"/>
                <w:szCs w:val="22"/>
                <w:lang w:eastAsia="lv-LV"/>
              </w:rPr>
            </w:pPr>
            <w:r w:rsidRPr="002B18B1">
              <w:rPr>
                <w:rFonts w:eastAsia="Times New Roman" w:cs="Times New Roman"/>
                <w:b/>
                <w:bCs/>
                <w:color w:val="000000"/>
                <w:sz w:val="22"/>
                <w:szCs w:val="22"/>
                <w:lang w:eastAsia="lv-LV"/>
              </w:rPr>
              <w:t>Nozaru vadība un politikas plānošana</w:t>
            </w:r>
          </w:p>
        </w:tc>
        <w:tc>
          <w:tcPr>
            <w:tcW w:w="3830" w:type="pct"/>
            <w:shd w:val="clear" w:color="000000" w:fill="EBF1E9"/>
            <w:vAlign w:val="center"/>
            <w:hideMark/>
          </w:tcPr>
          <w:p w14:paraId="0964B04A" w14:textId="5857D6E7"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 xml:space="preserve">Nabadzības riska indekss pēc sociālo </w:t>
            </w:r>
            <w:proofErr w:type="spellStart"/>
            <w:r w:rsidRPr="002B18B1">
              <w:rPr>
                <w:rFonts w:eastAsia="Times New Roman" w:cs="Times New Roman"/>
                <w:color w:val="000000"/>
                <w:sz w:val="22"/>
                <w:szCs w:val="22"/>
                <w:lang w:eastAsia="lv-LV"/>
              </w:rPr>
              <w:t>transfertu</w:t>
            </w:r>
            <w:proofErr w:type="spellEnd"/>
            <w:r w:rsidRPr="002B18B1">
              <w:rPr>
                <w:rFonts w:eastAsia="Times New Roman" w:cs="Times New Roman"/>
                <w:color w:val="000000"/>
                <w:sz w:val="22"/>
                <w:szCs w:val="22"/>
                <w:lang w:eastAsia="lv-LV"/>
              </w:rPr>
              <w:t xml:space="preserve"> saņemšanas (kopā, vecuma grupā 0-17 gadi, vecuma grupā  65+gadi)</w:t>
            </w:r>
            <w:r w:rsidR="00053091">
              <w:rPr>
                <w:rFonts w:eastAsia="Times New Roman" w:cs="Times New Roman"/>
                <w:color w:val="000000"/>
                <w:sz w:val="22"/>
                <w:szCs w:val="22"/>
                <w:lang w:eastAsia="lv-LV"/>
              </w:rPr>
              <w:t xml:space="preserve"> (</w:t>
            </w:r>
            <w:r w:rsidRPr="002B18B1">
              <w:rPr>
                <w:rFonts w:eastAsia="Times New Roman" w:cs="Times New Roman"/>
                <w:color w:val="000000"/>
                <w:sz w:val="22"/>
                <w:szCs w:val="22"/>
                <w:lang w:eastAsia="lv-LV"/>
              </w:rPr>
              <w:t>%</w:t>
            </w:r>
            <w:r w:rsidR="00053091">
              <w:rPr>
                <w:rFonts w:eastAsia="Times New Roman" w:cs="Times New Roman"/>
                <w:color w:val="000000"/>
                <w:sz w:val="22"/>
                <w:szCs w:val="22"/>
                <w:lang w:eastAsia="lv-LV"/>
              </w:rPr>
              <w:t>)</w:t>
            </w:r>
          </w:p>
        </w:tc>
      </w:tr>
      <w:tr w:rsidR="002B18B1" w:rsidRPr="002B18B1" w14:paraId="4C3F6905" w14:textId="77777777" w:rsidTr="002B18B1">
        <w:trPr>
          <w:trHeight w:val="273"/>
        </w:trPr>
        <w:tc>
          <w:tcPr>
            <w:tcW w:w="1170" w:type="pct"/>
            <w:vMerge/>
            <w:vAlign w:val="center"/>
            <w:hideMark/>
          </w:tcPr>
          <w:p w14:paraId="7E99E588" w14:textId="77777777" w:rsidR="002B18B1" w:rsidRPr="002B18B1" w:rsidRDefault="002B18B1" w:rsidP="002B18B1">
            <w:pPr>
              <w:rPr>
                <w:rFonts w:eastAsia="Times New Roman" w:cs="Times New Roman"/>
                <w:b/>
                <w:bCs/>
                <w:color w:val="000000"/>
                <w:sz w:val="22"/>
                <w:szCs w:val="22"/>
                <w:lang w:eastAsia="lv-LV"/>
              </w:rPr>
            </w:pPr>
          </w:p>
        </w:tc>
        <w:tc>
          <w:tcPr>
            <w:tcW w:w="3830" w:type="pct"/>
            <w:shd w:val="clear" w:color="000000" w:fill="EBF1E9"/>
            <w:vAlign w:val="center"/>
            <w:hideMark/>
          </w:tcPr>
          <w:p w14:paraId="71079DD8" w14:textId="684132B4"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Nabadzības vai sociālās atstumtības riskam pakļaut</w:t>
            </w:r>
            <w:r w:rsidR="00053091">
              <w:rPr>
                <w:rFonts w:eastAsia="Times New Roman" w:cs="Times New Roman"/>
                <w:color w:val="000000"/>
                <w:sz w:val="22"/>
                <w:szCs w:val="22"/>
                <w:lang w:eastAsia="lv-LV"/>
              </w:rPr>
              <w:t>ie iedzīvotāji</w:t>
            </w:r>
            <w:r w:rsidRPr="002B18B1">
              <w:rPr>
                <w:rFonts w:eastAsia="Times New Roman" w:cs="Times New Roman"/>
                <w:color w:val="000000"/>
                <w:sz w:val="22"/>
                <w:szCs w:val="22"/>
                <w:lang w:eastAsia="lv-LV"/>
              </w:rPr>
              <w:t xml:space="preserve"> </w:t>
            </w:r>
            <w:r w:rsidR="00053091">
              <w:rPr>
                <w:rFonts w:eastAsia="Times New Roman" w:cs="Times New Roman"/>
                <w:color w:val="000000"/>
                <w:sz w:val="22"/>
                <w:szCs w:val="22"/>
                <w:lang w:eastAsia="lv-LV"/>
              </w:rPr>
              <w:t>(</w:t>
            </w:r>
            <w:r w:rsidRPr="002B18B1">
              <w:rPr>
                <w:rFonts w:eastAsia="Times New Roman" w:cs="Times New Roman"/>
                <w:color w:val="000000"/>
                <w:sz w:val="22"/>
                <w:szCs w:val="22"/>
                <w:lang w:eastAsia="lv-LV"/>
              </w:rPr>
              <w:t>skaits tūkst.</w:t>
            </w:r>
            <w:r w:rsidR="00053091">
              <w:rPr>
                <w:rFonts w:eastAsia="Times New Roman" w:cs="Times New Roman"/>
                <w:color w:val="000000"/>
                <w:sz w:val="22"/>
                <w:szCs w:val="22"/>
                <w:lang w:eastAsia="lv-LV"/>
              </w:rPr>
              <w:t>)</w:t>
            </w:r>
          </w:p>
        </w:tc>
      </w:tr>
      <w:tr w:rsidR="002B18B1" w:rsidRPr="002B18B1" w14:paraId="08D0AF81" w14:textId="77777777" w:rsidTr="002B18B1">
        <w:trPr>
          <w:trHeight w:val="337"/>
        </w:trPr>
        <w:tc>
          <w:tcPr>
            <w:tcW w:w="1170" w:type="pct"/>
            <w:vMerge w:val="restart"/>
            <w:shd w:val="clear" w:color="000000" w:fill="A9D18E"/>
            <w:vAlign w:val="center"/>
            <w:hideMark/>
          </w:tcPr>
          <w:p w14:paraId="37ACC0E7" w14:textId="77777777" w:rsidR="002B18B1" w:rsidRPr="002B18B1" w:rsidRDefault="002B18B1" w:rsidP="002B18B1">
            <w:pPr>
              <w:jc w:val="center"/>
              <w:rPr>
                <w:rFonts w:eastAsia="Times New Roman" w:cs="Times New Roman"/>
                <w:b/>
                <w:bCs/>
                <w:color w:val="000000"/>
                <w:sz w:val="22"/>
                <w:szCs w:val="22"/>
                <w:lang w:eastAsia="lv-LV"/>
              </w:rPr>
            </w:pPr>
            <w:r w:rsidRPr="002B18B1">
              <w:rPr>
                <w:rFonts w:eastAsia="Times New Roman" w:cs="Times New Roman"/>
                <w:b/>
                <w:bCs/>
                <w:color w:val="000000"/>
                <w:sz w:val="22"/>
                <w:szCs w:val="22"/>
                <w:lang w:eastAsia="lv-LV"/>
              </w:rPr>
              <w:t>Valsts sociālā apdrošināšana</w:t>
            </w:r>
          </w:p>
        </w:tc>
        <w:tc>
          <w:tcPr>
            <w:tcW w:w="3830" w:type="pct"/>
            <w:shd w:val="clear" w:color="000000" w:fill="EBF1E9"/>
            <w:vAlign w:val="bottom"/>
            <w:hideMark/>
          </w:tcPr>
          <w:p w14:paraId="797140D2" w14:textId="1F385498"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Sociālās apdrošināšanas budžeta uzkrātais atlikums gada beigās</w:t>
            </w:r>
            <w:r w:rsidR="00053091">
              <w:rPr>
                <w:rFonts w:eastAsia="Times New Roman" w:cs="Times New Roman"/>
                <w:color w:val="000000"/>
                <w:sz w:val="22"/>
                <w:szCs w:val="22"/>
                <w:lang w:eastAsia="lv-LV"/>
              </w:rPr>
              <w:t xml:space="preserve"> (</w:t>
            </w:r>
            <w:r w:rsidRPr="002B18B1">
              <w:rPr>
                <w:rFonts w:eastAsia="Times New Roman" w:cs="Times New Roman"/>
                <w:color w:val="000000"/>
                <w:sz w:val="22"/>
                <w:szCs w:val="22"/>
                <w:lang w:eastAsia="lv-LV"/>
              </w:rPr>
              <w:t>% no IKP</w:t>
            </w:r>
            <w:r w:rsidR="00053091">
              <w:rPr>
                <w:rFonts w:eastAsia="Times New Roman" w:cs="Times New Roman"/>
                <w:color w:val="000000"/>
                <w:sz w:val="22"/>
                <w:szCs w:val="22"/>
                <w:lang w:eastAsia="lv-LV"/>
              </w:rPr>
              <w:t>)</w:t>
            </w:r>
          </w:p>
        </w:tc>
      </w:tr>
      <w:tr w:rsidR="002B18B1" w:rsidRPr="002B18B1" w14:paraId="6CBE179E" w14:textId="77777777" w:rsidTr="002B18B1">
        <w:trPr>
          <w:trHeight w:val="555"/>
        </w:trPr>
        <w:tc>
          <w:tcPr>
            <w:tcW w:w="1170" w:type="pct"/>
            <w:vMerge/>
            <w:vAlign w:val="center"/>
            <w:hideMark/>
          </w:tcPr>
          <w:p w14:paraId="48E99B0A" w14:textId="77777777" w:rsidR="002B18B1" w:rsidRPr="002B18B1" w:rsidRDefault="002B18B1" w:rsidP="002B18B1">
            <w:pPr>
              <w:rPr>
                <w:rFonts w:eastAsia="Times New Roman" w:cs="Times New Roman"/>
                <w:b/>
                <w:bCs/>
                <w:color w:val="000000"/>
                <w:sz w:val="22"/>
                <w:szCs w:val="22"/>
                <w:lang w:eastAsia="lv-LV"/>
              </w:rPr>
            </w:pPr>
          </w:p>
        </w:tc>
        <w:tc>
          <w:tcPr>
            <w:tcW w:w="3830" w:type="pct"/>
            <w:shd w:val="clear" w:color="000000" w:fill="EBF1E9"/>
            <w:vAlign w:val="center"/>
            <w:hideMark/>
          </w:tcPr>
          <w:p w14:paraId="44EDAACB" w14:textId="787353EB"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 xml:space="preserve">Sociālās apdrošināšanas sistēmas noslodze </w:t>
            </w:r>
            <w:r w:rsidR="00053091">
              <w:rPr>
                <w:rFonts w:eastAsia="Times New Roman" w:cs="Times New Roman"/>
                <w:color w:val="000000"/>
                <w:sz w:val="22"/>
                <w:szCs w:val="22"/>
                <w:lang w:eastAsia="lv-LV"/>
              </w:rPr>
              <w:t xml:space="preserve">– </w:t>
            </w:r>
            <w:r w:rsidRPr="002B18B1">
              <w:rPr>
                <w:rFonts w:eastAsia="Times New Roman" w:cs="Times New Roman"/>
                <w:color w:val="000000"/>
                <w:sz w:val="22"/>
                <w:szCs w:val="22"/>
                <w:lang w:eastAsia="lv-LV"/>
              </w:rPr>
              <w:t>uzskaitē esoš</w:t>
            </w:r>
            <w:r w:rsidR="00053091">
              <w:rPr>
                <w:rFonts w:eastAsia="Times New Roman" w:cs="Times New Roman"/>
                <w:color w:val="000000"/>
                <w:sz w:val="22"/>
                <w:szCs w:val="22"/>
                <w:lang w:eastAsia="lv-LV"/>
              </w:rPr>
              <w:t>ie</w:t>
            </w:r>
            <w:r w:rsidRPr="002B18B1">
              <w:rPr>
                <w:rFonts w:eastAsia="Times New Roman" w:cs="Times New Roman"/>
                <w:color w:val="000000"/>
                <w:sz w:val="22"/>
                <w:szCs w:val="22"/>
                <w:lang w:eastAsia="lv-LV"/>
              </w:rPr>
              <w:t xml:space="preserve"> pensionār</w:t>
            </w:r>
            <w:r w:rsidR="00053091">
              <w:rPr>
                <w:rFonts w:eastAsia="Times New Roman" w:cs="Times New Roman"/>
                <w:color w:val="000000"/>
                <w:sz w:val="22"/>
                <w:szCs w:val="22"/>
                <w:lang w:eastAsia="lv-LV"/>
              </w:rPr>
              <w:t>i</w:t>
            </w:r>
            <w:r w:rsidRPr="002B18B1">
              <w:rPr>
                <w:rFonts w:eastAsia="Times New Roman" w:cs="Times New Roman"/>
                <w:color w:val="000000"/>
                <w:sz w:val="22"/>
                <w:szCs w:val="22"/>
                <w:lang w:eastAsia="lv-LV"/>
              </w:rPr>
              <w:t xml:space="preserve"> uz 1000 obligāti sociāli apdrošinātām personām gada beigās</w:t>
            </w:r>
            <w:r w:rsidR="00053091">
              <w:rPr>
                <w:rFonts w:eastAsia="Times New Roman" w:cs="Times New Roman"/>
                <w:color w:val="000000"/>
                <w:sz w:val="22"/>
                <w:szCs w:val="22"/>
                <w:lang w:eastAsia="lv-LV"/>
              </w:rPr>
              <w:t xml:space="preserve"> (skaits)</w:t>
            </w:r>
          </w:p>
        </w:tc>
      </w:tr>
      <w:tr w:rsidR="002B18B1" w:rsidRPr="002B18B1" w14:paraId="763D9CEB" w14:textId="77777777" w:rsidTr="002B18B1">
        <w:trPr>
          <w:trHeight w:val="407"/>
        </w:trPr>
        <w:tc>
          <w:tcPr>
            <w:tcW w:w="1170" w:type="pct"/>
            <w:vMerge/>
            <w:vAlign w:val="center"/>
            <w:hideMark/>
          </w:tcPr>
          <w:p w14:paraId="539CFB7D" w14:textId="77777777" w:rsidR="002B18B1" w:rsidRPr="002B18B1" w:rsidRDefault="002B18B1" w:rsidP="002B18B1">
            <w:pPr>
              <w:rPr>
                <w:rFonts w:eastAsia="Times New Roman" w:cs="Times New Roman"/>
                <w:b/>
                <w:bCs/>
                <w:color w:val="000000"/>
                <w:sz w:val="22"/>
                <w:szCs w:val="22"/>
                <w:lang w:eastAsia="lv-LV"/>
              </w:rPr>
            </w:pPr>
          </w:p>
        </w:tc>
        <w:tc>
          <w:tcPr>
            <w:tcW w:w="3830" w:type="pct"/>
            <w:shd w:val="clear" w:color="000000" w:fill="EBF1E9"/>
            <w:vAlign w:val="center"/>
            <w:hideMark/>
          </w:tcPr>
          <w:p w14:paraId="4868C440" w14:textId="35D50E4E"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Sociāli apdrošināto personu īpatsvars, kuru valsts sociālās apdrošināšanas obligāto iemaksu objekts ir zem minimālās mēneša algas</w:t>
            </w:r>
            <w:r w:rsidR="00053091">
              <w:rPr>
                <w:rFonts w:eastAsia="Times New Roman" w:cs="Times New Roman"/>
                <w:color w:val="000000"/>
                <w:sz w:val="22"/>
                <w:szCs w:val="22"/>
                <w:lang w:eastAsia="lv-LV"/>
              </w:rPr>
              <w:t xml:space="preserve"> (</w:t>
            </w:r>
            <w:r w:rsidRPr="002B18B1">
              <w:rPr>
                <w:rFonts w:eastAsia="Times New Roman" w:cs="Times New Roman"/>
                <w:color w:val="000000"/>
                <w:sz w:val="22"/>
                <w:szCs w:val="22"/>
                <w:lang w:eastAsia="lv-LV"/>
              </w:rPr>
              <w:t>%</w:t>
            </w:r>
            <w:r w:rsidR="00053091">
              <w:rPr>
                <w:rFonts w:eastAsia="Times New Roman" w:cs="Times New Roman"/>
                <w:color w:val="000000"/>
                <w:sz w:val="22"/>
                <w:szCs w:val="22"/>
                <w:lang w:eastAsia="lv-LV"/>
              </w:rPr>
              <w:t>)</w:t>
            </w:r>
            <w:r w:rsidRPr="002B18B1">
              <w:rPr>
                <w:rFonts w:eastAsia="Times New Roman" w:cs="Times New Roman"/>
                <w:color w:val="000000"/>
                <w:sz w:val="22"/>
                <w:szCs w:val="22"/>
                <w:lang w:eastAsia="lv-LV"/>
              </w:rPr>
              <w:t xml:space="preserve"> </w:t>
            </w:r>
          </w:p>
        </w:tc>
      </w:tr>
      <w:tr w:rsidR="002B18B1" w:rsidRPr="002B18B1" w14:paraId="0CD526D2" w14:textId="77777777" w:rsidTr="002B18B1">
        <w:trPr>
          <w:trHeight w:val="70"/>
        </w:trPr>
        <w:tc>
          <w:tcPr>
            <w:tcW w:w="1170" w:type="pct"/>
            <w:shd w:val="clear" w:color="000000" w:fill="A9D18E"/>
            <w:vAlign w:val="center"/>
            <w:hideMark/>
          </w:tcPr>
          <w:p w14:paraId="34B9E320" w14:textId="77777777" w:rsidR="002B18B1" w:rsidRPr="002B18B1" w:rsidRDefault="002B18B1" w:rsidP="002B18B1">
            <w:pPr>
              <w:jc w:val="center"/>
              <w:rPr>
                <w:rFonts w:eastAsia="Times New Roman" w:cs="Times New Roman"/>
                <w:b/>
                <w:bCs/>
                <w:color w:val="000000"/>
                <w:sz w:val="22"/>
                <w:szCs w:val="22"/>
                <w:lang w:eastAsia="lv-LV"/>
              </w:rPr>
            </w:pPr>
            <w:r w:rsidRPr="002B18B1">
              <w:rPr>
                <w:rFonts w:eastAsia="Times New Roman" w:cs="Times New Roman"/>
                <w:b/>
                <w:bCs/>
                <w:color w:val="000000"/>
                <w:sz w:val="22"/>
                <w:szCs w:val="22"/>
                <w:lang w:eastAsia="lv-LV"/>
              </w:rPr>
              <w:t xml:space="preserve">Izdienas pensijas </w:t>
            </w:r>
          </w:p>
        </w:tc>
        <w:tc>
          <w:tcPr>
            <w:tcW w:w="3830" w:type="pct"/>
            <w:shd w:val="clear" w:color="000000" w:fill="EBF1E9"/>
            <w:vAlign w:val="center"/>
            <w:hideMark/>
          </w:tcPr>
          <w:p w14:paraId="5A4B10EC" w14:textId="0AACD136"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Izdienas pensijas atvietojuma līmenis</w:t>
            </w:r>
            <w:r w:rsidR="00053091">
              <w:rPr>
                <w:rFonts w:eastAsia="Times New Roman" w:cs="Times New Roman"/>
                <w:color w:val="000000"/>
                <w:sz w:val="22"/>
                <w:szCs w:val="22"/>
                <w:lang w:eastAsia="lv-LV"/>
              </w:rPr>
              <w:t xml:space="preserve"> (</w:t>
            </w:r>
            <w:r w:rsidRPr="002B18B1">
              <w:rPr>
                <w:rFonts w:eastAsia="Times New Roman" w:cs="Times New Roman"/>
                <w:color w:val="000000"/>
                <w:sz w:val="22"/>
                <w:szCs w:val="22"/>
                <w:lang w:eastAsia="lv-LV"/>
              </w:rPr>
              <w:t>%</w:t>
            </w:r>
            <w:r w:rsidR="00053091">
              <w:rPr>
                <w:rFonts w:eastAsia="Times New Roman" w:cs="Times New Roman"/>
                <w:color w:val="000000"/>
                <w:sz w:val="22"/>
                <w:szCs w:val="22"/>
                <w:lang w:eastAsia="lv-LV"/>
              </w:rPr>
              <w:t>)</w:t>
            </w:r>
          </w:p>
        </w:tc>
      </w:tr>
      <w:tr w:rsidR="002B18B1" w:rsidRPr="002B18B1" w14:paraId="05B8DE07" w14:textId="77777777" w:rsidTr="002B18B1">
        <w:trPr>
          <w:trHeight w:val="546"/>
        </w:trPr>
        <w:tc>
          <w:tcPr>
            <w:tcW w:w="1170" w:type="pct"/>
            <w:vMerge w:val="restart"/>
            <w:shd w:val="clear" w:color="000000" w:fill="A9D18E"/>
            <w:vAlign w:val="center"/>
            <w:hideMark/>
          </w:tcPr>
          <w:p w14:paraId="683F0E25" w14:textId="77777777" w:rsidR="002B18B1" w:rsidRPr="002B18B1" w:rsidRDefault="002B18B1" w:rsidP="002B18B1">
            <w:pPr>
              <w:jc w:val="center"/>
              <w:rPr>
                <w:rFonts w:eastAsia="Times New Roman" w:cs="Times New Roman"/>
                <w:b/>
                <w:bCs/>
                <w:color w:val="000000"/>
                <w:sz w:val="22"/>
                <w:szCs w:val="22"/>
                <w:lang w:eastAsia="lv-LV"/>
              </w:rPr>
            </w:pPr>
            <w:r w:rsidRPr="002B18B1">
              <w:rPr>
                <w:rFonts w:eastAsia="Times New Roman" w:cs="Times New Roman"/>
                <w:b/>
                <w:bCs/>
                <w:color w:val="000000"/>
                <w:sz w:val="22"/>
                <w:szCs w:val="22"/>
                <w:lang w:eastAsia="lv-LV"/>
              </w:rPr>
              <w:t>Sociālie pabalsti</w:t>
            </w:r>
          </w:p>
        </w:tc>
        <w:tc>
          <w:tcPr>
            <w:tcW w:w="3830" w:type="pct"/>
            <w:shd w:val="clear" w:color="000000" w:fill="EBF1E9"/>
            <w:vAlign w:val="center"/>
            <w:hideMark/>
          </w:tcPr>
          <w:p w14:paraId="560E82B3" w14:textId="762B4291"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Pensijas vecuma valsts sociālā nodrošinājuma pabalsta saņēmēju īpatsvars virs darbspējas vecuma iedzīvotāju skaitā (noteikto vecumu sasniegušo un uzskaitē esošo pabalstu saņēmēju skaits pret virs darbspējas vecuma iedzīvotāju skaitu gada beigās)</w:t>
            </w:r>
            <w:r w:rsidR="00053091">
              <w:rPr>
                <w:rFonts w:eastAsia="Times New Roman" w:cs="Times New Roman"/>
                <w:color w:val="000000"/>
                <w:sz w:val="22"/>
                <w:szCs w:val="22"/>
                <w:lang w:eastAsia="lv-LV"/>
              </w:rPr>
              <w:t xml:space="preserve"> (</w:t>
            </w:r>
            <w:r w:rsidRPr="002B18B1">
              <w:rPr>
                <w:rFonts w:eastAsia="Times New Roman" w:cs="Times New Roman"/>
                <w:color w:val="000000"/>
                <w:sz w:val="22"/>
                <w:szCs w:val="22"/>
                <w:lang w:eastAsia="lv-LV"/>
              </w:rPr>
              <w:t>%</w:t>
            </w:r>
            <w:r w:rsidR="00053091">
              <w:rPr>
                <w:rFonts w:eastAsia="Times New Roman" w:cs="Times New Roman"/>
                <w:color w:val="000000"/>
                <w:sz w:val="22"/>
                <w:szCs w:val="22"/>
                <w:lang w:eastAsia="lv-LV"/>
              </w:rPr>
              <w:t>)</w:t>
            </w:r>
          </w:p>
        </w:tc>
      </w:tr>
      <w:tr w:rsidR="002B18B1" w:rsidRPr="002B18B1" w14:paraId="12F43603" w14:textId="77777777" w:rsidTr="002B18B1">
        <w:trPr>
          <w:trHeight w:val="268"/>
        </w:trPr>
        <w:tc>
          <w:tcPr>
            <w:tcW w:w="1170" w:type="pct"/>
            <w:vMerge/>
            <w:vAlign w:val="center"/>
            <w:hideMark/>
          </w:tcPr>
          <w:p w14:paraId="202A7395" w14:textId="77777777" w:rsidR="002B18B1" w:rsidRPr="002B18B1" w:rsidRDefault="002B18B1" w:rsidP="002B18B1">
            <w:pPr>
              <w:rPr>
                <w:rFonts w:eastAsia="Times New Roman" w:cs="Times New Roman"/>
                <w:b/>
                <w:bCs/>
                <w:color w:val="000000"/>
                <w:sz w:val="22"/>
                <w:szCs w:val="22"/>
                <w:lang w:eastAsia="lv-LV"/>
              </w:rPr>
            </w:pPr>
          </w:p>
        </w:tc>
        <w:tc>
          <w:tcPr>
            <w:tcW w:w="3830" w:type="pct"/>
            <w:shd w:val="clear" w:color="000000" w:fill="EBF1E9"/>
            <w:vAlign w:val="center"/>
            <w:hideMark/>
          </w:tcPr>
          <w:p w14:paraId="17A0E815" w14:textId="7864D6AF"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 xml:space="preserve">Nabadzības riska indekss ģimenēm, kurās bērnus audzina viens pieaugušais </w:t>
            </w:r>
            <w:r w:rsidR="00053091">
              <w:rPr>
                <w:rFonts w:eastAsia="Times New Roman" w:cs="Times New Roman"/>
                <w:color w:val="000000"/>
                <w:sz w:val="22"/>
                <w:szCs w:val="22"/>
                <w:lang w:eastAsia="lv-LV"/>
              </w:rPr>
              <w:t>(</w:t>
            </w:r>
            <w:r w:rsidRPr="002B18B1">
              <w:rPr>
                <w:rFonts w:eastAsia="Times New Roman" w:cs="Times New Roman"/>
                <w:color w:val="000000"/>
                <w:sz w:val="22"/>
                <w:szCs w:val="22"/>
                <w:lang w:eastAsia="lv-LV"/>
              </w:rPr>
              <w:t>%</w:t>
            </w:r>
            <w:r w:rsidR="00053091">
              <w:rPr>
                <w:rFonts w:eastAsia="Times New Roman" w:cs="Times New Roman"/>
                <w:color w:val="000000"/>
                <w:sz w:val="22"/>
                <w:szCs w:val="22"/>
                <w:lang w:eastAsia="lv-LV"/>
              </w:rPr>
              <w:t>)</w:t>
            </w:r>
          </w:p>
        </w:tc>
      </w:tr>
      <w:tr w:rsidR="002B18B1" w:rsidRPr="002B18B1" w14:paraId="143B61B4" w14:textId="77777777" w:rsidTr="002B18B1">
        <w:trPr>
          <w:trHeight w:val="410"/>
        </w:trPr>
        <w:tc>
          <w:tcPr>
            <w:tcW w:w="1170" w:type="pct"/>
            <w:vMerge/>
            <w:vAlign w:val="center"/>
            <w:hideMark/>
          </w:tcPr>
          <w:p w14:paraId="3DC8D666" w14:textId="77777777" w:rsidR="002B18B1" w:rsidRPr="002B18B1" w:rsidRDefault="002B18B1" w:rsidP="002B18B1">
            <w:pPr>
              <w:rPr>
                <w:rFonts w:eastAsia="Times New Roman" w:cs="Times New Roman"/>
                <w:b/>
                <w:bCs/>
                <w:color w:val="000000"/>
                <w:sz w:val="22"/>
                <w:szCs w:val="22"/>
                <w:lang w:eastAsia="lv-LV"/>
              </w:rPr>
            </w:pPr>
          </w:p>
        </w:tc>
        <w:tc>
          <w:tcPr>
            <w:tcW w:w="3830" w:type="pct"/>
            <w:shd w:val="clear" w:color="000000" w:fill="EBF1E9"/>
            <w:vAlign w:val="center"/>
            <w:hideMark/>
          </w:tcPr>
          <w:p w14:paraId="5CD5E191" w14:textId="258DEF82"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Nabadzības riska indekss mājsaimniecībām, ko veido divi pieaugušie un trīs un vairāk apgādībā esoši bērni</w:t>
            </w:r>
            <w:r w:rsidR="00053091">
              <w:rPr>
                <w:rFonts w:eastAsia="Times New Roman" w:cs="Times New Roman"/>
                <w:color w:val="000000"/>
                <w:sz w:val="22"/>
                <w:szCs w:val="22"/>
                <w:lang w:eastAsia="lv-LV"/>
              </w:rPr>
              <w:t xml:space="preserve"> (</w:t>
            </w:r>
            <w:r w:rsidRPr="002B18B1">
              <w:rPr>
                <w:rFonts w:eastAsia="Times New Roman" w:cs="Times New Roman"/>
                <w:color w:val="000000"/>
                <w:sz w:val="22"/>
                <w:szCs w:val="22"/>
                <w:lang w:eastAsia="lv-LV"/>
              </w:rPr>
              <w:t>%</w:t>
            </w:r>
            <w:r w:rsidR="00053091">
              <w:rPr>
                <w:rFonts w:eastAsia="Times New Roman" w:cs="Times New Roman"/>
                <w:color w:val="000000"/>
                <w:sz w:val="22"/>
                <w:szCs w:val="22"/>
                <w:lang w:eastAsia="lv-LV"/>
              </w:rPr>
              <w:t>)</w:t>
            </w:r>
          </w:p>
        </w:tc>
      </w:tr>
      <w:tr w:rsidR="002B18B1" w:rsidRPr="002B18B1" w14:paraId="3B349EFA" w14:textId="77777777" w:rsidTr="002B18B1">
        <w:trPr>
          <w:trHeight w:val="70"/>
        </w:trPr>
        <w:tc>
          <w:tcPr>
            <w:tcW w:w="1170" w:type="pct"/>
            <w:vMerge/>
            <w:vAlign w:val="center"/>
            <w:hideMark/>
          </w:tcPr>
          <w:p w14:paraId="451FEAB1" w14:textId="77777777" w:rsidR="002B18B1" w:rsidRPr="002B18B1" w:rsidRDefault="002B18B1" w:rsidP="002B18B1">
            <w:pPr>
              <w:rPr>
                <w:rFonts w:eastAsia="Times New Roman" w:cs="Times New Roman"/>
                <w:b/>
                <w:bCs/>
                <w:color w:val="000000"/>
                <w:sz w:val="22"/>
                <w:szCs w:val="22"/>
                <w:lang w:eastAsia="lv-LV"/>
              </w:rPr>
            </w:pPr>
          </w:p>
        </w:tc>
        <w:tc>
          <w:tcPr>
            <w:tcW w:w="3830" w:type="pct"/>
            <w:shd w:val="clear" w:color="000000" w:fill="EBF1E9"/>
            <w:vAlign w:val="center"/>
            <w:hideMark/>
          </w:tcPr>
          <w:p w14:paraId="747B59E5" w14:textId="0ACA027C"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Personu īpatsvars zem trūcīgas mājsaimniecības ienākumu sliekšņa</w:t>
            </w:r>
            <w:r w:rsidR="00053091">
              <w:rPr>
                <w:rFonts w:eastAsia="Times New Roman" w:cs="Times New Roman"/>
                <w:color w:val="000000"/>
                <w:sz w:val="22"/>
                <w:szCs w:val="22"/>
                <w:lang w:eastAsia="lv-LV"/>
              </w:rPr>
              <w:t xml:space="preserve"> (</w:t>
            </w:r>
            <w:r w:rsidRPr="002B18B1">
              <w:rPr>
                <w:rFonts w:eastAsia="Times New Roman" w:cs="Times New Roman"/>
                <w:color w:val="000000"/>
                <w:sz w:val="22"/>
                <w:szCs w:val="22"/>
                <w:lang w:eastAsia="lv-LV"/>
              </w:rPr>
              <w:t>%</w:t>
            </w:r>
            <w:r w:rsidR="00053091">
              <w:rPr>
                <w:rFonts w:eastAsia="Times New Roman" w:cs="Times New Roman"/>
                <w:color w:val="000000"/>
                <w:sz w:val="22"/>
                <w:szCs w:val="22"/>
                <w:lang w:eastAsia="lv-LV"/>
              </w:rPr>
              <w:t>)</w:t>
            </w:r>
            <w:r w:rsidRPr="002B18B1">
              <w:rPr>
                <w:rFonts w:eastAsia="Times New Roman" w:cs="Times New Roman"/>
                <w:color w:val="000000"/>
                <w:sz w:val="22"/>
                <w:szCs w:val="22"/>
                <w:lang w:eastAsia="lv-LV"/>
              </w:rPr>
              <w:t xml:space="preserve">  </w:t>
            </w:r>
          </w:p>
        </w:tc>
      </w:tr>
      <w:tr w:rsidR="002B18B1" w:rsidRPr="002B18B1" w14:paraId="3AEF5FA6" w14:textId="77777777" w:rsidTr="002B18B1">
        <w:trPr>
          <w:trHeight w:val="194"/>
        </w:trPr>
        <w:tc>
          <w:tcPr>
            <w:tcW w:w="1170" w:type="pct"/>
            <w:vMerge w:val="restart"/>
            <w:shd w:val="clear" w:color="000000" w:fill="A9D18E"/>
            <w:vAlign w:val="center"/>
            <w:hideMark/>
          </w:tcPr>
          <w:p w14:paraId="6CC3AF2A" w14:textId="77777777" w:rsidR="002B18B1" w:rsidRPr="002B18B1" w:rsidRDefault="002B18B1" w:rsidP="002B18B1">
            <w:pPr>
              <w:jc w:val="center"/>
              <w:rPr>
                <w:rFonts w:eastAsia="Times New Roman" w:cs="Times New Roman"/>
                <w:b/>
                <w:bCs/>
                <w:color w:val="000000"/>
                <w:sz w:val="22"/>
                <w:szCs w:val="22"/>
                <w:lang w:eastAsia="lv-LV"/>
              </w:rPr>
            </w:pPr>
            <w:r w:rsidRPr="002B18B1">
              <w:rPr>
                <w:rFonts w:eastAsia="Times New Roman" w:cs="Times New Roman"/>
                <w:b/>
                <w:bCs/>
                <w:color w:val="000000"/>
                <w:sz w:val="22"/>
                <w:szCs w:val="22"/>
                <w:lang w:eastAsia="lv-LV"/>
              </w:rPr>
              <w:lastRenderedPageBreak/>
              <w:t>Sociālie pakalpojumi</w:t>
            </w:r>
          </w:p>
        </w:tc>
        <w:tc>
          <w:tcPr>
            <w:tcW w:w="3830" w:type="pct"/>
            <w:shd w:val="clear" w:color="000000" w:fill="EBF1E9"/>
            <w:vAlign w:val="center"/>
            <w:hideMark/>
          </w:tcPr>
          <w:p w14:paraId="2A23D000" w14:textId="21952FB2"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Sabiedrībā balstītu sociālo pakalpojumu saņēmēj</w:t>
            </w:r>
            <w:r w:rsidR="0097775C">
              <w:rPr>
                <w:rFonts w:eastAsia="Times New Roman" w:cs="Times New Roman"/>
                <w:color w:val="000000"/>
                <w:sz w:val="22"/>
                <w:szCs w:val="22"/>
                <w:lang w:eastAsia="lv-LV"/>
              </w:rPr>
              <w:t>i</w:t>
            </w:r>
            <w:r w:rsidRPr="002B18B1">
              <w:rPr>
                <w:rFonts w:eastAsia="Times New Roman" w:cs="Times New Roman"/>
                <w:color w:val="000000"/>
                <w:sz w:val="22"/>
                <w:szCs w:val="22"/>
                <w:lang w:eastAsia="lv-LV"/>
              </w:rPr>
              <w:t xml:space="preserve"> uz 10 000 iedzīvotāj</w:t>
            </w:r>
            <w:r w:rsidR="0097775C">
              <w:rPr>
                <w:rFonts w:eastAsia="Times New Roman" w:cs="Times New Roman"/>
                <w:color w:val="000000"/>
                <w:sz w:val="22"/>
                <w:szCs w:val="22"/>
                <w:lang w:eastAsia="lv-LV"/>
              </w:rPr>
              <w:t>iem</w:t>
            </w:r>
            <w:r w:rsidRPr="002B18B1">
              <w:rPr>
                <w:rFonts w:eastAsia="Times New Roman" w:cs="Times New Roman"/>
                <w:color w:val="000000"/>
                <w:sz w:val="22"/>
                <w:szCs w:val="22"/>
                <w:lang w:eastAsia="lv-LV"/>
              </w:rPr>
              <w:t xml:space="preserve"> gada sākumā</w:t>
            </w:r>
            <w:r w:rsidR="0097775C">
              <w:rPr>
                <w:rFonts w:eastAsia="Times New Roman" w:cs="Times New Roman"/>
                <w:color w:val="000000"/>
                <w:sz w:val="22"/>
                <w:szCs w:val="22"/>
                <w:lang w:eastAsia="lv-LV"/>
              </w:rPr>
              <w:t xml:space="preserve"> (skaits)</w:t>
            </w:r>
          </w:p>
        </w:tc>
      </w:tr>
      <w:tr w:rsidR="002B18B1" w:rsidRPr="002B18B1" w14:paraId="1734A93A" w14:textId="77777777" w:rsidTr="002B18B1">
        <w:trPr>
          <w:trHeight w:val="258"/>
        </w:trPr>
        <w:tc>
          <w:tcPr>
            <w:tcW w:w="1170" w:type="pct"/>
            <w:vMerge/>
            <w:vAlign w:val="center"/>
            <w:hideMark/>
          </w:tcPr>
          <w:p w14:paraId="0C35405E" w14:textId="77777777" w:rsidR="002B18B1" w:rsidRPr="002B18B1" w:rsidRDefault="002B18B1" w:rsidP="002B18B1">
            <w:pPr>
              <w:rPr>
                <w:rFonts w:eastAsia="Times New Roman" w:cs="Times New Roman"/>
                <w:b/>
                <w:bCs/>
                <w:color w:val="000000"/>
                <w:sz w:val="22"/>
                <w:szCs w:val="22"/>
                <w:lang w:eastAsia="lv-LV"/>
              </w:rPr>
            </w:pPr>
          </w:p>
        </w:tc>
        <w:tc>
          <w:tcPr>
            <w:tcW w:w="3830" w:type="pct"/>
            <w:shd w:val="clear" w:color="000000" w:fill="EBF1E9"/>
            <w:vAlign w:val="center"/>
            <w:hideMark/>
          </w:tcPr>
          <w:p w14:paraId="71F3208D" w14:textId="18F966A0"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Sociālo dienestu īpatsvars, kuri izpilda likumdošanā noteikto normu par minimālo sociālā darba speciālistu skaitu</w:t>
            </w:r>
            <w:r w:rsidR="0097775C">
              <w:rPr>
                <w:rFonts w:eastAsia="Times New Roman" w:cs="Times New Roman"/>
                <w:color w:val="000000"/>
                <w:sz w:val="22"/>
                <w:szCs w:val="22"/>
                <w:lang w:eastAsia="lv-LV"/>
              </w:rPr>
              <w:t xml:space="preserve"> (</w:t>
            </w:r>
            <w:r w:rsidRPr="002B18B1">
              <w:rPr>
                <w:rFonts w:eastAsia="Times New Roman" w:cs="Times New Roman"/>
                <w:color w:val="000000"/>
                <w:sz w:val="22"/>
                <w:szCs w:val="22"/>
                <w:lang w:eastAsia="lv-LV"/>
              </w:rPr>
              <w:t>%</w:t>
            </w:r>
            <w:r w:rsidR="0097775C">
              <w:rPr>
                <w:rFonts w:eastAsia="Times New Roman" w:cs="Times New Roman"/>
                <w:color w:val="000000"/>
                <w:sz w:val="22"/>
                <w:szCs w:val="22"/>
                <w:lang w:eastAsia="lv-LV"/>
              </w:rPr>
              <w:t>)</w:t>
            </w:r>
          </w:p>
        </w:tc>
      </w:tr>
      <w:tr w:rsidR="002B18B1" w:rsidRPr="002B18B1" w14:paraId="7009447F" w14:textId="77777777" w:rsidTr="002B18B1">
        <w:trPr>
          <w:trHeight w:val="258"/>
        </w:trPr>
        <w:tc>
          <w:tcPr>
            <w:tcW w:w="1170" w:type="pct"/>
            <w:shd w:val="clear" w:color="auto" w:fill="A8D08D" w:themeFill="accent6" w:themeFillTint="99"/>
            <w:vAlign w:val="center"/>
          </w:tcPr>
          <w:p w14:paraId="7F9009D9" w14:textId="79603FD3" w:rsidR="002B18B1" w:rsidRPr="002B18B1" w:rsidRDefault="002B18B1" w:rsidP="002B18B1">
            <w:pPr>
              <w:jc w:val="center"/>
              <w:rPr>
                <w:rFonts w:eastAsia="Times New Roman" w:cs="Times New Roman"/>
                <w:b/>
                <w:bCs/>
                <w:color w:val="000000"/>
                <w:sz w:val="22"/>
                <w:szCs w:val="22"/>
                <w:lang w:eastAsia="lv-LV"/>
              </w:rPr>
            </w:pPr>
            <w:r w:rsidRPr="002B18B1">
              <w:rPr>
                <w:rFonts w:eastAsia="Times New Roman" w:cs="Times New Roman"/>
                <w:b/>
                <w:bCs/>
                <w:color w:val="000000"/>
                <w:sz w:val="22"/>
                <w:szCs w:val="22"/>
                <w:lang w:eastAsia="lv-LV"/>
              </w:rPr>
              <w:t>Darba aizsardzība un darba tiesiskās attiecības</w:t>
            </w:r>
          </w:p>
        </w:tc>
        <w:tc>
          <w:tcPr>
            <w:tcW w:w="3830" w:type="pct"/>
            <w:shd w:val="clear" w:color="000000" w:fill="EBF1E9"/>
            <w:vAlign w:val="center"/>
          </w:tcPr>
          <w:p w14:paraId="53D6BC79" w14:textId="1B1B7339"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Smag</w:t>
            </w:r>
            <w:r w:rsidR="0097775C">
              <w:rPr>
                <w:rFonts w:eastAsia="Times New Roman" w:cs="Times New Roman"/>
                <w:color w:val="000000"/>
                <w:sz w:val="22"/>
                <w:szCs w:val="22"/>
                <w:lang w:eastAsia="lv-LV"/>
              </w:rPr>
              <w:t>i</w:t>
            </w:r>
            <w:r w:rsidRPr="002B18B1">
              <w:rPr>
                <w:rFonts w:eastAsia="Times New Roman" w:cs="Times New Roman"/>
                <w:color w:val="000000"/>
                <w:sz w:val="22"/>
                <w:szCs w:val="22"/>
                <w:lang w:eastAsia="lv-LV"/>
              </w:rPr>
              <w:t xml:space="preserve"> un letāl</w:t>
            </w:r>
            <w:r w:rsidR="0097775C">
              <w:rPr>
                <w:rFonts w:eastAsia="Times New Roman" w:cs="Times New Roman"/>
                <w:color w:val="000000"/>
                <w:sz w:val="22"/>
                <w:szCs w:val="22"/>
                <w:lang w:eastAsia="lv-LV"/>
              </w:rPr>
              <w:t>i</w:t>
            </w:r>
            <w:r w:rsidRPr="002B18B1">
              <w:rPr>
                <w:rFonts w:eastAsia="Times New Roman" w:cs="Times New Roman"/>
                <w:color w:val="000000"/>
                <w:sz w:val="22"/>
                <w:szCs w:val="22"/>
                <w:lang w:eastAsia="lv-LV"/>
              </w:rPr>
              <w:t xml:space="preserve"> nelaimes gadījum</w:t>
            </w:r>
            <w:r w:rsidR="0097775C">
              <w:rPr>
                <w:rFonts w:eastAsia="Times New Roman" w:cs="Times New Roman"/>
                <w:color w:val="000000"/>
                <w:sz w:val="22"/>
                <w:szCs w:val="22"/>
                <w:lang w:eastAsia="lv-LV"/>
              </w:rPr>
              <w:t>i</w:t>
            </w:r>
            <w:r w:rsidRPr="002B18B1">
              <w:rPr>
                <w:rFonts w:eastAsia="Times New Roman" w:cs="Times New Roman"/>
                <w:color w:val="000000"/>
                <w:sz w:val="22"/>
                <w:szCs w:val="22"/>
                <w:lang w:eastAsia="lv-LV"/>
              </w:rPr>
              <w:t xml:space="preserve"> uz 100 000 nodarbinātajiem</w:t>
            </w:r>
            <w:r w:rsidR="0097775C">
              <w:rPr>
                <w:rFonts w:eastAsia="Times New Roman" w:cs="Times New Roman"/>
                <w:color w:val="000000"/>
                <w:sz w:val="22"/>
                <w:szCs w:val="22"/>
                <w:lang w:eastAsia="lv-LV"/>
              </w:rPr>
              <w:t xml:space="preserve"> (skaits)</w:t>
            </w:r>
          </w:p>
        </w:tc>
      </w:tr>
      <w:tr w:rsidR="002B18B1" w:rsidRPr="002B18B1" w14:paraId="389AB5A1" w14:textId="77777777" w:rsidTr="002B18B1">
        <w:trPr>
          <w:trHeight w:val="233"/>
        </w:trPr>
        <w:tc>
          <w:tcPr>
            <w:tcW w:w="1170" w:type="pct"/>
            <w:vMerge w:val="restart"/>
            <w:shd w:val="clear" w:color="000000" w:fill="A9D18E"/>
            <w:vAlign w:val="center"/>
            <w:hideMark/>
          </w:tcPr>
          <w:p w14:paraId="3E1B7147" w14:textId="77777777" w:rsidR="002B18B1" w:rsidRPr="002B18B1" w:rsidRDefault="002B18B1" w:rsidP="002B18B1">
            <w:pPr>
              <w:jc w:val="center"/>
              <w:rPr>
                <w:rFonts w:eastAsia="Times New Roman" w:cs="Times New Roman"/>
                <w:b/>
                <w:bCs/>
                <w:color w:val="000000"/>
                <w:sz w:val="22"/>
                <w:szCs w:val="22"/>
                <w:lang w:eastAsia="lv-LV"/>
              </w:rPr>
            </w:pPr>
            <w:r w:rsidRPr="002B18B1">
              <w:rPr>
                <w:rFonts w:eastAsia="Times New Roman" w:cs="Times New Roman"/>
                <w:b/>
                <w:bCs/>
                <w:color w:val="000000"/>
                <w:sz w:val="22"/>
                <w:szCs w:val="22"/>
                <w:lang w:eastAsia="lv-LV"/>
              </w:rPr>
              <w:t>Darba tirgus attīstība</w:t>
            </w:r>
          </w:p>
        </w:tc>
        <w:tc>
          <w:tcPr>
            <w:tcW w:w="3830" w:type="pct"/>
            <w:shd w:val="clear" w:color="000000" w:fill="EBF1E9"/>
            <w:vAlign w:val="center"/>
            <w:hideMark/>
          </w:tcPr>
          <w:p w14:paraId="3DD58157" w14:textId="1B0D8FE7"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Nodarbinātības līmenis (vecuma grupā 20-64 gadi) no kopējā iedzīvotāju skaita</w:t>
            </w:r>
            <w:r w:rsidR="0097775C">
              <w:rPr>
                <w:rFonts w:eastAsia="Times New Roman" w:cs="Times New Roman"/>
                <w:color w:val="000000"/>
                <w:sz w:val="22"/>
                <w:szCs w:val="22"/>
                <w:lang w:eastAsia="lv-LV"/>
              </w:rPr>
              <w:t xml:space="preserve"> (skaits)</w:t>
            </w:r>
          </w:p>
        </w:tc>
      </w:tr>
      <w:tr w:rsidR="002B18B1" w:rsidRPr="002B18B1" w14:paraId="366E1EEA" w14:textId="77777777" w:rsidTr="002B18B1">
        <w:trPr>
          <w:trHeight w:val="70"/>
        </w:trPr>
        <w:tc>
          <w:tcPr>
            <w:tcW w:w="1170" w:type="pct"/>
            <w:vMerge/>
            <w:vAlign w:val="center"/>
            <w:hideMark/>
          </w:tcPr>
          <w:p w14:paraId="2236A7A0" w14:textId="77777777" w:rsidR="002B18B1" w:rsidRPr="002B18B1" w:rsidRDefault="002B18B1" w:rsidP="002B18B1">
            <w:pPr>
              <w:rPr>
                <w:rFonts w:eastAsia="Times New Roman" w:cs="Times New Roman"/>
                <w:b/>
                <w:bCs/>
                <w:color w:val="000000"/>
                <w:sz w:val="22"/>
                <w:szCs w:val="22"/>
                <w:lang w:eastAsia="lv-LV"/>
              </w:rPr>
            </w:pPr>
          </w:p>
        </w:tc>
        <w:tc>
          <w:tcPr>
            <w:tcW w:w="3830" w:type="pct"/>
            <w:shd w:val="clear" w:color="000000" w:fill="EBF1E9"/>
            <w:vAlign w:val="center"/>
            <w:hideMark/>
          </w:tcPr>
          <w:p w14:paraId="25C95934" w14:textId="484A7CCB"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Ilgstoša bezdarba līmenis vecuma grupā 15-74 gadi</w:t>
            </w:r>
            <w:r w:rsidR="0097775C">
              <w:rPr>
                <w:rFonts w:eastAsia="Times New Roman" w:cs="Times New Roman"/>
                <w:color w:val="000000"/>
                <w:sz w:val="22"/>
                <w:szCs w:val="22"/>
                <w:lang w:eastAsia="lv-LV"/>
              </w:rPr>
              <w:t xml:space="preserve"> (</w:t>
            </w:r>
            <w:r w:rsidRPr="002B18B1">
              <w:rPr>
                <w:rFonts w:eastAsia="Times New Roman" w:cs="Times New Roman"/>
                <w:color w:val="000000"/>
                <w:sz w:val="22"/>
                <w:szCs w:val="22"/>
                <w:lang w:eastAsia="lv-LV"/>
              </w:rPr>
              <w:t>%</w:t>
            </w:r>
            <w:r w:rsidR="0097775C">
              <w:rPr>
                <w:rFonts w:eastAsia="Times New Roman" w:cs="Times New Roman"/>
                <w:color w:val="000000"/>
                <w:sz w:val="22"/>
                <w:szCs w:val="22"/>
                <w:lang w:eastAsia="lv-LV"/>
              </w:rPr>
              <w:t>)</w:t>
            </w:r>
          </w:p>
        </w:tc>
      </w:tr>
      <w:tr w:rsidR="002B18B1" w:rsidRPr="002B18B1" w14:paraId="0D21D086" w14:textId="77777777" w:rsidTr="002B18B1">
        <w:trPr>
          <w:trHeight w:val="333"/>
        </w:trPr>
        <w:tc>
          <w:tcPr>
            <w:tcW w:w="1170" w:type="pct"/>
            <w:vMerge/>
            <w:vAlign w:val="center"/>
            <w:hideMark/>
          </w:tcPr>
          <w:p w14:paraId="39A4C83B" w14:textId="77777777" w:rsidR="002B18B1" w:rsidRPr="002B18B1" w:rsidRDefault="002B18B1" w:rsidP="002B18B1">
            <w:pPr>
              <w:rPr>
                <w:rFonts w:eastAsia="Times New Roman" w:cs="Times New Roman"/>
                <w:b/>
                <w:bCs/>
                <w:color w:val="000000"/>
                <w:sz w:val="22"/>
                <w:szCs w:val="22"/>
                <w:lang w:eastAsia="lv-LV"/>
              </w:rPr>
            </w:pPr>
          </w:p>
        </w:tc>
        <w:tc>
          <w:tcPr>
            <w:tcW w:w="3830" w:type="pct"/>
            <w:shd w:val="clear" w:color="000000" w:fill="EBF1E9"/>
            <w:vAlign w:val="center"/>
            <w:hideMark/>
          </w:tcPr>
          <w:p w14:paraId="01A25561" w14:textId="063E4D55"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15–24 gadus vecu personu īpatsvars, kuras nav iesaistītas izglītībā vai darba tirgū (NEET)</w:t>
            </w:r>
            <w:r w:rsidR="0097775C">
              <w:rPr>
                <w:rFonts w:eastAsia="Times New Roman" w:cs="Times New Roman"/>
                <w:color w:val="000000"/>
                <w:sz w:val="22"/>
                <w:szCs w:val="22"/>
                <w:lang w:eastAsia="lv-LV"/>
              </w:rPr>
              <w:t xml:space="preserve"> (</w:t>
            </w:r>
            <w:r w:rsidRPr="002B18B1">
              <w:rPr>
                <w:rFonts w:eastAsia="Times New Roman" w:cs="Times New Roman"/>
                <w:color w:val="000000"/>
                <w:sz w:val="22"/>
                <w:szCs w:val="22"/>
                <w:lang w:eastAsia="lv-LV"/>
              </w:rPr>
              <w:t>%</w:t>
            </w:r>
            <w:r w:rsidR="0097775C">
              <w:rPr>
                <w:rFonts w:eastAsia="Times New Roman" w:cs="Times New Roman"/>
                <w:color w:val="000000"/>
                <w:sz w:val="22"/>
                <w:szCs w:val="22"/>
                <w:lang w:eastAsia="lv-LV"/>
              </w:rPr>
              <w:t>)</w:t>
            </w:r>
          </w:p>
        </w:tc>
      </w:tr>
      <w:tr w:rsidR="002B18B1" w:rsidRPr="002B18B1" w14:paraId="5EF98712" w14:textId="77777777" w:rsidTr="002B18B1">
        <w:trPr>
          <w:trHeight w:val="113"/>
        </w:trPr>
        <w:tc>
          <w:tcPr>
            <w:tcW w:w="1170" w:type="pct"/>
            <w:vMerge/>
            <w:vAlign w:val="center"/>
            <w:hideMark/>
          </w:tcPr>
          <w:p w14:paraId="65496AE3" w14:textId="77777777" w:rsidR="002B18B1" w:rsidRPr="002B18B1" w:rsidRDefault="002B18B1" w:rsidP="002B18B1">
            <w:pPr>
              <w:rPr>
                <w:rFonts w:eastAsia="Times New Roman" w:cs="Times New Roman"/>
                <w:b/>
                <w:bCs/>
                <w:color w:val="000000"/>
                <w:sz w:val="22"/>
                <w:szCs w:val="22"/>
                <w:lang w:eastAsia="lv-LV"/>
              </w:rPr>
            </w:pPr>
          </w:p>
        </w:tc>
        <w:tc>
          <w:tcPr>
            <w:tcW w:w="3830" w:type="pct"/>
            <w:shd w:val="clear" w:color="000000" w:fill="EBF1E9"/>
            <w:vAlign w:val="center"/>
            <w:hideMark/>
          </w:tcPr>
          <w:p w14:paraId="4C9667DF" w14:textId="482D99FC"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Nabadzības riska indekss strādājošajiem vecuma grupā no 18 līdz 64 gadiem</w:t>
            </w:r>
            <w:r w:rsidR="0097775C">
              <w:rPr>
                <w:rFonts w:eastAsia="Times New Roman" w:cs="Times New Roman"/>
                <w:color w:val="000000"/>
                <w:sz w:val="22"/>
                <w:szCs w:val="22"/>
                <w:lang w:eastAsia="lv-LV"/>
              </w:rPr>
              <w:t xml:space="preserve"> (</w:t>
            </w:r>
            <w:r w:rsidRPr="002B18B1">
              <w:rPr>
                <w:rFonts w:eastAsia="Times New Roman" w:cs="Times New Roman"/>
                <w:color w:val="000000"/>
                <w:sz w:val="22"/>
                <w:szCs w:val="22"/>
                <w:lang w:eastAsia="lv-LV"/>
              </w:rPr>
              <w:t>%</w:t>
            </w:r>
            <w:r w:rsidR="0097775C">
              <w:rPr>
                <w:rFonts w:eastAsia="Times New Roman" w:cs="Times New Roman"/>
                <w:color w:val="000000"/>
                <w:sz w:val="22"/>
                <w:szCs w:val="22"/>
                <w:lang w:eastAsia="lv-LV"/>
              </w:rPr>
              <w:t>)</w:t>
            </w:r>
          </w:p>
        </w:tc>
      </w:tr>
      <w:tr w:rsidR="002B18B1" w:rsidRPr="002B18B1" w14:paraId="14779F77" w14:textId="77777777" w:rsidTr="002B18B1">
        <w:trPr>
          <w:trHeight w:val="149"/>
        </w:trPr>
        <w:tc>
          <w:tcPr>
            <w:tcW w:w="1170" w:type="pct"/>
            <w:vMerge w:val="restart"/>
            <w:shd w:val="clear" w:color="000000" w:fill="A9D18E"/>
            <w:vAlign w:val="center"/>
            <w:hideMark/>
          </w:tcPr>
          <w:p w14:paraId="25BFB19B" w14:textId="77777777" w:rsidR="002B18B1" w:rsidRPr="002B18B1" w:rsidRDefault="002B18B1" w:rsidP="002B18B1">
            <w:pPr>
              <w:jc w:val="center"/>
              <w:rPr>
                <w:rFonts w:eastAsia="Times New Roman" w:cs="Times New Roman"/>
                <w:b/>
                <w:bCs/>
                <w:color w:val="000000"/>
                <w:sz w:val="22"/>
                <w:szCs w:val="22"/>
                <w:lang w:eastAsia="lv-LV"/>
              </w:rPr>
            </w:pPr>
            <w:r w:rsidRPr="002B18B1">
              <w:rPr>
                <w:rFonts w:eastAsia="Times New Roman" w:cs="Times New Roman"/>
                <w:b/>
                <w:bCs/>
                <w:color w:val="000000"/>
                <w:sz w:val="22"/>
                <w:szCs w:val="22"/>
                <w:lang w:eastAsia="lv-LV"/>
              </w:rPr>
              <w:t>Invaliditātes noteikšanas sistēma</w:t>
            </w:r>
          </w:p>
        </w:tc>
        <w:tc>
          <w:tcPr>
            <w:tcW w:w="3830" w:type="pct"/>
            <w:shd w:val="clear" w:color="000000" w:fill="EBF1E9"/>
            <w:vAlign w:val="center"/>
            <w:hideMark/>
          </w:tcPr>
          <w:p w14:paraId="460D48A5" w14:textId="7FC40E4C"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 xml:space="preserve">Bērnu un jauniešu ar speciālām vajadzībām īpatsvars, kas turpina izglītību pēc obligātās izglītības iegūšanas </w:t>
            </w:r>
            <w:r w:rsidR="0097775C">
              <w:rPr>
                <w:rFonts w:eastAsia="Times New Roman" w:cs="Times New Roman"/>
                <w:color w:val="000000"/>
                <w:sz w:val="22"/>
                <w:szCs w:val="22"/>
                <w:lang w:eastAsia="lv-LV"/>
              </w:rPr>
              <w:t>(</w:t>
            </w:r>
            <w:r w:rsidRPr="002B18B1">
              <w:rPr>
                <w:rFonts w:eastAsia="Times New Roman" w:cs="Times New Roman"/>
                <w:color w:val="000000"/>
                <w:sz w:val="22"/>
                <w:szCs w:val="22"/>
                <w:lang w:eastAsia="lv-LV"/>
              </w:rPr>
              <w:t>%</w:t>
            </w:r>
            <w:r w:rsidR="0097775C">
              <w:rPr>
                <w:rFonts w:eastAsia="Times New Roman" w:cs="Times New Roman"/>
                <w:color w:val="000000"/>
                <w:sz w:val="22"/>
                <w:szCs w:val="22"/>
                <w:lang w:eastAsia="lv-LV"/>
              </w:rPr>
              <w:t>)</w:t>
            </w:r>
          </w:p>
        </w:tc>
      </w:tr>
      <w:tr w:rsidR="002B18B1" w:rsidRPr="002B18B1" w14:paraId="6B4CF272" w14:textId="77777777" w:rsidTr="002B18B1">
        <w:trPr>
          <w:trHeight w:val="355"/>
        </w:trPr>
        <w:tc>
          <w:tcPr>
            <w:tcW w:w="1170" w:type="pct"/>
            <w:vMerge/>
            <w:vAlign w:val="center"/>
            <w:hideMark/>
          </w:tcPr>
          <w:p w14:paraId="4C2D5F0A" w14:textId="77777777" w:rsidR="002B18B1" w:rsidRPr="002B18B1" w:rsidRDefault="002B18B1" w:rsidP="002B18B1">
            <w:pPr>
              <w:rPr>
                <w:rFonts w:eastAsia="Times New Roman" w:cs="Times New Roman"/>
                <w:b/>
                <w:bCs/>
                <w:color w:val="000000"/>
                <w:sz w:val="22"/>
                <w:szCs w:val="22"/>
                <w:lang w:eastAsia="lv-LV"/>
              </w:rPr>
            </w:pPr>
          </w:p>
        </w:tc>
        <w:tc>
          <w:tcPr>
            <w:tcW w:w="3830" w:type="pct"/>
            <w:shd w:val="clear" w:color="000000" w:fill="EBF1E9"/>
            <w:vAlign w:val="center"/>
            <w:hideMark/>
          </w:tcPr>
          <w:p w14:paraId="03A3CF10" w14:textId="70DD6909"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Nodarbinātības līmenis personām ar invaliditāti (vecuma grupā 20-64 gadi) no kopējā personu ar invaliditāti skaita attiecīgajā vecuma grupā gada beigās</w:t>
            </w:r>
            <w:r w:rsidR="0097775C">
              <w:rPr>
                <w:rFonts w:eastAsia="Times New Roman" w:cs="Times New Roman"/>
                <w:color w:val="000000"/>
                <w:sz w:val="22"/>
                <w:szCs w:val="22"/>
                <w:lang w:eastAsia="lv-LV"/>
              </w:rPr>
              <w:t xml:space="preserve"> (%)</w:t>
            </w:r>
          </w:p>
        </w:tc>
      </w:tr>
      <w:tr w:rsidR="002B18B1" w:rsidRPr="002B18B1" w14:paraId="7F97054B" w14:textId="77777777" w:rsidTr="002B18B1">
        <w:trPr>
          <w:trHeight w:val="295"/>
        </w:trPr>
        <w:tc>
          <w:tcPr>
            <w:tcW w:w="1170" w:type="pct"/>
            <w:shd w:val="clear" w:color="000000" w:fill="A9D18E"/>
            <w:vAlign w:val="center"/>
            <w:hideMark/>
          </w:tcPr>
          <w:p w14:paraId="01FDFDAC" w14:textId="77777777" w:rsidR="002B18B1" w:rsidRPr="002B18B1" w:rsidRDefault="002B18B1" w:rsidP="002B18B1">
            <w:pPr>
              <w:jc w:val="center"/>
              <w:rPr>
                <w:rFonts w:eastAsia="Times New Roman" w:cs="Times New Roman"/>
                <w:b/>
                <w:bCs/>
                <w:color w:val="000000"/>
                <w:sz w:val="22"/>
                <w:szCs w:val="22"/>
                <w:lang w:eastAsia="lv-LV"/>
              </w:rPr>
            </w:pPr>
            <w:r w:rsidRPr="002B18B1">
              <w:rPr>
                <w:rFonts w:eastAsia="Times New Roman" w:cs="Times New Roman"/>
                <w:b/>
                <w:bCs/>
                <w:color w:val="000000"/>
                <w:sz w:val="22"/>
                <w:szCs w:val="22"/>
                <w:lang w:eastAsia="lv-LV"/>
              </w:rPr>
              <w:t>Bērnu tiesību aizsardzība</w:t>
            </w:r>
          </w:p>
        </w:tc>
        <w:tc>
          <w:tcPr>
            <w:tcW w:w="3830" w:type="pct"/>
            <w:shd w:val="clear" w:color="000000" w:fill="EBF1E9"/>
            <w:vAlign w:val="center"/>
            <w:hideMark/>
          </w:tcPr>
          <w:p w14:paraId="07F96583" w14:textId="6A1A85B4"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 xml:space="preserve">Aizbildnībā un audžuģimenēs (ģimeniskā vidē) dzīvojošu bērnu īpatsvars no visu </w:t>
            </w:r>
            <w:proofErr w:type="spellStart"/>
            <w:r w:rsidRPr="002B18B1">
              <w:rPr>
                <w:rFonts w:eastAsia="Times New Roman" w:cs="Times New Roman"/>
                <w:color w:val="000000"/>
                <w:sz w:val="22"/>
                <w:szCs w:val="22"/>
                <w:lang w:eastAsia="lv-LV"/>
              </w:rPr>
              <w:t>ārpusģimenes</w:t>
            </w:r>
            <w:proofErr w:type="spellEnd"/>
            <w:r w:rsidRPr="002B18B1">
              <w:rPr>
                <w:rFonts w:eastAsia="Times New Roman" w:cs="Times New Roman"/>
                <w:color w:val="000000"/>
                <w:sz w:val="22"/>
                <w:szCs w:val="22"/>
                <w:lang w:eastAsia="lv-LV"/>
              </w:rPr>
              <w:t xml:space="preserve"> aprūpē esošo bērnu skaita</w:t>
            </w:r>
            <w:r w:rsidR="0097775C">
              <w:rPr>
                <w:rFonts w:eastAsia="Times New Roman" w:cs="Times New Roman"/>
                <w:color w:val="000000"/>
                <w:sz w:val="22"/>
                <w:szCs w:val="22"/>
                <w:lang w:eastAsia="lv-LV"/>
              </w:rPr>
              <w:t xml:space="preserve"> (</w:t>
            </w:r>
            <w:r w:rsidRPr="002B18B1">
              <w:rPr>
                <w:rFonts w:eastAsia="Times New Roman" w:cs="Times New Roman"/>
                <w:color w:val="000000"/>
                <w:sz w:val="22"/>
                <w:szCs w:val="22"/>
                <w:lang w:eastAsia="lv-LV"/>
              </w:rPr>
              <w:t>%</w:t>
            </w:r>
            <w:r w:rsidR="0097775C">
              <w:rPr>
                <w:rFonts w:eastAsia="Times New Roman" w:cs="Times New Roman"/>
                <w:color w:val="000000"/>
                <w:sz w:val="22"/>
                <w:szCs w:val="22"/>
                <w:lang w:eastAsia="lv-LV"/>
              </w:rPr>
              <w:t>)</w:t>
            </w:r>
          </w:p>
        </w:tc>
      </w:tr>
    </w:tbl>
    <w:p w14:paraId="3C45E3D7" w14:textId="77777777" w:rsidR="002B18B1" w:rsidRDefault="002B18B1" w:rsidP="0056451E">
      <w:pPr>
        <w:spacing w:after="120"/>
      </w:pPr>
    </w:p>
    <w:p w14:paraId="09A664EC" w14:textId="6CC0A2FC" w:rsidR="00341E0B" w:rsidRDefault="002B18B1" w:rsidP="002B18B1">
      <w:pPr>
        <w:spacing w:after="120"/>
      </w:pPr>
      <w:r>
        <w:t>Satiksmes ministrija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6913"/>
      </w:tblGrid>
      <w:tr w:rsidR="002B18B1" w:rsidRPr="002B18B1" w14:paraId="4BDDB5E3" w14:textId="77777777" w:rsidTr="00E20E29">
        <w:trPr>
          <w:trHeight w:val="70"/>
          <w:tblHeader/>
        </w:trPr>
        <w:tc>
          <w:tcPr>
            <w:tcW w:w="1185" w:type="pct"/>
            <w:shd w:val="clear" w:color="000000" w:fill="A9D08E"/>
            <w:noWrap/>
            <w:vAlign w:val="bottom"/>
            <w:hideMark/>
          </w:tcPr>
          <w:p w14:paraId="18F05FF7" w14:textId="77777777" w:rsidR="002B18B1" w:rsidRPr="002B18B1" w:rsidRDefault="002B18B1" w:rsidP="002B18B1">
            <w:pPr>
              <w:jc w:val="center"/>
              <w:rPr>
                <w:rFonts w:eastAsia="Times New Roman" w:cs="Times New Roman"/>
                <w:b/>
                <w:bCs/>
                <w:color w:val="000000"/>
                <w:sz w:val="22"/>
                <w:szCs w:val="22"/>
                <w:lang w:eastAsia="lv-LV"/>
              </w:rPr>
            </w:pPr>
            <w:r w:rsidRPr="002B18B1">
              <w:rPr>
                <w:rFonts w:eastAsia="Times New Roman" w:cs="Times New Roman"/>
                <w:b/>
                <w:bCs/>
                <w:color w:val="000000"/>
                <w:sz w:val="22"/>
                <w:szCs w:val="22"/>
                <w:lang w:eastAsia="lv-LV"/>
              </w:rPr>
              <w:t xml:space="preserve">Joma </w:t>
            </w:r>
          </w:p>
        </w:tc>
        <w:tc>
          <w:tcPr>
            <w:tcW w:w="3815" w:type="pct"/>
            <w:shd w:val="clear" w:color="000000" w:fill="A9D08E"/>
            <w:noWrap/>
            <w:vAlign w:val="bottom"/>
            <w:hideMark/>
          </w:tcPr>
          <w:p w14:paraId="589E4C30" w14:textId="77777777" w:rsidR="002B18B1" w:rsidRPr="002B18B1" w:rsidRDefault="002B18B1" w:rsidP="002B18B1">
            <w:pPr>
              <w:jc w:val="center"/>
              <w:rPr>
                <w:rFonts w:eastAsia="Times New Roman" w:cs="Times New Roman"/>
                <w:b/>
                <w:bCs/>
                <w:color w:val="000000"/>
                <w:sz w:val="22"/>
                <w:szCs w:val="22"/>
                <w:lang w:eastAsia="lv-LV"/>
              </w:rPr>
            </w:pPr>
            <w:r w:rsidRPr="002B18B1">
              <w:rPr>
                <w:rFonts w:eastAsia="Times New Roman" w:cs="Times New Roman"/>
                <w:b/>
                <w:bCs/>
                <w:color w:val="000000"/>
                <w:sz w:val="22"/>
                <w:szCs w:val="22"/>
                <w:lang w:eastAsia="lv-LV"/>
              </w:rPr>
              <w:t>Politikas rezultatīvie rādītāji</w:t>
            </w:r>
          </w:p>
        </w:tc>
      </w:tr>
      <w:tr w:rsidR="002B18B1" w:rsidRPr="002B18B1" w14:paraId="32D70F87" w14:textId="77777777" w:rsidTr="002B18B1">
        <w:trPr>
          <w:trHeight w:val="245"/>
        </w:trPr>
        <w:tc>
          <w:tcPr>
            <w:tcW w:w="1185" w:type="pct"/>
            <w:vMerge w:val="restart"/>
            <w:shd w:val="clear" w:color="000000" w:fill="A9D18E"/>
            <w:vAlign w:val="center"/>
            <w:hideMark/>
          </w:tcPr>
          <w:p w14:paraId="1397A740" w14:textId="77777777" w:rsidR="002B18B1" w:rsidRPr="002B18B1" w:rsidRDefault="002B18B1" w:rsidP="002B18B1">
            <w:pPr>
              <w:jc w:val="center"/>
              <w:rPr>
                <w:rFonts w:eastAsia="Times New Roman" w:cs="Times New Roman"/>
                <w:b/>
                <w:bCs/>
                <w:color w:val="000000"/>
                <w:sz w:val="22"/>
                <w:szCs w:val="22"/>
                <w:lang w:eastAsia="lv-LV"/>
              </w:rPr>
            </w:pPr>
            <w:r w:rsidRPr="002B18B1">
              <w:rPr>
                <w:rFonts w:eastAsia="Times New Roman" w:cs="Times New Roman"/>
                <w:b/>
                <w:bCs/>
                <w:color w:val="000000"/>
                <w:sz w:val="22"/>
                <w:szCs w:val="22"/>
                <w:lang w:eastAsia="lv-LV"/>
              </w:rPr>
              <w:t>Nozaru vadība un politikas plānošana</w:t>
            </w:r>
          </w:p>
        </w:tc>
        <w:tc>
          <w:tcPr>
            <w:tcW w:w="3815" w:type="pct"/>
            <w:shd w:val="clear" w:color="000000" w:fill="EBF1E9"/>
            <w:vAlign w:val="center"/>
            <w:hideMark/>
          </w:tcPr>
          <w:p w14:paraId="3BF7F74D" w14:textId="77777777"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Globālais konkurētspējas indekss: Transporta infrastruktūras indekss (vieta/punkti)</w:t>
            </w:r>
          </w:p>
        </w:tc>
      </w:tr>
      <w:tr w:rsidR="002B18B1" w:rsidRPr="002B18B1" w14:paraId="69136C5F" w14:textId="77777777" w:rsidTr="002B18B1">
        <w:trPr>
          <w:trHeight w:val="153"/>
        </w:trPr>
        <w:tc>
          <w:tcPr>
            <w:tcW w:w="1185" w:type="pct"/>
            <w:vMerge/>
            <w:vAlign w:val="center"/>
            <w:hideMark/>
          </w:tcPr>
          <w:p w14:paraId="7F7B7D9D" w14:textId="77777777" w:rsidR="002B18B1" w:rsidRPr="002B18B1" w:rsidRDefault="002B18B1" w:rsidP="002B18B1">
            <w:pPr>
              <w:rPr>
                <w:rFonts w:eastAsia="Times New Roman" w:cs="Times New Roman"/>
                <w:b/>
                <w:bCs/>
                <w:color w:val="000000"/>
                <w:sz w:val="22"/>
                <w:szCs w:val="22"/>
                <w:lang w:eastAsia="lv-LV"/>
              </w:rPr>
            </w:pPr>
          </w:p>
        </w:tc>
        <w:tc>
          <w:tcPr>
            <w:tcW w:w="3815" w:type="pct"/>
            <w:shd w:val="clear" w:color="000000" w:fill="EBF1E9"/>
            <w:vAlign w:val="center"/>
            <w:hideMark/>
          </w:tcPr>
          <w:p w14:paraId="3F8EEC7E" w14:textId="77777777" w:rsidR="002B18B1" w:rsidRPr="002B18B1" w:rsidRDefault="002B18B1" w:rsidP="002B18B1">
            <w:pPr>
              <w:jc w:val="center"/>
              <w:rPr>
                <w:rFonts w:eastAsia="Times New Roman" w:cs="Times New Roman"/>
                <w:color w:val="000000"/>
                <w:sz w:val="22"/>
                <w:szCs w:val="22"/>
                <w:lang w:eastAsia="lv-LV"/>
              </w:rPr>
            </w:pPr>
            <w:proofErr w:type="spellStart"/>
            <w:r w:rsidRPr="002B18B1">
              <w:rPr>
                <w:rFonts w:eastAsia="Times New Roman" w:cs="Times New Roman"/>
                <w:color w:val="000000"/>
                <w:sz w:val="22"/>
                <w:szCs w:val="22"/>
                <w:lang w:eastAsia="lv-LV"/>
              </w:rPr>
              <w:t>Bezemisiju</w:t>
            </w:r>
            <w:proofErr w:type="spellEnd"/>
            <w:r w:rsidRPr="002B18B1">
              <w:rPr>
                <w:rFonts w:eastAsia="Times New Roman" w:cs="Times New Roman"/>
                <w:color w:val="000000"/>
                <w:sz w:val="22"/>
                <w:szCs w:val="22"/>
                <w:lang w:eastAsia="lv-LV"/>
              </w:rPr>
              <w:t xml:space="preserve"> transportlīdzekļu īpatsvars no visiem transportlīdzekļiem (%)</w:t>
            </w:r>
          </w:p>
        </w:tc>
      </w:tr>
      <w:tr w:rsidR="002B18B1" w:rsidRPr="002B18B1" w14:paraId="1CB13B41" w14:textId="77777777" w:rsidTr="002B18B1">
        <w:trPr>
          <w:trHeight w:val="217"/>
        </w:trPr>
        <w:tc>
          <w:tcPr>
            <w:tcW w:w="1185" w:type="pct"/>
            <w:vMerge/>
            <w:vAlign w:val="center"/>
            <w:hideMark/>
          </w:tcPr>
          <w:p w14:paraId="2931671C" w14:textId="77777777" w:rsidR="002B18B1" w:rsidRPr="002B18B1" w:rsidRDefault="002B18B1" w:rsidP="002B18B1">
            <w:pPr>
              <w:rPr>
                <w:rFonts w:eastAsia="Times New Roman" w:cs="Times New Roman"/>
                <w:b/>
                <w:bCs/>
                <w:color w:val="000000"/>
                <w:sz w:val="22"/>
                <w:szCs w:val="22"/>
                <w:lang w:eastAsia="lv-LV"/>
              </w:rPr>
            </w:pPr>
          </w:p>
        </w:tc>
        <w:tc>
          <w:tcPr>
            <w:tcW w:w="3815" w:type="pct"/>
            <w:shd w:val="clear" w:color="000000" w:fill="EBF1E9"/>
            <w:vAlign w:val="center"/>
            <w:hideMark/>
          </w:tcPr>
          <w:p w14:paraId="674D548B" w14:textId="77777777"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No AER saražotās enerģijas īpatsvars transportā (%)</w:t>
            </w:r>
          </w:p>
        </w:tc>
      </w:tr>
      <w:tr w:rsidR="002B18B1" w:rsidRPr="002B18B1" w14:paraId="6251AF68" w14:textId="77777777" w:rsidTr="002B18B1">
        <w:trPr>
          <w:trHeight w:val="235"/>
        </w:trPr>
        <w:tc>
          <w:tcPr>
            <w:tcW w:w="1185" w:type="pct"/>
            <w:vMerge w:val="restart"/>
            <w:shd w:val="clear" w:color="000000" w:fill="A9D18E"/>
            <w:vAlign w:val="center"/>
            <w:hideMark/>
          </w:tcPr>
          <w:p w14:paraId="563AEF86" w14:textId="77777777" w:rsidR="002B18B1" w:rsidRPr="002B18B1" w:rsidRDefault="002B18B1" w:rsidP="002B18B1">
            <w:pPr>
              <w:jc w:val="center"/>
              <w:rPr>
                <w:rFonts w:eastAsia="Times New Roman" w:cs="Times New Roman"/>
                <w:b/>
                <w:bCs/>
                <w:color w:val="000000"/>
                <w:sz w:val="22"/>
                <w:szCs w:val="22"/>
                <w:lang w:eastAsia="lv-LV"/>
              </w:rPr>
            </w:pPr>
            <w:r w:rsidRPr="002B18B1">
              <w:rPr>
                <w:rFonts w:eastAsia="Times New Roman" w:cs="Times New Roman"/>
                <w:b/>
                <w:bCs/>
                <w:color w:val="000000"/>
                <w:sz w:val="22"/>
                <w:szCs w:val="22"/>
                <w:lang w:eastAsia="lv-LV"/>
              </w:rPr>
              <w:t>Autoceļi</w:t>
            </w:r>
          </w:p>
        </w:tc>
        <w:tc>
          <w:tcPr>
            <w:tcW w:w="3815" w:type="pct"/>
            <w:shd w:val="clear" w:color="000000" w:fill="EBF1E9"/>
            <w:vAlign w:val="center"/>
            <w:hideMark/>
          </w:tcPr>
          <w:p w14:paraId="2E03C963" w14:textId="77777777"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Valsts reģionālie autoceļi ar melno segumu no valsts reģionālajiem autoceļiem (%)</w:t>
            </w:r>
          </w:p>
        </w:tc>
      </w:tr>
      <w:tr w:rsidR="002B18B1" w:rsidRPr="002B18B1" w14:paraId="575A2519" w14:textId="77777777" w:rsidTr="002B18B1">
        <w:trPr>
          <w:trHeight w:val="143"/>
        </w:trPr>
        <w:tc>
          <w:tcPr>
            <w:tcW w:w="1185" w:type="pct"/>
            <w:vMerge/>
            <w:vAlign w:val="center"/>
            <w:hideMark/>
          </w:tcPr>
          <w:p w14:paraId="72C31DD1" w14:textId="77777777" w:rsidR="002B18B1" w:rsidRPr="002B18B1" w:rsidRDefault="002B18B1" w:rsidP="002B18B1">
            <w:pPr>
              <w:rPr>
                <w:rFonts w:eastAsia="Times New Roman" w:cs="Times New Roman"/>
                <w:b/>
                <w:bCs/>
                <w:color w:val="000000"/>
                <w:sz w:val="22"/>
                <w:szCs w:val="22"/>
                <w:lang w:eastAsia="lv-LV"/>
              </w:rPr>
            </w:pPr>
          </w:p>
        </w:tc>
        <w:tc>
          <w:tcPr>
            <w:tcW w:w="3815" w:type="pct"/>
            <w:shd w:val="clear" w:color="000000" w:fill="EBF1E9"/>
            <w:vAlign w:val="center"/>
            <w:hideMark/>
          </w:tcPr>
          <w:p w14:paraId="425BD07D" w14:textId="77777777"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Samazināts sliktā un ļoti sliktā stāvoklī esošo valsts galveno autoceļu garums par (%)</w:t>
            </w:r>
          </w:p>
        </w:tc>
      </w:tr>
      <w:tr w:rsidR="002B18B1" w:rsidRPr="002B18B1" w14:paraId="25315572" w14:textId="77777777" w:rsidTr="002B18B1">
        <w:trPr>
          <w:trHeight w:val="161"/>
        </w:trPr>
        <w:tc>
          <w:tcPr>
            <w:tcW w:w="1185" w:type="pct"/>
            <w:vMerge/>
            <w:vAlign w:val="center"/>
            <w:hideMark/>
          </w:tcPr>
          <w:p w14:paraId="384E1A2E" w14:textId="77777777" w:rsidR="002B18B1" w:rsidRPr="002B18B1" w:rsidRDefault="002B18B1" w:rsidP="002B18B1">
            <w:pPr>
              <w:rPr>
                <w:rFonts w:eastAsia="Times New Roman" w:cs="Times New Roman"/>
                <w:b/>
                <w:bCs/>
                <w:color w:val="000000"/>
                <w:sz w:val="22"/>
                <w:szCs w:val="22"/>
                <w:lang w:eastAsia="lv-LV"/>
              </w:rPr>
            </w:pPr>
          </w:p>
        </w:tc>
        <w:tc>
          <w:tcPr>
            <w:tcW w:w="3815" w:type="pct"/>
            <w:shd w:val="clear" w:color="000000" w:fill="EBF1E9"/>
            <w:vAlign w:val="center"/>
            <w:hideMark/>
          </w:tcPr>
          <w:p w14:paraId="274F3858" w14:textId="77777777"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Samazināts sliktā un ļoti sliktā stāvoklī esošo valsts reģionālo autoceļu garums par (%)</w:t>
            </w:r>
          </w:p>
        </w:tc>
      </w:tr>
      <w:tr w:rsidR="002B18B1" w:rsidRPr="002B18B1" w14:paraId="55FB2B30" w14:textId="77777777" w:rsidTr="002B18B1">
        <w:trPr>
          <w:trHeight w:val="70"/>
        </w:trPr>
        <w:tc>
          <w:tcPr>
            <w:tcW w:w="1185" w:type="pct"/>
            <w:vMerge/>
            <w:vAlign w:val="center"/>
            <w:hideMark/>
          </w:tcPr>
          <w:p w14:paraId="70A7C935" w14:textId="77777777" w:rsidR="002B18B1" w:rsidRPr="002B18B1" w:rsidRDefault="002B18B1" w:rsidP="002B18B1">
            <w:pPr>
              <w:rPr>
                <w:rFonts w:eastAsia="Times New Roman" w:cs="Times New Roman"/>
                <w:b/>
                <w:bCs/>
                <w:color w:val="000000"/>
                <w:sz w:val="22"/>
                <w:szCs w:val="22"/>
                <w:lang w:eastAsia="lv-LV"/>
              </w:rPr>
            </w:pPr>
          </w:p>
        </w:tc>
        <w:tc>
          <w:tcPr>
            <w:tcW w:w="3815" w:type="pct"/>
            <w:shd w:val="clear" w:color="000000" w:fill="EBF1E9"/>
            <w:vAlign w:val="center"/>
            <w:hideMark/>
          </w:tcPr>
          <w:p w14:paraId="6FDEEB70" w14:textId="77777777"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Valsts vietējie autoceļi ar melno segumu no valsts vietējiem autoceļiem (%)</w:t>
            </w:r>
          </w:p>
        </w:tc>
      </w:tr>
      <w:tr w:rsidR="002B18B1" w:rsidRPr="002B18B1" w14:paraId="4B8F55DE" w14:textId="77777777" w:rsidTr="002B18B1">
        <w:trPr>
          <w:trHeight w:val="155"/>
        </w:trPr>
        <w:tc>
          <w:tcPr>
            <w:tcW w:w="1185" w:type="pct"/>
            <w:vMerge/>
            <w:vAlign w:val="center"/>
            <w:hideMark/>
          </w:tcPr>
          <w:p w14:paraId="1FB4A1E3" w14:textId="77777777" w:rsidR="002B18B1" w:rsidRPr="002B18B1" w:rsidRDefault="002B18B1" w:rsidP="002B18B1">
            <w:pPr>
              <w:rPr>
                <w:rFonts w:eastAsia="Times New Roman" w:cs="Times New Roman"/>
                <w:b/>
                <w:bCs/>
                <w:color w:val="000000"/>
                <w:sz w:val="22"/>
                <w:szCs w:val="22"/>
                <w:lang w:eastAsia="lv-LV"/>
              </w:rPr>
            </w:pPr>
          </w:p>
        </w:tc>
        <w:tc>
          <w:tcPr>
            <w:tcW w:w="3815" w:type="pct"/>
            <w:shd w:val="clear" w:color="000000" w:fill="EBF1E9"/>
            <w:vAlign w:val="center"/>
            <w:hideMark/>
          </w:tcPr>
          <w:p w14:paraId="6FB345F2" w14:textId="168833D1"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Ceļu satiksmes negadījumos bojā gājušo skaita samazinājums pret iepriekšējo gadu (%)</w:t>
            </w:r>
          </w:p>
        </w:tc>
      </w:tr>
      <w:tr w:rsidR="002B18B1" w:rsidRPr="002B18B1" w14:paraId="6974E11A" w14:textId="77777777" w:rsidTr="002B18B1">
        <w:trPr>
          <w:trHeight w:val="219"/>
        </w:trPr>
        <w:tc>
          <w:tcPr>
            <w:tcW w:w="1185" w:type="pct"/>
            <w:vMerge w:val="restart"/>
            <w:shd w:val="clear" w:color="000000" w:fill="A9D18E"/>
            <w:vAlign w:val="center"/>
            <w:hideMark/>
          </w:tcPr>
          <w:p w14:paraId="54DDF05A" w14:textId="77777777" w:rsidR="002B18B1" w:rsidRPr="002B18B1" w:rsidRDefault="002B18B1" w:rsidP="002B18B1">
            <w:pPr>
              <w:jc w:val="center"/>
              <w:rPr>
                <w:rFonts w:eastAsia="Times New Roman" w:cs="Times New Roman"/>
                <w:b/>
                <w:bCs/>
                <w:color w:val="000000"/>
                <w:sz w:val="22"/>
                <w:szCs w:val="22"/>
                <w:lang w:eastAsia="lv-LV"/>
              </w:rPr>
            </w:pPr>
            <w:r w:rsidRPr="002B18B1">
              <w:rPr>
                <w:rFonts w:eastAsia="Times New Roman" w:cs="Times New Roman"/>
                <w:b/>
                <w:bCs/>
                <w:color w:val="000000"/>
                <w:sz w:val="22"/>
                <w:szCs w:val="22"/>
                <w:lang w:eastAsia="lv-LV"/>
              </w:rPr>
              <w:t>Dzelzceļš</w:t>
            </w:r>
          </w:p>
        </w:tc>
        <w:tc>
          <w:tcPr>
            <w:tcW w:w="3815" w:type="pct"/>
            <w:shd w:val="clear" w:color="000000" w:fill="EBF1E9"/>
            <w:vAlign w:val="center"/>
            <w:hideMark/>
          </w:tcPr>
          <w:p w14:paraId="615A8A34" w14:textId="77777777"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Elektrificēto dzelzceļa līniju garums no kopējā dzelzceļa līniju garuma (%)</w:t>
            </w:r>
          </w:p>
        </w:tc>
      </w:tr>
      <w:tr w:rsidR="002B18B1" w:rsidRPr="002B18B1" w14:paraId="39C67CA1" w14:textId="77777777" w:rsidTr="002B18B1">
        <w:trPr>
          <w:trHeight w:val="70"/>
        </w:trPr>
        <w:tc>
          <w:tcPr>
            <w:tcW w:w="1185" w:type="pct"/>
            <w:vMerge/>
            <w:vAlign w:val="center"/>
            <w:hideMark/>
          </w:tcPr>
          <w:p w14:paraId="43EC9815" w14:textId="77777777" w:rsidR="002B18B1" w:rsidRPr="002B18B1" w:rsidRDefault="002B18B1" w:rsidP="002B18B1">
            <w:pPr>
              <w:rPr>
                <w:rFonts w:eastAsia="Times New Roman" w:cs="Times New Roman"/>
                <w:b/>
                <w:bCs/>
                <w:color w:val="000000"/>
                <w:sz w:val="22"/>
                <w:szCs w:val="22"/>
                <w:lang w:eastAsia="lv-LV"/>
              </w:rPr>
            </w:pPr>
          </w:p>
        </w:tc>
        <w:tc>
          <w:tcPr>
            <w:tcW w:w="3815" w:type="pct"/>
            <w:shd w:val="clear" w:color="000000" w:fill="EBF1E9"/>
            <w:vAlign w:val="center"/>
            <w:hideMark/>
          </w:tcPr>
          <w:p w14:paraId="66933E36" w14:textId="77777777"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 xml:space="preserve">Nopietnu dzelzceļa negadījumu skaits (skaits/milj. </w:t>
            </w:r>
            <w:proofErr w:type="spellStart"/>
            <w:r w:rsidRPr="002B18B1">
              <w:rPr>
                <w:rFonts w:eastAsia="Times New Roman" w:cs="Times New Roman"/>
                <w:color w:val="000000"/>
                <w:sz w:val="22"/>
                <w:szCs w:val="22"/>
                <w:lang w:eastAsia="lv-LV"/>
              </w:rPr>
              <w:t>vkm</w:t>
            </w:r>
            <w:proofErr w:type="spellEnd"/>
            <w:r w:rsidRPr="002B18B1">
              <w:rPr>
                <w:rFonts w:eastAsia="Times New Roman" w:cs="Times New Roman"/>
                <w:color w:val="000000"/>
                <w:sz w:val="22"/>
                <w:szCs w:val="22"/>
                <w:lang w:eastAsia="lv-LV"/>
              </w:rPr>
              <w:t>)</w:t>
            </w:r>
          </w:p>
        </w:tc>
      </w:tr>
      <w:tr w:rsidR="002B18B1" w:rsidRPr="002B18B1" w14:paraId="596196E0" w14:textId="77777777" w:rsidTr="002B18B1">
        <w:trPr>
          <w:trHeight w:val="70"/>
        </w:trPr>
        <w:tc>
          <w:tcPr>
            <w:tcW w:w="1185" w:type="pct"/>
            <w:vMerge w:val="restart"/>
            <w:shd w:val="clear" w:color="000000" w:fill="A9D18E"/>
            <w:vAlign w:val="center"/>
            <w:hideMark/>
          </w:tcPr>
          <w:p w14:paraId="0EA7EC41" w14:textId="77777777" w:rsidR="002B18B1" w:rsidRPr="002B18B1" w:rsidRDefault="002B18B1" w:rsidP="002B18B1">
            <w:pPr>
              <w:jc w:val="center"/>
              <w:rPr>
                <w:rFonts w:eastAsia="Times New Roman" w:cs="Times New Roman"/>
                <w:b/>
                <w:bCs/>
                <w:color w:val="000000"/>
                <w:sz w:val="22"/>
                <w:szCs w:val="22"/>
                <w:lang w:eastAsia="lv-LV"/>
              </w:rPr>
            </w:pPr>
            <w:r w:rsidRPr="002B18B1">
              <w:rPr>
                <w:rFonts w:eastAsia="Times New Roman" w:cs="Times New Roman"/>
                <w:b/>
                <w:bCs/>
                <w:color w:val="000000"/>
                <w:sz w:val="22"/>
                <w:szCs w:val="22"/>
                <w:lang w:eastAsia="lv-LV"/>
              </w:rPr>
              <w:t>Aviācija</w:t>
            </w:r>
          </w:p>
        </w:tc>
        <w:tc>
          <w:tcPr>
            <w:tcW w:w="3815" w:type="pct"/>
            <w:shd w:val="clear" w:color="000000" w:fill="EBF1E9"/>
            <w:vAlign w:val="center"/>
            <w:hideMark/>
          </w:tcPr>
          <w:p w14:paraId="5B1F4331" w14:textId="77777777"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Preču gaisa pārvadājumi (tūkst. tonnas)</w:t>
            </w:r>
          </w:p>
        </w:tc>
      </w:tr>
      <w:tr w:rsidR="002B18B1" w:rsidRPr="002B18B1" w14:paraId="09A48D55" w14:textId="77777777" w:rsidTr="002B18B1">
        <w:trPr>
          <w:trHeight w:val="70"/>
        </w:trPr>
        <w:tc>
          <w:tcPr>
            <w:tcW w:w="1185" w:type="pct"/>
            <w:vMerge/>
            <w:vAlign w:val="center"/>
            <w:hideMark/>
          </w:tcPr>
          <w:p w14:paraId="0FE5F4AE" w14:textId="77777777" w:rsidR="002B18B1" w:rsidRPr="002B18B1" w:rsidRDefault="002B18B1" w:rsidP="002B18B1">
            <w:pPr>
              <w:rPr>
                <w:rFonts w:eastAsia="Times New Roman" w:cs="Times New Roman"/>
                <w:b/>
                <w:bCs/>
                <w:color w:val="000000"/>
                <w:sz w:val="22"/>
                <w:szCs w:val="22"/>
                <w:lang w:eastAsia="lv-LV"/>
              </w:rPr>
            </w:pPr>
          </w:p>
        </w:tc>
        <w:tc>
          <w:tcPr>
            <w:tcW w:w="3815" w:type="pct"/>
            <w:shd w:val="clear" w:color="000000" w:fill="EBF1E9"/>
            <w:vAlign w:val="center"/>
            <w:hideMark/>
          </w:tcPr>
          <w:p w14:paraId="03E880DF" w14:textId="77777777"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Pasažieru gaisa pārvadājumi (milj. cilvēku)</w:t>
            </w:r>
          </w:p>
        </w:tc>
      </w:tr>
      <w:tr w:rsidR="002B18B1" w:rsidRPr="002B18B1" w14:paraId="2BF93D9C" w14:textId="77777777" w:rsidTr="002B18B1">
        <w:trPr>
          <w:trHeight w:val="70"/>
        </w:trPr>
        <w:tc>
          <w:tcPr>
            <w:tcW w:w="1185" w:type="pct"/>
            <w:vMerge w:val="restart"/>
            <w:shd w:val="clear" w:color="000000" w:fill="A9D18E"/>
            <w:vAlign w:val="center"/>
            <w:hideMark/>
          </w:tcPr>
          <w:p w14:paraId="08CEB0B4" w14:textId="77777777" w:rsidR="002B18B1" w:rsidRPr="002B18B1" w:rsidRDefault="002B18B1" w:rsidP="002B18B1">
            <w:pPr>
              <w:jc w:val="center"/>
              <w:rPr>
                <w:rFonts w:eastAsia="Times New Roman" w:cs="Times New Roman"/>
                <w:b/>
                <w:bCs/>
                <w:color w:val="000000"/>
                <w:sz w:val="22"/>
                <w:szCs w:val="22"/>
                <w:lang w:eastAsia="lv-LV"/>
              </w:rPr>
            </w:pPr>
            <w:r w:rsidRPr="002B18B1">
              <w:rPr>
                <w:rFonts w:eastAsia="Times New Roman" w:cs="Times New Roman"/>
                <w:b/>
                <w:bCs/>
                <w:color w:val="000000"/>
                <w:sz w:val="22"/>
                <w:szCs w:val="22"/>
                <w:lang w:eastAsia="lv-LV"/>
              </w:rPr>
              <w:t>Tranzītpārvadājumi</w:t>
            </w:r>
          </w:p>
        </w:tc>
        <w:tc>
          <w:tcPr>
            <w:tcW w:w="3815" w:type="pct"/>
            <w:shd w:val="clear" w:color="000000" w:fill="EBF1E9"/>
            <w:vAlign w:val="center"/>
            <w:hideMark/>
          </w:tcPr>
          <w:p w14:paraId="7C5D8D0E" w14:textId="77777777"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Kravu apgrozījums Latvijas ostās (milj. tonnas)</w:t>
            </w:r>
          </w:p>
        </w:tc>
      </w:tr>
      <w:tr w:rsidR="002B18B1" w:rsidRPr="002B18B1" w14:paraId="255398F9" w14:textId="77777777" w:rsidTr="002B18B1">
        <w:trPr>
          <w:trHeight w:val="70"/>
        </w:trPr>
        <w:tc>
          <w:tcPr>
            <w:tcW w:w="1185" w:type="pct"/>
            <w:vMerge/>
            <w:vAlign w:val="center"/>
            <w:hideMark/>
          </w:tcPr>
          <w:p w14:paraId="13BD5654" w14:textId="77777777" w:rsidR="002B18B1" w:rsidRPr="002B18B1" w:rsidRDefault="002B18B1" w:rsidP="002B18B1">
            <w:pPr>
              <w:rPr>
                <w:rFonts w:eastAsia="Times New Roman" w:cs="Times New Roman"/>
                <w:b/>
                <w:bCs/>
                <w:color w:val="000000"/>
                <w:sz w:val="22"/>
                <w:szCs w:val="22"/>
                <w:lang w:eastAsia="lv-LV"/>
              </w:rPr>
            </w:pPr>
          </w:p>
        </w:tc>
        <w:tc>
          <w:tcPr>
            <w:tcW w:w="3815" w:type="pct"/>
            <w:shd w:val="clear" w:color="000000" w:fill="EBF1E9"/>
            <w:vAlign w:val="center"/>
            <w:hideMark/>
          </w:tcPr>
          <w:p w14:paraId="61A58105" w14:textId="77777777"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Kravu apgrozījums dzelzceļa pārvadājumos (milj. tonnas)</w:t>
            </w:r>
          </w:p>
        </w:tc>
      </w:tr>
      <w:tr w:rsidR="002B18B1" w:rsidRPr="002B18B1" w14:paraId="588149BF" w14:textId="77777777" w:rsidTr="002B18B1">
        <w:trPr>
          <w:trHeight w:val="70"/>
        </w:trPr>
        <w:tc>
          <w:tcPr>
            <w:tcW w:w="1185" w:type="pct"/>
            <w:vMerge/>
            <w:vAlign w:val="center"/>
            <w:hideMark/>
          </w:tcPr>
          <w:p w14:paraId="1320617A" w14:textId="77777777" w:rsidR="002B18B1" w:rsidRPr="002B18B1" w:rsidRDefault="002B18B1" w:rsidP="002B18B1">
            <w:pPr>
              <w:rPr>
                <w:rFonts w:eastAsia="Times New Roman" w:cs="Times New Roman"/>
                <w:b/>
                <w:bCs/>
                <w:color w:val="000000"/>
                <w:sz w:val="22"/>
                <w:szCs w:val="22"/>
                <w:lang w:eastAsia="lv-LV"/>
              </w:rPr>
            </w:pPr>
          </w:p>
        </w:tc>
        <w:tc>
          <w:tcPr>
            <w:tcW w:w="3815" w:type="pct"/>
            <w:shd w:val="clear" w:color="000000" w:fill="EBF1E9"/>
            <w:vAlign w:val="center"/>
            <w:hideMark/>
          </w:tcPr>
          <w:p w14:paraId="5C4830B4" w14:textId="77777777"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Kravu pārvadājumi pa autoceļiem (milj. tonnas)</w:t>
            </w:r>
          </w:p>
        </w:tc>
      </w:tr>
      <w:tr w:rsidR="002B18B1" w:rsidRPr="002B18B1" w14:paraId="59C9E564" w14:textId="77777777" w:rsidTr="002B18B1">
        <w:trPr>
          <w:trHeight w:val="268"/>
        </w:trPr>
        <w:tc>
          <w:tcPr>
            <w:tcW w:w="1185" w:type="pct"/>
            <w:vMerge w:val="restart"/>
            <w:shd w:val="clear" w:color="000000" w:fill="A9D18E"/>
            <w:vAlign w:val="center"/>
            <w:hideMark/>
          </w:tcPr>
          <w:p w14:paraId="72F714DA" w14:textId="77777777" w:rsidR="002B18B1" w:rsidRPr="002B18B1" w:rsidRDefault="002B18B1" w:rsidP="002B18B1">
            <w:pPr>
              <w:jc w:val="center"/>
              <w:rPr>
                <w:rFonts w:eastAsia="Times New Roman" w:cs="Times New Roman"/>
                <w:b/>
                <w:bCs/>
                <w:color w:val="000000"/>
                <w:sz w:val="22"/>
                <w:szCs w:val="22"/>
                <w:lang w:eastAsia="lv-LV"/>
              </w:rPr>
            </w:pPr>
            <w:r w:rsidRPr="002B18B1">
              <w:rPr>
                <w:rFonts w:eastAsia="Times New Roman" w:cs="Times New Roman"/>
                <w:b/>
                <w:bCs/>
                <w:color w:val="000000"/>
                <w:sz w:val="22"/>
                <w:szCs w:val="22"/>
                <w:lang w:eastAsia="lv-LV"/>
              </w:rPr>
              <w:t>Pasažieru pārvadājumi</w:t>
            </w:r>
          </w:p>
        </w:tc>
        <w:tc>
          <w:tcPr>
            <w:tcW w:w="3815" w:type="pct"/>
            <w:shd w:val="clear" w:color="000000" w:fill="EBF1E9"/>
            <w:vAlign w:val="center"/>
            <w:hideMark/>
          </w:tcPr>
          <w:p w14:paraId="0BE7E1B0" w14:textId="091BE370" w:rsidR="002B18B1" w:rsidRPr="002B18B1" w:rsidRDefault="00D20829" w:rsidP="002B18B1">
            <w:pPr>
              <w:jc w:val="center"/>
              <w:rPr>
                <w:rFonts w:eastAsia="Times New Roman" w:cs="Times New Roman"/>
                <w:color w:val="000000"/>
                <w:sz w:val="22"/>
                <w:szCs w:val="22"/>
                <w:lang w:eastAsia="lv-LV"/>
              </w:rPr>
            </w:pPr>
            <w:r w:rsidRPr="00D20829">
              <w:rPr>
                <w:rFonts w:eastAsia="Times New Roman" w:cs="Times New Roman"/>
                <w:color w:val="000000"/>
                <w:sz w:val="22"/>
                <w:szCs w:val="22"/>
                <w:lang w:eastAsia="lv-LV"/>
              </w:rPr>
              <w:t xml:space="preserve">Pasažieru apgrozība sabiedriskajā transportā reģionālās nozīmes autobusu maršrutos un reģionālās nozīmes vilcienu maršrutos (milj. </w:t>
            </w:r>
            <w:proofErr w:type="spellStart"/>
            <w:r w:rsidRPr="00D20829">
              <w:rPr>
                <w:rFonts w:eastAsia="Times New Roman" w:cs="Times New Roman"/>
                <w:color w:val="000000"/>
                <w:sz w:val="22"/>
                <w:szCs w:val="22"/>
                <w:lang w:eastAsia="lv-LV"/>
              </w:rPr>
              <w:t>pas</w:t>
            </w:r>
            <w:proofErr w:type="spellEnd"/>
            <w:r w:rsidRPr="00D20829">
              <w:rPr>
                <w:rFonts w:eastAsia="Times New Roman" w:cs="Times New Roman"/>
                <w:color w:val="000000"/>
                <w:sz w:val="22"/>
                <w:szCs w:val="22"/>
                <w:lang w:eastAsia="lv-LV"/>
              </w:rPr>
              <w:t>/km)</w:t>
            </w:r>
          </w:p>
        </w:tc>
      </w:tr>
      <w:tr w:rsidR="002B18B1" w:rsidRPr="002B18B1" w14:paraId="1CC6D673" w14:textId="77777777" w:rsidTr="002B18B1">
        <w:trPr>
          <w:trHeight w:val="295"/>
        </w:trPr>
        <w:tc>
          <w:tcPr>
            <w:tcW w:w="1185" w:type="pct"/>
            <w:vMerge/>
            <w:vAlign w:val="center"/>
            <w:hideMark/>
          </w:tcPr>
          <w:p w14:paraId="31721FF8" w14:textId="77777777" w:rsidR="002B18B1" w:rsidRPr="002B18B1" w:rsidRDefault="002B18B1" w:rsidP="002B18B1">
            <w:pPr>
              <w:rPr>
                <w:rFonts w:eastAsia="Times New Roman" w:cs="Times New Roman"/>
                <w:b/>
                <w:bCs/>
                <w:color w:val="000000"/>
                <w:sz w:val="22"/>
                <w:szCs w:val="22"/>
                <w:lang w:eastAsia="lv-LV"/>
              </w:rPr>
            </w:pPr>
          </w:p>
        </w:tc>
        <w:tc>
          <w:tcPr>
            <w:tcW w:w="3815" w:type="pct"/>
            <w:shd w:val="clear" w:color="000000" w:fill="EBF1E9"/>
            <w:vAlign w:val="center"/>
            <w:hideMark/>
          </w:tcPr>
          <w:p w14:paraId="0241437D" w14:textId="77777777"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Interneta vietnēs pārdotās biļetes iekšzemes pasažieru pārvadājumiem pa dzelzceļu un ar autobusiem reģionālās nozīmes maršrutos (%)</w:t>
            </w:r>
          </w:p>
        </w:tc>
      </w:tr>
      <w:tr w:rsidR="002B18B1" w:rsidRPr="002B18B1" w14:paraId="4B152624" w14:textId="77777777" w:rsidTr="002B18B1">
        <w:trPr>
          <w:trHeight w:val="70"/>
        </w:trPr>
        <w:tc>
          <w:tcPr>
            <w:tcW w:w="1185" w:type="pct"/>
            <w:vMerge/>
            <w:vAlign w:val="center"/>
            <w:hideMark/>
          </w:tcPr>
          <w:p w14:paraId="131DAA90" w14:textId="77777777" w:rsidR="002B18B1" w:rsidRPr="002B18B1" w:rsidRDefault="002B18B1" w:rsidP="002B18B1">
            <w:pPr>
              <w:rPr>
                <w:rFonts w:eastAsia="Times New Roman" w:cs="Times New Roman"/>
                <w:b/>
                <w:bCs/>
                <w:color w:val="000000"/>
                <w:sz w:val="22"/>
                <w:szCs w:val="22"/>
                <w:lang w:eastAsia="lv-LV"/>
              </w:rPr>
            </w:pPr>
          </w:p>
        </w:tc>
        <w:tc>
          <w:tcPr>
            <w:tcW w:w="3815" w:type="pct"/>
            <w:shd w:val="clear" w:color="000000" w:fill="EBF1E9"/>
            <w:vAlign w:val="center"/>
            <w:hideMark/>
          </w:tcPr>
          <w:p w14:paraId="742503F1" w14:textId="77777777"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Dzelzceļa pasažieru īpatsvars sabiedriskā transporta pārvadājumos (%)</w:t>
            </w:r>
          </w:p>
        </w:tc>
      </w:tr>
      <w:tr w:rsidR="002B18B1" w:rsidRPr="002B18B1" w14:paraId="62BFF3D4" w14:textId="77777777" w:rsidTr="002B18B1">
        <w:trPr>
          <w:trHeight w:val="204"/>
        </w:trPr>
        <w:tc>
          <w:tcPr>
            <w:tcW w:w="1185" w:type="pct"/>
            <w:vMerge/>
            <w:vAlign w:val="center"/>
            <w:hideMark/>
          </w:tcPr>
          <w:p w14:paraId="05651B02" w14:textId="77777777" w:rsidR="002B18B1" w:rsidRPr="002B18B1" w:rsidRDefault="002B18B1" w:rsidP="002B18B1">
            <w:pPr>
              <w:rPr>
                <w:rFonts w:eastAsia="Times New Roman" w:cs="Times New Roman"/>
                <w:b/>
                <w:bCs/>
                <w:color w:val="000000"/>
                <w:sz w:val="22"/>
                <w:szCs w:val="22"/>
                <w:lang w:eastAsia="lv-LV"/>
              </w:rPr>
            </w:pPr>
          </w:p>
        </w:tc>
        <w:tc>
          <w:tcPr>
            <w:tcW w:w="3815" w:type="pct"/>
            <w:shd w:val="clear" w:color="000000" w:fill="EBF1E9"/>
            <w:vAlign w:val="center"/>
            <w:hideMark/>
          </w:tcPr>
          <w:p w14:paraId="12C9CCBC" w14:textId="65A60020"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Apkalpot</w:t>
            </w:r>
            <w:r w:rsidR="0097775C">
              <w:rPr>
                <w:rFonts w:eastAsia="Times New Roman" w:cs="Times New Roman"/>
                <w:color w:val="000000"/>
                <w:sz w:val="22"/>
                <w:szCs w:val="22"/>
                <w:lang w:eastAsia="lv-LV"/>
              </w:rPr>
              <w:t>i</w:t>
            </w:r>
            <w:r w:rsidRPr="002B18B1">
              <w:rPr>
                <w:rFonts w:eastAsia="Times New Roman" w:cs="Times New Roman"/>
                <w:color w:val="000000"/>
                <w:sz w:val="22"/>
                <w:szCs w:val="22"/>
                <w:lang w:eastAsia="lv-LV"/>
              </w:rPr>
              <w:t xml:space="preserve"> pasažier</w:t>
            </w:r>
            <w:r w:rsidR="0097775C">
              <w:rPr>
                <w:rFonts w:eastAsia="Times New Roman" w:cs="Times New Roman"/>
                <w:color w:val="000000"/>
                <w:sz w:val="22"/>
                <w:szCs w:val="22"/>
                <w:lang w:eastAsia="lv-LV"/>
              </w:rPr>
              <w:t>i</w:t>
            </w:r>
            <w:r w:rsidRPr="002B18B1">
              <w:rPr>
                <w:rFonts w:eastAsia="Times New Roman" w:cs="Times New Roman"/>
                <w:color w:val="000000"/>
                <w:sz w:val="22"/>
                <w:szCs w:val="22"/>
                <w:lang w:eastAsia="lv-LV"/>
              </w:rPr>
              <w:t xml:space="preserve"> Rīgas ostā (</w:t>
            </w:r>
            <w:r w:rsidR="0097775C">
              <w:rPr>
                <w:rFonts w:eastAsia="Times New Roman" w:cs="Times New Roman"/>
                <w:color w:val="000000"/>
                <w:sz w:val="22"/>
                <w:szCs w:val="22"/>
                <w:lang w:eastAsia="lv-LV"/>
              </w:rPr>
              <w:t xml:space="preserve">skaits </w:t>
            </w:r>
            <w:r w:rsidRPr="002B18B1">
              <w:rPr>
                <w:rFonts w:eastAsia="Times New Roman" w:cs="Times New Roman"/>
                <w:color w:val="000000"/>
                <w:sz w:val="22"/>
                <w:szCs w:val="22"/>
                <w:lang w:eastAsia="lv-LV"/>
              </w:rPr>
              <w:t>tūkst.)</w:t>
            </w:r>
          </w:p>
        </w:tc>
      </w:tr>
      <w:tr w:rsidR="002B18B1" w:rsidRPr="002B18B1" w14:paraId="2F38A10D" w14:textId="77777777" w:rsidTr="002B18B1">
        <w:trPr>
          <w:trHeight w:val="268"/>
        </w:trPr>
        <w:tc>
          <w:tcPr>
            <w:tcW w:w="1185" w:type="pct"/>
            <w:vMerge/>
            <w:vAlign w:val="center"/>
            <w:hideMark/>
          </w:tcPr>
          <w:p w14:paraId="78F9FA4F" w14:textId="77777777" w:rsidR="002B18B1" w:rsidRPr="002B18B1" w:rsidRDefault="002B18B1" w:rsidP="002B18B1">
            <w:pPr>
              <w:rPr>
                <w:rFonts w:eastAsia="Times New Roman" w:cs="Times New Roman"/>
                <w:b/>
                <w:bCs/>
                <w:color w:val="000000"/>
                <w:sz w:val="22"/>
                <w:szCs w:val="22"/>
                <w:lang w:eastAsia="lv-LV"/>
              </w:rPr>
            </w:pPr>
          </w:p>
        </w:tc>
        <w:tc>
          <w:tcPr>
            <w:tcW w:w="3815" w:type="pct"/>
            <w:shd w:val="clear" w:color="000000" w:fill="EBF1E9"/>
            <w:vAlign w:val="center"/>
            <w:hideMark/>
          </w:tcPr>
          <w:p w14:paraId="290490ED" w14:textId="77777777"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Pagastu īpatsvars, kur ir nodrošināti vismaz divi sabiedriskā transporta reisi dienā, kas savieno bijušos pagastu administratīvos centrus ar novada centru, (%)</w:t>
            </w:r>
          </w:p>
        </w:tc>
      </w:tr>
      <w:tr w:rsidR="002B18B1" w:rsidRPr="002B18B1" w14:paraId="6FB63E69" w14:textId="77777777" w:rsidTr="002B18B1">
        <w:trPr>
          <w:trHeight w:val="70"/>
        </w:trPr>
        <w:tc>
          <w:tcPr>
            <w:tcW w:w="1185" w:type="pct"/>
            <w:vMerge/>
            <w:vAlign w:val="center"/>
            <w:hideMark/>
          </w:tcPr>
          <w:p w14:paraId="2A87381B" w14:textId="77777777" w:rsidR="002B18B1" w:rsidRPr="002B18B1" w:rsidRDefault="002B18B1" w:rsidP="002B18B1">
            <w:pPr>
              <w:rPr>
                <w:rFonts w:eastAsia="Times New Roman" w:cs="Times New Roman"/>
                <w:b/>
                <w:bCs/>
                <w:color w:val="000000"/>
                <w:sz w:val="22"/>
                <w:szCs w:val="22"/>
                <w:lang w:eastAsia="lv-LV"/>
              </w:rPr>
            </w:pPr>
          </w:p>
        </w:tc>
        <w:tc>
          <w:tcPr>
            <w:tcW w:w="3815" w:type="pct"/>
            <w:shd w:val="clear" w:color="000000" w:fill="EBF1E9"/>
            <w:vAlign w:val="center"/>
            <w:hideMark/>
          </w:tcPr>
          <w:p w14:paraId="2080291F" w14:textId="77777777"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Novadu īpatsvars, kur ir nodrošināti vismaz divi reisi dienā, kas savieno novadus ar reģiona centru vai galvaspilsētu (%)</w:t>
            </w:r>
          </w:p>
        </w:tc>
      </w:tr>
      <w:tr w:rsidR="002B18B1" w:rsidRPr="002B18B1" w14:paraId="4170C9FD" w14:textId="77777777" w:rsidTr="002B18B1">
        <w:trPr>
          <w:trHeight w:val="116"/>
        </w:trPr>
        <w:tc>
          <w:tcPr>
            <w:tcW w:w="1185" w:type="pct"/>
            <w:vMerge w:val="restart"/>
            <w:shd w:val="clear" w:color="000000" w:fill="A9D18E"/>
            <w:vAlign w:val="center"/>
            <w:hideMark/>
          </w:tcPr>
          <w:p w14:paraId="3D852C2B" w14:textId="7C43E3EF" w:rsidR="002B18B1" w:rsidRPr="002B18B1" w:rsidRDefault="002B18B1" w:rsidP="002B18B1">
            <w:pPr>
              <w:jc w:val="center"/>
              <w:rPr>
                <w:rFonts w:eastAsia="Times New Roman" w:cs="Times New Roman"/>
                <w:b/>
                <w:bCs/>
                <w:color w:val="000000"/>
                <w:sz w:val="22"/>
                <w:szCs w:val="22"/>
                <w:lang w:eastAsia="lv-LV"/>
              </w:rPr>
            </w:pPr>
            <w:r w:rsidRPr="002B18B1">
              <w:rPr>
                <w:rFonts w:eastAsia="Times New Roman" w:cs="Times New Roman"/>
                <w:b/>
                <w:bCs/>
                <w:color w:val="000000"/>
                <w:sz w:val="22"/>
                <w:szCs w:val="22"/>
                <w:lang w:eastAsia="lv-LV"/>
              </w:rPr>
              <w:t xml:space="preserve">Sakari un </w:t>
            </w:r>
            <w:r>
              <w:rPr>
                <w:rFonts w:eastAsia="Times New Roman" w:cs="Times New Roman"/>
                <w:b/>
                <w:bCs/>
                <w:color w:val="000000"/>
                <w:sz w:val="22"/>
                <w:szCs w:val="22"/>
                <w:lang w:eastAsia="lv-LV"/>
              </w:rPr>
              <w:t>p</w:t>
            </w:r>
            <w:r w:rsidRPr="002B18B1">
              <w:rPr>
                <w:rFonts w:eastAsia="Times New Roman" w:cs="Times New Roman"/>
                <w:b/>
                <w:bCs/>
                <w:color w:val="000000"/>
                <w:sz w:val="22"/>
                <w:szCs w:val="22"/>
                <w:lang w:eastAsia="lv-LV"/>
              </w:rPr>
              <w:t>asts</w:t>
            </w:r>
          </w:p>
        </w:tc>
        <w:tc>
          <w:tcPr>
            <w:tcW w:w="3815" w:type="pct"/>
            <w:shd w:val="clear" w:color="000000" w:fill="EBF1E9"/>
            <w:vAlign w:val="center"/>
            <w:hideMark/>
          </w:tcPr>
          <w:p w14:paraId="38FC485C" w14:textId="77777777"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Laicīgi piegādāto prioritāro pasta sūtījumi – A klases vienkāršo vēstuļu korespondencei nākamajā darba dienā adresātiem piegādāti (%)</w:t>
            </w:r>
          </w:p>
        </w:tc>
      </w:tr>
      <w:tr w:rsidR="002B18B1" w:rsidRPr="002B18B1" w14:paraId="30553877" w14:textId="77777777" w:rsidTr="002B18B1">
        <w:trPr>
          <w:trHeight w:val="307"/>
        </w:trPr>
        <w:tc>
          <w:tcPr>
            <w:tcW w:w="1185" w:type="pct"/>
            <w:vMerge/>
            <w:vAlign w:val="center"/>
            <w:hideMark/>
          </w:tcPr>
          <w:p w14:paraId="1F01BD36" w14:textId="77777777" w:rsidR="002B18B1" w:rsidRPr="002B18B1" w:rsidRDefault="002B18B1" w:rsidP="002B18B1">
            <w:pPr>
              <w:rPr>
                <w:rFonts w:eastAsia="Times New Roman" w:cs="Times New Roman"/>
                <w:b/>
                <w:bCs/>
                <w:color w:val="000000"/>
                <w:sz w:val="22"/>
                <w:szCs w:val="22"/>
                <w:lang w:eastAsia="lv-LV"/>
              </w:rPr>
            </w:pPr>
          </w:p>
        </w:tc>
        <w:tc>
          <w:tcPr>
            <w:tcW w:w="3815" w:type="pct"/>
            <w:shd w:val="clear" w:color="000000" w:fill="EBF1E9"/>
            <w:vAlign w:val="center"/>
            <w:hideMark/>
          </w:tcPr>
          <w:p w14:paraId="20C49357" w14:textId="3043BC48" w:rsidR="002B18B1" w:rsidRPr="002B18B1" w:rsidRDefault="00D20829" w:rsidP="002B18B1">
            <w:pPr>
              <w:jc w:val="center"/>
              <w:rPr>
                <w:rFonts w:eastAsia="Times New Roman" w:cs="Times New Roman"/>
                <w:color w:val="000000"/>
                <w:sz w:val="22"/>
                <w:szCs w:val="22"/>
                <w:lang w:eastAsia="lv-LV"/>
              </w:rPr>
            </w:pPr>
            <w:r w:rsidRPr="00D20829">
              <w:rPr>
                <w:rFonts w:eastAsia="Times New Roman" w:cs="Times New Roman"/>
                <w:color w:val="000000"/>
                <w:sz w:val="22"/>
                <w:szCs w:val="22"/>
                <w:lang w:eastAsia="lv-LV"/>
              </w:rPr>
              <w:t xml:space="preserve">Mājsaimniecību īpatsvars, kas izmanto vismaz 100 </w:t>
            </w:r>
            <w:proofErr w:type="spellStart"/>
            <w:r w:rsidRPr="00D20829">
              <w:rPr>
                <w:rFonts w:eastAsia="Times New Roman" w:cs="Times New Roman"/>
                <w:color w:val="000000"/>
                <w:sz w:val="22"/>
                <w:szCs w:val="22"/>
                <w:lang w:eastAsia="lv-LV"/>
              </w:rPr>
              <w:t>Mb</w:t>
            </w:r>
            <w:proofErr w:type="spellEnd"/>
            <w:r w:rsidRPr="00D20829">
              <w:rPr>
                <w:rFonts w:eastAsia="Times New Roman" w:cs="Times New Roman"/>
                <w:color w:val="000000"/>
                <w:sz w:val="22"/>
                <w:szCs w:val="22"/>
                <w:lang w:eastAsia="lv-LV"/>
              </w:rPr>
              <w:t xml:space="preserve">/s platjoslas tīklu </w:t>
            </w:r>
            <w:r w:rsidR="001F3F68">
              <w:rPr>
                <w:rFonts w:eastAsia="Times New Roman" w:cs="Times New Roman"/>
                <w:color w:val="000000"/>
                <w:sz w:val="22"/>
                <w:szCs w:val="22"/>
                <w:lang w:eastAsia="lv-LV"/>
              </w:rPr>
              <w:t>(</w:t>
            </w:r>
            <w:r w:rsidR="001F3F68" w:rsidRPr="001F3F68">
              <w:rPr>
                <w:rFonts w:eastAsia="Times New Roman" w:cs="Times New Roman"/>
                <w:color w:val="000000"/>
                <w:sz w:val="22"/>
                <w:szCs w:val="22"/>
                <w:lang w:eastAsia="lv-LV"/>
              </w:rPr>
              <w:t>%</w:t>
            </w:r>
            <w:r w:rsidR="001F3F68">
              <w:rPr>
                <w:rFonts w:eastAsia="Times New Roman" w:cs="Times New Roman"/>
                <w:color w:val="000000"/>
                <w:sz w:val="22"/>
                <w:szCs w:val="22"/>
                <w:lang w:eastAsia="lv-LV"/>
              </w:rPr>
              <w:t>)</w:t>
            </w:r>
          </w:p>
        </w:tc>
      </w:tr>
      <w:tr w:rsidR="002B18B1" w:rsidRPr="002B18B1" w14:paraId="066B8F2B" w14:textId="77777777" w:rsidTr="002B18B1">
        <w:trPr>
          <w:trHeight w:val="87"/>
        </w:trPr>
        <w:tc>
          <w:tcPr>
            <w:tcW w:w="1185" w:type="pct"/>
            <w:vMerge/>
            <w:vAlign w:val="center"/>
            <w:hideMark/>
          </w:tcPr>
          <w:p w14:paraId="5063E820" w14:textId="77777777" w:rsidR="002B18B1" w:rsidRPr="002B18B1" w:rsidRDefault="002B18B1" w:rsidP="002B18B1">
            <w:pPr>
              <w:rPr>
                <w:rFonts w:eastAsia="Times New Roman" w:cs="Times New Roman"/>
                <w:b/>
                <w:bCs/>
                <w:color w:val="000000"/>
                <w:sz w:val="22"/>
                <w:szCs w:val="22"/>
                <w:lang w:eastAsia="lv-LV"/>
              </w:rPr>
            </w:pPr>
          </w:p>
        </w:tc>
        <w:tc>
          <w:tcPr>
            <w:tcW w:w="3815" w:type="pct"/>
            <w:shd w:val="clear" w:color="000000" w:fill="EBF1E9"/>
            <w:vAlign w:val="center"/>
            <w:hideMark/>
          </w:tcPr>
          <w:p w14:paraId="23CCE4A0" w14:textId="77777777"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Piekļuves punkti pasta pakalpojumiem (skaits)</w:t>
            </w:r>
          </w:p>
        </w:tc>
      </w:tr>
      <w:tr w:rsidR="002B18B1" w:rsidRPr="002B18B1" w14:paraId="5269C84F" w14:textId="77777777" w:rsidTr="002B18B1">
        <w:trPr>
          <w:trHeight w:val="233"/>
        </w:trPr>
        <w:tc>
          <w:tcPr>
            <w:tcW w:w="1185" w:type="pct"/>
            <w:vMerge/>
            <w:vAlign w:val="center"/>
            <w:hideMark/>
          </w:tcPr>
          <w:p w14:paraId="67600B35" w14:textId="77777777" w:rsidR="002B18B1" w:rsidRPr="002B18B1" w:rsidRDefault="002B18B1" w:rsidP="002B18B1">
            <w:pPr>
              <w:rPr>
                <w:rFonts w:eastAsia="Times New Roman" w:cs="Times New Roman"/>
                <w:b/>
                <w:bCs/>
                <w:color w:val="000000"/>
                <w:sz w:val="22"/>
                <w:szCs w:val="22"/>
                <w:lang w:eastAsia="lv-LV"/>
              </w:rPr>
            </w:pPr>
          </w:p>
        </w:tc>
        <w:tc>
          <w:tcPr>
            <w:tcW w:w="3815" w:type="pct"/>
            <w:shd w:val="clear" w:color="000000" w:fill="EBF1E9"/>
            <w:vAlign w:val="center"/>
            <w:hideMark/>
          </w:tcPr>
          <w:p w14:paraId="6A9ADEFF" w14:textId="77777777" w:rsidR="002B18B1" w:rsidRPr="002B18B1" w:rsidRDefault="002B18B1" w:rsidP="002B18B1">
            <w:pPr>
              <w:jc w:val="center"/>
              <w:rPr>
                <w:rFonts w:eastAsia="Times New Roman" w:cs="Times New Roman"/>
                <w:color w:val="000000"/>
                <w:sz w:val="22"/>
                <w:szCs w:val="22"/>
                <w:lang w:eastAsia="lv-LV"/>
              </w:rPr>
            </w:pPr>
            <w:r w:rsidRPr="002B18B1">
              <w:rPr>
                <w:rFonts w:eastAsia="Times New Roman" w:cs="Times New Roman"/>
                <w:color w:val="000000"/>
                <w:sz w:val="22"/>
                <w:szCs w:val="22"/>
                <w:lang w:eastAsia="lv-LV"/>
              </w:rPr>
              <w:t>Pasta pakalpojumi, uz kuriem attiecas universālā pakalpojuma saistības (tūkst. vienības)</w:t>
            </w:r>
          </w:p>
        </w:tc>
      </w:tr>
    </w:tbl>
    <w:p w14:paraId="3539A0E6" w14:textId="77777777" w:rsidR="002B18B1" w:rsidRDefault="002B18B1" w:rsidP="0056451E">
      <w:pPr>
        <w:spacing w:after="120"/>
      </w:pPr>
    </w:p>
    <w:p w14:paraId="27A601FA" w14:textId="7411681F" w:rsidR="00341E0B" w:rsidRDefault="00276C30" w:rsidP="00E20E29">
      <w:pPr>
        <w:spacing w:after="120"/>
      </w:pPr>
      <w:r>
        <w:t>Tieslietu ministrija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6941"/>
      </w:tblGrid>
      <w:tr w:rsidR="00276C30" w:rsidRPr="00276C30" w14:paraId="6129D567" w14:textId="77777777" w:rsidTr="009D26F7">
        <w:trPr>
          <w:trHeight w:val="70"/>
        </w:trPr>
        <w:tc>
          <w:tcPr>
            <w:tcW w:w="1170" w:type="pct"/>
            <w:shd w:val="clear" w:color="000000" w:fill="A9D08E"/>
            <w:noWrap/>
            <w:vAlign w:val="bottom"/>
            <w:hideMark/>
          </w:tcPr>
          <w:p w14:paraId="3452146D" w14:textId="77777777" w:rsidR="00276C30" w:rsidRPr="00276C30" w:rsidRDefault="00276C30" w:rsidP="00276C30">
            <w:pPr>
              <w:jc w:val="center"/>
              <w:rPr>
                <w:rFonts w:eastAsia="Times New Roman" w:cs="Times New Roman"/>
                <w:b/>
                <w:bCs/>
                <w:color w:val="000000"/>
                <w:sz w:val="22"/>
                <w:szCs w:val="22"/>
                <w:lang w:eastAsia="lv-LV"/>
              </w:rPr>
            </w:pPr>
            <w:r w:rsidRPr="00276C30">
              <w:rPr>
                <w:rFonts w:eastAsia="Times New Roman" w:cs="Times New Roman"/>
                <w:b/>
                <w:bCs/>
                <w:color w:val="000000"/>
                <w:sz w:val="22"/>
                <w:szCs w:val="22"/>
                <w:lang w:eastAsia="lv-LV"/>
              </w:rPr>
              <w:t xml:space="preserve">Joma </w:t>
            </w:r>
          </w:p>
        </w:tc>
        <w:tc>
          <w:tcPr>
            <w:tcW w:w="3830" w:type="pct"/>
            <w:shd w:val="clear" w:color="000000" w:fill="A9D08E"/>
            <w:noWrap/>
            <w:vAlign w:val="bottom"/>
            <w:hideMark/>
          </w:tcPr>
          <w:p w14:paraId="4BE667D3" w14:textId="77777777" w:rsidR="00276C30" w:rsidRPr="00276C30" w:rsidRDefault="00276C30" w:rsidP="00276C30">
            <w:pPr>
              <w:jc w:val="center"/>
              <w:rPr>
                <w:rFonts w:eastAsia="Times New Roman" w:cs="Times New Roman"/>
                <w:b/>
                <w:bCs/>
                <w:color w:val="000000"/>
                <w:sz w:val="22"/>
                <w:szCs w:val="22"/>
                <w:lang w:eastAsia="lv-LV"/>
              </w:rPr>
            </w:pPr>
            <w:r w:rsidRPr="00276C30">
              <w:rPr>
                <w:rFonts w:eastAsia="Times New Roman" w:cs="Times New Roman"/>
                <w:b/>
                <w:bCs/>
                <w:color w:val="000000"/>
                <w:sz w:val="22"/>
                <w:szCs w:val="22"/>
                <w:lang w:eastAsia="lv-LV"/>
              </w:rPr>
              <w:t>Politikas rezultatīvie rādītāji</w:t>
            </w:r>
          </w:p>
        </w:tc>
      </w:tr>
      <w:tr w:rsidR="009D26F7" w:rsidRPr="00276C30" w14:paraId="728836F0" w14:textId="77777777" w:rsidTr="009D26F7">
        <w:trPr>
          <w:trHeight w:val="748"/>
        </w:trPr>
        <w:tc>
          <w:tcPr>
            <w:tcW w:w="1170" w:type="pct"/>
            <w:vMerge w:val="restart"/>
            <w:shd w:val="clear" w:color="000000" w:fill="A9D18E"/>
            <w:vAlign w:val="center"/>
            <w:hideMark/>
          </w:tcPr>
          <w:p w14:paraId="1CECC2C3" w14:textId="77777777" w:rsidR="009D26F7" w:rsidRPr="00276C30" w:rsidRDefault="009D26F7" w:rsidP="00276C30">
            <w:pPr>
              <w:jc w:val="center"/>
              <w:rPr>
                <w:rFonts w:eastAsia="Times New Roman" w:cs="Times New Roman"/>
                <w:b/>
                <w:bCs/>
                <w:color w:val="000000"/>
                <w:sz w:val="22"/>
                <w:szCs w:val="22"/>
                <w:lang w:eastAsia="lv-LV"/>
              </w:rPr>
            </w:pPr>
            <w:r w:rsidRPr="00276C30">
              <w:rPr>
                <w:rFonts w:eastAsia="Times New Roman" w:cs="Times New Roman"/>
                <w:b/>
                <w:bCs/>
                <w:color w:val="000000"/>
                <w:sz w:val="22"/>
                <w:szCs w:val="22"/>
                <w:lang w:eastAsia="lv-LV"/>
              </w:rPr>
              <w:t>Tiesu sistēmas attīstība</w:t>
            </w:r>
          </w:p>
        </w:tc>
        <w:tc>
          <w:tcPr>
            <w:tcW w:w="3830" w:type="pct"/>
            <w:shd w:val="clear" w:color="000000" w:fill="EBF1E9"/>
            <w:vAlign w:val="center"/>
            <w:hideMark/>
          </w:tcPr>
          <w:p w14:paraId="4FD79CAE" w14:textId="77777777" w:rsidR="009D26F7" w:rsidRDefault="009D26F7" w:rsidP="00276C30">
            <w:pPr>
              <w:jc w:val="center"/>
              <w:rPr>
                <w:rFonts w:eastAsia="Times New Roman" w:cs="Times New Roman"/>
                <w:color w:val="000000"/>
                <w:sz w:val="22"/>
                <w:szCs w:val="22"/>
                <w:lang w:eastAsia="lv-LV"/>
              </w:rPr>
            </w:pPr>
            <w:r w:rsidRPr="00276C30">
              <w:rPr>
                <w:rFonts w:eastAsia="Times New Roman" w:cs="Times New Roman"/>
                <w:color w:val="000000"/>
                <w:sz w:val="22"/>
                <w:szCs w:val="22"/>
                <w:lang w:eastAsia="lv-LV"/>
              </w:rPr>
              <w:t>Lietu izskatīšanas ilgums rajona (pilsētu) tiesās 1.instancē (</w:t>
            </w:r>
            <w:proofErr w:type="spellStart"/>
            <w:r w:rsidRPr="00276C30">
              <w:rPr>
                <w:rFonts w:eastAsia="Times New Roman" w:cs="Times New Roman"/>
                <w:color w:val="000000"/>
                <w:sz w:val="22"/>
                <w:szCs w:val="22"/>
                <w:lang w:eastAsia="lv-LV"/>
              </w:rPr>
              <w:t>mēn</w:t>
            </w:r>
            <w:proofErr w:type="spellEnd"/>
            <w:r w:rsidRPr="00276C30">
              <w:rPr>
                <w:rFonts w:eastAsia="Times New Roman" w:cs="Times New Roman"/>
                <w:color w:val="000000"/>
                <w:sz w:val="22"/>
                <w:szCs w:val="22"/>
                <w:lang w:eastAsia="lv-LV"/>
              </w:rPr>
              <w:t>.):</w:t>
            </w:r>
          </w:p>
          <w:p w14:paraId="530103A0" w14:textId="2F91BC9E" w:rsidR="009D26F7" w:rsidRDefault="009D26F7" w:rsidP="009D26F7">
            <w:pPr>
              <w:pStyle w:val="ListParagraph"/>
              <w:numPr>
                <w:ilvl w:val="0"/>
                <w:numId w:val="1"/>
              </w:numPr>
              <w:jc w:val="center"/>
              <w:rPr>
                <w:rFonts w:eastAsia="Times New Roman" w:cs="Times New Roman"/>
                <w:color w:val="000000"/>
                <w:sz w:val="22"/>
                <w:szCs w:val="22"/>
                <w:lang w:eastAsia="lv-LV"/>
              </w:rPr>
            </w:pPr>
            <w:r w:rsidRPr="009D26F7">
              <w:rPr>
                <w:rFonts w:eastAsia="Times New Roman" w:cs="Times New Roman"/>
                <w:color w:val="000000"/>
                <w:sz w:val="22"/>
                <w:szCs w:val="22"/>
                <w:lang w:eastAsia="lv-LV"/>
              </w:rPr>
              <w:t>administratīvajās lietās;</w:t>
            </w:r>
          </w:p>
          <w:p w14:paraId="0456392F" w14:textId="77777777" w:rsidR="009D26F7" w:rsidRDefault="009D26F7" w:rsidP="009D26F7">
            <w:pPr>
              <w:pStyle w:val="ListParagraph"/>
              <w:numPr>
                <w:ilvl w:val="0"/>
                <w:numId w:val="1"/>
              </w:numPr>
              <w:jc w:val="center"/>
              <w:rPr>
                <w:rFonts w:eastAsia="Times New Roman" w:cs="Times New Roman"/>
                <w:color w:val="000000"/>
                <w:sz w:val="22"/>
                <w:szCs w:val="22"/>
                <w:lang w:eastAsia="lv-LV"/>
              </w:rPr>
            </w:pPr>
            <w:r w:rsidRPr="009D26F7">
              <w:rPr>
                <w:rFonts w:eastAsia="Times New Roman" w:cs="Times New Roman"/>
                <w:color w:val="000000"/>
                <w:sz w:val="22"/>
                <w:szCs w:val="22"/>
                <w:lang w:eastAsia="lv-LV"/>
              </w:rPr>
              <w:t>administratīvo pārkāpumu lietās;</w:t>
            </w:r>
          </w:p>
          <w:p w14:paraId="57CE59AA" w14:textId="77777777" w:rsidR="009D26F7" w:rsidRDefault="009D26F7" w:rsidP="009D26F7">
            <w:pPr>
              <w:pStyle w:val="ListParagraph"/>
              <w:numPr>
                <w:ilvl w:val="0"/>
                <w:numId w:val="1"/>
              </w:numPr>
              <w:jc w:val="center"/>
              <w:rPr>
                <w:rFonts w:eastAsia="Times New Roman" w:cs="Times New Roman"/>
                <w:color w:val="000000"/>
                <w:sz w:val="22"/>
                <w:szCs w:val="22"/>
                <w:lang w:eastAsia="lv-LV"/>
              </w:rPr>
            </w:pPr>
            <w:r w:rsidRPr="00276C30">
              <w:rPr>
                <w:rFonts w:eastAsia="Times New Roman" w:cs="Times New Roman"/>
                <w:color w:val="000000"/>
                <w:sz w:val="22"/>
                <w:szCs w:val="22"/>
                <w:lang w:eastAsia="lv-LV"/>
              </w:rPr>
              <w:t>civillietās;</w:t>
            </w:r>
          </w:p>
          <w:p w14:paraId="41F86D5C" w14:textId="519E1B9B" w:rsidR="009D26F7" w:rsidRPr="009D26F7" w:rsidRDefault="009D26F7" w:rsidP="009D26F7">
            <w:pPr>
              <w:pStyle w:val="ListParagraph"/>
              <w:numPr>
                <w:ilvl w:val="0"/>
                <w:numId w:val="1"/>
              </w:numPr>
              <w:jc w:val="center"/>
              <w:rPr>
                <w:rFonts w:eastAsia="Times New Roman" w:cs="Times New Roman"/>
                <w:color w:val="000000"/>
                <w:sz w:val="22"/>
                <w:szCs w:val="22"/>
                <w:lang w:eastAsia="lv-LV"/>
              </w:rPr>
            </w:pPr>
            <w:r w:rsidRPr="00276C30">
              <w:rPr>
                <w:rFonts w:eastAsia="Times New Roman" w:cs="Times New Roman"/>
                <w:color w:val="000000"/>
                <w:sz w:val="22"/>
                <w:szCs w:val="22"/>
                <w:lang w:eastAsia="lv-LV"/>
              </w:rPr>
              <w:t>krimināllietās</w:t>
            </w:r>
          </w:p>
        </w:tc>
      </w:tr>
      <w:tr w:rsidR="009D26F7" w:rsidRPr="00276C30" w14:paraId="43BD3465" w14:textId="77777777" w:rsidTr="009D26F7">
        <w:trPr>
          <w:trHeight w:val="1059"/>
        </w:trPr>
        <w:tc>
          <w:tcPr>
            <w:tcW w:w="1170" w:type="pct"/>
            <w:vMerge/>
            <w:vAlign w:val="center"/>
            <w:hideMark/>
          </w:tcPr>
          <w:p w14:paraId="6F77533D" w14:textId="77777777" w:rsidR="009D26F7" w:rsidRPr="00276C30" w:rsidRDefault="009D26F7" w:rsidP="00276C30">
            <w:pPr>
              <w:rPr>
                <w:rFonts w:eastAsia="Times New Roman" w:cs="Times New Roman"/>
                <w:b/>
                <w:bCs/>
                <w:color w:val="000000"/>
                <w:sz w:val="22"/>
                <w:szCs w:val="22"/>
                <w:lang w:eastAsia="lv-LV"/>
              </w:rPr>
            </w:pPr>
          </w:p>
        </w:tc>
        <w:tc>
          <w:tcPr>
            <w:tcW w:w="3830" w:type="pct"/>
            <w:shd w:val="clear" w:color="000000" w:fill="EBF1E9"/>
            <w:vAlign w:val="center"/>
            <w:hideMark/>
          </w:tcPr>
          <w:p w14:paraId="48D2DC79" w14:textId="77777777" w:rsidR="009D26F7" w:rsidRDefault="009D26F7" w:rsidP="00276C30">
            <w:pPr>
              <w:jc w:val="center"/>
              <w:rPr>
                <w:rFonts w:eastAsia="Times New Roman" w:cs="Times New Roman"/>
                <w:color w:val="000000"/>
                <w:sz w:val="22"/>
                <w:szCs w:val="22"/>
                <w:lang w:eastAsia="lv-LV"/>
              </w:rPr>
            </w:pPr>
            <w:r w:rsidRPr="00276C30">
              <w:rPr>
                <w:rFonts w:eastAsia="Times New Roman" w:cs="Times New Roman"/>
                <w:color w:val="000000"/>
                <w:sz w:val="22"/>
                <w:szCs w:val="22"/>
                <w:lang w:eastAsia="lv-LV"/>
              </w:rPr>
              <w:t>Rakstveida procesā izskatīto lietu īpatsvars (%):</w:t>
            </w:r>
          </w:p>
          <w:p w14:paraId="126CA935" w14:textId="6DA40F6C" w:rsidR="009D26F7" w:rsidRPr="009D26F7" w:rsidRDefault="009D26F7" w:rsidP="009D26F7">
            <w:pPr>
              <w:pStyle w:val="ListParagraph"/>
              <w:numPr>
                <w:ilvl w:val="0"/>
                <w:numId w:val="2"/>
              </w:numPr>
              <w:jc w:val="center"/>
              <w:rPr>
                <w:rFonts w:eastAsia="Times New Roman" w:cs="Times New Roman"/>
                <w:color w:val="000000"/>
                <w:sz w:val="22"/>
                <w:szCs w:val="22"/>
                <w:lang w:eastAsia="lv-LV"/>
              </w:rPr>
            </w:pPr>
            <w:r w:rsidRPr="009D26F7">
              <w:rPr>
                <w:rFonts w:eastAsia="Times New Roman" w:cs="Times New Roman"/>
                <w:color w:val="000000"/>
                <w:sz w:val="22"/>
                <w:szCs w:val="22"/>
                <w:lang w:eastAsia="lv-LV"/>
              </w:rPr>
              <w:t>administratīvās lietas;</w:t>
            </w:r>
          </w:p>
          <w:p w14:paraId="656DBBC4" w14:textId="77777777" w:rsidR="009D26F7" w:rsidRDefault="009D26F7" w:rsidP="009D26F7">
            <w:pPr>
              <w:pStyle w:val="ListParagraph"/>
              <w:numPr>
                <w:ilvl w:val="0"/>
                <w:numId w:val="2"/>
              </w:numPr>
              <w:jc w:val="center"/>
              <w:rPr>
                <w:rFonts w:eastAsia="Times New Roman" w:cs="Times New Roman"/>
                <w:color w:val="000000"/>
                <w:sz w:val="22"/>
                <w:szCs w:val="22"/>
                <w:lang w:eastAsia="lv-LV"/>
              </w:rPr>
            </w:pPr>
            <w:r w:rsidRPr="00276C30">
              <w:rPr>
                <w:rFonts w:eastAsia="Times New Roman" w:cs="Times New Roman"/>
                <w:color w:val="000000"/>
                <w:sz w:val="22"/>
                <w:szCs w:val="22"/>
                <w:lang w:eastAsia="lv-LV"/>
              </w:rPr>
              <w:t>administratīvo pārkāpumu lietas;</w:t>
            </w:r>
          </w:p>
          <w:p w14:paraId="289B2FEC" w14:textId="77777777" w:rsidR="009D26F7" w:rsidRDefault="009D26F7" w:rsidP="009D26F7">
            <w:pPr>
              <w:pStyle w:val="ListParagraph"/>
              <w:numPr>
                <w:ilvl w:val="0"/>
                <w:numId w:val="2"/>
              </w:numPr>
              <w:jc w:val="center"/>
              <w:rPr>
                <w:rFonts w:eastAsia="Times New Roman" w:cs="Times New Roman"/>
                <w:color w:val="000000"/>
                <w:sz w:val="22"/>
                <w:szCs w:val="22"/>
                <w:lang w:eastAsia="lv-LV"/>
              </w:rPr>
            </w:pPr>
            <w:r w:rsidRPr="00276C30">
              <w:rPr>
                <w:rFonts w:eastAsia="Times New Roman" w:cs="Times New Roman"/>
                <w:color w:val="000000"/>
                <w:sz w:val="22"/>
                <w:szCs w:val="22"/>
                <w:lang w:eastAsia="lv-LV"/>
              </w:rPr>
              <w:t>civillietas;</w:t>
            </w:r>
          </w:p>
          <w:p w14:paraId="4FC13FE6" w14:textId="47377684" w:rsidR="009D26F7" w:rsidRPr="009D26F7" w:rsidRDefault="009D26F7" w:rsidP="009D26F7">
            <w:pPr>
              <w:pStyle w:val="ListParagraph"/>
              <w:numPr>
                <w:ilvl w:val="0"/>
                <w:numId w:val="2"/>
              </w:numPr>
              <w:jc w:val="center"/>
              <w:rPr>
                <w:rFonts w:eastAsia="Times New Roman" w:cs="Times New Roman"/>
                <w:color w:val="000000"/>
                <w:sz w:val="22"/>
                <w:szCs w:val="22"/>
                <w:lang w:eastAsia="lv-LV"/>
              </w:rPr>
            </w:pPr>
            <w:r w:rsidRPr="00276C30">
              <w:rPr>
                <w:rFonts w:eastAsia="Times New Roman" w:cs="Times New Roman"/>
                <w:color w:val="000000"/>
                <w:sz w:val="22"/>
                <w:szCs w:val="22"/>
                <w:lang w:eastAsia="lv-LV"/>
              </w:rPr>
              <w:t xml:space="preserve">krimināllietas  </w:t>
            </w:r>
            <w:r w:rsidRPr="009D26F7">
              <w:rPr>
                <w:rFonts w:eastAsia="Times New Roman" w:cs="Times New Roman"/>
                <w:color w:val="000000"/>
                <w:sz w:val="22"/>
                <w:szCs w:val="22"/>
                <w:lang w:eastAsia="lv-LV"/>
              </w:rPr>
              <w:t xml:space="preserve"> </w:t>
            </w:r>
          </w:p>
        </w:tc>
      </w:tr>
      <w:tr w:rsidR="00276C30" w:rsidRPr="00276C30" w14:paraId="534F7CAA" w14:textId="77777777" w:rsidTr="009D26F7">
        <w:trPr>
          <w:trHeight w:val="106"/>
        </w:trPr>
        <w:tc>
          <w:tcPr>
            <w:tcW w:w="1170" w:type="pct"/>
            <w:vMerge/>
            <w:vAlign w:val="center"/>
            <w:hideMark/>
          </w:tcPr>
          <w:p w14:paraId="00F3C794" w14:textId="77777777" w:rsidR="00276C30" w:rsidRPr="00276C30" w:rsidRDefault="00276C30" w:rsidP="00276C30">
            <w:pPr>
              <w:rPr>
                <w:rFonts w:eastAsia="Times New Roman" w:cs="Times New Roman"/>
                <w:b/>
                <w:bCs/>
                <w:color w:val="000000"/>
                <w:sz w:val="22"/>
                <w:szCs w:val="22"/>
                <w:lang w:eastAsia="lv-LV"/>
              </w:rPr>
            </w:pPr>
          </w:p>
        </w:tc>
        <w:tc>
          <w:tcPr>
            <w:tcW w:w="3830" w:type="pct"/>
            <w:shd w:val="clear" w:color="000000" w:fill="EBF1E9"/>
            <w:vAlign w:val="center"/>
            <w:hideMark/>
          </w:tcPr>
          <w:p w14:paraId="233C171D" w14:textId="77777777" w:rsidR="00276C30" w:rsidRPr="00276C30" w:rsidRDefault="00276C30" w:rsidP="00276C30">
            <w:pPr>
              <w:jc w:val="center"/>
              <w:rPr>
                <w:rFonts w:eastAsia="Times New Roman" w:cs="Times New Roman"/>
                <w:color w:val="000000"/>
                <w:sz w:val="22"/>
                <w:szCs w:val="22"/>
                <w:lang w:eastAsia="lv-LV"/>
              </w:rPr>
            </w:pPr>
            <w:r w:rsidRPr="00276C30">
              <w:rPr>
                <w:rFonts w:eastAsia="Times New Roman" w:cs="Times New Roman"/>
                <w:color w:val="000000"/>
                <w:sz w:val="22"/>
                <w:szCs w:val="22"/>
                <w:lang w:eastAsia="lv-LV"/>
              </w:rPr>
              <w:t>Elektroniski iesniegto pieteikumu īpatsvars civillietās (%)</w:t>
            </w:r>
          </w:p>
        </w:tc>
      </w:tr>
      <w:tr w:rsidR="00276C30" w:rsidRPr="00276C30" w14:paraId="630E0F69" w14:textId="77777777" w:rsidTr="009D26F7">
        <w:trPr>
          <w:trHeight w:val="563"/>
        </w:trPr>
        <w:tc>
          <w:tcPr>
            <w:tcW w:w="1170" w:type="pct"/>
            <w:vMerge w:val="restart"/>
            <w:shd w:val="clear" w:color="000000" w:fill="A9D18E"/>
            <w:vAlign w:val="center"/>
            <w:hideMark/>
          </w:tcPr>
          <w:p w14:paraId="2B6E75E4" w14:textId="77777777" w:rsidR="00276C30" w:rsidRPr="00276C30" w:rsidRDefault="00276C30" w:rsidP="00276C30">
            <w:pPr>
              <w:jc w:val="center"/>
              <w:rPr>
                <w:rFonts w:eastAsia="Times New Roman" w:cs="Times New Roman"/>
                <w:b/>
                <w:bCs/>
                <w:color w:val="000000"/>
                <w:sz w:val="22"/>
                <w:szCs w:val="22"/>
                <w:lang w:eastAsia="lv-LV"/>
              </w:rPr>
            </w:pPr>
            <w:r w:rsidRPr="00276C30">
              <w:rPr>
                <w:rFonts w:eastAsia="Times New Roman" w:cs="Times New Roman"/>
                <w:b/>
                <w:bCs/>
                <w:color w:val="000000"/>
                <w:sz w:val="22"/>
                <w:szCs w:val="22"/>
                <w:lang w:eastAsia="lv-LV"/>
              </w:rPr>
              <w:t>Kriminālsodu izpilde</w:t>
            </w:r>
          </w:p>
        </w:tc>
        <w:tc>
          <w:tcPr>
            <w:tcW w:w="3830" w:type="pct"/>
            <w:shd w:val="clear" w:color="000000" w:fill="EBF1E9"/>
            <w:vAlign w:val="center"/>
            <w:hideMark/>
          </w:tcPr>
          <w:p w14:paraId="47AD6BD1" w14:textId="77777777" w:rsidR="00276C30" w:rsidRPr="00276C30" w:rsidRDefault="00276C30" w:rsidP="00276C30">
            <w:pPr>
              <w:jc w:val="center"/>
              <w:rPr>
                <w:rFonts w:eastAsia="Times New Roman" w:cs="Times New Roman"/>
                <w:color w:val="000000"/>
                <w:sz w:val="22"/>
                <w:szCs w:val="22"/>
                <w:lang w:eastAsia="lv-LV"/>
              </w:rPr>
            </w:pPr>
            <w:r w:rsidRPr="00276C30">
              <w:rPr>
                <w:rFonts w:eastAsia="Times New Roman" w:cs="Times New Roman"/>
                <w:color w:val="000000"/>
                <w:sz w:val="22"/>
                <w:szCs w:val="22"/>
                <w:lang w:eastAsia="lv-LV"/>
              </w:rPr>
              <w:t xml:space="preserve">Pilnu brīvības atņemšanas sodu izcietušu personu recidīva līmenis no notiesātajiem (2 gadus pēc soda izciešanas beigām izdarīts jauns noziedzīgs nodarījums, par kuru ierosināts kriminālprocess, vai persona notiesāta) (%) </w:t>
            </w:r>
          </w:p>
        </w:tc>
      </w:tr>
      <w:tr w:rsidR="00276C30" w:rsidRPr="00276C30" w14:paraId="19E3FE01" w14:textId="77777777" w:rsidTr="009D26F7">
        <w:trPr>
          <w:trHeight w:val="346"/>
        </w:trPr>
        <w:tc>
          <w:tcPr>
            <w:tcW w:w="1170" w:type="pct"/>
            <w:vMerge/>
            <w:vAlign w:val="center"/>
            <w:hideMark/>
          </w:tcPr>
          <w:p w14:paraId="2D720ADC" w14:textId="77777777" w:rsidR="00276C30" w:rsidRPr="00276C30" w:rsidRDefault="00276C30" w:rsidP="00276C30">
            <w:pPr>
              <w:rPr>
                <w:rFonts w:eastAsia="Times New Roman" w:cs="Times New Roman"/>
                <w:b/>
                <w:bCs/>
                <w:color w:val="000000"/>
                <w:sz w:val="22"/>
                <w:szCs w:val="22"/>
                <w:lang w:eastAsia="lv-LV"/>
              </w:rPr>
            </w:pPr>
          </w:p>
        </w:tc>
        <w:tc>
          <w:tcPr>
            <w:tcW w:w="3830" w:type="pct"/>
            <w:shd w:val="clear" w:color="000000" w:fill="EBF1E9"/>
            <w:vAlign w:val="center"/>
            <w:hideMark/>
          </w:tcPr>
          <w:p w14:paraId="0B1759FD" w14:textId="77777777" w:rsidR="00276C30" w:rsidRPr="00276C30" w:rsidRDefault="00276C30" w:rsidP="00276C30">
            <w:pPr>
              <w:jc w:val="center"/>
              <w:rPr>
                <w:rFonts w:eastAsia="Times New Roman" w:cs="Times New Roman"/>
                <w:color w:val="000000"/>
                <w:sz w:val="22"/>
                <w:szCs w:val="22"/>
                <w:lang w:eastAsia="lv-LV"/>
              </w:rPr>
            </w:pPr>
            <w:r w:rsidRPr="00276C30">
              <w:rPr>
                <w:rFonts w:eastAsia="Times New Roman" w:cs="Times New Roman"/>
                <w:color w:val="000000"/>
                <w:sz w:val="22"/>
                <w:szCs w:val="22"/>
                <w:lang w:eastAsia="lv-LV"/>
              </w:rPr>
              <w:t xml:space="preserve">Notiesāto personu īpatsvars, kuri saņem pilnu individuālajā </w:t>
            </w:r>
            <w:proofErr w:type="spellStart"/>
            <w:r w:rsidRPr="00276C30">
              <w:rPr>
                <w:rFonts w:eastAsia="Times New Roman" w:cs="Times New Roman"/>
                <w:color w:val="000000"/>
                <w:sz w:val="22"/>
                <w:szCs w:val="22"/>
                <w:lang w:eastAsia="lv-LV"/>
              </w:rPr>
              <w:t>resocializācijas</w:t>
            </w:r>
            <w:proofErr w:type="spellEnd"/>
            <w:r w:rsidRPr="00276C30">
              <w:rPr>
                <w:rFonts w:eastAsia="Times New Roman" w:cs="Times New Roman"/>
                <w:color w:val="000000"/>
                <w:sz w:val="22"/>
                <w:szCs w:val="22"/>
                <w:lang w:eastAsia="lv-LV"/>
              </w:rPr>
              <w:t xml:space="preserve"> plānā paredzēto </w:t>
            </w:r>
            <w:proofErr w:type="spellStart"/>
            <w:r w:rsidRPr="00276C30">
              <w:rPr>
                <w:rFonts w:eastAsia="Times New Roman" w:cs="Times New Roman"/>
                <w:color w:val="000000"/>
                <w:sz w:val="22"/>
                <w:szCs w:val="22"/>
                <w:lang w:eastAsia="lv-LV"/>
              </w:rPr>
              <w:t>resocializācijas</w:t>
            </w:r>
            <w:proofErr w:type="spellEnd"/>
            <w:r w:rsidRPr="00276C30">
              <w:rPr>
                <w:rFonts w:eastAsia="Times New Roman" w:cs="Times New Roman"/>
                <w:color w:val="000000"/>
                <w:sz w:val="22"/>
                <w:szCs w:val="22"/>
                <w:lang w:eastAsia="lv-LV"/>
              </w:rPr>
              <w:t xml:space="preserve"> vajadzību risināšanu (%)</w:t>
            </w:r>
          </w:p>
        </w:tc>
      </w:tr>
      <w:tr w:rsidR="00276C30" w:rsidRPr="00276C30" w14:paraId="57CBDEF6" w14:textId="77777777" w:rsidTr="009D26F7">
        <w:trPr>
          <w:trHeight w:val="538"/>
        </w:trPr>
        <w:tc>
          <w:tcPr>
            <w:tcW w:w="1170" w:type="pct"/>
            <w:vMerge/>
            <w:vAlign w:val="center"/>
            <w:hideMark/>
          </w:tcPr>
          <w:p w14:paraId="5A941D97" w14:textId="77777777" w:rsidR="00276C30" w:rsidRPr="00276C30" w:rsidRDefault="00276C30" w:rsidP="00276C30">
            <w:pPr>
              <w:rPr>
                <w:rFonts w:eastAsia="Times New Roman" w:cs="Times New Roman"/>
                <w:b/>
                <w:bCs/>
                <w:color w:val="000000"/>
                <w:sz w:val="22"/>
                <w:szCs w:val="22"/>
                <w:lang w:eastAsia="lv-LV"/>
              </w:rPr>
            </w:pPr>
          </w:p>
        </w:tc>
        <w:tc>
          <w:tcPr>
            <w:tcW w:w="3830" w:type="pct"/>
            <w:shd w:val="clear" w:color="000000" w:fill="EBF1E9"/>
            <w:vAlign w:val="center"/>
            <w:hideMark/>
          </w:tcPr>
          <w:p w14:paraId="7F4010A7" w14:textId="77777777" w:rsidR="00276C30" w:rsidRPr="00276C30" w:rsidRDefault="00276C30" w:rsidP="00276C30">
            <w:pPr>
              <w:jc w:val="center"/>
              <w:rPr>
                <w:rFonts w:eastAsia="Times New Roman" w:cs="Times New Roman"/>
                <w:color w:val="000000"/>
                <w:sz w:val="22"/>
                <w:szCs w:val="22"/>
                <w:lang w:eastAsia="lv-LV"/>
              </w:rPr>
            </w:pPr>
            <w:r w:rsidRPr="00276C30">
              <w:rPr>
                <w:rFonts w:eastAsia="Times New Roman" w:cs="Times New Roman"/>
                <w:color w:val="000000"/>
                <w:sz w:val="22"/>
                <w:szCs w:val="22"/>
                <w:lang w:eastAsia="lv-LV"/>
              </w:rPr>
              <w:t xml:space="preserve">Vietas, kur ieslodzītie tiek izvietoti drošos, </w:t>
            </w:r>
            <w:proofErr w:type="spellStart"/>
            <w:r w:rsidRPr="00276C30">
              <w:rPr>
                <w:rFonts w:eastAsia="Times New Roman" w:cs="Times New Roman"/>
                <w:color w:val="000000"/>
                <w:sz w:val="22"/>
                <w:szCs w:val="22"/>
                <w:lang w:eastAsia="lv-LV"/>
              </w:rPr>
              <w:t>resocializācijas</w:t>
            </w:r>
            <w:proofErr w:type="spellEnd"/>
            <w:r w:rsidRPr="00276C30">
              <w:rPr>
                <w:rFonts w:eastAsia="Times New Roman" w:cs="Times New Roman"/>
                <w:color w:val="000000"/>
                <w:sz w:val="22"/>
                <w:szCs w:val="22"/>
                <w:lang w:eastAsia="lv-LV"/>
              </w:rPr>
              <w:t xml:space="preserve"> īstenošanai piemērotos un starptautiskajām prasībām atbilstošos apstākļos (vietu skaits / % no kopējā ieslodzījuma vietās esošo vietu skaita)</w:t>
            </w:r>
          </w:p>
        </w:tc>
      </w:tr>
      <w:tr w:rsidR="00276C30" w:rsidRPr="00276C30" w14:paraId="2D4BE5BF" w14:textId="77777777" w:rsidTr="009D26F7">
        <w:trPr>
          <w:trHeight w:val="70"/>
        </w:trPr>
        <w:tc>
          <w:tcPr>
            <w:tcW w:w="1170" w:type="pct"/>
            <w:vMerge/>
            <w:vAlign w:val="center"/>
            <w:hideMark/>
          </w:tcPr>
          <w:p w14:paraId="43356CCB" w14:textId="77777777" w:rsidR="00276C30" w:rsidRPr="00276C30" w:rsidRDefault="00276C30" w:rsidP="00276C30">
            <w:pPr>
              <w:rPr>
                <w:rFonts w:eastAsia="Times New Roman" w:cs="Times New Roman"/>
                <w:b/>
                <w:bCs/>
                <w:color w:val="000000"/>
                <w:sz w:val="22"/>
                <w:szCs w:val="22"/>
                <w:lang w:eastAsia="lv-LV"/>
              </w:rPr>
            </w:pPr>
          </w:p>
        </w:tc>
        <w:tc>
          <w:tcPr>
            <w:tcW w:w="3830" w:type="pct"/>
            <w:shd w:val="clear" w:color="000000" w:fill="EBF1E9"/>
            <w:vAlign w:val="center"/>
            <w:hideMark/>
          </w:tcPr>
          <w:p w14:paraId="739B7106" w14:textId="517F9747" w:rsidR="00276C30" w:rsidRPr="00276C30" w:rsidRDefault="00276C30" w:rsidP="00276C30">
            <w:pPr>
              <w:jc w:val="center"/>
              <w:rPr>
                <w:rFonts w:eastAsia="Times New Roman" w:cs="Times New Roman"/>
                <w:color w:val="000000"/>
                <w:sz w:val="22"/>
                <w:szCs w:val="22"/>
                <w:lang w:eastAsia="lv-LV"/>
              </w:rPr>
            </w:pPr>
            <w:r w:rsidRPr="00276C30">
              <w:rPr>
                <w:rFonts w:eastAsia="Times New Roman" w:cs="Times New Roman"/>
                <w:color w:val="000000"/>
                <w:sz w:val="22"/>
                <w:szCs w:val="22"/>
                <w:lang w:eastAsia="lv-LV"/>
              </w:rPr>
              <w:t>Noziedzīg</w:t>
            </w:r>
            <w:r w:rsidR="0097775C">
              <w:rPr>
                <w:rFonts w:eastAsia="Times New Roman" w:cs="Times New Roman"/>
                <w:color w:val="000000"/>
                <w:sz w:val="22"/>
                <w:szCs w:val="22"/>
                <w:lang w:eastAsia="lv-LV"/>
              </w:rPr>
              <w:t>i</w:t>
            </w:r>
            <w:r w:rsidRPr="00276C30">
              <w:rPr>
                <w:rFonts w:eastAsia="Times New Roman" w:cs="Times New Roman"/>
                <w:color w:val="000000"/>
                <w:sz w:val="22"/>
                <w:szCs w:val="22"/>
                <w:lang w:eastAsia="lv-LV"/>
              </w:rPr>
              <w:t xml:space="preserve"> nodarījum</w:t>
            </w:r>
            <w:r w:rsidR="0097775C">
              <w:rPr>
                <w:rFonts w:eastAsia="Times New Roman" w:cs="Times New Roman"/>
                <w:color w:val="000000"/>
                <w:sz w:val="22"/>
                <w:szCs w:val="22"/>
                <w:lang w:eastAsia="lv-LV"/>
              </w:rPr>
              <w:t>i</w:t>
            </w:r>
            <w:r w:rsidRPr="00276C30">
              <w:rPr>
                <w:rFonts w:eastAsia="Times New Roman" w:cs="Times New Roman"/>
                <w:color w:val="000000"/>
                <w:sz w:val="22"/>
                <w:szCs w:val="22"/>
                <w:lang w:eastAsia="lv-LV"/>
              </w:rPr>
              <w:t xml:space="preserve"> uz 10 000 iedzīvotājiem</w:t>
            </w:r>
            <w:r w:rsidR="0097775C">
              <w:rPr>
                <w:rFonts w:eastAsia="Times New Roman" w:cs="Times New Roman"/>
                <w:color w:val="000000"/>
                <w:sz w:val="22"/>
                <w:szCs w:val="22"/>
                <w:lang w:eastAsia="lv-LV"/>
              </w:rPr>
              <w:t xml:space="preserve"> (skaits)</w:t>
            </w:r>
          </w:p>
        </w:tc>
      </w:tr>
      <w:tr w:rsidR="009D26F7" w:rsidRPr="00276C30" w14:paraId="5698F180" w14:textId="77777777" w:rsidTr="009D26F7">
        <w:trPr>
          <w:trHeight w:val="1147"/>
        </w:trPr>
        <w:tc>
          <w:tcPr>
            <w:tcW w:w="1170" w:type="pct"/>
            <w:shd w:val="clear" w:color="000000" w:fill="A9D18E"/>
            <w:vAlign w:val="center"/>
            <w:hideMark/>
          </w:tcPr>
          <w:p w14:paraId="53B99FE2" w14:textId="77777777" w:rsidR="009D26F7" w:rsidRPr="00276C30" w:rsidRDefault="009D26F7" w:rsidP="00276C30">
            <w:pPr>
              <w:jc w:val="center"/>
              <w:rPr>
                <w:rFonts w:eastAsia="Times New Roman" w:cs="Times New Roman"/>
                <w:b/>
                <w:bCs/>
                <w:color w:val="000000"/>
                <w:sz w:val="22"/>
                <w:szCs w:val="22"/>
                <w:lang w:eastAsia="lv-LV"/>
              </w:rPr>
            </w:pPr>
            <w:r w:rsidRPr="00276C30">
              <w:rPr>
                <w:rFonts w:eastAsia="Times New Roman" w:cs="Times New Roman"/>
                <w:b/>
                <w:bCs/>
                <w:color w:val="000000"/>
                <w:sz w:val="22"/>
                <w:szCs w:val="22"/>
                <w:lang w:eastAsia="lv-LV"/>
              </w:rPr>
              <w:t>Nekustamā īpašuma tiesību politika</w:t>
            </w:r>
          </w:p>
        </w:tc>
        <w:tc>
          <w:tcPr>
            <w:tcW w:w="3830" w:type="pct"/>
            <w:shd w:val="clear" w:color="000000" w:fill="EBF1E9"/>
            <w:vAlign w:val="center"/>
            <w:hideMark/>
          </w:tcPr>
          <w:p w14:paraId="2A464EFD" w14:textId="68B64463" w:rsidR="009D26F7" w:rsidRDefault="009D26F7" w:rsidP="00276C30">
            <w:pPr>
              <w:jc w:val="center"/>
              <w:rPr>
                <w:rFonts w:eastAsia="Times New Roman" w:cs="Times New Roman"/>
                <w:color w:val="000000"/>
                <w:sz w:val="22"/>
                <w:szCs w:val="22"/>
                <w:lang w:eastAsia="lv-LV"/>
              </w:rPr>
            </w:pPr>
            <w:r w:rsidRPr="00276C30">
              <w:rPr>
                <w:rFonts w:eastAsia="Times New Roman" w:cs="Times New Roman"/>
                <w:color w:val="000000"/>
                <w:sz w:val="22"/>
                <w:szCs w:val="22"/>
                <w:lang w:eastAsia="lv-LV"/>
              </w:rPr>
              <w:t>Kadastrālā vērtība no tirgus vērtības</w:t>
            </w:r>
            <w:r w:rsidR="0097775C">
              <w:rPr>
                <w:rFonts w:eastAsia="Times New Roman" w:cs="Times New Roman"/>
                <w:color w:val="000000"/>
                <w:sz w:val="22"/>
                <w:szCs w:val="22"/>
                <w:lang w:eastAsia="lv-LV"/>
              </w:rPr>
              <w:t xml:space="preserve"> (%)</w:t>
            </w:r>
            <w:r w:rsidRPr="00276C30">
              <w:rPr>
                <w:rFonts w:eastAsia="Times New Roman" w:cs="Times New Roman"/>
                <w:color w:val="000000"/>
                <w:sz w:val="22"/>
                <w:szCs w:val="22"/>
                <w:lang w:eastAsia="lv-LV"/>
              </w:rPr>
              <w:t>:</w:t>
            </w:r>
          </w:p>
          <w:p w14:paraId="0C688C51" w14:textId="5FE9DD1A" w:rsidR="009D26F7" w:rsidRPr="009D26F7" w:rsidRDefault="009D26F7" w:rsidP="009D26F7">
            <w:pPr>
              <w:pStyle w:val="ListParagraph"/>
              <w:numPr>
                <w:ilvl w:val="0"/>
                <w:numId w:val="3"/>
              </w:numPr>
              <w:jc w:val="center"/>
              <w:rPr>
                <w:rFonts w:eastAsia="Times New Roman" w:cs="Times New Roman"/>
                <w:color w:val="000000"/>
                <w:sz w:val="22"/>
                <w:szCs w:val="22"/>
                <w:lang w:eastAsia="lv-LV"/>
              </w:rPr>
            </w:pPr>
            <w:r w:rsidRPr="009D26F7">
              <w:rPr>
                <w:rFonts w:eastAsia="Times New Roman" w:cs="Times New Roman"/>
                <w:color w:val="000000"/>
                <w:sz w:val="22"/>
                <w:szCs w:val="22"/>
                <w:lang w:eastAsia="lv-LV"/>
              </w:rPr>
              <w:t>apbūves zeme</w:t>
            </w:r>
            <w:r>
              <w:rPr>
                <w:rFonts w:eastAsia="Times New Roman" w:cs="Times New Roman"/>
                <w:color w:val="000000"/>
                <w:sz w:val="22"/>
                <w:szCs w:val="22"/>
                <w:lang w:eastAsia="lv-LV"/>
              </w:rPr>
              <w:t>;</w:t>
            </w:r>
          </w:p>
          <w:p w14:paraId="7F7D3EAB" w14:textId="29D41459" w:rsidR="009D26F7" w:rsidRDefault="009D26F7" w:rsidP="009D26F7">
            <w:pPr>
              <w:pStyle w:val="ListParagraph"/>
              <w:numPr>
                <w:ilvl w:val="0"/>
                <w:numId w:val="3"/>
              </w:numPr>
              <w:jc w:val="center"/>
              <w:rPr>
                <w:rFonts w:eastAsia="Times New Roman" w:cs="Times New Roman"/>
                <w:color w:val="000000"/>
                <w:sz w:val="22"/>
                <w:szCs w:val="22"/>
                <w:lang w:eastAsia="lv-LV"/>
              </w:rPr>
            </w:pPr>
            <w:r w:rsidRPr="00276C30">
              <w:rPr>
                <w:rFonts w:eastAsia="Times New Roman" w:cs="Times New Roman"/>
                <w:color w:val="000000"/>
                <w:sz w:val="22"/>
                <w:szCs w:val="22"/>
                <w:lang w:eastAsia="lv-LV"/>
              </w:rPr>
              <w:t>lauksaimniecības un mežsaimniecības īpašumi</w:t>
            </w:r>
            <w:r>
              <w:rPr>
                <w:rFonts w:eastAsia="Times New Roman" w:cs="Times New Roman"/>
                <w:color w:val="000000"/>
                <w:sz w:val="22"/>
                <w:szCs w:val="22"/>
                <w:lang w:eastAsia="lv-LV"/>
              </w:rPr>
              <w:t>;</w:t>
            </w:r>
          </w:p>
          <w:p w14:paraId="78A5B1F7" w14:textId="481D755F" w:rsidR="009D26F7" w:rsidRDefault="009D26F7" w:rsidP="009D26F7">
            <w:pPr>
              <w:pStyle w:val="ListParagraph"/>
              <w:numPr>
                <w:ilvl w:val="0"/>
                <w:numId w:val="3"/>
              </w:numPr>
              <w:jc w:val="center"/>
              <w:rPr>
                <w:rFonts w:eastAsia="Times New Roman" w:cs="Times New Roman"/>
                <w:color w:val="000000"/>
                <w:sz w:val="22"/>
                <w:szCs w:val="22"/>
                <w:lang w:eastAsia="lv-LV"/>
              </w:rPr>
            </w:pPr>
            <w:r w:rsidRPr="00276C30">
              <w:rPr>
                <w:rFonts w:eastAsia="Times New Roman" w:cs="Times New Roman"/>
                <w:color w:val="000000"/>
                <w:sz w:val="22"/>
                <w:szCs w:val="22"/>
                <w:lang w:eastAsia="lv-LV"/>
              </w:rPr>
              <w:t>savrupmājas</w:t>
            </w:r>
            <w:r>
              <w:rPr>
                <w:rFonts w:eastAsia="Times New Roman" w:cs="Times New Roman"/>
                <w:color w:val="000000"/>
                <w:sz w:val="22"/>
                <w:szCs w:val="22"/>
                <w:lang w:eastAsia="lv-LV"/>
              </w:rPr>
              <w:t>;</w:t>
            </w:r>
          </w:p>
          <w:p w14:paraId="13379698" w14:textId="452927B2" w:rsidR="009D26F7" w:rsidRPr="009D26F7" w:rsidRDefault="009D26F7" w:rsidP="009D26F7">
            <w:pPr>
              <w:pStyle w:val="ListParagraph"/>
              <w:numPr>
                <w:ilvl w:val="0"/>
                <w:numId w:val="3"/>
              </w:numPr>
              <w:jc w:val="center"/>
              <w:rPr>
                <w:rFonts w:eastAsia="Times New Roman" w:cs="Times New Roman"/>
                <w:color w:val="000000"/>
                <w:sz w:val="22"/>
                <w:szCs w:val="22"/>
                <w:lang w:eastAsia="lv-LV"/>
              </w:rPr>
            </w:pPr>
            <w:r w:rsidRPr="00276C30">
              <w:rPr>
                <w:rFonts w:eastAsia="Times New Roman" w:cs="Times New Roman"/>
                <w:color w:val="000000"/>
                <w:sz w:val="22"/>
                <w:szCs w:val="22"/>
                <w:lang w:eastAsia="lv-LV"/>
              </w:rPr>
              <w:t>telpu grupas</w:t>
            </w:r>
          </w:p>
        </w:tc>
      </w:tr>
      <w:tr w:rsidR="00276C30" w:rsidRPr="00276C30" w14:paraId="5F85348E" w14:textId="77777777" w:rsidTr="009D26F7">
        <w:trPr>
          <w:trHeight w:val="189"/>
        </w:trPr>
        <w:tc>
          <w:tcPr>
            <w:tcW w:w="1170" w:type="pct"/>
            <w:vMerge w:val="restart"/>
            <w:shd w:val="clear" w:color="000000" w:fill="A9D18E"/>
            <w:vAlign w:val="center"/>
            <w:hideMark/>
          </w:tcPr>
          <w:p w14:paraId="2DF80574" w14:textId="77777777" w:rsidR="00276C30" w:rsidRPr="00276C30" w:rsidRDefault="00276C30" w:rsidP="00276C30">
            <w:pPr>
              <w:jc w:val="center"/>
              <w:rPr>
                <w:rFonts w:eastAsia="Times New Roman" w:cs="Times New Roman"/>
                <w:b/>
                <w:bCs/>
                <w:color w:val="000000"/>
                <w:sz w:val="22"/>
                <w:szCs w:val="22"/>
                <w:lang w:eastAsia="lv-LV"/>
              </w:rPr>
            </w:pPr>
            <w:r w:rsidRPr="00276C30">
              <w:rPr>
                <w:rFonts w:eastAsia="Times New Roman" w:cs="Times New Roman"/>
                <w:b/>
                <w:bCs/>
                <w:color w:val="000000"/>
                <w:sz w:val="22"/>
                <w:szCs w:val="22"/>
                <w:lang w:eastAsia="lv-LV"/>
              </w:rPr>
              <w:t>Konstitucionālo tiesību politika</w:t>
            </w:r>
          </w:p>
        </w:tc>
        <w:tc>
          <w:tcPr>
            <w:tcW w:w="3830" w:type="pct"/>
            <w:shd w:val="clear" w:color="000000" w:fill="EBF1E9"/>
            <w:vAlign w:val="bottom"/>
            <w:hideMark/>
          </w:tcPr>
          <w:p w14:paraId="1EF6075D" w14:textId="6924B2B2" w:rsidR="00276C30" w:rsidRPr="00276C30" w:rsidRDefault="00276C30" w:rsidP="00276C30">
            <w:pPr>
              <w:jc w:val="center"/>
              <w:rPr>
                <w:rFonts w:eastAsia="Times New Roman" w:cs="Times New Roman"/>
                <w:color w:val="000000"/>
                <w:sz w:val="22"/>
                <w:szCs w:val="22"/>
                <w:lang w:eastAsia="lv-LV"/>
              </w:rPr>
            </w:pPr>
            <w:r w:rsidRPr="00276C30">
              <w:rPr>
                <w:rFonts w:eastAsia="Times New Roman" w:cs="Times New Roman"/>
                <w:color w:val="000000"/>
                <w:sz w:val="22"/>
                <w:szCs w:val="22"/>
                <w:lang w:eastAsia="lv-LV"/>
              </w:rPr>
              <w:t>Pieaugušo iedzīvotāju īpatsvars, kuri prot latviešu valodu un kuru dzimtā valoda nav latviešu valoda (25–64 g. v.)</w:t>
            </w:r>
            <w:r w:rsidR="00D2315B">
              <w:rPr>
                <w:rFonts w:eastAsia="Times New Roman" w:cs="Times New Roman"/>
                <w:color w:val="000000"/>
                <w:sz w:val="22"/>
                <w:szCs w:val="22"/>
                <w:lang w:eastAsia="lv-LV"/>
              </w:rPr>
              <w:t xml:space="preserve"> (%)</w:t>
            </w:r>
          </w:p>
        </w:tc>
      </w:tr>
      <w:tr w:rsidR="00276C30" w:rsidRPr="00276C30" w14:paraId="1A2ECBF2" w14:textId="77777777" w:rsidTr="009D26F7">
        <w:trPr>
          <w:trHeight w:val="225"/>
        </w:trPr>
        <w:tc>
          <w:tcPr>
            <w:tcW w:w="1170" w:type="pct"/>
            <w:vMerge/>
            <w:vAlign w:val="center"/>
            <w:hideMark/>
          </w:tcPr>
          <w:p w14:paraId="143E0727" w14:textId="77777777" w:rsidR="00276C30" w:rsidRPr="00276C30" w:rsidRDefault="00276C30" w:rsidP="00276C30">
            <w:pPr>
              <w:rPr>
                <w:rFonts w:eastAsia="Times New Roman" w:cs="Times New Roman"/>
                <w:b/>
                <w:bCs/>
                <w:color w:val="000000"/>
                <w:sz w:val="22"/>
                <w:szCs w:val="22"/>
                <w:lang w:eastAsia="lv-LV"/>
              </w:rPr>
            </w:pPr>
          </w:p>
        </w:tc>
        <w:tc>
          <w:tcPr>
            <w:tcW w:w="3830" w:type="pct"/>
            <w:shd w:val="clear" w:color="000000" w:fill="EBF1E9"/>
            <w:vAlign w:val="center"/>
            <w:hideMark/>
          </w:tcPr>
          <w:p w14:paraId="2AA5154C" w14:textId="77777777" w:rsidR="00276C30" w:rsidRPr="00276C30" w:rsidRDefault="00276C30" w:rsidP="00276C30">
            <w:pPr>
              <w:jc w:val="center"/>
              <w:rPr>
                <w:rFonts w:eastAsia="Times New Roman" w:cs="Times New Roman"/>
                <w:color w:val="000000"/>
                <w:sz w:val="22"/>
                <w:szCs w:val="22"/>
                <w:lang w:eastAsia="lv-LV"/>
              </w:rPr>
            </w:pPr>
            <w:r w:rsidRPr="00276C30">
              <w:rPr>
                <w:rFonts w:eastAsia="Times New Roman" w:cs="Times New Roman"/>
                <w:color w:val="000000"/>
                <w:sz w:val="22"/>
                <w:szCs w:val="22"/>
                <w:lang w:eastAsia="lv-LV"/>
              </w:rPr>
              <w:t>Apmierinātība ar to, kā darbojas demokrātija (pilnīgi apmierināts, drīzāk apmierināts) (SKDS)</w:t>
            </w:r>
          </w:p>
        </w:tc>
      </w:tr>
      <w:tr w:rsidR="00276C30" w:rsidRPr="00276C30" w14:paraId="050909C4" w14:textId="77777777" w:rsidTr="009D26F7">
        <w:trPr>
          <w:trHeight w:val="70"/>
        </w:trPr>
        <w:tc>
          <w:tcPr>
            <w:tcW w:w="1170" w:type="pct"/>
            <w:vMerge w:val="restart"/>
            <w:shd w:val="clear" w:color="000000" w:fill="A9D18E"/>
            <w:vAlign w:val="center"/>
            <w:hideMark/>
          </w:tcPr>
          <w:p w14:paraId="1052B365" w14:textId="77777777" w:rsidR="00276C30" w:rsidRPr="00276C30" w:rsidRDefault="00276C30" w:rsidP="00276C30">
            <w:pPr>
              <w:jc w:val="center"/>
              <w:rPr>
                <w:rFonts w:eastAsia="Times New Roman" w:cs="Times New Roman"/>
                <w:b/>
                <w:bCs/>
                <w:color w:val="000000"/>
                <w:sz w:val="22"/>
                <w:szCs w:val="22"/>
                <w:lang w:eastAsia="lv-LV"/>
              </w:rPr>
            </w:pPr>
            <w:r w:rsidRPr="00276C30">
              <w:rPr>
                <w:rFonts w:eastAsia="Times New Roman" w:cs="Times New Roman"/>
                <w:b/>
                <w:bCs/>
                <w:color w:val="000000"/>
                <w:sz w:val="22"/>
                <w:szCs w:val="22"/>
                <w:lang w:eastAsia="lv-LV"/>
              </w:rPr>
              <w:t>Nozaru vadība un politikas plānošana</w:t>
            </w:r>
          </w:p>
        </w:tc>
        <w:tc>
          <w:tcPr>
            <w:tcW w:w="3830" w:type="pct"/>
            <w:shd w:val="clear" w:color="000000" w:fill="EBF1E9"/>
            <w:vAlign w:val="center"/>
            <w:hideMark/>
          </w:tcPr>
          <w:p w14:paraId="4FB8F12C" w14:textId="77777777" w:rsidR="00276C30" w:rsidRPr="00276C30" w:rsidRDefault="00276C30" w:rsidP="00276C30">
            <w:pPr>
              <w:jc w:val="center"/>
              <w:rPr>
                <w:rFonts w:eastAsia="Times New Roman" w:cs="Times New Roman"/>
                <w:color w:val="000000"/>
                <w:sz w:val="22"/>
                <w:szCs w:val="22"/>
                <w:lang w:eastAsia="lv-LV"/>
              </w:rPr>
            </w:pPr>
            <w:r w:rsidRPr="00276C30">
              <w:rPr>
                <w:rFonts w:eastAsia="Times New Roman" w:cs="Times New Roman"/>
                <w:color w:val="000000"/>
                <w:sz w:val="22"/>
                <w:szCs w:val="22"/>
                <w:lang w:eastAsia="lv-LV"/>
              </w:rPr>
              <w:t xml:space="preserve"> Uzticēšanās tiesībaizsardzības sistēmai: tiesas (SKDS)</w:t>
            </w:r>
          </w:p>
        </w:tc>
      </w:tr>
      <w:tr w:rsidR="009D26F7" w:rsidRPr="00276C30" w14:paraId="43DDCB53" w14:textId="77777777" w:rsidTr="009D26F7">
        <w:trPr>
          <w:trHeight w:val="70"/>
        </w:trPr>
        <w:tc>
          <w:tcPr>
            <w:tcW w:w="1170" w:type="pct"/>
            <w:vMerge/>
            <w:vAlign w:val="center"/>
            <w:hideMark/>
          </w:tcPr>
          <w:p w14:paraId="46C86371" w14:textId="77777777" w:rsidR="009D26F7" w:rsidRPr="00276C30" w:rsidRDefault="009D26F7" w:rsidP="00276C30">
            <w:pPr>
              <w:rPr>
                <w:rFonts w:eastAsia="Times New Roman" w:cs="Times New Roman"/>
                <w:b/>
                <w:bCs/>
                <w:color w:val="000000"/>
                <w:sz w:val="22"/>
                <w:szCs w:val="22"/>
                <w:lang w:eastAsia="lv-LV"/>
              </w:rPr>
            </w:pPr>
          </w:p>
        </w:tc>
        <w:tc>
          <w:tcPr>
            <w:tcW w:w="3830" w:type="pct"/>
            <w:shd w:val="clear" w:color="000000" w:fill="EBF1E9"/>
            <w:vAlign w:val="center"/>
            <w:hideMark/>
          </w:tcPr>
          <w:p w14:paraId="109BCB95" w14:textId="58AF75ED" w:rsidR="009D26F7" w:rsidRPr="00276C30" w:rsidRDefault="009D26F7" w:rsidP="00276C30">
            <w:pPr>
              <w:jc w:val="center"/>
              <w:rPr>
                <w:rFonts w:eastAsia="Times New Roman" w:cs="Times New Roman"/>
                <w:color w:val="000000"/>
                <w:sz w:val="22"/>
                <w:szCs w:val="22"/>
                <w:lang w:eastAsia="lv-LV"/>
              </w:rPr>
            </w:pPr>
            <w:r w:rsidRPr="00276C30">
              <w:rPr>
                <w:rFonts w:eastAsia="Times New Roman" w:cs="Times New Roman"/>
                <w:color w:val="000000"/>
                <w:sz w:val="22"/>
                <w:szCs w:val="22"/>
                <w:lang w:eastAsia="lv-LV"/>
              </w:rPr>
              <w:t>Iedzīvotāju politiskās uzticēšanās indekss: tiesībaizsardzības</w:t>
            </w:r>
            <w:r w:rsidRPr="009D26F7">
              <w:rPr>
                <w:rFonts w:eastAsia="Times New Roman" w:cs="Times New Roman"/>
                <w:color w:val="000000"/>
                <w:sz w:val="22"/>
                <w:szCs w:val="22"/>
                <w:lang w:eastAsia="lv-LV"/>
              </w:rPr>
              <w:t xml:space="preserve"> </w:t>
            </w:r>
            <w:r w:rsidRPr="00276C30">
              <w:rPr>
                <w:rFonts w:eastAsia="Times New Roman" w:cs="Times New Roman"/>
                <w:color w:val="000000"/>
                <w:sz w:val="22"/>
                <w:szCs w:val="22"/>
                <w:lang w:eastAsia="lv-LV"/>
              </w:rPr>
              <w:t>sistēma (ESS)</w:t>
            </w:r>
          </w:p>
        </w:tc>
      </w:tr>
      <w:tr w:rsidR="00276C30" w:rsidRPr="00276C30" w14:paraId="7A7BA71C" w14:textId="77777777" w:rsidTr="009D26F7">
        <w:trPr>
          <w:trHeight w:val="70"/>
        </w:trPr>
        <w:tc>
          <w:tcPr>
            <w:tcW w:w="1170" w:type="pct"/>
            <w:vMerge/>
            <w:vAlign w:val="center"/>
            <w:hideMark/>
          </w:tcPr>
          <w:p w14:paraId="0DC0D07E" w14:textId="77777777" w:rsidR="00276C30" w:rsidRPr="00276C30" w:rsidRDefault="00276C30" w:rsidP="00276C30">
            <w:pPr>
              <w:rPr>
                <w:rFonts w:eastAsia="Times New Roman" w:cs="Times New Roman"/>
                <w:b/>
                <w:bCs/>
                <w:color w:val="000000"/>
                <w:sz w:val="22"/>
                <w:szCs w:val="22"/>
                <w:lang w:eastAsia="lv-LV"/>
              </w:rPr>
            </w:pPr>
          </w:p>
        </w:tc>
        <w:tc>
          <w:tcPr>
            <w:tcW w:w="3830" w:type="pct"/>
            <w:shd w:val="clear" w:color="000000" w:fill="EBF1E9"/>
            <w:vAlign w:val="center"/>
            <w:hideMark/>
          </w:tcPr>
          <w:p w14:paraId="390B1D9B" w14:textId="1994D80E" w:rsidR="00276C30" w:rsidRPr="00276C30" w:rsidRDefault="00276C30" w:rsidP="00276C30">
            <w:pPr>
              <w:jc w:val="center"/>
              <w:rPr>
                <w:rFonts w:eastAsia="Times New Roman" w:cs="Times New Roman"/>
                <w:color w:val="000000"/>
                <w:sz w:val="22"/>
                <w:szCs w:val="22"/>
                <w:lang w:eastAsia="lv-LV"/>
              </w:rPr>
            </w:pPr>
            <w:r w:rsidRPr="00276C30">
              <w:rPr>
                <w:rFonts w:eastAsia="Times New Roman" w:cs="Times New Roman"/>
                <w:color w:val="000000"/>
                <w:sz w:val="22"/>
                <w:szCs w:val="22"/>
                <w:lang w:eastAsia="lv-LV"/>
              </w:rPr>
              <w:t>Institūciju rādītājs (Globālās konkurētspējas indekss)</w:t>
            </w:r>
            <w:r w:rsidR="0097775C">
              <w:rPr>
                <w:rFonts w:eastAsia="Times New Roman" w:cs="Times New Roman"/>
                <w:color w:val="000000"/>
                <w:sz w:val="22"/>
                <w:szCs w:val="22"/>
                <w:lang w:eastAsia="lv-LV"/>
              </w:rPr>
              <w:t xml:space="preserve"> (vieta)</w:t>
            </w:r>
          </w:p>
        </w:tc>
      </w:tr>
      <w:tr w:rsidR="00276C30" w:rsidRPr="00276C30" w14:paraId="52578841" w14:textId="77777777" w:rsidTr="009D26F7">
        <w:trPr>
          <w:trHeight w:val="91"/>
        </w:trPr>
        <w:tc>
          <w:tcPr>
            <w:tcW w:w="1170" w:type="pct"/>
            <w:vMerge w:val="restart"/>
            <w:shd w:val="clear" w:color="000000" w:fill="A9D18E"/>
            <w:vAlign w:val="center"/>
            <w:hideMark/>
          </w:tcPr>
          <w:p w14:paraId="74C6DB46" w14:textId="77777777" w:rsidR="00276C30" w:rsidRPr="00276C30" w:rsidRDefault="00276C30" w:rsidP="00276C30">
            <w:pPr>
              <w:jc w:val="center"/>
              <w:rPr>
                <w:rFonts w:eastAsia="Times New Roman" w:cs="Times New Roman"/>
                <w:b/>
                <w:bCs/>
                <w:color w:val="000000"/>
                <w:sz w:val="22"/>
                <w:szCs w:val="22"/>
                <w:lang w:eastAsia="lv-LV"/>
              </w:rPr>
            </w:pPr>
            <w:r w:rsidRPr="00276C30">
              <w:rPr>
                <w:rFonts w:eastAsia="Times New Roman" w:cs="Times New Roman"/>
                <w:b/>
                <w:bCs/>
                <w:color w:val="000000"/>
                <w:sz w:val="22"/>
                <w:szCs w:val="22"/>
                <w:lang w:eastAsia="lv-LV"/>
              </w:rPr>
              <w:t>Komerctiesību politika</w:t>
            </w:r>
          </w:p>
        </w:tc>
        <w:tc>
          <w:tcPr>
            <w:tcW w:w="3830" w:type="pct"/>
            <w:shd w:val="clear" w:color="000000" w:fill="EBF1E9"/>
            <w:vAlign w:val="center"/>
            <w:hideMark/>
          </w:tcPr>
          <w:p w14:paraId="0BD7013F" w14:textId="77777777" w:rsidR="00276C30" w:rsidRPr="00276C30" w:rsidRDefault="00276C30" w:rsidP="00276C30">
            <w:pPr>
              <w:jc w:val="center"/>
              <w:rPr>
                <w:rFonts w:eastAsia="Times New Roman" w:cs="Times New Roman"/>
                <w:color w:val="000000"/>
                <w:sz w:val="22"/>
                <w:szCs w:val="22"/>
                <w:lang w:eastAsia="lv-LV"/>
              </w:rPr>
            </w:pPr>
            <w:r w:rsidRPr="00276C30">
              <w:rPr>
                <w:rFonts w:eastAsia="Times New Roman" w:cs="Times New Roman"/>
                <w:color w:val="000000"/>
                <w:sz w:val="22"/>
                <w:szCs w:val="22"/>
                <w:lang w:eastAsia="lv-LV"/>
              </w:rPr>
              <w:t>Vidējais maksātnespējas procesa ilgums (gadi)</w:t>
            </w:r>
          </w:p>
        </w:tc>
      </w:tr>
      <w:tr w:rsidR="00276C30" w:rsidRPr="00276C30" w14:paraId="7A073D12" w14:textId="77777777" w:rsidTr="009D26F7">
        <w:trPr>
          <w:trHeight w:val="126"/>
        </w:trPr>
        <w:tc>
          <w:tcPr>
            <w:tcW w:w="1170" w:type="pct"/>
            <w:vMerge/>
            <w:vAlign w:val="center"/>
            <w:hideMark/>
          </w:tcPr>
          <w:p w14:paraId="03131290" w14:textId="77777777" w:rsidR="00276C30" w:rsidRPr="00276C30" w:rsidRDefault="00276C30" w:rsidP="00276C30">
            <w:pPr>
              <w:rPr>
                <w:rFonts w:eastAsia="Times New Roman" w:cs="Times New Roman"/>
                <w:b/>
                <w:bCs/>
                <w:color w:val="000000"/>
                <w:sz w:val="22"/>
                <w:szCs w:val="22"/>
                <w:lang w:eastAsia="lv-LV"/>
              </w:rPr>
            </w:pPr>
          </w:p>
        </w:tc>
        <w:tc>
          <w:tcPr>
            <w:tcW w:w="3830" w:type="pct"/>
            <w:shd w:val="clear" w:color="000000" w:fill="EBF1E9"/>
            <w:vAlign w:val="center"/>
            <w:hideMark/>
          </w:tcPr>
          <w:p w14:paraId="0DBBD5D6" w14:textId="77777777" w:rsidR="00276C30" w:rsidRPr="00276C30" w:rsidRDefault="00276C30" w:rsidP="00276C30">
            <w:pPr>
              <w:jc w:val="center"/>
              <w:rPr>
                <w:rFonts w:eastAsia="Times New Roman" w:cs="Times New Roman"/>
                <w:color w:val="000000"/>
                <w:sz w:val="22"/>
                <w:szCs w:val="22"/>
                <w:lang w:eastAsia="lv-LV"/>
              </w:rPr>
            </w:pPr>
            <w:r w:rsidRPr="00276C30">
              <w:rPr>
                <w:rFonts w:eastAsia="Times New Roman" w:cs="Times New Roman"/>
                <w:color w:val="000000"/>
                <w:sz w:val="22"/>
                <w:szCs w:val="22"/>
                <w:lang w:eastAsia="lv-LV"/>
              </w:rPr>
              <w:t xml:space="preserve">Maksātnespējas procesa izmaksas (izmaiņas centos no viena </w:t>
            </w:r>
            <w:proofErr w:type="spellStart"/>
            <w:r w:rsidRPr="00276C30">
              <w:rPr>
                <w:rFonts w:eastAsia="Times New Roman" w:cs="Times New Roman"/>
                <w:i/>
                <w:iCs/>
                <w:color w:val="000000"/>
                <w:sz w:val="22"/>
                <w:szCs w:val="22"/>
                <w:lang w:eastAsia="lv-LV"/>
              </w:rPr>
              <w:t>euro</w:t>
            </w:r>
            <w:proofErr w:type="spellEnd"/>
            <w:r w:rsidRPr="00276C30">
              <w:rPr>
                <w:rFonts w:eastAsia="Times New Roman" w:cs="Times New Roman"/>
                <w:color w:val="000000"/>
                <w:sz w:val="22"/>
                <w:szCs w:val="22"/>
                <w:lang w:eastAsia="lv-LV"/>
              </w:rPr>
              <w:t xml:space="preserve"> attiecībā pret iepriekšējo gadu)</w:t>
            </w:r>
          </w:p>
        </w:tc>
      </w:tr>
      <w:tr w:rsidR="00276C30" w:rsidRPr="00276C30" w14:paraId="1AB704B8" w14:textId="77777777" w:rsidTr="009D26F7">
        <w:trPr>
          <w:trHeight w:val="70"/>
        </w:trPr>
        <w:tc>
          <w:tcPr>
            <w:tcW w:w="1170" w:type="pct"/>
            <w:vMerge/>
            <w:vAlign w:val="center"/>
            <w:hideMark/>
          </w:tcPr>
          <w:p w14:paraId="02BED394" w14:textId="77777777" w:rsidR="00276C30" w:rsidRPr="00276C30" w:rsidRDefault="00276C30" w:rsidP="00276C30">
            <w:pPr>
              <w:rPr>
                <w:rFonts w:eastAsia="Times New Roman" w:cs="Times New Roman"/>
                <w:b/>
                <w:bCs/>
                <w:color w:val="000000"/>
                <w:sz w:val="22"/>
                <w:szCs w:val="22"/>
                <w:lang w:eastAsia="lv-LV"/>
              </w:rPr>
            </w:pPr>
          </w:p>
        </w:tc>
        <w:tc>
          <w:tcPr>
            <w:tcW w:w="3830" w:type="pct"/>
            <w:shd w:val="clear" w:color="000000" w:fill="EBF1E9"/>
            <w:vAlign w:val="center"/>
            <w:hideMark/>
          </w:tcPr>
          <w:p w14:paraId="6DC787F0" w14:textId="77777777" w:rsidR="00276C30" w:rsidRPr="00276C30" w:rsidRDefault="00276C30" w:rsidP="00276C30">
            <w:pPr>
              <w:jc w:val="center"/>
              <w:rPr>
                <w:rFonts w:eastAsia="Times New Roman" w:cs="Times New Roman"/>
                <w:color w:val="000000"/>
                <w:sz w:val="22"/>
                <w:szCs w:val="22"/>
                <w:lang w:eastAsia="lv-LV"/>
              </w:rPr>
            </w:pPr>
            <w:r w:rsidRPr="00276C30">
              <w:rPr>
                <w:rFonts w:eastAsia="Times New Roman" w:cs="Times New Roman"/>
                <w:color w:val="000000"/>
                <w:sz w:val="22"/>
                <w:szCs w:val="22"/>
                <w:lang w:eastAsia="lv-LV"/>
              </w:rPr>
              <w:t>Sekmīgi pabeigto tiesiskās aizsardzības procesu skaits pret izbeigtajiem tiesiskās aizsardzības procesiem (%)</w:t>
            </w:r>
          </w:p>
        </w:tc>
      </w:tr>
    </w:tbl>
    <w:p w14:paraId="3C9C88A1" w14:textId="77777777" w:rsidR="00E20E29" w:rsidRDefault="00E20E29" w:rsidP="004F349D"/>
    <w:p w14:paraId="0BB5739A" w14:textId="77777777" w:rsidR="00D84F64" w:rsidRDefault="00D84F64" w:rsidP="0077680D">
      <w:pPr>
        <w:spacing w:after="120"/>
      </w:pPr>
    </w:p>
    <w:p w14:paraId="3CE7812E" w14:textId="77777777" w:rsidR="00D84F64" w:rsidRDefault="00D84F64" w:rsidP="0077680D">
      <w:pPr>
        <w:spacing w:after="120"/>
      </w:pPr>
    </w:p>
    <w:p w14:paraId="32073A0D" w14:textId="4B209B02" w:rsidR="00D2315B" w:rsidRDefault="00D2315B" w:rsidP="0077680D">
      <w:pPr>
        <w:spacing w:after="120"/>
      </w:pPr>
      <w:r>
        <w:t>Vides aizsardzības un reģionālās attīstības ministrija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008"/>
      </w:tblGrid>
      <w:tr w:rsidR="00D2315B" w:rsidRPr="00D2315B" w14:paraId="2386D1B6" w14:textId="77777777" w:rsidTr="00E20E29">
        <w:trPr>
          <w:trHeight w:val="126"/>
          <w:tblHeader/>
        </w:trPr>
        <w:tc>
          <w:tcPr>
            <w:tcW w:w="1133" w:type="pct"/>
            <w:shd w:val="clear" w:color="000000" w:fill="A9D08E"/>
            <w:noWrap/>
            <w:vAlign w:val="bottom"/>
            <w:hideMark/>
          </w:tcPr>
          <w:p w14:paraId="3657E0A2" w14:textId="77777777" w:rsidR="00D2315B" w:rsidRPr="00D2315B" w:rsidRDefault="00D2315B" w:rsidP="00D2315B">
            <w:pPr>
              <w:jc w:val="center"/>
              <w:rPr>
                <w:rFonts w:eastAsia="Times New Roman" w:cs="Times New Roman"/>
                <w:b/>
                <w:bCs/>
                <w:color w:val="000000"/>
                <w:sz w:val="22"/>
                <w:szCs w:val="22"/>
                <w:lang w:eastAsia="lv-LV"/>
              </w:rPr>
            </w:pPr>
            <w:r w:rsidRPr="00D2315B">
              <w:rPr>
                <w:rFonts w:eastAsia="Times New Roman" w:cs="Times New Roman"/>
                <w:b/>
                <w:bCs/>
                <w:color w:val="000000"/>
                <w:sz w:val="22"/>
                <w:szCs w:val="22"/>
                <w:lang w:eastAsia="lv-LV"/>
              </w:rPr>
              <w:t xml:space="preserve">Joma </w:t>
            </w:r>
          </w:p>
        </w:tc>
        <w:tc>
          <w:tcPr>
            <w:tcW w:w="3867" w:type="pct"/>
            <w:shd w:val="clear" w:color="000000" w:fill="A9D08E"/>
            <w:noWrap/>
            <w:vAlign w:val="bottom"/>
            <w:hideMark/>
          </w:tcPr>
          <w:p w14:paraId="645171C7" w14:textId="77777777" w:rsidR="00D2315B" w:rsidRPr="00D2315B" w:rsidRDefault="00D2315B" w:rsidP="00D2315B">
            <w:pPr>
              <w:jc w:val="center"/>
              <w:rPr>
                <w:rFonts w:eastAsia="Times New Roman" w:cs="Times New Roman"/>
                <w:b/>
                <w:bCs/>
                <w:color w:val="000000"/>
                <w:sz w:val="22"/>
                <w:szCs w:val="22"/>
                <w:lang w:eastAsia="lv-LV"/>
              </w:rPr>
            </w:pPr>
            <w:r w:rsidRPr="00D2315B">
              <w:rPr>
                <w:rFonts w:eastAsia="Times New Roman" w:cs="Times New Roman"/>
                <w:b/>
                <w:bCs/>
                <w:color w:val="000000"/>
                <w:sz w:val="22"/>
                <w:szCs w:val="22"/>
                <w:lang w:eastAsia="lv-LV"/>
              </w:rPr>
              <w:t>Politikas rezultatīvie rādītāji</w:t>
            </w:r>
          </w:p>
        </w:tc>
      </w:tr>
      <w:tr w:rsidR="00D2315B" w:rsidRPr="00D2315B" w14:paraId="313E2BC6" w14:textId="77777777" w:rsidTr="00D2315B">
        <w:trPr>
          <w:trHeight w:val="288"/>
        </w:trPr>
        <w:tc>
          <w:tcPr>
            <w:tcW w:w="1133" w:type="pct"/>
            <w:vMerge w:val="restart"/>
            <w:shd w:val="clear" w:color="000000" w:fill="A9D18E"/>
            <w:vAlign w:val="center"/>
            <w:hideMark/>
          </w:tcPr>
          <w:p w14:paraId="0627F49C" w14:textId="77777777" w:rsidR="00D2315B" w:rsidRPr="00D2315B" w:rsidRDefault="00D2315B" w:rsidP="00D2315B">
            <w:pPr>
              <w:jc w:val="center"/>
              <w:rPr>
                <w:rFonts w:eastAsia="Times New Roman" w:cs="Times New Roman"/>
                <w:b/>
                <w:bCs/>
                <w:color w:val="000000"/>
                <w:sz w:val="22"/>
                <w:szCs w:val="22"/>
                <w:lang w:eastAsia="lv-LV"/>
              </w:rPr>
            </w:pPr>
            <w:r w:rsidRPr="00D2315B">
              <w:rPr>
                <w:rFonts w:eastAsia="Times New Roman" w:cs="Times New Roman"/>
                <w:b/>
                <w:bCs/>
                <w:color w:val="000000"/>
                <w:sz w:val="22"/>
                <w:szCs w:val="22"/>
                <w:lang w:eastAsia="lv-LV"/>
              </w:rPr>
              <w:t>Nozares vadība un politikas plānošana</w:t>
            </w:r>
          </w:p>
        </w:tc>
        <w:tc>
          <w:tcPr>
            <w:tcW w:w="3867" w:type="pct"/>
            <w:shd w:val="clear" w:color="000000" w:fill="EBF1E9"/>
            <w:vAlign w:val="center"/>
            <w:hideMark/>
          </w:tcPr>
          <w:p w14:paraId="45DFAEB5" w14:textId="18E9F06B" w:rsidR="00D2315B" w:rsidRPr="00D2315B" w:rsidRDefault="00D2315B" w:rsidP="00D2315B">
            <w:pPr>
              <w:jc w:val="center"/>
              <w:rPr>
                <w:rFonts w:eastAsia="Times New Roman" w:cs="Times New Roman"/>
                <w:color w:val="000000"/>
                <w:sz w:val="22"/>
                <w:szCs w:val="22"/>
                <w:lang w:eastAsia="lv-LV"/>
              </w:rPr>
            </w:pPr>
            <w:r w:rsidRPr="00D2315B">
              <w:rPr>
                <w:rFonts w:eastAsia="Times New Roman" w:cs="Times New Roman"/>
                <w:color w:val="000000"/>
                <w:sz w:val="22"/>
                <w:szCs w:val="22"/>
                <w:lang w:eastAsia="lv-LV"/>
              </w:rPr>
              <w:t>Dabas resursu izmantošanas produktivitāte (</w:t>
            </w:r>
            <w:proofErr w:type="spellStart"/>
            <w:r w:rsidR="0097775C" w:rsidRPr="0097775C">
              <w:rPr>
                <w:rFonts w:eastAsia="Times New Roman" w:cs="Times New Roman"/>
                <w:i/>
                <w:iCs/>
                <w:color w:val="000000"/>
                <w:sz w:val="22"/>
                <w:szCs w:val="22"/>
                <w:lang w:eastAsia="lv-LV"/>
              </w:rPr>
              <w:t>euro</w:t>
            </w:r>
            <w:proofErr w:type="spellEnd"/>
            <w:r w:rsidRPr="00D2315B">
              <w:rPr>
                <w:rFonts w:eastAsia="Times New Roman" w:cs="Times New Roman"/>
                <w:color w:val="000000"/>
                <w:sz w:val="22"/>
                <w:szCs w:val="22"/>
                <w:lang w:eastAsia="lv-LV"/>
              </w:rPr>
              <w:t xml:space="preserve"> uz</w:t>
            </w:r>
            <w:r>
              <w:rPr>
                <w:rFonts w:eastAsia="Times New Roman" w:cs="Times New Roman"/>
                <w:color w:val="000000"/>
                <w:sz w:val="22"/>
                <w:szCs w:val="22"/>
                <w:lang w:eastAsia="lv-LV"/>
              </w:rPr>
              <w:t xml:space="preserve"> </w:t>
            </w:r>
            <w:r w:rsidRPr="00D2315B">
              <w:rPr>
                <w:rFonts w:eastAsia="Times New Roman" w:cs="Times New Roman"/>
                <w:color w:val="000000"/>
                <w:sz w:val="22"/>
                <w:szCs w:val="22"/>
                <w:lang w:eastAsia="lv-LV"/>
              </w:rPr>
              <w:t>vienu resursu tonnu)</w:t>
            </w:r>
          </w:p>
        </w:tc>
      </w:tr>
      <w:tr w:rsidR="00D2315B" w:rsidRPr="00D2315B" w14:paraId="44AD501A" w14:textId="77777777" w:rsidTr="00D2315B">
        <w:trPr>
          <w:trHeight w:val="330"/>
        </w:trPr>
        <w:tc>
          <w:tcPr>
            <w:tcW w:w="1133" w:type="pct"/>
            <w:vMerge/>
            <w:vAlign w:val="center"/>
            <w:hideMark/>
          </w:tcPr>
          <w:p w14:paraId="06346A0D" w14:textId="77777777" w:rsidR="00D2315B" w:rsidRPr="00D2315B" w:rsidRDefault="00D2315B" w:rsidP="00D2315B">
            <w:pPr>
              <w:rPr>
                <w:rFonts w:eastAsia="Times New Roman" w:cs="Times New Roman"/>
                <w:b/>
                <w:bCs/>
                <w:color w:val="000000"/>
                <w:sz w:val="22"/>
                <w:szCs w:val="22"/>
                <w:lang w:eastAsia="lv-LV"/>
              </w:rPr>
            </w:pPr>
          </w:p>
        </w:tc>
        <w:tc>
          <w:tcPr>
            <w:tcW w:w="3867" w:type="pct"/>
            <w:shd w:val="clear" w:color="000000" w:fill="EBF1E9"/>
            <w:vAlign w:val="center"/>
            <w:hideMark/>
          </w:tcPr>
          <w:p w14:paraId="23D5305E" w14:textId="77777777" w:rsidR="00D2315B" w:rsidRPr="00D2315B" w:rsidRDefault="00D2315B" w:rsidP="00D2315B">
            <w:pPr>
              <w:jc w:val="center"/>
              <w:rPr>
                <w:rFonts w:eastAsia="Times New Roman" w:cs="Times New Roman"/>
                <w:color w:val="000000"/>
                <w:sz w:val="22"/>
                <w:szCs w:val="22"/>
                <w:lang w:eastAsia="lv-LV"/>
              </w:rPr>
            </w:pPr>
            <w:r w:rsidRPr="00D2315B">
              <w:rPr>
                <w:rFonts w:eastAsia="Times New Roman" w:cs="Times New Roman"/>
                <w:color w:val="000000"/>
                <w:sz w:val="22"/>
                <w:szCs w:val="22"/>
                <w:lang w:eastAsia="lv-LV"/>
              </w:rPr>
              <w:t xml:space="preserve">SEG emisiju intensitāte (tCO2 </w:t>
            </w:r>
            <w:proofErr w:type="spellStart"/>
            <w:r w:rsidRPr="00D2315B">
              <w:rPr>
                <w:rFonts w:eastAsia="Times New Roman" w:cs="Times New Roman"/>
                <w:color w:val="000000"/>
                <w:sz w:val="22"/>
                <w:szCs w:val="22"/>
                <w:lang w:eastAsia="lv-LV"/>
              </w:rPr>
              <w:t>ekv</w:t>
            </w:r>
            <w:proofErr w:type="spellEnd"/>
            <w:r w:rsidRPr="00D2315B">
              <w:rPr>
                <w:rFonts w:eastAsia="Times New Roman" w:cs="Times New Roman"/>
                <w:color w:val="000000"/>
                <w:sz w:val="22"/>
                <w:szCs w:val="22"/>
                <w:lang w:eastAsia="lv-LV"/>
              </w:rPr>
              <w:t>/</w:t>
            </w:r>
            <w:proofErr w:type="spellStart"/>
            <w:r w:rsidRPr="00D2315B">
              <w:rPr>
                <w:rFonts w:eastAsia="Times New Roman" w:cs="Times New Roman"/>
                <w:color w:val="000000"/>
                <w:sz w:val="22"/>
                <w:szCs w:val="22"/>
                <w:lang w:eastAsia="lv-LV"/>
              </w:rPr>
              <w:t>milj</w:t>
            </w:r>
            <w:proofErr w:type="spellEnd"/>
            <w:r w:rsidRPr="00D2315B">
              <w:rPr>
                <w:rFonts w:eastAsia="Times New Roman" w:cs="Times New Roman"/>
                <w:color w:val="000000"/>
                <w:sz w:val="22"/>
                <w:szCs w:val="22"/>
                <w:lang w:eastAsia="lv-LV"/>
              </w:rPr>
              <w:t xml:space="preserve"> </w:t>
            </w:r>
            <w:proofErr w:type="spellStart"/>
            <w:r w:rsidRPr="00D2315B">
              <w:rPr>
                <w:rFonts w:eastAsia="Times New Roman" w:cs="Times New Roman"/>
                <w:i/>
                <w:iCs/>
                <w:color w:val="000000"/>
                <w:sz w:val="22"/>
                <w:szCs w:val="22"/>
                <w:lang w:eastAsia="lv-LV"/>
              </w:rPr>
              <w:t>euro</w:t>
            </w:r>
            <w:proofErr w:type="spellEnd"/>
            <w:r w:rsidRPr="00D2315B">
              <w:rPr>
                <w:rFonts w:eastAsia="Times New Roman" w:cs="Times New Roman"/>
                <w:color w:val="000000"/>
                <w:sz w:val="22"/>
                <w:szCs w:val="22"/>
                <w:lang w:eastAsia="lv-LV"/>
              </w:rPr>
              <w:t>)</w:t>
            </w:r>
          </w:p>
        </w:tc>
      </w:tr>
      <w:tr w:rsidR="00D2315B" w:rsidRPr="00D2315B" w14:paraId="5EE2588E" w14:textId="77777777" w:rsidTr="00D2315B">
        <w:trPr>
          <w:trHeight w:val="225"/>
        </w:trPr>
        <w:tc>
          <w:tcPr>
            <w:tcW w:w="1133" w:type="pct"/>
            <w:vMerge/>
            <w:vAlign w:val="center"/>
            <w:hideMark/>
          </w:tcPr>
          <w:p w14:paraId="47E6DA00" w14:textId="77777777" w:rsidR="00D2315B" w:rsidRPr="00D2315B" w:rsidRDefault="00D2315B" w:rsidP="00D2315B">
            <w:pPr>
              <w:rPr>
                <w:rFonts w:eastAsia="Times New Roman" w:cs="Times New Roman"/>
                <w:b/>
                <w:bCs/>
                <w:color w:val="000000"/>
                <w:sz w:val="22"/>
                <w:szCs w:val="22"/>
                <w:lang w:eastAsia="lv-LV"/>
              </w:rPr>
            </w:pPr>
          </w:p>
        </w:tc>
        <w:tc>
          <w:tcPr>
            <w:tcW w:w="3867" w:type="pct"/>
            <w:shd w:val="clear" w:color="000000" w:fill="EBF1E9"/>
            <w:vAlign w:val="center"/>
            <w:hideMark/>
          </w:tcPr>
          <w:p w14:paraId="7E4602B2" w14:textId="77777777" w:rsidR="00D2315B" w:rsidRPr="00D2315B" w:rsidRDefault="00D2315B" w:rsidP="00D2315B">
            <w:pPr>
              <w:jc w:val="center"/>
              <w:rPr>
                <w:rFonts w:eastAsia="Times New Roman" w:cs="Times New Roman"/>
                <w:color w:val="000000"/>
                <w:sz w:val="22"/>
                <w:szCs w:val="22"/>
                <w:lang w:eastAsia="lv-LV"/>
              </w:rPr>
            </w:pPr>
            <w:r w:rsidRPr="00D2315B">
              <w:rPr>
                <w:rFonts w:eastAsia="Times New Roman" w:cs="Times New Roman"/>
                <w:color w:val="000000"/>
                <w:sz w:val="22"/>
                <w:szCs w:val="22"/>
                <w:lang w:eastAsia="lv-LV"/>
              </w:rPr>
              <w:t>Digitālās ekonomikas un sabiedrības indekss (vieta)</w:t>
            </w:r>
          </w:p>
        </w:tc>
      </w:tr>
      <w:tr w:rsidR="00D2315B" w:rsidRPr="00D2315B" w14:paraId="4C00D735" w14:textId="77777777" w:rsidTr="00D2315B">
        <w:trPr>
          <w:trHeight w:val="370"/>
        </w:trPr>
        <w:tc>
          <w:tcPr>
            <w:tcW w:w="1133" w:type="pct"/>
            <w:vMerge/>
            <w:vAlign w:val="center"/>
            <w:hideMark/>
          </w:tcPr>
          <w:p w14:paraId="2C6C1D06" w14:textId="77777777" w:rsidR="00D2315B" w:rsidRPr="00D2315B" w:rsidRDefault="00D2315B" w:rsidP="00D2315B">
            <w:pPr>
              <w:rPr>
                <w:rFonts w:eastAsia="Times New Roman" w:cs="Times New Roman"/>
                <w:b/>
                <w:bCs/>
                <w:color w:val="000000"/>
                <w:sz w:val="22"/>
                <w:szCs w:val="22"/>
                <w:lang w:eastAsia="lv-LV"/>
              </w:rPr>
            </w:pPr>
          </w:p>
        </w:tc>
        <w:tc>
          <w:tcPr>
            <w:tcW w:w="3867" w:type="pct"/>
            <w:shd w:val="clear" w:color="000000" w:fill="EBF1E9"/>
            <w:vAlign w:val="center"/>
            <w:hideMark/>
          </w:tcPr>
          <w:p w14:paraId="4AA23610" w14:textId="623DD341" w:rsidR="00D2315B" w:rsidRPr="00D2315B" w:rsidRDefault="00D2315B" w:rsidP="00D2315B">
            <w:pPr>
              <w:jc w:val="center"/>
              <w:rPr>
                <w:rFonts w:eastAsia="Times New Roman" w:cs="Times New Roman"/>
                <w:color w:val="000000"/>
                <w:sz w:val="22"/>
                <w:szCs w:val="22"/>
                <w:lang w:eastAsia="lv-LV"/>
              </w:rPr>
            </w:pPr>
            <w:r w:rsidRPr="00D2315B">
              <w:rPr>
                <w:rFonts w:eastAsia="Times New Roman" w:cs="Times New Roman"/>
                <w:color w:val="000000"/>
                <w:sz w:val="22"/>
                <w:szCs w:val="22"/>
                <w:lang w:eastAsia="lv-LV"/>
              </w:rPr>
              <w:t>Reģionālā IKP starpība – četru mazāk attīstīto plānošanas reģionu vidējais IKP uz vienu iedzīvotāju līmenis pret augstāk attīstīto plānošanas reģionu (%)</w:t>
            </w:r>
          </w:p>
        </w:tc>
      </w:tr>
      <w:tr w:rsidR="00D2315B" w:rsidRPr="00D2315B" w14:paraId="2ECAD046" w14:textId="77777777" w:rsidTr="00D2315B">
        <w:trPr>
          <w:trHeight w:val="70"/>
        </w:trPr>
        <w:tc>
          <w:tcPr>
            <w:tcW w:w="1133" w:type="pct"/>
            <w:vMerge w:val="restart"/>
            <w:shd w:val="clear" w:color="000000" w:fill="A9D18E"/>
            <w:vAlign w:val="center"/>
            <w:hideMark/>
          </w:tcPr>
          <w:p w14:paraId="7C8F1B4D" w14:textId="77777777" w:rsidR="00D2315B" w:rsidRPr="00D2315B" w:rsidRDefault="00D2315B" w:rsidP="00D2315B">
            <w:pPr>
              <w:jc w:val="center"/>
              <w:rPr>
                <w:rFonts w:eastAsia="Times New Roman" w:cs="Times New Roman"/>
                <w:b/>
                <w:bCs/>
                <w:color w:val="000000"/>
                <w:sz w:val="22"/>
                <w:szCs w:val="22"/>
                <w:lang w:eastAsia="lv-LV"/>
              </w:rPr>
            </w:pPr>
            <w:r w:rsidRPr="00D2315B">
              <w:rPr>
                <w:rFonts w:eastAsia="Times New Roman" w:cs="Times New Roman"/>
                <w:b/>
                <w:bCs/>
                <w:color w:val="000000"/>
                <w:sz w:val="22"/>
                <w:szCs w:val="22"/>
                <w:lang w:eastAsia="lv-LV"/>
              </w:rPr>
              <w:t>Vides politikas īstenošana</w:t>
            </w:r>
          </w:p>
        </w:tc>
        <w:tc>
          <w:tcPr>
            <w:tcW w:w="3867" w:type="pct"/>
            <w:shd w:val="clear" w:color="000000" w:fill="EBF1E9"/>
            <w:vAlign w:val="center"/>
            <w:hideMark/>
          </w:tcPr>
          <w:p w14:paraId="191752A9" w14:textId="54A46B9F" w:rsidR="00D2315B" w:rsidRPr="00D2315B" w:rsidRDefault="00D2315B" w:rsidP="00D2315B">
            <w:pPr>
              <w:jc w:val="center"/>
              <w:rPr>
                <w:rFonts w:eastAsia="Times New Roman" w:cs="Times New Roman"/>
                <w:color w:val="000000"/>
                <w:sz w:val="22"/>
                <w:szCs w:val="22"/>
                <w:lang w:eastAsia="lv-LV"/>
              </w:rPr>
            </w:pPr>
            <w:r w:rsidRPr="00D2315B">
              <w:rPr>
                <w:rFonts w:eastAsia="Times New Roman" w:cs="Times New Roman"/>
                <w:color w:val="000000"/>
                <w:sz w:val="22"/>
                <w:szCs w:val="22"/>
                <w:lang w:eastAsia="lv-LV"/>
              </w:rPr>
              <w:t xml:space="preserve">Sadzīves atkritumu pārstrādes līmenis </w:t>
            </w:r>
            <w:r w:rsidR="0097775C" w:rsidRPr="00D2315B">
              <w:rPr>
                <w:rFonts w:eastAsia="Times New Roman" w:cs="Times New Roman"/>
                <w:color w:val="000000"/>
                <w:sz w:val="22"/>
                <w:szCs w:val="22"/>
                <w:lang w:eastAsia="lv-LV"/>
              </w:rPr>
              <w:t xml:space="preserve">no radītā </w:t>
            </w:r>
            <w:r w:rsidRPr="00D2315B">
              <w:rPr>
                <w:rFonts w:eastAsia="Times New Roman" w:cs="Times New Roman"/>
                <w:color w:val="000000"/>
                <w:sz w:val="22"/>
                <w:szCs w:val="22"/>
                <w:lang w:eastAsia="lv-LV"/>
              </w:rPr>
              <w:t xml:space="preserve">(%) </w:t>
            </w:r>
          </w:p>
        </w:tc>
      </w:tr>
      <w:tr w:rsidR="00D2315B" w:rsidRPr="00D2315B" w14:paraId="34BC0656" w14:textId="77777777" w:rsidTr="00D2315B">
        <w:trPr>
          <w:trHeight w:val="70"/>
        </w:trPr>
        <w:tc>
          <w:tcPr>
            <w:tcW w:w="1133" w:type="pct"/>
            <w:vMerge/>
            <w:vAlign w:val="center"/>
            <w:hideMark/>
          </w:tcPr>
          <w:p w14:paraId="35A4CDB8" w14:textId="77777777" w:rsidR="00D2315B" w:rsidRPr="00D2315B" w:rsidRDefault="00D2315B" w:rsidP="00D2315B">
            <w:pPr>
              <w:rPr>
                <w:rFonts w:eastAsia="Times New Roman" w:cs="Times New Roman"/>
                <w:b/>
                <w:bCs/>
                <w:color w:val="000000"/>
                <w:sz w:val="22"/>
                <w:szCs w:val="22"/>
                <w:lang w:eastAsia="lv-LV"/>
              </w:rPr>
            </w:pPr>
          </w:p>
        </w:tc>
        <w:tc>
          <w:tcPr>
            <w:tcW w:w="3867" w:type="pct"/>
            <w:shd w:val="clear" w:color="000000" w:fill="EBF1E9"/>
            <w:vAlign w:val="center"/>
            <w:hideMark/>
          </w:tcPr>
          <w:p w14:paraId="0E74DFD7" w14:textId="77777777" w:rsidR="00D2315B" w:rsidRPr="00D2315B" w:rsidRDefault="00D2315B" w:rsidP="00D2315B">
            <w:pPr>
              <w:jc w:val="center"/>
              <w:rPr>
                <w:rFonts w:eastAsia="Times New Roman" w:cs="Times New Roman"/>
                <w:color w:val="000000"/>
                <w:sz w:val="22"/>
                <w:szCs w:val="22"/>
                <w:lang w:eastAsia="lv-LV"/>
              </w:rPr>
            </w:pPr>
            <w:r w:rsidRPr="00D2315B">
              <w:rPr>
                <w:rFonts w:eastAsia="Times New Roman" w:cs="Times New Roman"/>
                <w:color w:val="000000"/>
                <w:sz w:val="22"/>
                <w:szCs w:val="22"/>
                <w:lang w:eastAsia="lv-LV"/>
              </w:rPr>
              <w:t>Sadzīvē (mājsaimniecībās) radītais atkritumu daudzums (kg uz iedzīvotāju gadā)</w:t>
            </w:r>
          </w:p>
        </w:tc>
      </w:tr>
      <w:tr w:rsidR="00D2315B" w:rsidRPr="00D2315B" w14:paraId="668B9CC9" w14:textId="77777777" w:rsidTr="00D2315B">
        <w:trPr>
          <w:trHeight w:val="1525"/>
        </w:trPr>
        <w:tc>
          <w:tcPr>
            <w:tcW w:w="1133" w:type="pct"/>
            <w:vMerge/>
            <w:vAlign w:val="center"/>
            <w:hideMark/>
          </w:tcPr>
          <w:p w14:paraId="2C4BD2CE" w14:textId="77777777" w:rsidR="00D2315B" w:rsidRPr="00D2315B" w:rsidRDefault="00D2315B" w:rsidP="00D2315B">
            <w:pPr>
              <w:rPr>
                <w:rFonts w:eastAsia="Times New Roman" w:cs="Times New Roman"/>
                <w:b/>
                <w:bCs/>
                <w:color w:val="000000"/>
                <w:sz w:val="22"/>
                <w:szCs w:val="22"/>
                <w:lang w:eastAsia="lv-LV"/>
              </w:rPr>
            </w:pPr>
          </w:p>
        </w:tc>
        <w:tc>
          <w:tcPr>
            <w:tcW w:w="3867" w:type="pct"/>
            <w:shd w:val="clear" w:color="000000" w:fill="EBF1E9"/>
            <w:vAlign w:val="center"/>
            <w:hideMark/>
          </w:tcPr>
          <w:p w14:paraId="02C169EE" w14:textId="53760154" w:rsidR="00D2315B" w:rsidRDefault="00D2315B" w:rsidP="00D2315B">
            <w:pPr>
              <w:jc w:val="center"/>
              <w:rPr>
                <w:rFonts w:eastAsia="Times New Roman" w:cs="Times New Roman"/>
                <w:color w:val="000000"/>
                <w:sz w:val="22"/>
                <w:szCs w:val="22"/>
                <w:lang w:eastAsia="lv-LV"/>
              </w:rPr>
            </w:pPr>
            <w:r w:rsidRPr="00D2315B">
              <w:rPr>
                <w:rFonts w:eastAsia="Times New Roman" w:cs="Times New Roman"/>
                <w:color w:val="000000"/>
                <w:sz w:val="22"/>
                <w:szCs w:val="22"/>
                <w:lang w:eastAsia="lv-LV"/>
              </w:rPr>
              <w:t>Valsts kopējās gaisu piesārņojošo vielu emisijas apjoms (% samazinājums pret 2005.gada emisijām):</w:t>
            </w:r>
          </w:p>
          <w:p w14:paraId="711DDF43" w14:textId="17A2204C" w:rsidR="00D2315B" w:rsidRDefault="00D2315B" w:rsidP="00D2315B">
            <w:pPr>
              <w:jc w:val="center"/>
              <w:rPr>
                <w:rFonts w:eastAsia="Times New Roman" w:cs="Times New Roman"/>
                <w:color w:val="000000"/>
                <w:sz w:val="22"/>
                <w:szCs w:val="22"/>
                <w:lang w:eastAsia="lv-LV"/>
              </w:rPr>
            </w:pPr>
            <w:r w:rsidRPr="00D2315B">
              <w:rPr>
                <w:rFonts w:eastAsia="Times New Roman" w:cs="Times New Roman"/>
                <w:color w:val="000000"/>
                <w:sz w:val="22"/>
                <w:szCs w:val="22"/>
                <w:lang w:eastAsia="lv-LV"/>
              </w:rPr>
              <w:t xml:space="preserve">- </w:t>
            </w:r>
            <w:proofErr w:type="spellStart"/>
            <w:r w:rsidRPr="00D2315B">
              <w:rPr>
                <w:rFonts w:eastAsia="Times New Roman" w:cs="Times New Roman"/>
                <w:color w:val="000000"/>
                <w:sz w:val="22"/>
                <w:szCs w:val="22"/>
                <w:lang w:eastAsia="lv-LV"/>
              </w:rPr>
              <w:t>NOx</w:t>
            </w:r>
            <w:proofErr w:type="spellEnd"/>
            <w:r w:rsidRPr="00D2315B">
              <w:rPr>
                <w:rFonts w:eastAsia="Times New Roman" w:cs="Times New Roman"/>
                <w:color w:val="000000"/>
                <w:sz w:val="22"/>
                <w:szCs w:val="22"/>
                <w:lang w:eastAsia="lv-LV"/>
              </w:rPr>
              <w:t xml:space="preserve"> (samazinājums % pret 2005. gadu)</w:t>
            </w:r>
            <w:r>
              <w:rPr>
                <w:rFonts w:eastAsia="Times New Roman" w:cs="Times New Roman"/>
                <w:color w:val="000000"/>
                <w:sz w:val="22"/>
                <w:szCs w:val="22"/>
                <w:lang w:eastAsia="lv-LV"/>
              </w:rPr>
              <w:t>;</w:t>
            </w:r>
          </w:p>
          <w:p w14:paraId="41BDD4FB" w14:textId="76934A17" w:rsidR="00D2315B" w:rsidRDefault="00D2315B" w:rsidP="00D2315B">
            <w:pPr>
              <w:jc w:val="center"/>
              <w:rPr>
                <w:rFonts w:eastAsia="Times New Roman" w:cs="Times New Roman"/>
                <w:color w:val="000000"/>
                <w:sz w:val="22"/>
                <w:szCs w:val="22"/>
                <w:lang w:eastAsia="lv-LV"/>
              </w:rPr>
            </w:pPr>
            <w:r w:rsidRPr="00D2315B">
              <w:rPr>
                <w:rFonts w:eastAsia="Times New Roman" w:cs="Times New Roman"/>
                <w:color w:val="000000"/>
                <w:sz w:val="22"/>
                <w:szCs w:val="22"/>
                <w:lang w:eastAsia="lv-LV"/>
              </w:rPr>
              <w:t>- Daļiņu PM2,5 (samazinājums % pret 2005. gadu)</w:t>
            </w:r>
            <w:r>
              <w:rPr>
                <w:rFonts w:eastAsia="Times New Roman" w:cs="Times New Roman"/>
                <w:color w:val="000000"/>
                <w:sz w:val="22"/>
                <w:szCs w:val="22"/>
                <w:lang w:eastAsia="lv-LV"/>
              </w:rPr>
              <w:t>;</w:t>
            </w:r>
          </w:p>
          <w:p w14:paraId="0C18CA27" w14:textId="68649ACB" w:rsidR="00D2315B" w:rsidRDefault="00D2315B" w:rsidP="00D2315B">
            <w:pPr>
              <w:jc w:val="center"/>
              <w:rPr>
                <w:rFonts w:eastAsia="Times New Roman" w:cs="Times New Roman"/>
                <w:color w:val="000000"/>
                <w:sz w:val="22"/>
                <w:szCs w:val="22"/>
                <w:lang w:eastAsia="lv-LV"/>
              </w:rPr>
            </w:pPr>
            <w:r w:rsidRPr="00D2315B">
              <w:rPr>
                <w:rFonts w:eastAsia="Times New Roman" w:cs="Times New Roman"/>
                <w:color w:val="000000"/>
                <w:sz w:val="22"/>
                <w:szCs w:val="22"/>
                <w:lang w:eastAsia="lv-LV"/>
              </w:rPr>
              <w:t>- GOS (samazinājums % pret 2005. gadu)</w:t>
            </w:r>
            <w:r>
              <w:rPr>
                <w:rFonts w:eastAsia="Times New Roman" w:cs="Times New Roman"/>
                <w:color w:val="000000"/>
                <w:sz w:val="22"/>
                <w:szCs w:val="22"/>
                <w:lang w:eastAsia="lv-LV"/>
              </w:rPr>
              <w:t>;</w:t>
            </w:r>
          </w:p>
          <w:p w14:paraId="5F3594F2" w14:textId="459E63B9" w:rsidR="00D2315B" w:rsidRDefault="00D2315B" w:rsidP="00D2315B">
            <w:pPr>
              <w:jc w:val="center"/>
              <w:rPr>
                <w:rFonts w:eastAsia="Times New Roman" w:cs="Times New Roman"/>
                <w:color w:val="000000"/>
                <w:sz w:val="22"/>
                <w:szCs w:val="22"/>
                <w:lang w:eastAsia="lv-LV"/>
              </w:rPr>
            </w:pPr>
            <w:r w:rsidRPr="00D2315B">
              <w:rPr>
                <w:rFonts w:eastAsia="Times New Roman" w:cs="Times New Roman"/>
                <w:color w:val="000000"/>
                <w:sz w:val="22"/>
                <w:szCs w:val="22"/>
                <w:lang w:eastAsia="lv-LV"/>
              </w:rPr>
              <w:t>- NH3 (samazinājums % pret 2005. gadu)</w:t>
            </w:r>
          </w:p>
          <w:p w14:paraId="73E30033" w14:textId="51BAB513" w:rsidR="00D2315B" w:rsidRPr="00D2315B" w:rsidRDefault="00D2315B" w:rsidP="00D2315B">
            <w:pPr>
              <w:jc w:val="center"/>
              <w:rPr>
                <w:rFonts w:eastAsia="Times New Roman" w:cs="Times New Roman"/>
                <w:color w:val="000000"/>
                <w:sz w:val="22"/>
                <w:szCs w:val="22"/>
                <w:lang w:eastAsia="lv-LV"/>
              </w:rPr>
            </w:pPr>
          </w:p>
        </w:tc>
      </w:tr>
      <w:tr w:rsidR="00D2315B" w:rsidRPr="00D2315B" w14:paraId="290F98F5" w14:textId="77777777" w:rsidTr="00D2315B">
        <w:trPr>
          <w:trHeight w:val="412"/>
        </w:trPr>
        <w:tc>
          <w:tcPr>
            <w:tcW w:w="1133" w:type="pct"/>
            <w:vMerge/>
            <w:vAlign w:val="center"/>
            <w:hideMark/>
          </w:tcPr>
          <w:p w14:paraId="38760EAD" w14:textId="77777777" w:rsidR="00D2315B" w:rsidRPr="00D2315B" w:rsidRDefault="00D2315B" w:rsidP="00D2315B">
            <w:pPr>
              <w:rPr>
                <w:rFonts w:eastAsia="Times New Roman" w:cs="Times New Roman"/>
                <w:b/>
                <w:bCs/>
                <w:color w:val="000000"/>
                <w:sz w:val="22"/>
                <w:szCs w:val="22"/>
                <w:lang w:eastAsia="lv-LV"/>
              </w:rPr>
            </w:pPr>
          </w:p>
        </w:tc>
        <w:tc>
          <w:tcPr>
            <w:tcW w:w="3867" w:type="pct"/>
            <w:shd w:val="clear" w:color="000000" w:fill="EBF1E9"/>
            <w:vAlign w:val="center"/>
            <w:hideMark/>
          </w:tcPr>
          <w:p w14:paraId="241DDF63" w14:textId="77777777" w:rsidR="00D2315B" w:rsidRPr="00D2315B" w:rsidRDefault="00D2315B" w:rsidP="00D2315B">
            <w:pPr>
              <w:jc w:val="center"/>
              <w:rPr>
                <w:rFonts w:eastAsia="Times New Roman" w:cs="Times New Roman"/>
                <w:color w:val="000000"/>
                <w:sz w:val="22"/>
                <w:szCs w:val="22"/>
                <w:lang w:eastAsia="lv-LV"/>
              </w:rPr>
            </w:pPr>
            <w:r w:rsidRPr="00D2315B">
              <w:rPr>
                <w:rFonts w:eastAsia="Times New Roman" w:cs="Times New Roman"/>
                <w:color w:val="000000"/>
                <w:sz w:val="22"/>
                <w:szCs w:val="22"/>
                <w:lang w:eastAsia="lv-LV"/>
              </w:rPr>
              <w:t>Stabilizētas kopējās ne-ETS SEG emisijas (</w:t>
            </w:r>
            <w:proofErr w:type="spellStart"/>
            <w:r w:rsidRPr="00D2315B">
              <w:rPr>
                <w:rFonts w:eastAsia="Times New Roman" w:cs="Times New Roman"/>
                <w:color w:val="000000"/>
                <w:sz w:val="22"/>
                <w:szCs w:val="22"/>
                <w:lang w:eastAsia="lv-LV"/>
              </w:rPr>
              <w:t>Mt</w:t>
            </w:r>
            <w:proofErr w:type="spellEnd"/>
            <w:r w:rsidRPr="00D2315B">
              <w:rPr>
                <w:rFonts w:eastAsia="Times New Roman" w:cs="Times New Roman"/>
                <w:color w:val="000000"/>
                <w:sz w:val="22"/>
                <w:szCs w:val="22"/>
                <w:lang w:eastAsia="lv-LV"/>
              </w:rPr>
              <w:t xml:space="preserve"> CO2 ekvivalenta salīdzinājumā ar 2005.gadu)</w:t>
            </w:r>
          </w:p>
        </w:tc>
      </w:tr>
      <w:tr w:rsidR="00D2315B" w:rsidRPr="00D2315B" w14:paraId="05DD4492" w14:textId="77777777" w:rsidTr="00D2315B">
        <w:trPr>
          <w:trHeight w:val="746"/>
        </w:trPr>
        <w:tc>
          <w:tcPr>
            <w:tcW w:w="1133" w:type="pct"/>
            <w:vMerge w:val="restart"/>
            <w:shd w:val="clear" w:color="auto" w:fill="A8D08D" w:themeFill="accent6" w:themeFillTint="99"/>
            <w:vAlign w:val="center"/>
          </w:tcPr>
          <w:p w14:paraId="7F9ABA41" w14:textId="3B79B0B9" w:rsidR="00D2315B" w:rsidRPr="00D2315B" w:rsidRDefault="00D2315B" w:rsidP="00D2315B">
            <w:pPr>
              <w:jc w:val="center"/>
              <w:rPr>
                <w:rFonts w:eastAsia="Times New Roman" w:cs="Times New Roman"/>
                <w:b/>
                <w:bCs/>
                <w:color w:val="000000"/>
                <w:sz w:val="22"/>
                <w:szCs w:val="22"/>
                <w:lang w:eastAsia="lv-LV"/>
              </w:rPr>
            </w:pPr>
            <w:r w:rsidRPr="00D2315B">
              <w:rPr>
                <w:rFonts w:eastAsia="Times New Roman" w:cs="Times New Roman"/>
                <w:b/>
                <w:bCs/>
                <w:color w:val="000000"/>
                <w:sz w:val="22"/>
                <w:szCs w:val="22"/>
                <w:lang w:eastAsia="lv-LV"/>
              </w:rPr>
              <w:t>Īpaši aizsargājamo dabas teritoriju apsaimniekošana, Latvijas bioloģiskās daudzveidības saglabāšana un vides izpratnes un atbildības motivācijas veidošana sabiedrībā</w:t>
            </w:r>
          </w:p>
        </w:tc>
        <w:tc>
          <w:tcPr>
            <w:tcW w:w="3867" w:type="pct"/>
            <w:shd w:val="clear" w:color="000000" w:fill="EBF1E9"/>
            <w:vAlign w:val="center"/>
          </w:tcPr>
          <w:p w14:paraId="6DE85A4E" w14:textId="69B65928" w:rsidR="00D2315B" w:rsidRPr="00D2315B" w:rsidRDefault="00D2315B" w:rsidP="00D2315B">
            <w:pPr>
              <w:jc w:val="center"/>
              <w:rPr>
                <w:rFonts w:eastAsia="Times New Roman" w:cs="Times New Roman"/>
                <w:color w:val="000000"/>
                <w:sz w:val="22"/>
                <w:szCs w:val="22"/>
                <w:lang w:eastAsia="lv-LV"/>
              </w:rPr>
            </w:pPr>
            <w:r w:rsidRPr="00D2315B">
              <w:rPr>
                <w:rFonts w:eastAsia="Times New Roman" w:cs="Times New Roman"/>
                <w:color w:val="000000"/>
                <w:sz w:val="22"/>
                <w:szCs w:val="22"/>
                <w:lang w:eastAsia="lv-LV"/>
              </w:rPr>
              <w:t>Lauku putnu indekss (1999.g. = 100)</w:t>
            </w:r>
          </w:p>
        </w:tc>
      </w:tr>
      <w:tr w:rsidR="00D2315B" w:rsidRPr="00D2315B" w14:paraId="5F431114" w14:textId="77777777" w:rsidTr="00D2315B">
        <w:trPr>
          <w:trHeight w:val="1177"/>
        </w:trPr>
        <w:tc>
          <w:tcPr>
            <w:tcW w:w="1133" w:type="pct"/>
            <w:vMerge/>
            <w:shd w:val="clear" w:color="auto" w:fill="A8D08D" w:themeFill="accent6" w:themeFillTint="99"/>
            <w:vAlign w:val="center"/>
          </w:tcPr>
          <w:p w14:paraId="149C4D9D" w14:textId="77777777" w:rsidR="00D2315B" w:rsidRPr="00D2315B" w:rsidRDefault="00D2315B" w:rsidP="00D2315B">
            <w:pPr>
              <w:rPr>
                <w:rFonts w:eastAsia="Times New Roman" w:cs="Times New Roman"/>
                <w:b/>
                <w:bCs/>
                <w:color w:val="000000"/>
                <w:sz w:val="22"/>
                <w:szCs w:val="22"/>
                <w:lang w:eastAsia="lv-LV"/>
              </w:rPr>
            </w:pPr>
          </w:p>
        </w:tc>
        <w:tc>
          <w:tcPr>
            <w:tcW w:w="3867" w:type="pct"/>
            <w:shd w:val="clear" w:color="000000" w:fill="EBF1E9"/>
            <w:vAlign w:val="center"/>
          </w:tcPr>
          <w:p w14:paraId="4B5A38D5" w14:textId="1308D390" w:rsidR="00D2315B" w:rsidRPr="00D2315B" w:rsidRDefault="00D2315B" w:rsidP="00D2315B">
            <w:pPr>
              <w:jc w:val="center"/>
              <w:rPr>
                <w:rFonts w:eastAsia="Times New Roman" w:cs="Times New Roman"/>
                <w:color w:val="000000"/>
                <w:sz w:val="22"/>
                <w:szCs w:val="22"/>
                <w:lang w:eastAsia="lv-LV"/>
              </w:rPr>
            </w:pPr>
            <w:r w:rsidRPr="00D2315B">
              <w:rPr>
                <w:rFonts w:eastAsia="Times New Roman" w:cs="Times New Roman"/>
                <w:color w:val="000000"/>
                <w:sz w:val="22"/>
                <w:szCs w:val="22"/>
                <w:lang w:eastAsia="lv-LV"/>
              </w:rPr>
              <w:t xml:space="preserve">Īpaši aizsargājamo dabas teritoriju platības īpatsvars </w:t>
            </w:r>
            <w:r w:rsidR="0097775C" w:rsidRPr="00D2315B">
              <w:rPr>
                <w:rFonts w:eastAsia="Times New Roman" w:cs="Times New Roman"/>
                <w:color w:val="000000"/>
                <w:sz w:val="22"/>
                <w:szCs w:val="22"/>
                <w:lang w:eastAsia="lv-LV"/>
              </w:rPr>
              <w:t xml:space="preserve">no valsts teritorijas </w:t>
            </w:r>
            <w:r w:rsidRPr="00D2315B">
              <w:rPr>
                <w:rFonts w:eastAsia="Times New Roman" w:cs="Times New Roman"/>
                <w:color w:val="000000"/>
                <w:sz w:val="22"/>
                <w:szCs w:val="22"/>
                <w:lang w:eastAsia="lv-LV"/>
              </w:rPr>
              <w:t>(%)</w:t>
            </w:r>
          </w:p>
        </w:tc>
      </w:tr>
      <w:tr w:rsidR="00D2315B" w:rsidRPr="00D2315B" w14:paraId="402DCCD9" w14:textId="77777777" w:rsidTr="00D2315B">
        <w:trPr>
          <w:trHeight w:val="788"/>
        </w:trPr>
        <w:tc>
          <w:tcPr>
            <w:tcW w:w="1133" w:type="pct"/>
            <w:vMerge/>
            <w:shd w:val="clear" w:color="auto" w:fill="A8D08D" w:themeFill="accent6" w:themeFillTint="99"/>
            <w:vAlign w:val="center"/>
          </w:tcPr>
          <w:p w14:paraId="2AF313F8" w14:textId="77777777" w:rsidR="00D2315B" w:rsidRPr="00D2315B" w:rsidRDefault="00D2315B" w:rsidP="00D2315B">
            <w:pPr>
              <w:rPr>
                <w:rFonts w:eastAsia="Times New Roman" w:cs="Times New Roman"/>
                <w:b/>
                <w:bCs/>
                <w:color w:val="000000"/>
                <w:sz w:val="22"/>
                <w:szCs w:val="22"/>
                <w:lang w:eastAsia="lv-LV"/>
              </w:rPr>
            </w:pPr>
          </w:p>
        </w:tc>
        <w:tc>
          <w:tcPr>
            <w:tcW w:w="3867" w:type="pct"/>
            <w:shd w:val="clear" w:color="000000" w:fill="EBF1E9"/>
            <w:vAlign w:val="center"/>
          </w:tcPr>
          <w:p w14:paraId="4A51D38E" w14:textId="5E562B21" w:rsidR="00D2315B" w:rsidRPr="00D2315B" w:rsidRDefault="00D2315B" w:rsidP="00D2315B">
            <w:pPr>
              <w:jc w:val="center"/>
              <w:rPr>
                <w:rFonts w:eastAsia="Times New Roman" w:cs="Times New Roman"/>
                <w:color w:val="000000"/>
                <w:sz w:val="22"/>
                <w:szCs w:val="22"/>
                <w:lang w:eastAsia="lv-LV"/>
              </w:rPr>
            </w:pPr>
            <w:r w:rsidRPr="00D2315B">
              <w:rPr>
                <w:rFonts w:eastAsia="Times New Roman" w:cs="Times New Roman"/>
                <w:color w:val="000000"/>
                <w:sz w:val="22"/>
                <w:szCs w:val="22"/>
                <w:lang w:eastAsia="lv-LV"/>
              </w:rPr>
              <w:t>Augstai un labai ekoloģiskai kvalitātei atbilstošu ūdensobjektu īpatsvars (%)</w:t>
            </w:r>
          </w:p>
        </w:tc>
      </w:tr>
      <w:tr w:rsidR="00D2315B" w:rsidRPr="00D2315B" w14:paraId="4D9C3F8E" w14:textId="77777777" w:rsidTr="00D2315B">
        <w:trPr>
          <w:trHeight w:val="393"/>
        </w:trPr>
        <w:tc>
          <w:tcPr>
            <w:tcW w:w="1133" w:type="pct"/>
            <w:vMerge w:val="restart"/>
            <w:shd w:val="clear" w:color="000000" w:fill="A9D18E"/>
            <w:vAlign w:val="center"/>
            <w:hideMark/>
          </w:tcPr>
          <w:p w14:paraId="1BC41135" w14:textId="77777777" w:rsidR="00D2315B" w:rsidRPr="00D2315B" w:rsidRDefault="00D2315B" w:rsidP="00D2315B">
            <w:pPr>
              <w:jc w:val="center"/>
              <w:rPr>
                <w:rFonts w:eastAsia="Times New Roman" w:cs="Times New Roman"/>
                <w:b/>
                <w:bCs/>
                <w:color w:val="000000"/>
                <w:sz w:val="22"/>
                <w:szCs w:val="22"/>
                <w:lang w:eastAsia="lv-LV"/>
              </w:rPr>
            </w:pPr>
            <w:r w:rsidRPr="00D2315B">
              <w:rPr>
                <w:rFonts w:eastAsia="Times New Roman" w:cs="Times New Roman"/>
                <w:b/>
                <w:bCs/>
                <w:color w:val="000000"/>
                <w:sz w:val="22"/>
                <w:szCs w:val="22"/>
                <w:lang w:eastAsia="lv-LV"/>
              </w:rPr>
              <w:t>Reģionu attīstības, teritoriālās sadarbības politikas īstenošana</w:t>
            </w:r>
          </w:p>
        </w:tc>
        <w:tc>
          <w:tcPr>
            <w:tcW w:w="3867" w:type="pct"/>
            <w:shd w:val="clear" w:color="000000" w:fill="EBF1E9"/>
            <w:vAlign w:val="center"/>
            <w:hideMark/>
          </w:tcPr>
          <w:p w14:paraId="4BD4D075" w14:textId="77777777" w:rsidR="00D2315B" w:rsidRPr="00D2315B" w:rsidRDefault="00D2315B" w:rsidP="00D2315B">
            <w:pPr>
              <w:jc w:val="center"/>
              <w:rPr>
                <w:rFonts w:eastAsia="Times New Roman" w:cs="Times New Roman"/>
                <w:color w:val="000000"/>
                <w:sz w:val="22"/>
                <w:szCs w:val="22"/>
                <w:lang w:eastAsia="lv-LV"/>
              </w:rPr>
            </w:pPr>
            <w:r w:rsidRPr="00D2315B">
              <w:rPr>
                <w:rFonts w:eastAsia="Times New Roman" w:cs="Times New Roman"/>
                <w:color w:val="000000"/>
                <w:sz w:val="22"/>
                <w:szCs w:val="22"/>
                <w:lang w:eastAsia="lv-LV"/>
              </w:rPr>
              <w:t>Darba algas plānošanas reģionos - četru mazāk attīstīto plānošanas reģionu vidējais līmenis pret augstāk attīstīto plānošanas reģionu (%)</w:t>
            </w:r>
          </w:p>
        </w:tc>
      </w:tr>
      <w:tr w:rsidR="00D2315B" w:rsidRPr="00D2315B" w14:paraId="4BCF709F" w14:textId="77777777" w:rsidTr="004C7170">
        <w:trPr>
          <w:trHeight w:val="397"/>
        </w:trPr>
        <w:tc>
          <w:tcPr>
            <w:tcW w:w="1133" w:type="pct"/>
            <w:vMerge/>
            <w:tcBorders>
              <w:bottom w:val="single" w:sz="4" w:space="0" w:color="auto"/>
            </w:tcBorders>
            <w:vAlign w:val="center"/>
            <w:hideMark/>
          </w:tcPr>
          <w:p w14:paraId="7E3F18CD" w14:textId="77777777" w:rsidR="00D2315B" w:rsidRPr="00D2315B" w:rsidRDefault="00D2315B" w:rsidP="00D2315B">
            <w:pPr>
              <w:rPr>
                <w:rFonts w:eastAsia="Times New Roman" w:cs="Times New Roman"/>
                <w:b/>
                <w:bCs/>
                <w:color w:val="000000"/>
                <w:sz w:val="22"/>
                <w:szCs w:val="22"/>
                <w:lang w:eastAsia="lv-LV"/>
              </w:rPr>
            </w:pPr>
          </w:p>
        </w:tc>
        <w:tc>
          <w:tcPr>
            <w:tcW w:w="3867" w:type="pct"/>
            <w:tcBorders>
              <w:bottom w:val="single" w:sz="4" w:space="0" w:color="auto"/>
            </w:tcBorders>
            <w:shd w:val="clear" w:color="000000" w:fill="EBF1E9"/>
            <w:vAlign w:val="center"/>
            <w:hideMark/>
          </w:tcPr>
          <w:p w14:paraId="55A77818" w14:textId="77777777" w:rsidR="00D2315B" w:rsidRPr="00D2315B" w:rsidRDefault="00D2315B" w:rsidP="00D2315B">
            <w:pPr>
              <w:jc w:val="center"/>
              <w:rPr>
                <w:rFonts w:eastAsia="Times New Roman" w:cs="Times New Roman"/>
                <w:color w:val="000000"/>
                <w:sz w:val="22"/>
                <w:szCs w:val="22"/>
                <w:lang w:eastAsia="lv-LV"/>
              </w:rPr>
            </w:pPr>
            <w:r w:rsidRPr="00D2315B">
              <w:rPr>
                <w:rFonts w:eastAsia="Times New Roman" w:cs="Times New Roman"/>
                <w:color w:val="000000"/>
                <w:sz w:val="22"/>
                <w:szCs w:val="22"/>
                <w:lang w:eastAsia="lv-LV"/>
              </w:rPr>
              <w:t>Bruto kapitālieguldījumi uz 1 iedz. (</w:t>
            </w:r>
            <w:proofErr w:type="spellStart"/>
            <w:r w:rsidRPr="00D2315B">
              <w:rPr>
                <w:rFonts w:eastAsia="Times New Roman" w:cs="Times New Roman"/>
                <w:i/>
                <w:iCs/>
                <w:color w:val="000000"/>
                <w:sz w:val="22"/>
                <w:szCs w:val="22"/>
                <w:lang w:eastAsia="lv-LV"/>
              </w:rPr>
              <w:t>euro</w:t>
            </w:r>
            <w:proofErr w:type="spellEnd"/>
            <w:r w:rsidRPr="00D2315B">
              <w:rPr>
                <w:rFonts w:eastAsia="Times New Roman" w:cs="Times New Roman"/>
                <w:color w:val="000000"/>
                <w:sz w:val="22"/>
                <w:szCs w:val="22"/>
                <w:lang w:eastAsia="lv-LV"/>
              </w:rPr>
              <w:t xml:space="preserve">) plānošanas reģionos - četru mazāk attīstīto plānošanas reģionu vidējais līmenis pret augstāk attīstīto plānošanas reģionu (%) </w:t>
            </w:r>
          </w:p>
        </w:tc>
      </w:tr>
      <w:tr w:rsidR="00D2315B" w:rsidRPr="00D2315B" w14:paraId="246D6E3F" w14:textId="77777777" w:rsidTr="004C7170">
        <w:trPr>
          <w:trHeight w:val="397"/>
        </w:trPr>
        <w:tc>
          <w:tcPr>
            <w:tcW w:w="1133" w:type="pct"/>
            <w:vMerge w:val="restart"/>
            <w:tcBorders>
              <w:top w:val="single" w:sz="4" w:space="0" w:color="auto"/>
              <w:left w:val="single" w:sz="4" w:space="0" w:color="auto"/>
              <w:bottom w:val="single" w:sz="4" w:space="0" w:color="auto"/>
              <w:right w:val="single" w:sz="4" w:space="0" w:color="auto"/>
            </w:tcBorders>
            <w:shd w:val="clear" w:color="000000" w:fill="A9D18E"/>
            <w:vAlign w:val="center"/>
            <w:hideMark/>
          </w:tcPr>
          <w:p w14:paraId="70206ED5" w14:textId="77777777" w:rsidR="00D2315B" w:rsidRPr="00D2315B" w:rsidRDefault="00D2315B" w:rsidP="00D2315B">
            <w:pPr>
              <w:jc w:val="center"/>
              <w:rPr>
                <w:rFonts w:eastAsia="Times New Roman" w:cs="Times New Roman"/>
                <w:b/>
                <w:bCs/>
                <w:color w:val="000000"/>
                <w:sz w:val="22"/>
                <w:szCs w:val="22"/>
                <w:lang w:eastAsia="lv-LV"/>
              </w:rPr>
            </w:pPr>
            <w:r w:rsidRPr="00D2315B">
              <w:rPr>
                <w:rFonts w:eastAsia="Times New Roman" w:cs="Times New Roman"/>
                <w:b/>
                <w:bCs/>
                <w:color w:val="000000"/>
                <w:sz w:val="22"/>
                <w:szCs w:val="22"/>
                <w:lang w:eastAsia="lv-LV"/>
              </w:rPr>
              <w:t>Publisko pakalpojumu un IKT politikas īstenošana</w:t>
            </w:r>
          </w:p>
        </w:tc>
        <w:tc>
          <w:tcPr>
            <w:tcW w:w="3867" w:type="pct"/>
            <w:tcBorders>
              <w:top w:val="single" w:sz="4" w:space="0" w:color="auto"/>
              <w:left w:val="single" w:sz="4" w:space="0" w:color="auto"/>
              <w:bottom w:val="single" w:sz="4" w:space="0" w:color="auto"/>
              <w:right w:val="single" w:sz="4" w:space="0" w:color="auto"/>
            </w:tcBorders>
            <w:shd w:val="clear" w:color="000000" w:fill="EBF1E9"/>
            <w:vAlign w:val="center"/>
            <w:hideMark/>
          </w:tcPr>
          <w:p w14:paraId="2748D0E0" w14:textId="52B12367" w:rsidR="00D2315B" w:rsidRPr="00D2315B" w:rsidRDefault="00D2315B" w:rsidP="00D2315B">
            <w:pPr>
              <w:jc w:val="center"/>
              <w:rPr>
                <w:rFonts w:eastAsia="Times New Roman" w:cs="Times New Roman"/>
                <w:color w:val="000000"/>
                <w:sz w:val="22"/>
                <w:szCs w:val="22"/>
                <w:lang w:eastAsia="lv-LV"/>
              </w:rPr>
            </w:pPr>
            <w:r w:rsidRPr="00D2315B">
              <w:rPr>
                <w:rFonts w:eastAsia="Times New Roman" w:cs="Times New Roman"/>
                <w:color w:val="000000"/>
                <w:sz w:val="22"/>
                <w:szCs w:val="22"/>
                <w:lang w:eastAsia="lv-LV"/>
              </w:rPr>
              <w:t>Iedzīvotāju īpatsvars, kas izmanto internetu sadarbībai ar valsts un pašvaldību institūcijām (%)</w:t>
            </w:r>
          </w:p>
        </w:tc>
      </w:tr>
      <w:tr w:rsidR="00D2315B" w:rsidRPr="00D2315B" w14:paraId="63AC2178" w14:textId="77777777" w:rsidTr="004C7170">
        <w:trPr>
          <w:trHeight w:val="353"/>
        </w:trPr>
        <w:tc>
          <w:tcPr>
            <w:tcW w:w="1133" w:type="pct"/>
            <w:vMerge/>
            <w:tcBorders>
              <w:top w:val="single" w:sz="4" w:space="0" w:color="auto"/>
              <w:left w:val="single" w:sz="4" w:space="0" w:color="auto"/>
              <w:bottom w:val="single" w:sz="4" w:space="0" w:color="auto"/>
              <w:right w:val="single" w:sz="4" w:space="0" w:color="auto"/>
            </w:tcBorders>
            <w:vAlign w:val="center"/>
            <w:hideMark/>
          </w:tcPr>
          <w:p w14:paraId="556007C7" w14:textId="77777777" w:rsidR="00D2315B" w:rsidRPr="00D2315B" w:rsidRDefault="00D2315B" w:rsidP="00D2315B">
            <w:pPr>
              <w:rPr>
                <w:rFonts w:eastAsia="Times New Roman" w:cs="Times New Roman"/>
                <w:b/>
                <w:bCs/>
                <w:color w:val="000000"/>
                <w:sz w:val="22"/>
                <w:szCs w:val="22"/>
                <w:lang w:eastAsia="lv-LV"/>
              </w:rPr>
            </w:pPr>
          </w:p>
        </w:tc>
        <w:tc>
          <w:tcPr>
            <w:tcW w:w="3867" w:type="pct"/>
            <w:tcBorders>
              <w:top w:val="single" w:sz="4" w:space="0" w:color="auto"/>
              <w:left w:val="single" w:sz="4" w:space="0" w:color="auto"/>
              <w:bottom w:val="single" w:sz="4" w:space="0" w:color="auto"/>
              <w:right w:val="single" w:sz="4" w:space="0" w:color="auto"/>
            </w:tcBorders>
            <w:shd w:val="clear" w:color="000000" w:fill="EBF1E9"/>
            <w:vAlign w:val="center"/>
            <w:hideMark/>
          </w:tcPr>
          <w:p w14:paraId="60172E4A" w14:textId="223B04D4" w:rsidR="00D2315B" w:rsidRPr="00D2315B" w:rsidRDefault="005060DC" w:rsidP="00D2315B">
            <w:pPr>
              <w:jc w:val="center"/>
              <w:rPr>
                <w:rFonts w:eastAsia="Times New Roman" w:cs="Times New Roman"/>
                <w:color w:val="000000"/>
                <w:sz w:val="22"/>
                <w:szCs w:val="22"/>
                <w:lang w:eastAsia="lv-LV"/>
              </w:rPr>
            </w:pPr>
            <w:r>
              <w:rPr>
                <w:rFonts w:eastAsia="Times New Roman" w:cs="Times New Roman"/>
                <w:color w:val="000000"/>
                <w:sz w:val="22"/>
                <w:szCs w:val="22"/>
                <w:lang w:eastAsia="lv-LV"/>
              </w:rPr>
              <w:t>Latvijas platības īpatsvars, kurā i</w:t>
            </w:r>
            <w:r w:rsidR="00D2315B" w:rsidRPr="00D2315B">
              <w:rPr>
                <w:rFonts w:eastAsia="Times New Roman" w:cs="Times New Roman"/>
                <w:color w:val="000000"/>
                <w:sz w:val="22"/>
                <w:szCs w:val="22"/>
                <w:lang w:eastAsia="lv-LV"/>
              </w:rPr>
              <w:t>edzīvotājiem nodrošināta valsts pārvaldes pakalpojumu pieejamība Valsts un pašvaldības vienot</w:t>
            </w:r>
            <w:r w:rsidR="00950ED4">
              <w:rPr>
                <w:rFonts w:eastAsia="Times New Roman" w:cs="Times New Roman"/>
                <w:color w:val="000000"/>
                <w:sz w:val="22"/>
                <w:szCs w:val="22"/>
                <w:lang w:eastAsia="lv-LV"/>
              </w:rPr>
              <w:t>o</w:t>
            </w:r>
            <w:r w:rsidR="00D2315B" w:rsidRPr="00D2315B">
              <w:rPr>
                <w:rFonts w:eastAsia="Times New Roman" w:cs="Times New Roman"/>
                <w:color w:val="000000"/>
                <w:sz w:val="22"/>
                <w:szCs w:val="22"/>
                <w:lang w:eastAsia="lv-LV"/>
              </w:rPr>
              <w:t xml:space="preserve"> klientu apkalpošanas centru tīklā (%)</w:t>
            </w:r>
          </w:p>
        </w:tc>
      </w:tr>
      <w:tr w:rsidR="00D2315B" w:rsidRPr="00D2315B" w14:paraId="6F48C88B" w14:textId="77777777" w:rsidTr="004C7170">
        <w:trPr>
          <w:trHeight w:val="449"/>
        </w:trPr>
        <w:tc>
          <w:tcPr>
            <w:tcW w:w="1133" w:type="pct"/>
            <w:vMerge/>
            <w:tcBorders>
              <w:top w:val="single" w:sz="4" w:space="0" w:color="auto"/>
              <w:left w:val="single" w:sz="4" w:space="0" w:color="auto"/>
              <w:bottom w:val="single" w:sz="4" w:space="0" w:color="auto"/>
              <w:right w:val="single" w:sz="4" w:space="0" w:color="auto"/>
            </w:tcBorders>
            <w:vAlign w:val="center"/>
            <w:hideMark/>
          </w:tcPr>
          <w:p w14:paraId="5D8CE769" w14:textId="77777777" w:rsidR="00D2315B" w:rsidRPr="00D2315B" w:rsidRDefault="00D2315B" w:rsidP="00D2315B">
            <w:pPr>
              <w:rPr>
                <w:rFonts w:eastAsia="Times New Roman" w:cs="Times New Roman"/>
                <w:b/>
                <w:bCs/>
                <w:color w:val="000000"/>
                <w:sz w:val="22"/>
                <w:szCs w:val="22"/>
                <w:lang w:eastAsia="lv-LV"/>
              </w:rPr>
            </w:pPr>
          </w:p>
        </w:tc>
        <w:tc>
          <w:tcPr>
            <w:tcW w:w="3867" w:type="pct"/>
            <w:tcBorders>
              <w:top w:val="single" w:sz="4" w:space="0" w:color="auto"/>
              <w:left w:val="single" w:sz="4" w:space="0" w:color="auto"/>
              <w:bottom w:val="single" w:sz="4" w:space="0" w:color="auto"/>
              <w:right w:val="single" w:sz="4" w:space="0" w:color="auto"/>
            </w:tcBorders>
            <w:shd w:val="clear" w:color="000000" w:fill="EBF1E9"/>
            <w:vAlign w:val="center"/>
            <w:hideMark/>
          </w:tcPr>
          <w:p w14:paraId="019699CA" w14:textId="244DBA60" w:rsidR="00D2315B" w:rsidRPr="00D2315B" w:rsidRDefault="00D2315B" w:rsidP="00D2315B">
            <w:pPr>
              <w:jc w:val="center"/>
              <w:rPr>
                <w:rFonts w:eastAsia="Times New Roman" w:cs="Times New Roman"/>
                <w:color w:val="000000"/>
                <w:sz w:val="22"/>
                <w:szCs w:val="22"/>
                <w:lang w:eastAsia="lv-LV"/>
              </w:rPr>
            </w:pPr>
            <w:r w:rsidRPr="00D2315B">
              <w:rPr>
                <w:rFonts w:eastAsia="Times New Roman" w:cs="Times New Roman"/>
                <w:color w:val="000000"/>
                <w:sz w:val="22"/>
                <w:szCs w:val="22"/>
                <w:lang w:eastAsia="lv-LV"/>
              </w:rPr>
              <w:t>Kvalificēt</w:t>
            </w:r>
            <w:r w:rsidR="005060DC">
              <w:rPr>
                <w:rFonts w:eastAsia="Times New Roman" w:cs="Times New Roman"/>
                <w:color w:val="000000"/>
                <w:sz w:val="22"/>
                <w:szCs w:val="22"/>
                <w:lang w:eastAsia="lv-LV"/>
              </w:rPr>
              <w:t>i</w:t>
            </w:r>
            <w:r w:rsidRPr="00D2315B">
              <w:rPr>
                <w:rFonts w:eastAsia="Times New Roman" w:cs="Times New Roman"/>
                <w:color w:val="000000"/>
                <w:sz w:val="22"/>
                <w:szCs w:val="22"/>
                <w:lang w:eastAsia="lv-LV"/>
              </w:rPr>
              <w:t xml:space="preserve"> elektroniskās identitātes un uzticamības pakalpojumu lietotāj</w:t>
            </w:r>
            <w:r w:rsidR="005060DC">
              <w:rPr>
                <w:rFonts w:eastAsia="Times New Roman" w:cs="Times New Roman"/>
                <w:color w:val="000000"/>
                <w:sz w:val="22"/>
                <w:szCs w:val="22"/>
                <w:lang w:eastAsia="lv-LV"/>
              </w:rPr>
              <w:t>i</w:t>
            </w:r>
            <w:r w:rsidRPr="00D2315B">
              <w:rPr>
                <w:rFonts w:eastAsia="Times New Roman" w:cs="Times New Roman"/>
                <w:color w:val="000000"/>
                <w:sz w:val="22"/>
                <w:szCs w:val="22"/>
                <w:lang w:eastAsia="lv-LV"/>
              </w:rPr>
              <w:t>, kuri izmanto kvalificētus pakalpojumus vismaz vienu reizi kalendārā gadā</w:t>
            </w:r>
            <w:r w:rsidR="005060DC">
              <w:rPr>
                <w:rFonts w:eastAsia="Times New Roman" w:cs="Times New Roman"/>
                <w:color w:val="000000"/>
                <w:sz w:val="22"/>
                <w:szCs w:val="22"/>
                <w:lang w:eastAsia="lv-LV"/>
              </w:rPr>
              <w:t xml:space="preserve"> (skaits)</w:t>
            </w:r>
          </w:p>
        </w:tc>
      </w:tr>
    </w:tbl>
    <w:p w14:paraId="5BCF1127" w14:textId="52A934B2" w:rsidR="00D2315B" w:rsidRDefault="00D2315B" w:rsidP="0056451E">
      <w:pPr>
        <w:spacing w:after="120"/>
      </w:pPr>
    </w:p>
    <w:p w14:paraId="40578507" w14:textId="02697C4C" w:rsidR="00D2315B" w:rsidRDefault="00D2315B" w:rsidP="00D2315B">
      <w:pPr>
        <w:spacing w:after="120"/>
      </w:pPr>
      <w:r>
        <w:t>Veselības ministrija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6941"/>
      </w:tblGrid>
      <w:tr w:rsidR="00D2315B" w:rsidRPr="00D2315B" w14:paraId="451E0064" w14:textId="77777777" w:rsidTr="00E20E29">
        <w:trPr>
          <w:trHeight w:val="70"/>
          <w:tblHeader/>
        </w:trPr>
        <w:tc>
          <w:tcPr>
            <w:tcW w:w="1170" w:type="pct"/>
            <w:shd w:val="clear" w:color="000000" w:fill="A9D08E"/>
            <w:noWrap/>
            <w:vAlign w:val="bottom"/>
            <w:hideMark/>
          </w:tcPr>
          <w:p w14:paraId="751CE844" w14:textId="77777777" w:rsidR="00D2315B" w:rsidRPr="00D2315B" w:rsidRDefault="00D2315B" w:rsidP="00D2315B">
            <w:pPr>
              <w:jc w:val="center"/>
              <w:rPr>
                <w:rFonts w:eastAsia="Times New Roman" w:cs="Times New Roman"/>
                <w:b/>
                <w:bCs/>
                <w:color w:val="000000"/>
                <w:sz w:val="22"/>
                <w:szCs w:val="22"/>
                <w:lang w:eastAsia="lv-LV"/>
              </w:rPr>
            </w:pPr>
            <w:r w:rsidRPr="00D2315B">
              <w:rPr>
                <w:rFonts w:eastAsia="Times New Roman" w:cs="Times New Roman"/>
                <w:b/>
                <w:bCs/>
                <w:color w:val="000000"/>
                <w:sz w:val="22"/>
                <w:szCs w:val="22"/>
                <w:lang w:eastAsia="lv-LV"/>
              </w:rPr>
              <w:t xml:space="preserve">Joma </w:t>
            </w:r>
          </w:p>
        </w:tc>
        <w:tc>
          <w:tcPr>
            <w:tcW w:w="3830" w:type="pct"/>
            <w:shd w:val="clear" w:color="000000" w:fill="A9D08E"/>
            <w:noWrap/>
            <w:vAlign w:val="bottom"/>
            <w:hideMark/>
          </w:tcPr>
          <w:p w14:paraId="71076E43" w14:textId="77777777" w:rsidR="00D2315B" w:rsidRPr="00D2315B" w:rsidRDefault="00D2315B" w:rsidP="00D2315B">
            <w:pPr>
              <w:jc w:val="center"/>
              <w:rPr>
                <w:rFonts w:eastAsia="Times New Roman" w:cs="Times New Roman"/>
                <w:b/>
                <w:bCs/>
                <w:color w:val="000000"/>
                <w:sz w:val="22"/>
                <w:szCs w:val="22"/>
                <w:lang w:eastAsia="lv-LV"/>
              </w:rPr>
            </w:pPr>
            <w:r w:rsidRPr="00D2315B">
              <w:rPr>
                <w:rFonts w:eastAsia="Times New Roman" w:cs="Times New Roman"/>
                <w:b/>
                <w:bCs/>
                <w:color w:val="000000"/>
                <w:sz w:val="22"/>
                <w:szCs w:val="22"/>
                <w:lang w:eastAsia="lv-LV"/>
              </w:rPr>
              <w:t>Politikas rezultatīvie rādītāji</w:t>
            </w:r>
          </w:p>
        </w:tc>
      </w:tr>
      <w:tr w:rsidR="00D2315B" w:rsidRPr="00D2315B" w14:paraId="7E6E9FCC" w14:textId="77777777" w:rsidTr="00E20E29">
        <w:trPr>
          <w:trHeight w:val="227"/>
        </w:trPr>
        <w:tc>
          <w:tcPr>
            <w:tcW w:w="1170" w:type="pct"/>
            <w:vMerge w:val="restart"/>
            <w:shd w:val="clear" w:color="auto" w:fill="A8D08D" w:themeFill="accent6" w:themeFillTint="99"/>
            <w:vAlign w:val="center"/>
            <w:hideMark/>
          </w:tcPr>
          <w:p w14:paraId="2B01E681" w14:textId="77777777" w:rsidR="00D2315B" w:rsidRPr="00D2315B" w:rsidRDefault="00D2315B" w:rsidP="00D2315B">
            <w:pPr>
              <w:jc w:val="center"/>
              <w:rPr>
                <w:rFonts w:eastAsia="Times New Roman" w:cs="Times New Roman"/>
                <w:b/>
                <w:bCs/>
                <w:color w:val="000000"/>
                <w:sz w:val="22"/>
                <w:szCs w:val="22"/>
                <w:lang w:eastAsia="lv-LV"/>
              </w:rPr>
            </w:pPr>
            <w:r w:rsidRPr="00D2315B">
              <w:rPr>
                <w:rFonts w:eastAsia="Times New Roman" w:cs="Times New Roman"/>
                <w:b/>
                <w:bCs/>
                <w:color w:val="000000"/>
                <w:sz w:val="22"/>
                <w:szCs w:val="22"/>
                <w:lang w:eastAsia="lv-LV"/>
              </w:rPr>
              <w:t>Veselības aprūpes joma</w:t>
            </w:r>
          </w:p>
        </w:tc>
        <w:tc>
          <w:tcPr>
            <w:tcW w:w="3830" w:type="pct"/>
            <w:shd w:val="clear" w:color="000000" w:fill="EBF1E9"/>
            <w:vAlign w:val="center"/>
            <w:hideMark/>
          </w:tcPr>
          <w:p w14:paraId="02F4A51B" w14:textId="66893F6B" w:rsidR="00D2315B" w:rsidRPr="00D2315B" w:rsidRDefault="00D2315B" w:rsidP="00D2315B">
            <w:pPr>
              <w:jc w:val="center"/>
              <w:rPr>
                <w:rFonts w:eastAsia="Times New Roman" w:cs="Times New Roman"/>
                <w:noProof/>
                <w:color w:val="000000"/>
                <w:sz w:val="22"/>
                <w:szCs w:val="22"/>
                <w:lang w:eastAsia="lv-LV"/>
              </w:rPr>
            </w:pPr>
            <w:r w:rsidRPr="00D2315B">
              <w:rPr>
                <w:rFonts w:eastAsia="Times New Roman" w:cs="Times New Roman"/>
                <w:noProof/>
                <w:color w:val="000000"/>
                <w:sz w:val="22"/>
                <w:szCs w:val="22"/>
                <w:lang w:eastAsia="lv-LV"/>
              </w:rPr>
              <w:t>Tiešmaksājumi veselības aprūpē no kopējiem veselības izdevumiem</w:t>
            </w:r>
            <w:r w:rsidR="00871001">
              <w:rPr>
                <w:rFonts w:eastAsia="Times New Roman" w:cs="Times New Roman"/>
                <w:noProof/>
                <w:color w:val="000000"/>
                <w:sz w:val="22"/>
                <w:szCs w:val="22"/>
                <w:lang w:eastAsia="lv-LV"/>
              </w:rPr>
              <w:t xml:space="preserve"> (%)</w:t>
            </w:r>
          </w:p>
        </w:tc>
      </w:tr>
      <w:tr w:rsidR="00D2315B" w:rsidRPr="00D2315B" w14:paraId="7037538B" w14:textId="77777777" w:rsidTr="00E20E29">
        <w:trPr>
          <w:trHeight w:val="259"/>
        </w:trPr>
        <w:tc>
          <w:tcPr>
            <w:tcW w:w="1170" w:type="pct"/>
            <w:vMerge/>
            <w:shd w:val="clear" w:color="auto" w:fill="A8D08D" w:themeFill="accent6" w:themeFillTint="99"/>
            <w:vAlign w:val="center"/>
            <w:hideMark/>
          </w:tcPr>
          <w:p w14:paraId="61C0CA50" w14:textId="77777777" w:rsidR="00D2315B" w:rsidRPr="00D2315B" w:rsidRDefault="00D2315B" w:rsidP="00D2315B">
            <w:pPr>
              <w:rPr>
                <w:rFonts w:eastAsia="Times New Roman" w:cs="Times New Roman"/>
                <w:b/>
                <w:bCs/>
                <w:color w:val="000000"/>
                <w:sz w:val="22"/>
                <w:szCs w:val="22"/>
                <w:lang w:eastAsia="lv-LV"/>
              </w:rPr>
            </w:pPr>
          </w:p>
        </w:tc>
        <w:tc>
          <w:tcPr>
            <w:tcW w:w="3830" w:type="pct"/>
            <w:shd w:val="clear" w:color="000000" w:fill="EBF1E9"/>
            <w:vAlign w:val="center"/>
            <w:hideMark/>
          </w:tcPr>
          <w:p w14:paraId="3C1E4484" w14:textId="05660A91" w:rsidR="00D2315B" w:rsidRPr="00D2315B" w:rsidRDefault="00D2315B" w:rsidP="00D2315B">
            <w:pPr>
              <w:jc w:val="center"/>
              <w:rPr>
                <w:rFonts w:eastAsia="Times New Roman" w:cs="Times New Roman"/>
                <w:noProof/>
                <w:color w:val="000000"/>
                <w:sz w:val="22"/>
                <w:szCs w:val="22"/>
                <w:lang w:eastAsia="lv-LV"/>
              </w:rPr>
            </w:pPr>
            <w:r w:rsidRPr="00D2315B">
              <w:rPr>
                <w:rFonts w:eastAsia="Times New Roman" w:cs="Times New Roman"/>
                <w:noProof/>
                <w:color w:val="000000"/>
                <w:sz w:val="22"/>
                <w:szCs w:val="22"/>
                <w:lang w:eastAsia="lv-LV"/>
              </w:rPr>
              <w:t>Priekšlaicīgas mirstības no sirds asinsvadu slimībām vecumā līdz 64 gadiem uz 100 000 iedzīvotājiem</w:t>
            </w:r>
            <w:r w:rsidR="00871001">
              <w:rPr>
                <w:rFonts w:eastAsia="Times New Roman" w:cs="Times New Roman"/>
                <w:noProof/>
                <w:color w:val="000000"/>
                <w:sz w:val="22"/>
                <w:szCs w:val="22"/>
                <w:lang w:eastAsia="lv-LV"/>
              </w:rPr>
              <w:t xml:space="preserve"> (skaits)</w:t>
            </w:r>
          </w:p>
        </w:tc>
      </w:tr>
      <w:tr w:rsidR="00D2315B" w:rsidRPr="00D2315B" w14:paraId="19A81A7C" w14:textId="77777777" w:rsidTr="00E20E29">
        <w:trPr>
          <w:trHeight w:val="126"/>
        </w:trPr>
        <w:tc>
          <w:tcPr>
            <w:tcW w:w="1170" w:type="pct"/>
            <w:vMerge/>
            <w:shd w:val="clear" w:color="auto" w:fill="A8D08D" w:themeFill="accent6" w:themeFillTint="99"/>
            <w:vAlign w:val="center"/>
            <w:hideMark/>
          </w:tcPr>
          <w:p w14:paraId="158CE24D" w14:textId="77777777" w:rsidR="00D2315B" w:rsidRPr="00D2315B" w:rsidRDefault="00D2315B" w:rsidP="00D2315B">
            <w:pPr>
              <w:rPr>
                <w:rFonts w:eastAsia="Times New Roman" w:cs="Times New Roman"/>
                <w:b/>
                <w:bCs/>
                <w:color w:val="000000"/>
                <w:sz w:val="22"/>
                <w:szCs w:val="22"/>
                <w:lang w:eastAsia="lv-LV"/>
              </w:rPr>
            </w:pPr>
          </w:p>
        </w:tc>
        <w:tc>
          <w:tcPr>
            <w:tcW w:w="3830" w:type="pct"/>
            <w:shd w:val="clear" w:color="000000" w:fill="EBF1E9"/>
            <w:vAlign w:val="center"/>
            <w:hideMark/>
          </w:tcPr>
          <w:p w14:paraId="58D25F8A" w14:textId="034A6F8F" w:rsidR="00D2315B" w:rsidRPr="00D2315B" w:rsidRDefault="00D2315B" w:rsidP="00D2315B">
            <w:pPr>
              <w:jc w:val="center"/>
              <w:rPr>
                <w:rFonts w:eastAsia="Times New Roman" w:cs="Times New Roman"/>
                <w:noProof/>
                <w:color w:val="000000"/>
                <w:sz w:val="22"/>
                <w:szCs w:val="22"/>
                <w:lang w:eastAsia="lv-LV"/>
              </w:rPr>
            </w:pPr>
            <w:r w:rsidRPr="00D2315B">
              <w:rPr>
                <w:rFonts w:eastAsia="Times New Roman" w:cs="Times New Roman"/>
                <w:noProof/>
                <w:color w:val="000000"/>
                <w:sz w:val="22"/>
                <w:szCs w:val="22"/>
                <w:lang w:eastAsia="lv-LV"/>
              </w:rPr>
              <w:t>Priekšlaicīgas mirstības no ļaundabīgajiem audzējiem vecumā līdz 64 gadiem uz 100 000 iedzīvotājiem</w:t>
            </w:r>
            <w:r w:rsidR="00871001">
              <w:rPr>
                <w:rFonts w:eastAsia="Times New Roman" w:cs="Times New Roman"/>
                <w:noProof/>
                <w:color w:val="000000"/>
                <w:sz w:val="22"/>
                <w:szCs w:val="22"/>
                <w:lang w:eastAsia="lv-LV"/>
              </w:rPr>
              <w:t xml:space="preserve"> (skaits)</w:t>
            </w:r>
          </w:p>
        </w:tc>
      </w:tr>
      <w:tr w:rsidR="00D2315B" w:rsidRPr="00D2315B" w14:paraId="00F7D471" w14:textId="77777777" w:rsidTr="00E20E29">
        <w:trPr>
          <w:trHeight w:val="70"/>
        </w:trPr>
        <w:tc>
          <w:tcPr>
            <w:tcW w:w="1170" w:type="pct"/>
            <w:vMerge/>
            <w:shd w:val="clear" w:color="auto" w:fill="A8D08D" w:themeFill="accent6" w:themeFillTint="99"/>
            <w:vAlign w:val="center"/>
            <w:hideMark/>
          </w:tcPr>
          <w:p w14:paraId="610CC95B" w14:textId="77777777" w:rsidR="00D2315B" w:rsidRPr="00D2315B" w:rsidRDefault="00D2315B" w:rsidP="00D2315B">
            <w:pPr>
              <w:rPr>
                <w:rFonts w:eastAsia="Times New Roman" w:cs="Times New Roman"/>
                <w:b/>
                <w:bCs/>
                <w:color w:val="000000"/>
                <w:sz w:val="22"/>
                <w:szCs w:val="22"/>
                <w:lang w:eastAsia="lv-LV"/>
              </w:rPr>
            </w:pPr>
          </w:p>
        </w:tc>
        <w:tc>
          <w:tcPr>
            <w:tcW w:w="3830" w:type="pct"/>
            <w:shd w:val="clear" w:color="000000" w:fill="EBF1E9"/>
            <w:vAlign w:val="center"/>
            <w:hideMark/>
          </w:tcPr>
          <w:p w14:paraId="42959EBF" w14:textId="35C0382B" w:rsidR="00D2315B" w:rsidRPr="00D2315B" w:rsidRDefault="00D2315B" w:rsidP="00D2315B">
            <w:pPr>
              <w:jc w:val="center"/>
              <w:rPr>
                <w:rFonts w:eastAsia="Times New Roman" w:cs="Times New Roman"/>
                <w:noProof/>
                <w:color w:val="000000"/>
                <w:sz w:val="22"/>
                <w:szCs w:val="22"/>
                <w:lang w:eastAsia="lv-LV"/>
              </w:rPr>
            </w:pPr>
            <w:r w:rsidRPr="00D2315B">
              <w:rPr>
                <w:rFonts w:eastAsia="Times New Roman" w:cs="Times New Roman"/>
                <w:noProof/>
                <w:color w:val="000000"/>
                <w:sz w:val="22"/>
                <w:szCs w:val="22"/>
                <w:lang w:eastAsia="lv-LV"/>
              </w:rPr>
              <w:t>Priekšlaicīgas mirstības no ārējiem nāves cēloņiem vecumā līdz 64 gadiem</w:t>
            </w:r>
            <w:r w:rsidR="00871001">
              <w:rPr>
                <w:rFonts w:eastAsia="Times New Roman" w:cs="Times New Roman"/>
                <w:noProof/>
                <w:color w:val="000000"/>
                <w:sz w:val="22"/>
                <w:szCs w:val="22"/>
                <w:lang w:eastAsia="lv-LV"/>
              </w:rPr>
              <w:t xml:space="preserve"> </w:t>
            </w:r>
            <w:r w:rsidRPr="00D2315B">
              <w:rPr>
                <w:rFonts w:eastAsia="Times New Roman" w:cs="Times New Roman"/>
                <w:noProof/>
                <w:color w:val="000000"/>
                <w:sz w:val="22"/>
                <w:szCs w:val="22"/>
                <w:lang w:eastAsia="lv-LV"/>
              </w:rPr>
              <w:t>uz 100 000 iedzīvotājiem</w:t>
            </w:r>
            <w:r w:rsidR="00871001">
              <w:rPr>
                <w:rFonts w:eastAsia="Times New Roman" w:cs="Times New Roman"/>
                <w:noProof/>
                <w:color w:val="000000"/>
                <w:sz w:val="22"/>
                <w:szCs w:val="22"/>
                <w:lang w:eastAsia="lv-LV"/>
              </w:rPr>
              <w:t xml:space="preserve"> (skaits)</w:t>
            </w:r>
          </w:p>
        </w:tc>
      </w:tr>
      <w:tr w:rsidR="00D2315B" w:rsidRPr="00D2315B" w14:paraId="5B4AD5FF" w14:textId="77777777" w:rsidTr="00E20E29">
        <w:trPr>
          <w:trHeight w:val="126"/>
        </w:trPr>
        <w:tc>
          <w:tcPr>
            <w:tcW w:w="1170" w:type="pct"/>
            <w:vMerge/>
            <w:shd w:val="clear" w:color="auto" w:fill="A8D08D" w:themeFill="accent6" w:themeFillTint="99"/>
            <w:vAlign w:val="center"/>
            <w:hideMark/>
          </w:tcPr>
          <w:p w14:paraId="3E9D985E" w14:textId="77777777" w:rsidR="00D2315B" w:rsidRPr="00D2315B" w:rsidRDefault="00D2315B" w:rsidP="00D2315B">
            <w:pPr>
              <w:rPr>
                <w:rFonts w:eastAsia="Times New Roman" w:cs="Times New Roman"/>
                <w:b/>
                <w:bCs/>
                <w:color w:val="000000"/>
                <w:sz w:val="22"/>
                <w:szCs w:val="22"/>
                <w:lang w:eastAsia="lv-LV"/>
              </w:rPr>
            </w:pPr>
          </w:p>
        </w:tc>
        <w:tc>
          <w:tcPr>
            <w:tcW w:w="3830" w:type="pct"/>
            <w:shd w:val="clear" w:color="000000" w:fill="EBF1E9"/>
            <w:vAlign w:val="center"/>
            <w:hideMark/>
          </w:tcPr>
          <w:p w14:paraId="3EEB1329" w14:textId="6DDCC17C" w:rsidR="00D2315B" w:rsidRPr="00D2315B" w:rsidRDefault="00D2315B" w:rsidP="00D2315B">
            <w:pPr>
              <w:jc w:val="center"/>
              <w:rPr>
                <w:rFonts w:eastAsia="Times New Roman" w:cs="Times New Roman"/>
                <w:noProof/>
                <w:color w:val="000000"/>
                <w:sz w:val="22"/>
                <w:szCs w:val="22"/>
                <w:lang w:eastAsia="lv-LV"/>
              </w:rPr>
            </w:pPr>
            <w:r w:rsidRPr="00D2315B">
              <w:rPr>
                <w:rFonts w:eastAsia="Times New Roman" w:cs="Times New Roman"/>
                <w:noProof/>
                <w:color w:val="000000"/>
                <w:sz w:val="22"/>
                <w:szCs w:val="22"/>
                <w:lang w:eastAsia="lv-LV"/>
              </w:rPr>
              <w:t>Zīdaiņu mirstība uz 1 000 dzīvi dzimušajiem</w:t>
            </w:r>
            <w:r w:rsidR="00871001">
              <w:rPr>
                <w:rFonts w:eastAsia="Times New Roman" w:cs="Times New Roman"/>
                <w:noProof/>
                <w:color w:val="000000"/>
                <w:sz w:val="22"/>
                <w:szCs w:val="22"/>
                <w:lang w:eastAsia="lv-LV"/>
              </w:rPr>
              <w:t xml:space="preserve"> (skaits)</w:t>
            </w:r>
          </w:p>
        </w:tc>
      </w:tr>
      <w:tr w:rsidR="00D2315B" w:rsidRPr="00D2315B" w14:paraId="1778CDB2" w14:textId="77777777" w:rsidTr="00E20E29">
        <w:trPr>
          <w:trHeight w:val="70"/>
        </w:trPr>
        <w:tc>
          <w:tcPr>
            <w:tcW w:w="1170" w:type="pct"/>
            <w:vMerge/>
            <w:shd w:val="clear" w:color="auto" w:fill="A8D08D" w:themeFill="accent6" w:themeFillTint="99"/>
            <w:vAlign w:val="center"/>
            <w:hideMark/>
          </w:tcPr>
          <w:p w14:paraId="61008A20" w14:textId="77777777" w:rsidR="00D2315B" w:rsidRPr="00D2315B" w:rsidRDefault="00D2315B" w:rsidP="00D2315B">
            <w:pPr>
              <w:rPr>
                <w:rFonts w:eastAsia="Times New Roman" w:cs="Times New Roman"/>
                <w:b/>
                <w:bCs/>
                <w:color w:val="000000"/>
                <w:sz w:val="22"/>
                <w:szCs w:val="22"/>
                <w:lang w:eastAsia="lv-LV"/>
              </w:rPr>
            </w:pPr>
          </w:p>
        </w:tc>
        <w:tc>
          <w:tcPr>
            <w:tcW w:w="3830" w:type="pct"/>
            <w:shd w:val="clear" w:color="000000" w:fill="EBF1E9"/>
            <w:vAlign w:val="center"/>
            <w:hideMark/>
          </w:tcPr>
          <w:p w14:paraId="6CBFDC71" w14:textId="6AD616AB" w:rsidR="00D2315B" w:rsidRPr="00D2315B" w:rsidRDefault="00D2315B" w:rsidP="00D2315B">
            <w:pPr>
              <w:jc w:val="center"/>
              <w:rPr>
                <w:rFonts w:eastAsia="Times New Roman" w:cs="Times New Roman"/>
                <w:noProof/>
                <w:color w:val="000000"/>
                <w:sz w:val="22"/>
                <w:szCs w:val="22"/>
                <w:lang w:eastAsia="lv-LV"/>
              </w:rPr>
            </w:pPr>
            <w:r w:rsidRPr="00D2315B">
              <w:rPr>
                <w:rFonts w:eastAsia="Times New Roman" w:cs="Times New Roman"/>
                <w:noProof/>
                <w:color w:val="000000"/>
                <w:sz w:val="22"/>
                <w:szCs w:val="22"/>
                <w:lang w:eastAsia="lv-LV"/>
              </w:rPr>
              <w:t>Perinatālā mirstība</w:t>
            </w:r>
            <w:r w:rsidR="00871001">
              <w:rPr>
                <w:rFonts w:eastAsia="Times New Roman" w:cs="Times New Roman"/>
                <w:noProof/>
                <w:color w:val="000000"/>
                <w:sz w:val="22"/>
                <w:szCs w:val="22"/>
                <w:lang w:eastAsia="lv-LV"/>
              </w:rPr>
              <w:t xml:space="preserve"> </w:t>
            </w:r>
            <w:r w:rsidRPr="00D2315B">
              <w:rPr>
                <w:rFonts w:eastAsia="Times New Roman" w:cs="Times New Roman"/>
                <w:noProof/>
                <w:color w:val="000000"/>
                <w:sz w:val="22"/>
                <w:szCs w:val="22"/>
                <w:lang w:eastAsia="lv-LV"/>
              </w:rPr>
              <w:t>uz 1 000 dzīvi un nedzīvi dzimušajiem</w:t>
            </w:r>
            <w:r w:rsidR="00871001">
              <w:rPr>
                <w:rFonts w:eastAsia="Times New Roman" w:cs="Times New Roman"/>
                <w:noProof/>
                <w:color w:val="000000"/>
                <w:sz w:val="22"/>
                <w:szCs w:val="22"/>
                <w:lang w:eastAsia="lv-LV"/>
              </w:rPr>
              <w:t xml:space="preserve"> (skaits)</w:t>
            </w:r>
          </w:p>
        </w:tc>
      </w:tr>
      <w:tr w:rsidR="00D2315B" w:rsidRPr="00D2315B" w14:paraId="00FF6AF4" w14:textId="77777777" w:rsidTr="00E20E29">
        <w:trPr>
          <w:trHeight w:val="70"/>
        </w:trPr>
        <w:tc>
          <w:tcPr>
            <w:tcW w:w="1170" w:type="pct"/>
            <w:vMerge/>
            <w:shd w:val="clear" w:color="auto" w:fill="A8D08D" w:themeFill="accent6" w:themeFillTint="99"/>
            <w:vAlign w:val="center"/>
            <w:hideMark/>
          </w:tcPr>
          <w:p w14:paraId="1077D5D9" w14:textId="77777777" w:rsidR="00D2315B" w:rsidRPr="00D2315B" w:rsidRDefault="00D2315B" w:rsidP="00D2315B">
            <w:pPr>
              <w:rPr>
                <w:rFonts w:eastAsia="Times New Roman" w:cs="Times New Roman"/>
                <w:b/>
                <w:bCs/>
                <w:color w:val="000000"/>
                <w:sz w:val="22"/>
                <w:szCs w:val="22"/>
                <w:lang w:eastAsia="lv-LV"/>
              </w:rPr>
            </w:pPr>
          </w:p>
        </w:tc>
        <w:tc>
          <w:tcPr>
            <w:tcW w:w="3830" w:type="pct"/>
            <w:shd w:val="clear" w:color="000000" w:fill="EBF1E9"/>
            <w:vAlign w:val="center"/>
            <w:hideMark/>
          </w:tcPr>
          <w:p w14:paraId="60539170" w14:textId="3DB37592" w:rsidR="00D2315B" w:rsidRPr="00D2315B" w:rsidRDefault="00D2315B" w:rsidP="00D2315B">
            <w:pPr>
              <w:jc w:val="center"/>
              <w:rPr>
                <w:rFonts w:eastAsia="Times New Roman" w:cs="Times New Roman"/>
                <w:noProof/>
                <w:color w:val="000000"/>
                <w:sz w:val="22"/>
                <w:szCs w:val="22"/>
                <w:lang w:eastAsia="lv-LV"/>
              </w:rPr>
            </w:pPr>
            <w:r w:rsidRPr="00D2315B">
              <w:rPr>
                <w:rFonts w:eastAsia="Times New Roman" w:cs="Times New Roman"/>
                <w:noProof/>
                <w:color w:val="000000"/>
                <w:sz w:val="22"/>
                <w:szCs w:val="22"/>
                <w:lang w:eastAsia="lv-LV"/>
              </w:rPr>
              <w:t>Mirstība no pašnāvībām uz 100 000 iedzīvotājiem</w:t>
            </w:r>
            <w:r w:rsidR="00871001">
              <w:rPr>
                <w:rFonts w:eastAsia="Times New Roman" w:cs="Times New Roman"/>
                <w:noProof/>
                <w:color w:val="000000"/>
                <w:sz w:val="22"/>
                <w:szCs w:val="22"/>
                <w:lang w:eastAsia="lv-LV"/>
              </w:rPr>
              <w:t xml:space="preserve"> (skaits)</w:t>
            </w:r>
          </w:p>
        </w:tc>
      </w:tr>
      <w:tr w:rsidR="00D2315B" w:rsidRPr="00D2315B" w14:paraId="68AAF6E9" w14:textId="77777777" w:rsidTr="00E20E29">
        <w:trPr>
          <w:trHeight w:val="70"/>
        </w:trPr>
        <w:tc>
          <w:tcPr>
            <w:tcW w:w="1170" w:type="pct"/>
            <w:vMerge/>
            <w:shd w:val="clear" w:color="auto" w:fill="A8D08D" w:themeFill="accent6" w:themeFillTint="99"/>
            <w:vAlign w:val="center"/>
            <w:hideMark/>
          </w:tcPr>
          <w:p w14:paraId="61B6D061" w14:textId="77777777" w:rsidR="00D2315B" w:rsidRPr="00D2315B" w:rsidRDefault="00D2315B" w:rsidP="00D2315B">
            <w:pPr>
              <w:rPr>
                <w:rFonts w:eastAsia="Times New Roman" w:cs="Times New Roman"/>
                <w:b/>
                <w:bCs/>
                <w:color w:val="000000"/>
                <w:sz w:val="22"/>
                <w:szCs w:val="22"/>
                <w:lang w:eastAsia="lv-LV"/>
              </w:rPr>
            </w:pPr>
          </w:p>
        </w:tc>
        <w:tc>
          <w:tcPr>
            <w:tcW w:w="3830" w:type="pct"/>
            <w:shd w:val="clear" w:color="000000" w:fill="EBF1E9"/>
            <w:vAlign w:val="center"/>
            <w:hideMark/>
          </w:tcPr>
          <w:p w14:paraId="3D650CDB" w14:textId="133CB644" w:rsidR="00D2315B" w:rsidRPr="00D2315B" w:rsidRDefault="00D2315B" w:rsidP="00D2315B">
            <w:pPr>
              <w:jc w:val="center"/>
              <w:rPr>
                <w:rFonts w:eastAsia="Times New Roman" w:cs="Times New Roman"/>
                <w:noProof/>
                <w:color w:val="000000"/>
                <w:sz w:val="22"/>
                <w:szCs w:val="22"/>
                <w:lang w:eastAsia="lv-LV"/>
              </w:rPr>
            </w:pPr>
            <w:r w:rsidRPr="00D2315B">
              <w:rPr>
                <w:rFonts w:eastAsia="Times New Roman" w:cs="Times New Roman"/>
                <w:noProof/>
                <w:color w:val="000000"/>
                <w:sz w:val="22"/>
                <w:szCs w:val="22"/>
                <w:lang w:eastAsia="lv-LV"/>
              </w:rPr>
              <w:t>Saslimstība ar tuberkulozi</w:t>
            </w:r>
            <w:r w:rsidR="00871001">
              <w:rPr>
                <w:rFonts w:eastAsia="Times New Roman" w:cs="Times New Roman"/>
                <w:noProof/>
                <w:color w:val="000000"/>
                <w:sz w:val="22"/>
                <w:szCs w:val="22"/>
                <w:lang w:eastAsia="lv-LV"/>
              </w:rPr>
              <w:t xml:space="preserve"> </w:t>
            </w:r>
            <w:r w:rsidRPr="00D2315B">
              <w:rPr>
                <w:rFonts w:eastAsia="Times New Roman" w:cs="Times New Roman"/>
                <w:noProof/>
                <w:color w:val="000000"/>
                <w:sz w:val="22"/>
                <w:szCs w:val="22"/>
                <w:lang w:eastAsia="lv-LV"/>
              </w:rPr>
              <w:t>uz 100 000 iedzīvotājiem</w:t>
            </w:r>
            <w:r w:rsidR="00871001">
              <w:rPr>
                <w:rFonts w:eastAsia="Times New Roman" w:cs="Times New Roman"/>
                <w:noProof/>
                <w:color w:val="000000"/>
                <w:sz w:val="22"/>
                <w:szCs w:val="22"/>
                <w:lang w:eastAsia="lv-LV"/>
              </w:rPr>
              <w:t xml:space="preserve"> (skaits)</w:t>
            </w:r>
          </w:p>
        </w:tc>
      </w:tr>
      <w:tr w:rsidR="00D2315B" w:rsidRPr="00D2315B" w14:paraId="0AC923FD" w14:textId="77777777" w:rsidTr="00E20E29">
        <w:trPr>
          <w:trHeight w:val="180"/>
        </w:trPr>
        <w:tc>
          <w:tcPr>
            <w:tcW w:w="1170" w:type="pct"/>
            <w:vMerge/>
            <w:shd w:val="clear" w:color="auto" w:fill="A8D08D" w:themeFill="accent6" w:themeFillTint="99"/>
            <w:vAlign w:val="center"/>
            <w:hideMark/>
          </w:tcPr>
          <w:p w14:paraId="01CF422F" w14:textId="77777777" w:rsidR="00D2315B" w:rsidRPr="00D2315B" w:rsidRDefault="00D2315B" w:rsidP="00D2315B">
            <w:pPr>
              <w:rPr>
                <w:rFonts w:eastAsia="Times New Roman" w:cs="Times New Roman"/>
                <w:b/>
                <w:bCs/>
                <w:color w:val="000000"/>
                <w:sz w:val="22"/>
                <w:szCs w:val="22"/>
                <w:lang w:eastAsia="lv-LV"/>
              </w:rPr>
            </w:pPr>
          </w:p>
        </w:tc>
        <w:tc>
          <w:tcPr>
            <w:tcW w:w="3830" w:type="pct"/>
            <w:shd w:val="clear" w:color="000000" w:fill="EBF1E9"/>
            <w:vAlign w:val="center"/>
            <w:hideMark/>
          </w:tcPr>
          <w:p w14:paraId="072AAA05" w14:textId="08C8C5BB" w:rsidR="00D2315B" w:rsidRPr="00D2315B" w:rsidRDefault="00D2315B" w:rsidP="00D2315B">
            <w:pPr>
              <w:jc w:val="center"/>
              <w:rPr>
                <w:rFonts w:eastAsia="Times New Roman" w:cs="Times New Roman"/>
                <w:noProof/>
                <w:color w:val="000000"/>
                <w:sz w:val="22"/>
                <w:szCs w:val="22"/>
                <w:lang w:eastAsia="lv-LV"/>
              </w:rPr>
            </w:pPr>
            <w:r w:rsidRPr="00D2315B">
              <w:rPr>
                <w:rFonts w:eastAsia="Times New Roman" w:cs="Times New Roman"/>
                <w:noProof/>
                <w:color w:val="000000"/>
                <w:sz w:val="22"/>
                <w:szCs w:val="22"/>
                <w:lang w:eastAsia="lv-LV"/>
              </w:rPr>
              <w:t>AIDS gadījumi pret HIV gadījumiem</w:t>
            </w:r>
            <w:r w:rsidR="00871001">
              <w:rPr>
                <w:rFonts w:eastAsia="Times New Roman" w:cs="Times New Roman"/>
                <w:noProof/>
                <w:color w:val="000000"/>
                <w:sz w:val="22"/>
                <w:szCs w:val="22"/>
                <w:lang w:eastAsia="lv-LV"/>
              </w:rPr>
              <w:t xml:space="preserve"> (</w:t>
            </w:r>
            <w:r w:rsidRPr="00D2315B">
              <w:rPr>
                <w:rFonts w:eastAsia="Times New Roman" w:cs="Times New Roman"/>
                <w:noProof/>
                <w:color w:val="000000"/>
                <w:sz w:val="22"/>
                <w:szCs w:val="22"/>
                <w:lang w:eastAsia="lv-LV"/>
              </w:rPr>
              <w:t>%</w:t>
            </w:r>
            <w:r w:rsidR="00871001">
              <w:rPr>
                <w:rFonts w:eastAsia="Times New Roman" w:cs="Times New Roman"/>
                <w:noProof/>
                <w:color w:val="000000"/>
                <w:sz w:val="22"/>
                <w:szCs w:val="22"/>
                <w:lang w:eastAsia="lv-LV"/>
              </w:rPr>
              <w:t>)</w:t>
            </w:r>
          </w:p>
        </w:tc>
      </w:tr>
      <w:tr w:rsidR="00D2315B" w:rsidRPr="00D2315B" w14:paraId="655AAE6E" w14:textId="77777777" w:rsidTr="00E20E29">
        <w:trPr>
          <w:trHeight w:val="70"/>
        </w:trPr>
        <w:tc>
          <w:tcPr>
            <w:tcW w:w="1170" w:type="pct"/>
            <w:vMerge/>
            <w:shd w:val="clear" w:color="auto" w:fill="A8D08D" w:themeFill="accent6" w:themeFillTint="99"/>
            <w:vAlign w:val="center"/>
            <w:hideMark/>
          </w:tcPr>
          <w:p w14:paraId="617664C9" w14:textId="77777777" w:rsidR="00D2315B" w:rsidRPr="00D2315B" w:rsidRDefault="00D2315B" w:rsidP="00D2315B">
            <w:pPr>
              <w:rPr>
                <w:rFonts w:eastAsia="Times New Roman" w:cs="Times New Roman"/>
                <w:b/>
                <w:bCs/>
                <w:color w:val="000000"/>
                <w:sz w:val="22"/>
                <w:szCs w:val="22"/>
                <w:lang w:eastAsia="lv-LV"/>
              </w:rPr>
            </w:pPr>
          </w:p>
        </w:tc>
        <w:tc>
          <w:tcPr>
            <w:tcW w:w="3830" w:type="pct"/>
            <w:shd w:val="clear" w:color="000000" w:fill="EBF1E9"/>
            <w:vAlign w:val="center"/>
            <w:hideMark/>
          </w:tcPr>
          <w:p w14:paraId="16055355" w14:textId="1DAABB14" w:rsidR="00D2315B" w:rsidRPr="00D2315B" w:rsidRDefault="00D2315B" w:rsidP="00D2315B">
            <w:pPr>
              <w:jc w:val="center"/>
              <w:rPr>
                <w:rFonts w:eastAsia="Times New Roman" w:cs="Times New Roman"/>
                <w:noProof/>
                <w:color w:val="000000"/>
                <w:sz w:val="22"/>
                <w:szCs w:val="22"/>
                <w:lang w:eastAsia="lv-LV"/>
              </w:rPr>
            </w:pPr>
            <w:r w:rsidRPr="00D2315B">
              <w:rPr>
                <w:rFonts w:eastAsia="Times New Roman" w:cs="Times New Roman"/>
                <w:noProof/>
                <w:color w:val="000000"/>
                <w:sz w:val="22"/>
                <w:szCs w:val="22"/>
                <w:lang w:eastAsia="lv-LV"/>
              </w:rPr>
              <w:t>Nāves gadījum</w:t>
            </w:r>
            <w:r w:rsidR="00871001">
              <w:rPr>
                <w:rFonts w:eastAsia="Times New Roman" w:cs="Times New Roman"/>
                <w:noProof/>
                <w:color w:val="000000"/>
                <w:sz w:val="22"/>
                <w:szCs w:val="22"/>
                <w:lang w:eastAsia="lv-LV"/>
              </w:rPr>
              <w:t>i</w:t>
            </w:r>
            <w:r w:rsidRPr="00D2315B">
              <w:rPr>
                <w:rFonts w:eastAsia="Times New Roman" w:cs="Times New Roman"/>
                <w:noProof/>
                <w:color w:val="000000"/>
                <w:sz w:val="22"/>
                <w:szCs w:val="22"/>
                <w:lang w:eastAsia="lv-LV"/>
              </w:rPr>
              <w:t xml:space="preserve"> no HIV infekcijas</w:t>
            </w:r>
            <w:r w:rsidR="00871001">
              <w:rPr>
                <w:rFonts w:eastAsia="Times New Roman" w:cs="Times New Roman"/>
                <w:noProof/>
                <w:color w:val="000000"/>
                <w:sz w:val="22"/>
                <w:szCs w:val="22"/>
                <w:lang w:eastAsia="lv-LV"/>
              </w:rPr>
              <w:t xml:space="preserve"> (skaits)</w:t>
            </w:r>
          </w:p>
        </w:tc>
      </w:tr>
      <w:tr w:rsidR="00D2315B" w:rsidRPr="00D2315B" w14:paraId="1302C6D5" w14:textId="77777777" w:rsidTr="00E20E29">
        <w:trPr>
          <w:trHeight w:val="88"/>
        </w:trPr>
        <w:tc>
          <w:tcPr>
            <w:tcW w:w="1170" w:type="pct"/>
            <w:vMerge/>
            <w:shd w:val="clear" w:color="auto" w:fill="A8D08D" w:themeFill="accent6" w:themeFillTint="99"/>
            <w:vAlign w:val="center"/>
            <w:hideMark/>
          </w:tcPr>
          <w:p w14:paraId="62E2A7E5" w14:textId="77777777" w:rsidR="00D2315B" w:rsidRPr="00D2315B" w:rsidRDefault="00D2315B" w:rsidP="00D2315B">
            <w:pPr>
              <w:rPr>
                <w:rFonts w:eastAsia="Times New Roman" w:cs="Times New Roman"/>
                <w:b/>
                <w:bCs/>
                <w:color w:val="000000"/>
                <w:sz w:val="22"/>
                <w:szCs w:val="22"/>
                <w:lang w:eastAsia="lv-LV"/>
              </w:rPr>
            </w:pPr>
          </w:p>
        </w:tc>
        <w:tc>
          <w:tcPr>
            <w:tcW w:w="3830" w:type="pct"/>
            <w:shd w:val="clear" w:color="000000" w:fill="EBF1E9"/>
            <w:vAlign w:val="center"/>
            <w:hideMark/>
          </w:tcPr>
          <w:p w14:paraId="2C4FF8A6" w14:textId="4D358756" w:rsidR="00D2315B" w:rsidRPr="00D2315B" w:rsidRDefault="00D2315B" w:rsidP="00D2315B">
            <w:pPr>
              <w:jc w:val="center"/>
              <w:rPr>
                <w:rFonts w:eastAsia="Times New Roman" w:cs="Times New Roman"/>
                <w:noProof/>
                <w:color w:val="000000"/>
                <w:sz w:val="22"/>
                <w:szCs w:val="22"/>
                <w:lang w:eastAsia="lv-LV"/>
              </w:rPr>
            </w:pPr>
            <w:r w:rsidRPr="00D2315B">
              <w:rPr>
                <w:rFonts w:eastAsia="Times New Roman" w:cs="Times New Roman"/>
                <w:noProof/>
                <w:color w:val="000000"/>
                <w:sz w:val="22"/>
                <w:szCs w:val="22"/>
                <w:lang w:eastAsia="lv-LV"/>
              </w:rPr>
              <w:t>Jaunatklāts hronisks C hepatīts</w:t>
            </w:r>
            <w:r w:rsidR="00871001">
              <w:rPr>
                <w:rFonts w:eastAsia="Times New Roman" w:cs="Times New Roman"/>
                <w:noProof/>
                <w:color w:val="000000"/>
                <w:sz w:val="22"/>
                <w:szCs w:val="22"/>
                <w:lang w:eastAsia="lv-LV"/>
              </w:rPr>
              <w:t xml:space="preserve"> </w:t>
            </w:r>
            <w:r w:rsidRPr="00D2315B">
              <w:rPr>
                <w:rFonts w:eastAsia="Times New Roman" w:cs="Times New Roman"/>
                <w:noProof/>
                <w:color w:val="000000"/>
                <w:sz w:val="22"/>
                <w:szCs w:val="22"/>
                <w:lang w:eastAsia="lv-LV"/>
              </w:rPr>
              <w:t>uz 100</w:t>
            </w:r>
            <w:r w:rsidR="00871001">
              <w:rPr>
                <w:rFonts w:eastAsia="Times New Roman" w:cs="Times New Roman"/>
                <w:noProof/>
                <w:color w:val="000000"/>
                <w:sz w:val="22"/>
                <w:szCs w:val="22"/>
                <w:lang w:eastAsia="lv-LV"/>
              </w:rPr>
              <w:t xml:space="preserve"> </w:t>
            </w:r>
            <w:r w:rsidRPr="00D2315B">
              <w:rPr>
                <w:rFonts w:eastAsia="Times New Roman" w:cs="Times New Roman"/>
                <w:noProof/>
                <w:color w:val="000000"/>
                <w:sz w:val="22"/>
                <w:szCs w:val="22"/>
                <w:lang w:eastAsia="lv-LV"/>
              </w:rPr>
              <w:t>000 iedzīvotājiem</w:t>
            </w:r>
            <w:r w:rsidR="00871001">
              <w:rPr>
                <w:rFonts w:eastAsia="Times New Roman" w:cs="Times New Roman"/>
                <w:noProof/>
                <w:color w:val="000000"/>
                <w:sz w:val="22"/>
                <w:szCs w:val="22"/>
                <w:lang w:eastAsia="lv-LV"/>
              </w:rPr>
              <w:t xml:space="preserve"> (skaits)</w:t>
            </w:r>
          </w:p>
        </w:tc>
      </w:tr>
      <w:tr w:rsidR="00D2315B" w:rsidRPr="00D2315B" w14:paraId="67E3EFDA" w14:textId="77777777" w:rsidTr="00E20E29">
        <w:trPr>
          <w:trHeight w:val="247"/>
        </w:trPr>
        <w:tc>
          <w:tcPr>
            <w:tcW w:w="1170" w:type="pct"/>
            <w:vMerge w:val="restart"/>
            <w:shd w:val="clear" w:color="auto" w:fill="A8D08D" w:themeFill="accent6" w:themeFillTint="99"/>
            <w:vAlign w:val="center"/>
            <w:hideMark/>
          </w:tcPr>
          <w:p w14:paraId="6C929AA4" w14:textId="77777777" w:rsidR="00D2315B" w:rsidRPr="00D2315B" w:rsidRDefault="00D2315B" w:rsidP="00D2315B">
            <w:pPr>
              <w:jc w:val="center"/>
              <w:rPr>
                <w:rFonts w:eastAsia="Times New Roman" w:cs="Times New Roman"/>
                <w:b/>
                <w:bCs/>
                <w:color w:val="000000"/>
                <w:sz w:val="22"/>
                <w:szCs w:val="22"/>
                <w:lang w:eastAsia="lv-LV"/>
              </w:rPr>
            </w:pPr>
            <w:r w:rsidRPr="00D2315B">
              <w:rPr>
                <w:rFonts w:eastAsia="Times New Roman" w:cs="Times New Roman"/>
                <w:b/>
                <w:bCs/>
                <w:color w:val="000000"/>
                <w:sz w:val="22"/>
                <w:szCs w:val="22"/>
                <w:lang w:eastAsia="lv-LV"/>
              </w:rPr>
              <w:t>Sabiedrības veselības joma</w:t>
            </w:r>
          </w:p>
        </w:tc>
        <w:tc>
          <w:tcPr>
            <w:tcW w:w="3830" w:type="pct"/>
            <w:shd w:val="clear" w:color="000000" w:fill="EBF1E9"/>
            <w:vAlign w:val="center"/>
            <w:hideMark/>
          </w:tcPr>
          <w:p w14:paraId="4F43676F" w14:textId="3D242B1E" w:rsidR="00D2315B" w:rsidRPr="00D2315B" w:rsidRDefault="00D2315B" w:rsidP="00D2315B">
            <w:pPr>
              <w:jc w:val="center"/>
              <w:rPr>
                <w:rFonts w:eastAsia="Times New Roman" w:cs="Times New Roman"/>
                <w:noProof/>
                <w:color w:val="000000"/>
                <w:sz w:val="22"/>
                <w:szCs w:val="22"/>
                <w:lang w:eastAsia="lv-LV"/>
              </w:rPr>
            </w:pPr>
            <w:r w:rsidRPr="00D2315B">
              <w:rPr>
                <w:rFonts w:eastAsia="Times New Roman" w:cs="Times New Roman"/>
                <w:noProof/>
                <w:color w:val="000000"/>
                <w:sz w:val="22"/>
                <w:szCs w:val="22"/>
                <w:lang w:eastAsia="lv-LV"/>
              </w:rPr>
              <w:t>Reģistrētā absolūtā alkohola patēriņš uz vienu 15 gadus vecu un vecāku iedzīvotāju, neieskaitot tūristu absolūtā alkohola patēriņu</w:t>
            </w:r>
            <w:r w:rsidR="00871001">
              <w:rPr>
                <w:rFonts w:eastAsia="Times New Roman" w:cs="Times New Roman"/>
                <w:noProof/>
                <w:color w:val="000000"/>
                <w:sz w:val="22"/>
                <w:szCs w:val="22"/>
                <w:lang w:eastAsia="lv-LV"/>
              </w:rPr>
              <w:t xml:space="preserve"> (litri)</w:t>
            </w:r>
          </w:p>
        </w:tc>
      </w:tr>
      <w:tr w:rsidR="00D2315B" w:rsidRPr="00D2315B" w14:paraId="686BE6F0" w14:textId="77777777" w:rsidTr="00E20E29">
        <w:trPr>
          <w:trHeight w:val="156"/>
        </w:trPr>
        <w:tc>
          <w:tcPr>
            <w:tcW w:w="1170" w:type="pct"/>
            <w:vMerge/>
            <w:shd w:val="clear" w:color="auto" w:fill="A8D08D" w:themeFill="accent6" w:themeFillTint="99"/>
            <w:vAlign w:val="center"/>
            <w:hideMark/>
          </w:tcPr>
          <w:p w14:paraId="2E7578EE" w14:textId="77777777" w:rsidR="00D2315B" w:rsidRPr="00D2315B" w:rsidRDefault="00D2315B" w:rsidP="00D2315B">
            <w:pPr>
              <w:rPr>
                <w:rFonts w:eastAsia="Times New Roman" w:cs="Times New Roman"/>
                <w:b/>
                <w:bCs/>
                <w:color w:val="000000"/>
                <w:sz w:val="22"/>
                <w:szCs w:val="22"/>
                <w:lang w:eastAsia="lv-LV"/>
              </w:rPr>
            </w:pPr>
          </w:p>
        </w:tc>
        <w:tc>
          <w:tcPr>
            <w:tcW w:w="3830" w:type="pct"/>
            <w:shd w:val="clear" w:color="000000" w:fill="EBF1E9"/>
            <w:vAlign w:val="center"/>
            <w:hideMark/>
          </w:tcPr>
          <w:p w14:paraId="6BAD0A2A" w14:textId="2C9B6FA0" w:rsidR="00D2315B" w:rsidRPr="00D2315B" w:rsidRDefault="00D2315B" w:rsidP="00D2315B">
            <w:pPr>
              <w:jc w:val="center"/>
              <w:rPr>
                <w:rFonts w:eastAsia="Times New Roman" w:cs="Times New Roman"/>
                <w:noProof/>
                <w:color w:val="000000"/>
                <w:sz w:val="22"/>
                <w:szCs w:val="22"/>
                <w:lang w:eastAsia="lv-LV"/>
              </w:rPr>
            </w:pPr>
            <w:r w:rsidRPr="00D2315B">
              <w:rPr>
                <w:rFonts w:eastAsia="Times New Roman" w:cs="Times New Roman"/>
                <w:noProof/>
                <w:color w:val="000000"/>
                <w:sz w:val="22"/>
                <w:szCs w:val="22"/>
                <w:lang w:eastAsia="lv-LV"/>
              </w:rPr>
              <w:t>Regulāri (vismaz reizi nedēļā) smēķējošu 15-gadīgu skolēnu īpatsvars</w:t>
            </w:r>
            <w:r w:rsidR="00871001">
              <w:rPr>
                <w:rFonts w:eastAsia="Times New Roman" w:cs="Times New Roman"/>
                <w:noProof/>
                <w:color w:val="000000"/>
                <w:sz w:val="22"/>
                <w:szCs w:val="22"/>
                <w:lang w:eastAsia="lv-LV"/>
              </w:rPr>
              <w:t xml:space="preserve"> (%)</w:t>
            </w:r>
          </w:p>
        </w:tc>
      </w:tr>
      <w:tr w:rsidR="00D2315B" w:rsidRPr="00D2315B" w14:paraId="531FCD43" w14:textId="77777777" w:rsidTr="00E20E29">
        <w:trPr>
          <w:trHeight w:val="173"/>
        </w:trPr>
        <w:tc>
          <w:tcPr>
            <w:tcW w:w="1170" w:type="pct"/>
            <w:vMerge/>
            <w:shd w:val="clear" w:color="auto" w:fill="A8D08D" w:themeFill="accent6" w:themeFillTint="99"/>
            <w:vAlign w:val="center"/>
            <w:hideMark/>
          </w:tcPr>
          <w:p w14:paraId="0E8784CB" w14:textId="77777777" w:rsidR="00D2315B" w:rsidRPr="00D2315B" w:rsidRDefault="00D2315B" w:rsidP="00D2315B">
            <w:pPr>
              <w:rPr>
                <w:rFonts w:eastAsia="Times New Roman" w:cs="Times New Roman"/>
                <w:b/>
                <w:bCs/>
                <w:color w:val="000000"/>
                <w:sz w:val="22"/>
                <w:szCs w:val="22"/>
                <w:lang w:eastAsia="lv-LV"/>
              </w:rPr>
            </w:pPr>
          </w:p>
        </w:tc>
        <w:tc>
          <w:tcPr>
            <w:tcW w:w="3830" w:type="pct"/>
            <w:shd w:val="clear" w:color="000000" w:fill="EBF1E9"/>
            <w:vAlign w:val="center"/>
            <w:hideMark/>
          </w:tcPr>
          <w:p w14:paraId="7FFE2008" w14:textId="0220F048" w:rsidR="00D2315B" w:rsidRPr="00D2315B" w:rsidRDefault="00D2315B" w:rsidP="00D2315B">
            <w:pPr>
              <w:jc w:val="center"/>
              <w:rPr>
                <w:rFonts w:eastAsia="Times New Roman" w:cs="Times New Roman"/>
                <w:noProof/>
                <w:color w:val="000000"/>
                <w:sz w:val="22"/>
                <w:szCs w:val="22"/>
                <w:lang w:eastAsia="lv-LV"/>
              </w:rPr>
            </w:pPr>
            <w:r w:rsidRPr="00D2315B">
              <w:rPr>
                <w:rFonts w:eastAsia="Times New Roman" w:cs="Times New Roman"/>
                <w:noProof/>
                <w:color w:val="000000"/>
                <w:sz w:val="22"/>
                <w:szCs w:val="22"/>
                <w:lang w:eastAsia="lv-LV"/>
              </w:rPr>
              <w:t>Pusaudžu (11, 13 un 15 g.v.) īpatsvars, kuri katru dienu nodarbojas ar fiziskajām aktivitātēm vismaz stundu dienā</w:t>
            </w:r>
            <w:r w:rsidR="00871001">
              <w:rPr>
                <w:rFonts w:eastAsia="Times New Roman" w:cs="Times New Roman"/>
                <w:noProof/>
                <w:color w:val="000000"/>
                <w:sz w:val="22"/>
                <w:szCs w:val="22"/>
                <w:lang w:eastAsia="lv-LV"/>
              </w:rPr>
              <w:t xml:space="preserve"> (</w:t>
            </w:r>
            <w:r w:rsidRPr="00D2315B">
              <w:rPr>
                <w:rFonts w:eastAsia="Times New Roman" w:cs="Times New Roman"/>
                <w:noProof/>
                <w:color w:val="000000"/>
                <w:sz w:val="22"/>
                <w:szCs w:val="22"/>
                <w:lang w:eastAsia="lv-LV"/>
              </w:rPr>
              <w:t>%</w:t>
            </w:r>
            <w:r w:rsidR="00871001">
              <w:rPr>
                <w:rFonts w:eastAsia="Times New Roman" w:cs="Times New Roman"/>
                <w:noProof/>
                <w:color w:val="000000"/>
                <w:sz w:val="22"/>
                <w:szCs w:val="22"/>
                <w:lang w:eastAsia="lv-LV"/>
              </w:rPr>
              <w:t>)</w:t>
            </w:r>
          </w:p>
        </w:tc>
      </w:tr>
      <w:tr w:rsidR="00D2315B" w:rsidRPr="00D2315B" w14:paraId="0FD4353A" w14:textId="77777777" w:rsidTr="00E20E29">
        <w:trPr>
          <w:trHeight w:val="81"/>
        </w:trPr>
        <w:tc>
          <w:tcPr>
            <w:tcW w:w="1170" w:type="pct"/>
            <w:vMerge w:val="restart"/>
            <w:shd w:val="clear" w:color="auto" w:fill="A8D08D" w:themeFill="accent6" w:themeFillTint="99"/>
            <w:vAlign w:val="center"/>
            <w:hideMark/>
          </w:tcPr>
          <w:p w14:paraId="06127503" w14:textId="77777777" w:rsidR="00D2315B" w:rsidRPr="00D2315B" w:rsidRDefault="00D2315B" w:rsidP="00D2315B">
            <w:pPr>
              <w:jc w:val="center"/>
              <w:rPr>
                <w:rFonts w:eastAsia="Times New Roman" w:cs="Times New Roman"/>
                <w:b/>
                <w:bCs/>
                <w:color w:val="000000"/>
                <w:sz w:val="22"/>
                <w:szCs w:val="22"/>
                <w:lang w:eastAsia="lv-LV"/>
              </w:rPr>
            </w:pPr>
            <w:r w:rsidRPr="00D2315B">
              <w:rPr>
                <w:rFonts w:eastAsia="Times New Roman" w:cs="Times New Roman"/>
                <w:b/>
                <w:bCs/>
                <w:color w:val="000000"/>
                <w:sz w:val="22"/>
                <w:szCs w:val="22"/>
                <w:lang w:eastAsia="lv-LV"/>
              </w:rPr>
              <w:t>Farmācijas joma</w:t>
            </w:r>
          </w:p>
        </w:tc>
        <w:tc>
          <w:tcPr>
            <w:tcW w:w="3830" w:type="pct"/>
            <w:shd w:val="clear" w:color="000000" w:fill="EBF1E9"/>
            <w:vAlign w:val="center"/>
            <w:hideMark/>
          </w:tcPr>
          <w:p w14:paraId="0D1F9643" w14:textId="106908C3" w:rsidR="00D2315B" w:rsidRPr="00D2315B" w:rsidRDefault="00D2315B" w:rsidP="00D2315B">
            <w:pPr>
              <w:jc w:val="center"/>
              <w:rPr>
                <w:rFonts w:eastAsia="Times New Roman" w:cs="Times New Roman"/>
                <w:noProof/>
                <w:color w:val="000000"/>
                <w:sz w:val="22"/>
                <w:szCs w:val="22"/>
                <w:lang w:eastAsia="lv-LV"/>
              </w:rPr>
            </w:pPr>
            <w:r w:rsidRPr="00D2315B">
              <w:rPr>
                <w:rFonts w:eastAsia="Times New Roman" w:cs="Times New Roman"/>
                <w:noProof/>
                <w:color w:val="000000"/>
                <w:sz w:val="22"/>
                <w:szCs w:val="22"/>
                <w:lang w:eastAsia="lv-LV"/>
              </w:rPr>
              <w:t>Potenciāli zaudētie mūža gadi</w:t>
            </w:r>
            <w:r w:rsidR="00871001">
              <w:rPr>
                <w:rFonts w:eastAsia="Times New Roman" w:cs="Times New Roman"/>
                <w:noProof/>
                <w:color w:val="000000"/>
                <w:sz w:val="22"/>
                <w:szCs w:val="22"/>
                <w:lang w:eastAsia="lv-LV"/>
              </w:rPr>
              <w:t xml:space="preserve"> (skaits)</w:t>
            </w:r>
          </w:p>
        </w:tc>
      </w:tr>
      <w:tr w:rsidR="00D2315B" w:rsidRPr="00D2315B" w14:paraId="6B151CD6" w14:textId="77777777" w:rsidTr="00E20E29">
        <w:trPr>
          <w:trHeight w:val="70"/>
        </w:trPr>
        <w:tc>
          <w:tcPr>
            <w:tcW w:w="1170" w:type="pct"/>
            <w:vMerge/>
            <w:shd w:val="clear" w:color="auto" w:fill="A8D08D" w:themeFill="accent6" w:themeFillTint="99"/>
            <w:vAlign w:val="center"/>
            <w:hideMark/>
          </w:tcPr>
          <w:p w14:paraId="5B0A9DFA" w14:textId="77777777" w:rsidR="00D2315B" w:rsidRPr="00D2315B" w:rsidRDefault="00D2315B" w:rsidP="00D2315B">
            <w:pPr>
              <w:rPr>
                <w:rFonts w:eastAsia="Times New Roman" w:cs="Times New Roman"/>
                <w:b/>
                <w:bCs/>
                <w:color w:val="000000"/>
                <w:sz w:val="22"/>
                <w:szCs w:val="22"/>
                <w:lang w:eastAsia="lv-LV"/>
              </w:rPr>
            </w:pPr>
          </w:p>
        </w:tc>
        <w:tc>
          <w:tcPr>
            <w:tcW w:w="3830" w:type="pct"/>
            <w:shd w:val="clear" w:color="000000" w:fill="EBF1E9"/>
            <w:vAlign w:val="center"/>
            <w:hideMark/>
          </w:tcPr>
          <w:p w14:paraId="415B6A98" w14:textId="6BE52763" w:rsidR="00D2315B" w:rsidRPr="00D2315B" w:rsidRDefault="00D2315B" w:rsidP="00D2315B">
            <w:pPr>
              <w:jc w:val="center"/>
              <w:rPr>
                <w:rFonts w:eastAsia="Times New Roman" w:cs="Times New Roman"/>
                <w:noProof/>
                <w:color w:val="000000"/>
                <w:sz w:val="22"/>
                <w:szCs w:val="22"/>
                <w:lang w:eastAsia="lv-LV"/>
              </w:rPr>
            </w:pPr>
            <w:r w:rsidRPr="00D2315B">
              <w:rPr>
                <w:rFonts w:eastAsia="Times New Roman" w:cs="Times New Roman"/>
                <w:noProof/>
                <w:color w:val="000000"/>
                <w:sz w:val="22"/>
                <w:szCs w:val="22"/>
                <w:lang w:eastAsia="lv-LV"/>
              </w:rPr>
              <w:t>Kompensējamās zāles saņēmušie unikālie pacienti</w:t>
            </w:r>
            <w:r w:rsidR="00871001">
              <w:rPr>
                <w:rFonts w:eastAsia="Times New Roman" w:cs="Times New Roman"/>
                <w:noProof/>
                <w:color w:val="000000"/>
                <w:sz w:val="22"/>
                <w:szCs w:val="22"/>
                <w:lang w:eastAsia="lv-LV"/>
              </w:rPr>
              <w:t xml:space="preserve"> (</w:t>
            </w:r>
            <w:r w:rsidRPr="00D2315B">
              <w:rPr>
                <w:rFonts w:eastAsia="Times New Roman" w:cs="Times New Roman"/>
                <w:noProof/>
                <w:color w:val="000000"/>
                <w:sz w:val="22"/>
                <w:szCs w:val="22"/>
                <w:lang w:eastAsia="lv-LV"/>
              </w:rPr>
              <w:t>skaits</w:t>
            </w:r>
            <w:r w:rsidR="00871001">
              <w:rPr>
                <w:rFonts w:eastAsia="Times New Roman" w:cs="Times New Roman"/>
                <w:noProof/>
                <w:color w:val="000000"/>
                <w:sz w:val="22"/>
                <w:szCs w:val="22"/>
                <w:lang w:eastAsia="lv-LV"/>
              </w:rPr>
              <w:t>)</w:t>
            </w:r>
          </w:p>
        </w:tc>
      </w:tr>
      <w:tr w:rsidR="00D2315B" w:rsidRPr="00D2315B" w14:paraId="789C81EE" w14:textId="77777777" w:rsidTr="00E20E29">
        <w:trPr>
          <w:trHeight w:val="70"/>
        </w:trPr>
        <w:tc>
          <w:tcPr>
            <w:tcW w:w="1170" w:type="pct"/>
            <w:vMerge w:val="restart"/>
            <w:shd w:val="clear" w:color="auto" w:fill="A8D08D" w:themeFill="accent6" w:themeFillTint="99"/>
            <w:vAlign w:val="center"/>
            <w:hideMark/>
          </w:tcPr>
          <w:p w14:paraId="240032DB" w14:textId="77777777" w:rsidR="00D2315B" w:rsidRPr="00D2315B" w:rsidRDefault="00D2315B" w:rsidP="00D2315B">
            <w:pPr>
              <w:jc w:val="center"/>
              <w:rPr>
                <w:rFonts w:eastAsia="Times New Roman" w:cs="Times New Roman"/>
                <w:b/>
                <w:bCs/>
                <w:color w:val="000000"/>
                <w:sz w:val="22"/>
                <w:szCs w:val="22"/>
                <w:lang w:eastAsia="lv-LV"/>
              </w:rPr>
            </w:pPr>
            <w:r w:rsidRPr="00D2315B">
              <w:rPr>
                <w:rFonts w:eastAsia="Times New Roman" w:cs="Times New Roman"/>
                <w:b/>
                <w:bCs/>
                <w:color w:val="000000"/>
                <w:sz w:val="22"/>
                <w:szCs w:val="22"/>
                <w:lang w:eastAsia="lv-LV"/>
              </w:rPr>
              <w:t>Nozaru vadība un politikas plānošana</w:t>
            </w:r>
          </w:p>
        </w:tc>
        <w:tc>
          <w:tcPr>
            <w:tcW w:w="3830" w:type="pct"/>
            <w:shd w:val="clear" w:color="000000" w:fill="EBF1E9"/>
            <w:vAlign w:val="center"/>
            <w:hideMark/>
          </w:tcPr>
          <w:p w14:paraId="36ABD1CD" w14:textId="3E5D6B34" w:rsidR="00D2315B" w:rsidRPr="00D2315B" w:rsidRDefault="00D2315B" w:rsidP="00D2315B">
            <w:pPr>
              <w:jc w:val="center"/>
              <w:rPr>
                <w:rFonts w:eastAsia="Times New Roman" w:cs="Times New Roman"/>
                <w:noProof/>
                <w:color w:val="000000"/>
                <w:sz w:val="22"/>
                <w:szCs w:val="22"/>
                <w:lang w:eastAsia="lv-LV"/>
              </w:rPr>
            </w:pPr>
            <w:r w:rsidRPr="00D2315B">
              <w:rPr>
                <w:rFonts w:eastAsia="Times New Roman" w:cs="Times New Roman"/>
                <w:noProof/>
                <w:color w:val="000000"/>
                <w:sz w:val="22"/>
                <w:szCs w:val="22"/>
                <w:lang w:eastAsia="lv-LV"/>
              </w:rPr>
              <w:t xml:space="preserve">Jaundzimušo vidējais paredzamais mūža ilgums vīriešiem </w:t>
            </w:r>
            <w:r w:rsidR="00B70D05">
              <w:rPr>
                <w:rFonts w:eastAsia="Times New Roman" w:cs="Times New Roman"/>
                <w:noProof/>
                <w:color w:val="000000"/>
                <w:sz w:val="22"/>
                <w:szCs w:val="22"/>
                <w:lang w:eastAsia="lv-LV"/>
              </w:rPr>
              <w:t>(</w:t>
            </w:r>
            <w:r w:rsidRPr="00D2315B">
              <w:rPr>
                <w:rFonts w:eastAsia="Times New Roman" w:cs="Times New Roman"/>
                <w:noProof/>
                <w:color w:val="000000"/>
                <w:sz w:val="22"/>
                <w:szCs w:val="22"/>
                <w:lang w:eastAsia="lv-LV"/>
              </w:rPr>
              <w:t>gad</w:t>
            </w:r>
            <w:r w:rsidR="00B70D05">
              <w:rPr>
                <w:rFonts w:eastAsia="Times New Roman" w:cs="Times New Roman"/>
                <w:noProof/>
                <w:color w:val="000000"/>
                <w:sz w:val="22"/>
                <w:szCs w:val="22"/>
                <w:lang w:eastAsia="lv-LV"/>
              </w:rPr>
              <w:t>i)</w:t>
            </w:r>
          </w:p>
        </w:tc>
      </w:tr>
      <w:tr w:rsidR="00D2315B" w:rsidRPr="00D2315B" w14:paraId="17140F22" w14:textId="77777777" w:rsidTr="00E20E29">
        <w:trPr>
          <w:trHeight w:val="70"/>
        </w:trPr>
        <w:tc>
          <w:tcPr>
            <w:tcW w:w="1170" w:type="pct"/>
            <w:vMerge/>
            <w:shd w:val="clear" w:color="auto" w:fill="A8D08D" w:themeFill="accent6" w:themeFillTint="99"/>
            <w:vAlign w:val="center"/>
            <w:hideMark/>
          </w:tcPr>
          <w:p w14:paraId="27318D36" w14:textId="77777777" w:rsidR="00D2315B" w:rsidRPr="00D2315B" w:rsidRDefault="00D2315B" w:rsidP="00D2315B">
            <w:pPr>
              <w:rPr>
                <w:rFonts w:eastAsia="Times New Roman" w:cs="Times New Roman"/>
                <w:b/>
                <w:bCs/>
                <w:color w:val="000000"/>
                <w:sz w:val="22"/>
                <w:szCs w:val="22"/>
                <w:lang w:eastAsia="lv-LV"/>
              </w:rPr>
            </w:pPr>
          </w:p>
        </w:tc>
        <w:tc>
          <w:tcPr>
            <w:tcW w:w="3830" w:type="pct"/>
            <w:shd w:val="clear" w:color="000000" w:fill="EBF1E9"/>
            <w:vAlign w:val="center"/>
            <w:hideMark/>
          </w:tcPr>
          <w:p w14:paraId="33030CF0" w14:textId="421C8947" w:rsidR="00D2315B" w:rsidRPr="00D2315B" w:rsidRDefault="00D2315B" w:rsidP="00D2315B">
            <w:pPr>
              <w:jc w:val="center"/>
              <w:rPr>
                <w:rFonts w:eastAsia="Times New Roman" w:cs="Times New Roman"/>
                <w:noProof/>
                <w:color w:val="000000"/>
                <w:sz w:val="22"/>
                <w:szCs w:val="22"/>
                <w:lang w:eastAsia="lv-LV"/>
              </w:rPr>
            </w:pPr>
            <w:r w:rsidRPr="00D2315B">
              <w:rPr>
                <w:rFonts w:eastAsia="Times New Roman" w:cs="Times New Roman"/>
                <w:noProof/>
                <w:color w:val="000000"/>
                <w:sz w:val="22"/>
                <w:szCs w:val="22"/>
                <w:lang w:eastAsia="lv-LV"/>
              </w:rPr>
              <w:t xml:space="preserve">Jaundzimušo vidējais paredzamais mūža ilgums sievietēm </w:t>
            </w:r>
            <w:r w:rsidR="00B70D05">
              <w:rPr>
                <w:rFonts w:eastAsia="Times New Roman" w:cs="Times New Roman"/>
                <w:noProof/>
                <w:color w:val="000000"/>
                <w:sz w:val="22"/>
                <w:szCs w:val="22"/>
                <w:lang w:eastAsia="lv-LV"/>
              </w:rPr>
              <w:t>(</w:t>
            </w:r>
            <w:r w:rsidRPr="00D2315B">
              <w:rPr>
                <w:rFonts w:eastAsia="Times New Roman" w:cs="Times New Roman"/>
                <w:noProof/>
                <w:color w:val="000000"/>
                <w:sz w:val="22"/>
                <w:szCs w:val="22"/>
                <w:lang w:eastAsia="lv-LV"/>
              </w:rPr>
              <w:t>gad</w:t>
            </w:r>
            <w:r w:rsidR="00B70D05">
              <w:rPr>
                <w:rFonts w:eastAsia="Times New Roman" w:cs="Times New Roman"/>
                <w:noProof/>
                <w:color w:val="000000"/>
                <w:sz w:val="22"/>
                <w:szCs w:val="22"/>
                <w:lang w:eastAsia="lv-LV"/>
              </w:rPr>
              <w:t>i)</w:t>
            </w:r>
          </w:p>
        </w:tc>
      </w:tr>
      <w:tr w:rsidR="00D2315B" w:rsidRPr="00D2315B" w14:paraId="599393FB" w14:textId="77777777" w:rsidTr="00E20E29">
        <w:trPr>
          <w:trHeight w:val="167"/>
        </w:trPr>
        <w:tc>
          <w:tcPr>
            <w:tcW w:w="1170" w:type="pct"/>
            <w:vMerge/>
            <w:shd w:val="clear" w:color="auto" w:fill="A8D08D" w:themeFill="accent6" w:themeFillTint="99"/>
            <w:vAlign w:val="center"/>
            <w:hideMark/>
          </w:tcPr>
          <w:p w14:paraId="77954AD0" w14:textId="77777777" w:rsidR="00D2315B" w:rsidRPr="00D2315B" w:rsidRDefault="00D2315B" w:rsidP="00D2315B">
            <w:pPr>
              <w:rPr>
                <w:rFonts w:eastAsia="Times New Roman" w:cs="Times New Roman"/>
                <w:b/>
                <w:bCs/>
                <w:color w:val="000000"/>
                <w:sz w:val="22"/>
                <w:szCs w:val="22"/>
                <w:lang w:eastAsia="lv-LV"/>
              </w:rPr>
            </w:pPr>
          </w:p>
        </w:tc>
        <w:tc>
          <w:tcPr>
            <w:tcW w:w="3830" w:type="pct"/>
            <w:shd w:val="clear" w:color="000000" w:fill="EBF1E9"/>
            <w:vAlign w:val="center"/>
            <w:hideMark/>
          </w:tcPr>
          <w:p w14:paraId="356407FF" w14:textId="59586058" w:rsidR="00D2315B" w:rsidRPr="00D2315B" w:rsidRDefault="00D2315B" w:rsidP="00D2315B">
            <w:pPr>
              <w:jc w:val="center"/>
              <w:rPr>
                <w:rFonts w:eastAsia="Times New Roman" w:cs="Times New Roman"/>
                <w:noProof/>
                <w:color w:val="000000"/>
                <w:sz w:val="22"/>
                <w:szCs w:val="22"/>
                <w:lang w:eastAsia="lv-LV"/>
              </w:rPr>
            </w:pPr>
            <w:r w:rsidRPr="00D2315B">
              <w:rPr>
                <w:rFonts w:eastAsia="Times New Roman" w:cs="Times New Roman"/>
                <w:noProof/>
                <w:color w:val="000000"/>
                <w:sz w:val="22"/>
                <w:szCs w:val="22"/>
                <w:lang w:eastAsia="lv-LV"/>
              </w:rPr>
              <w:t>Veselīgi nodzīvoti mūža gadi vīriešiem</w:t>
            </w:r>
            <w:r w:rsidR="00B70D05">
              <w:rPr>
                <w:rFonts w:eastAsia="Times New Roman" w:cs="Times New Roman"/>
                <w:noProof/>
                <w:color w:val="000000"/>
                <w:sz w:val="22"/>
                <w:szCs w:val="22"/>
                <w:lang w:eastAsia="lv-LV"/>
              </w:rPr>
              <w:t xml:space="preserve"> (</w:t>
            </w:r>
            <w:r w:rsidRPr="00D2315B">
              <w:rPr>
                <w:rFonts w:eastAsia="Times New Roman" w:cs="Times New Roman"/>
                <w:noProof/>
                <w:color w:val="000000"/>
                <w:sz w:val="22"/>
                <w:szCs w:val="22"/>
                <w:lang w:eastAsia="lv-LV"/>
              </w:rPr>
              <w:t>vidējie gadi</w:t>
            </w:r>
            <w:r w:rsidR="00B70D05">
              <w:rPr>
                <w:rFonts w:eastAsia="Times New Roman" w:cs="Times New Roman"/>
                <w:noProof/>
                <w:color w:val="000000"/>
                <w:sz w:val="22"/>
                <w:szCs w:val="22"/>
                <w:lang w:eastAsia="lv-LV"/>
              </w:rPr>
              <w:t>)</w:t>
            </w:r>
          </w:p>
        </w:tc>
      </w:tr>
      <w:tr w:rsidR="00D2315B" w:rsidRPr="00D2315B" w14:paraId="7B4540B4" w14:textId="77777777" w:rsidTr="00E20E29">
        <w:trPr>
          <w:trHeight w:val="70"/>
        </w:trPr>
        <w:tc>
          <w:tcPr>
            <w:tcW w:w="1170" w:type="pct"/>
            <w:vMerge/>
            <w:shd w:val="clear" w:color="auto" w:fill="A8D08D" w:themeFill="accent6" w:themeFillTint="99"/>
            <w:vAlign w:val="center"/>
            <w:hideMark/>
          </w:tcPr>
          <w:p w14:paraId="0DA0F5EE" w14:textId="77777777" w:rsidR="00D2315B" w:rsidRPr="00D2315B" w:rsidRDefault="00D2315B" w:rsidP="00D2315B">
            <w:pPr>
              <w:rPr>
                <w:rFonts w:eastAsia="Times New Roman" w:cs="Times New Roman"/>
                <w:b/>
                <w:bCs/>
                <w:color w:val="000000"/>
                <w:sz w:val="22"/>
                <w:szCs w:val="22"/>
                <w:lang w:eastAsia="lv-LV"/>
              </w:rPr>
            </w:pPr>
          </w:p>
        </w:tc>
        <w:tc>
          <w:tcPr>
            <w:tcW w:w="3830" w:type="pct"/>
            <w:shd w:val="clear" w:color="000000" w:fill="EBF1E9"/>
            <w:vAlign w:val="center"/>
            <w:hideMark/>
          </w:tcPr>
          <w:p w14:paraId="73075498" w14:textId="5D51D77D" w:rsidR="00D2315B" w:rsidRPr="00D2315B" w:rsidRDefault="00D2315B" w:rsidP="00D2315B">
            <w:pPr>
              <w:jc w:val="center"/>
              <w:rPr>
                <w:rFonts w:eastAsia="Times New Roman" w:cs="Times New Roman"/>
                <w:noProof/>
                <w:color w:val="000000"/>
                <w:sz w:val="22"/>
                <w:szCs w:val="22"/>
                <w:lang w:eastAsia="lv-LV"/>
              </w:rPr>
            </w:pPr>
            <w:r w:rsidRPr="00D2315B">
              <w:rPr>
                <w:rFonts w:eastAsia="Times New Roman" w:cs="Times New Roman"/>
                <w:noProof/>
                <w:color w:val="000000"/>
                <w:sz w:val="22"/>
                <w:szCs w:val="22"/>
                <w:lang w:eastAsia="lv-LV"/>
              </w:rPr>
              <w:t>Veselīgi nodzīvoti mūža gadi sievietēm</w:t>
            </w:r>
            <w:r w:rsidR="00B70D05">
              <w:rPr>
                <w:rFonts w:eastAsia="Times New Roman" w:cs="Times New Roman"/>
                <w:noProof/>
                <w:color w:val="000000"/>
                <w:sz w:val="22"/>
                <w:szCs w:val="22"/>
                <w:lang w:eastAsia="lv-LV"/>
              </w:rPr>
              <w:t xml:space="preserve"> (</w:t>
            </w:r>
            <w:r w:rsidRPr="00D2315B">
              <w:rPr>
                <w:rFonts w:eastAsia="Times New Roman" w:cs="Times New Roman"/>
                <w:noProof/>
                <w:color w:val="000000"/>
                <w:sz w:val="22"/>
                <w:szCs w:val="22"/>
                <w:lang w:eastAsia="lv-LV"/>
              </w:rPr>
              <w:t>vidējie gadi</w:t>
            </w:r>
            <w:r w:rsidR="00B70D05">
              <w:rPr>
                <w:rFonts w:eastAsia="Times New Roman" w:cs="Times New Roman"/>
                <w:noProof/>
                <w:color w:val="000000"/>
                <w:sz w:val="22"/>
                <w:szCs w:val="22"/>
                <w:lang w:eastAsia="lv-LV"/>
              </w:rPr>
              <w:t>)</w:t>
            </w:r>
          </w:p>
        </w:tc>
      </w:tr>
      <w:tr w:rsidR="00D2315B" w:rsidRPr="00D2315B" w14:paraId="43DA2796" w14:textId="77777777" w:rsidTr="00E20E29">
        <w:trPr>
          <w:trHeight w:val="70"/>
        </w:trPr>
        <w:tc>
          <w:tcPr>
            <w:tcW w:w="1170" w:type="pct"/>
            <w:vMerge/>
            <w:shd w:val="clear" w:color="auto" w:fill="A8D08D" w:themeFill="accent6" w:themeFillTint="99"/>
            <w:vAlign w:val="center"/>
            <w:hideMark/>
          </w:tcPr>
          <w:p w14:paraId="2AD03267" w14:textId="77777777" w:rsidR="00D2315B" w:rsidRPr="00D2315B" w:rsidRDefault="00D2315B" w:rsidP="00D2315B">
            <w:pPr>
              <w:rPr>
                <w:rFonts w:eastAsia="Times New Roman" w:cs="Times New Roman"/>
                <w:b/>
                <w:bCs/>
                <w:color w:val="000000"/>
                <w:sz w:val="22"/>
                <w:szCs w:val="22"/>
                <w:lang w:eastAsia="lv-LV"/>
              </w:rPr>
            </w:pPr>
          </w:p>
        </w:tc>
        <w:tc>
          <w:tcPr>
            <w:tcW w:w="3830" w:type="pct"/>
            <w:shd w:val="clear" w:color="000000" w:fill="EBF1E9"/>
            <w:vAlign w:val="center"/>
            <w:hideMark/>
          </w:tcPr>
          <w:p w14:paraId="102A5A62" w14:textId="1AC3DF0E" w:rsidR="00D2315B" w:rsidRPr="00D2315B" w:rsidRDefault="00D2315B" w:rsidP="00D2315B">
            <w:pPr>
              <w:jc w:val="center"/>
              <w:rPr>
                <w:rFonts w:eastAsia="Times New Roman" w:cs="Times New Roman"/>
                <w:noProof/>
                <w:color w:val="000000"/>
                <w:sz w:val="22"/>
                <w:szCs w:val="22"/>
                <w:lang w:eastAsia="lv-LV"/>
              </w:rPr>
            </w:pPr>
            <w:r w:rsidRPr="00D2315B">
              <w:rPr>
                <w:rFonts w:eastAsia="Times New Roman" w:cs="Times New Roman"/>
                <w:noProof/>
                <w:color w:val="000000"/>
                <w:sz w:val="22"/>
                <w:szCs w:val="22"/>
                <w:lang w:eastAsia="lv-LV"/>
              </w:rPr>
              <w:t>Praktizējoš</w:t>
            </w:r>
            <w:r w:rsidR="00B70D05">
              <w:rPr>
                <w:rFonts w:eastAsia="Times New Roman" w:cs="Times New Roman"/>
                <w:noProof/>
                <w:color w:val="000000"/>
                <w:sz w:val="22"/>
                <w:szCs w:val="22"/>
                <w:lang w:eastAsia="lv-LV"/>
              </w:rPr>
              <w:t>i</w:t>
            </w:r>
            <w:r w:rsidRPr="00D2315B">
              <w:rPr>
                <w:rFonts w:eastAsia="Times New Roman" w:cs="Times New Roman"/>
                <w:noProof/>
                <w:color w:val="000000"/>
                <w:sz w:val="22"/>
                <w:szCs w:val="22"/>
                <w:lang w:eastAsia="lv-LV"/>
              </w:rPr>
              <w:t xml:space="preserve"> ārst</w:t>
            </w:r>
            <w:r w:rsidR="00B70D05">
              <w:rPr>
                <w:rFonts w:eastAsia="Times New Roman" w:cs="Times New Roman"/>
                <w:noProof/>
                <w:color w:val="000000"/>
                <w:sz w:val="22"/>
                <w:szCs w:val="22"/>
                <w:lang w:eastAsia="lv-LV"/>
              </w:rPr>
              <w:t>i</w:t>
            </w:r>
            <w:r w:rsidRPr="00D2315B">
              <w:rPr>
                <w:rFonts w:eastAsia="Times New Roman" w:cs="Times New Roman"/>
                <w:noProof/>
                <w:color w:val="000000"/>
                <w:sz w:val="22"/>
                <w:szCs w:val="22"/>
                <w:lang w:eastAsia="lv-LV"/>
              </w:rPr>
              <w:t xml:space="preserve"> uz 100 000 iedzīvotāj</w:t>
            </w:r>
            <w:r w:rsidR="00B70D05">
              <w:rPr>
                <w:rFonts w:eastAsia="Times New Roman" w:cs="Times New Roman"/>
                <w:noProof/>
                <w:color w:val="000000"/>
                <w:sz w:val="22"/>
                <w:szCs w:val="22"/>
                <w:lang w:eastAsia="lv-LV"/>
              </w:rPr>
              <w:t>iem (skaits)</w:t>
            </w:r>
          </w:p>
        </w:tc>
      </w:tr>
      <w:tr w:rsidR="00D2315B" w:rsidRPr="00D2315B" w14:paraId="0804A714" w14:textId="77777777" w:rsidTr="00E20E29">
        <w:trPr>
          <w:trHeight w:val="70"/>
        </w:trPr>
        <w:tc>
          <w:tcPr>
            <w:tcW w:w="1170" w:type="pct"/>
            <w:vMerge/>
            <w:shd w:val="clear" w:color="auto" w:fill="A8D08D" w:themeFill="accent6" w:themeFillTint="99"/>
            <w:vAlign w:val="center"/>
            <w:hideMark/>
          </w:tcPr>
          <w:p w14:paraId="232D71FF" w14:textId="77777777" w:rsidR="00D2315B" w:rsidRPr="00D2315B" w:rsidRDefault="00D2315B" w:rsidP="00D2315B">
            <w:pPr>
              <w:rPr>
                <w:rFonts w:eastAsia="Times New Roman" w:cs="Times New Roman"/>
                <w:b/>
                <w:bCs/>
                <w:color w:val="000000"/>
                <w:sz w:val="22"/>
                <w:szCs w:val="22"/>
                <w:lang w:eastAsia="lv-LV"/>
              </w:rPr>
            </w:pPr>
          </w:p>
        </w:tc>
        <w:tc>
          <w:tcPr>
            <w:tcW w:w="3830" w:type="pct"/>
            <w:shd w:val="clear" w:color="000000" w:fill="EBF1E9"/>
            <w:vAlign w:val="center"/>
            <w:hideMark/>
          </w:tcPr>
          <w:p w14:paraId="217B0893" w14:textId="7B2573CC" w:rsidR="00D2315B" w:rsidRPr="00D2315B" w:rsidRDefault="00D2315B" w:rsidP="00D2315B">
            <w:pPr>
              <w:jc w:val="center"/>
              <w:rPr>
                <w:rFonts w:eastAsia="Times New Roman" w:cs="Times New Roman"/>
                <w:noProof/>
                <w:color w:val="000000"/>
                <w:sz w:val="22"/>
                <w:szCs w:val="22"/>
                <w:lang w:eastAsia="lv-LV"/>
              </w:rPr>
            </w:pPr>
            <w:r w:rsidRPr="00D2315B">
              <w:rPr>
                <w:rFonts w:eastAsia="Times New Roman" w:cs="Times New Roman"/>
                <w:noProof/>
                <w:color w:val="000000"/>
                <w:sz w:val="22"/>
                <w:szCs w:val="22"/>
                <w:lang w:eastAsia="lv-LV"/>
              </w:rPr>
              <w:t>Praktizējoš</w:t>
            </w:r>
            <w:r w:rsidR="00B70D05">
              <w:rPr>
                <w:rFonts w:eastAsia="Times New Roman" w:cs="Times New Roman"/>
                <w:noProof/>
                <w:color w:val="000000"/>
                <w:sz w:val="22"/>
                <w:szCs w:val="22"/>
                <w:lang w:eastAsia="lv-LV"/>
              </w:rPr>
              <w:t>as</w:t>
            </w:r>
            <w:r w:rsidRPr="00D2315B">
              <w:rPr>
                <w:rFonts w:eastAsia="Times New Roman" w:cs="Times New Roman"/>
                <w:noProof/>
                <w:color w:val="000000"/>
                <w:sz w:val="22"/>
                <w:szCs w:val="22"/>
                <w:lang w:eastAsia="lv-LV"/>
              </w:rPr>
              <w:t xml:space="preserve"> mās</w:t>
            </w:r>
            <w:r w:rsidR="00B70D05">
              <w:rPr>
                <w:rFonts w:eastAsia="Times New Roman" w:cs="Times New Roman"/>
                <w:noProof/>
                <w:color w:val="000000"/>
                <w:sz w:val="22"/>
                <w:szCs w:val="22"/>
                <w:lang w:eastAsia="lv-LV"/>
              </w:rPr>
              <w:t>as</w:t>
            </w:r>
            <w:r w:rsidRPr="00D2315B">
              <w:rPr>
                <w:rFonts w:eastAsia="Times New Roman" w:cs="Times New Roman"/>
                <w:noProof/>
                <w:color w:val="000000"/>
                <w:sz w:val="22"/>
                <w:szCs w:val="22"/>
                <w:lang w:eastAsia="lv-LV"/>
              </w:rPr>
              <w:t xml:space="preserve"> uz 100 000 iedzīvotāj</w:t>
            </w:r>
            <w:r w:rsidR="00B70D05">
              <w:rPr>
                <w:rFonts w:eastAsia="Times New Roman" w:cs="Times New Roman"/>
                <w:noProof/>
                <w:color w:val="000000"/>
                <w:sz w:val="22"/>
                <w:szCs w:val="22"/>
                <w:lang w:eastAsia="lv-LV"/>
              </w:rPr>
              <w:t>iem (skaits)</w:t>
            </w:r>
          </w:p>
        </w:tc>
      </w:tr>
      <w:tr w:rsidR="00D2315B" w:rsidRPr="00D2315B" w14:paraId="21A8BD5A" w14:textId="77777777" w:rsidTr="00E20E29">
        <w:trPr>
          <w:trHeight w:val="112"/>
        </w:trPr>
        <w:tc>
          <w:tcPr>
            <w:tcW w:w="1170" w:type="pct"/>
            <w:vMerge/>
            <w:shd w:val="clear" w:color="auto" w:fill="A8D08D" w:themeFill="accent6" w:themeFillTint="99"/>
            <w:vAlign w:val="center"/>
            <w:hideMark/>
          </w:tcPr>
          <w:p w14:paraId="358A5C2B" w14:textId="77777777" w:rsidR="00D2315B" w:rsidRPr="00D2315B" w:rsidRDefault="00D2315B" w:rsidP="00D2315B">
            <w:pPr>
              <w:rPr>
                <w:rFonts w:eastAsia="Times New Roman" w:cs="Times New Roman"/>
                <w:b/>
                <w:bCs/>
                <w:color w:val="000000"/>
                <w:sz w:val="22"/>
                <w:szCs w:val="22"/>
                <w:lang w:eastAsia="lv-LV"/>
              </w:rPr>
            </w:pPr>
          </w:p>
        </w:tc>
        <w:tc>
          <w:tcPr>
            <w:tcW w:w="3830" w:type="pct"/>
            <w:shd w:val="clear" w:color="000000" w:fill="EBF1E9"/>
            <w:vAlign w:val="center"/>
            <w:hideMark/>
          </w:tcPr>
          <w:p w14:paraId="17FEB66A" w14:textId="6F0F1273" w:rsidR="00D2315B" w:rsidRPr="00D2315B" w:rsidRDefault="00D2315B" w:rsidP="00D2315B">
            <w:pPr>
              <w:jc w:val="center"/>
              <w:rPr>
                <w:rFonts w:eastAsia="Times New Roman" w:cs="Times New Roman"/>
                <w:noProof/>
                <w:color w:val="000000"/>
                <w:sz w:val="22"/>
                <w:szCs w:val="22"/>
                <w:lang w:eastAsia="lv-LV"/>
              </w:rPr>
            </w:pPr>
            <w:r w:rsidRPr="00D2315B">
              <w:rPr>
                <w:rFonts w:eastAsia="Times New Roman" w:cs="Times New Roman"/>
                <w:noProof/>
                <w:color w:val="000000"/>
                <w:sz w:val="22"/>
                <w:szCs w:val="22"/>
                <w:lang w:eastAsia="lv-LV"/>
              </w:rPr>
              <w:t>Medicīnas studiju absolventu īpatsvars, kas uzsāk darbu Latvijas veselības aprūpes sistēmā</w:t>
            </w:r>
            <w:r w:rsidR="00B70D05">
              <w:rPr>
                <w:rFonts w:eastAsia="Times New Roman" w:cs="Times New Roman"/>
                <w:noProof/>
                <w:color w:val="000000"/>
                <w:sz w:val="22"/>
                <w:szCs w:val="22"/>
                <w:lang w:eastAsia="lv-LV"/>
              </w:rPr>
              <w:t xml:space="preserve"> (%)</w:t>
            </w:r>
          </w:p>
        </w:tc>
      </w:tr>
    </w:tbl>
    <w:p w14:paraId="23D2208A" w14:textId="189E8A96" w:rsidR="00D2315B" w:rsidRDefault="00D2315B" w:rsidP="0056451E">
      <w:pPr>
        <w:spacing w:after="120"/>
      </w:pPr>
    </w:p>
    <w:p w14:paraId="1E2C72CC" w14:textId="0C43DAA4" w:rsidR="00E20E29" w:rsidRDefault="00E20E29" w:rsidP="00E20E29">
      <w:pPr>
        <w:spacing w:after="120"/>
      </w:pPr>
      <w:r>
        <w:t>Zemkopības ministrija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7"/>
      </w:tblGrid>
      <w:tr w:rsidR="00E20E29" w:rsidRPr="00E20E29" w14:paraId="2E3D7A6A" w14:textId="77777777" w:rsidTr="00E20E29">
        <w:trPr>
          <w:trHeight w:val="70"/>
          <w:tblHeader/>
        </w:trPr>
        <w:tc>
          <w:tcPr>
            <w:tcW w:w="1980" w:type="dxa"/>
            <w:shd w:val="clear" w:color="000000" w:fill="A9D08E"/>
            <w:noWrap/>
            <w:vAlign w:val="bottom"/>
            <w:hideMark/>
          </w:tcPr>
          <w:p w14:paraId="00516082" w14:textId="77777777" w:rsidR="00E20E29" w:rsidRPr="00E20E29" w:rsidRDefault="00E20E29" w:rsidP="00E20E29">
            <w:pPr>
              <w:jc w:val="center"/>
              <w:rPr>
                <w:rFonts w:eastAsia="Times New Roman" w:cs="Times New Roman"/>
                <w:b/>
                <w:bCs/>
                <w:color w:val="000000"/>
                <w:sz w:val="22"/>
                <w:szCs w:val="22"/>
                <w:lang w:eastAsia="lv-LV"/>
              </w:rPr>
            </w:pPr>
            <w:r w:rsidRPr="00E20E29">
              <w:rPr>
                <w:rFonts w:eastAsia="Times New Roman" w:cs="Times New Roman"/>
                <w:b/>
                <w:bCs/>
                <w:color w:val="000000"/>
                <w:sz w:val="22"/>
                <w:szCs w:val="22"/>
                <w:lang w:eastAsia="lv-LV"/>
              </w:rPr>
              <w:t xml:space="preserve">Joma </w:t>
            </w:r>
          </w:p>
        </w:tc>
        <w:tc>
          <w:tcPr>
            <w:tcW w:w="7087" w:type="dxa"/>
            <w:shd w:val="clear" w:color="000000" w:fill="A9D08E"/>
            <w:noWrap/>
            <w:vAlign w:val="bottom"/>
            <w:hideMark/>
          </w:tcPr>
          <w:p w14:paraId="4CF00004" w14:textId="77777777" w:rsidR="00E20E29" w:rsidRPr="00E20E29" w:rsidRDefault="00E20E29" w:rsidP="00E20E29">
            <w:pPr>
              <w:jc w:val="center"/>
              <w:rPr>
                <w:rFonts w:eastAsia="Times New Roman" w:cs="Times New Roman"/>
                <w:b/>
                <w:bCs/>
                <w:color w:val="000000"/>
                <w:sz w:val="22"/>
                <w:szCs w:val="22"/>
                <w:lang w:eastAsia="lv-LV"/>
              </w:rPr>
            </w:pPr>
            <w:r w:rsidRPr="00E20E29">
              <w:rPr>
                <w:rFonts w:eastAsia="Times New Roman" w:cs="Times New Roman"/>
                <w:b/>
                <w:bCs/>
                <w:color w:val="000000"/>
                <w:sz w:val="22"/>
                <w:szCs w:val="22"/>
                <w:lang w:eastAsia="lv-LV"/>
              </w:rPr>
              <w:t>Politikas rezultatīvie rādītāji</w:t>
            </w:r>
          </w:p>
        </w:tc>
      </w:tr>
      <w:tr w:rsidR="00E20E29" w:rsidRPr="00E20E29" w14:paraId="38654256" w14:textId="77777777" w:rsidTr="00E20E29">
        <w:trPr>
          <w:trHeight w:val="192"/>
        </w:trPr>
        <w:tc>
          <w:tcPr>
            <w:tcW w:w="1980" w:type="dxa"/>
            <w:vMerge w:val="restart"/>
            <w:shd w:val="clear" w:color="auto" w:fill="A8D08D" w:themeFill="accent6" w:themeFillTint="99"/>
            <w:vAlign w:val="center"/>
            <w:hideMark/>
          </w:tcPr>
          <w:p w14:paraId="078DF806" w14:textId="77777777" w:rsidR="00E20E29" w:rsidRPr="00E20E29" w:rsidRDefault="00E20E29" w:rsidP="00E20E29">
            <w:pPr>
              <w:jc w:val="center"/>
              <w:rPr>
                <w:rFonts w:eastAsia="Times New Roman" w:cs="Times New Roman"/>
                <w:b/>
                <w:bCs/>
                <w:color w:val="000000"/>
                <w:sz w:val="22"/>
                <w:szCs w:val="22"/>
                <w:lang w:eastAsia="lv-LV"/>
              </w:rPr>
            </w:pPr>
            <w:r w:rsidRPr="00E20E29">
              <w:rPr>
                <w:rFonts w:eastAsia="Times New Roman" w:cs="Times New Roman"/>
                <w:b/>
                <w:bCs/>
                <w:color w:val="000000"/>
                <w:sz w:val="22"/>
                <w:szCs w:val="22"/>
                <w:lang w:eastAsia="lv-LV"/>
              </w:rPr>
              <w:t>Pārtikas un dzīvnieku barības nekaitīgums, pārtikas higiēna un kvalitāte, dzīvnieku veselība, labturība un aizsardzība</w:t>
            </w:r>
          </w:p>
        </w:tc>
        <w:tc>
          <w:tcPr>
            <w:tcW w:w="7087" w:type="dxa"/>
            <w:shd w:val="clear" w:color="000000" w:fill="EBF1E9"/>
            <w:vAlign w:val="bottom"/>
            <w:hideMark/>
          </w:tcPr>
          <w:p w14:paraId="6C70A48A" w14:textId="454DE6EB" w:rsidR="00E20E29" w:rsidRPr="00E20E29" w:rsidRDefault="00E20E29" w:rsidP="00E20E29">
            <w:pPr>
              <w:jc w:val="center"/>
              <w:rPr>
                <w:rFonts w:eastAsia="Times New Roman" w:cs="Times New Roman"/>
                <w:color w:val="000000"/>
                <w:sz w:val="22"/>
                <w:szCs w:val="22"/>
                <w:lang w:eastAsia="lv-LV"/>
              </w:rPr>
            </w:pPr>
            <w:r w:rsidRPr="00E20E29">
              <w:rPr>
                <w:rFonts w:eastAsia="Times New Roman" w:cs="Times New Roman"/>
                <w:color w:val="000000"/>
                <w:sz w:val="22"/>
                <w:szCs w:val="22"/>
                <w:lang w:eastAsia="lv-LV"/>
              </w:rPr>
              <w:t>Konstatēto pārkāpumu īpatsvars pārtikas apritē iesaistītajiem uzņēmumiem no kopējā attiecīgo pārbaužu skait</w:t>
            </w:r>
            <w:r w:rsidR="009C0771">
              <w:rPr>
                <w:rFonts w:eastAsia="Times New Roman" w:cs="Times New Roman"/>
                <w:color w:val="000000"/>
                <w:sz w:val="22"/>
                <w:szCs w:val="22"/>
                <w:lang w:eastAsia="lv-LV"/>
              </w:rPr>
              <w:t>a (%)</w:t>
            </w:r>
          </w:p>
        </w:tc>
      </w:tr>
      <w:tr w:rsidR="00E20E29" w:rsidRPr="00E20E29" w14:paraId="2F23212C" w14:textId="77777777" w:rsidTr="00E20E29">
        <w:trPr>
          <w:trHeight w:val="241"/>
        </w:trPr>
        <w:tc>
          <w:tcPr>
            <w:tcW w:w="1980" w:type="dxa"/>
            <w:vMerge/>
            <w:shd w:val="clear" w:color="auto" w:fill="A8D08D" w:themeFill="accent6" w:themeFillTint="99"/>
            <w:vAlign w:val="center"/>
            <w:hideMark/>
          </w:tcPr>
          <w:p w14:paraId="1FAEAEFE" w14:textId="77777777" w:rsidR="00E20E29" w:rsidRPr="00E20E29" w:rsidRDefault="00E20E29" w:rsidP="00E20E29">
            <w:pPr>
              <w:rPr>
                <w:rFonts w:eastAsia="Times New Roman" w:cs="Times New Roman"/>
                <w:b/>
                <w:bCs/>
                <w:color w:val="000000"/>
                <w:sz w:val="22"/>
                <w:szCs w:val="22"/>
                <w:lang w:eastAsia="lv-LV"/>
              </w:rPr>
            </w:pPr>
          </w:p>
        </w:tc>
        <w:tc>
          <w:tcPr>
            <w:tcW w:w="7087" w:type="dxa"/>
            <w:shd w:val="clear" w:color="000000" w:fill="EBF1E9"/>
            <w:vAlign w:val="bottom"/>
            <w:hideMark/>
          </w:tcPr>
          <w:p w14:paraId="0B7C0045" w14:textId="48F6CE72" w:rsidR="00E20E29" w:rsidRPr="00E20E29" w:rsidRDefault="00E20E29" w:rsidP="00E20E29">
            <w:pPr>
              <w:jc w:val="center"/>
              <w:rPr>
                <w:rFonts w:eastAsia="Times New Roman" w:cs="Times New Roman"/>
                <w:color w:val="000000"/>
                <w:sz w:val="22"/>
                <w:szCs w:val="22"/>
                <w:lang w:eastAsia="lv-LV"/>
              </w:rPr>
            </w:pPr>
            <w:r w:rsidRPr="00E20E29">
              <w:rPr>
                <w:rFonts w:eastAsia="Times New Roman" w:cs="Times New Roman"/>
                <w:color w:val="000000"/>
                <w:sz w:val="22"/>
                <w:szCs w:val="22"/>
                <w:lang w:eastAsia="lv-LV"/>
              </w:rPr>
              <w:t>Nacionālajā pārtikas kvalitātes shēmā sertificēti produkti</w:t>
            </w:r>
            <w:r w:rsidR="009C0771">
              <w:rPr>
                <w:rFonts w:eastAsia="Times New Roman" w:cs="Times New Roman"/>
                <w:color w:val="000000"/>
                <w:sz w:val="22"/>
                <w:szCs w:val="22"/>
                <w:lang w:eastAsia="lv-LV"/>
              </w:rPr>
              <w:t xml:space="preserve"> (</w:t>
            </w:r>
            <w:r w:rsidRPr="00E20E29">
              <w:rPr>
                <w:rFonts w:eastAsia="Times New Roman" w:cs="Times New Roman"/>
                <w:color w:val="000000"/>
                <w:sz w:val="22"/>
                <w:szCs w:val="22"/>
                <w:lang w:eastAsia="lv-LV"/>
              </w:rPr>
              <w:t>skaits</w:t>
            </w:r>
            <w:r w:rsidR="009C0771">
              <w:rPr>
                <w:rFonts w:eastAsia="Times New Roman" w:cs="Times New Roman"/>
                <w:color w:val="000000"/>
                <w:sz w:val="22"/>
                <w:szCs w:val="22"/>
                <w:lang w:eastAsia="lv-LV"/>
              </w:rPr>
              <w:t>)</w:t>
            </w:r>
          </w:p>
        </w:tc>
      </w:tr>
      <w:tr w:rsidR="00E20E29" w:rsidRPr="00E20E29" w14:paraId="3AB0A5A0" w14:textId="77777777" w:rsidTr="00E20E29">
        <w:trPr>
          <w:trHeight w:val="273"/>
        </w:trPr>
        <w:tc>
          <w:tcPr>
            <w:tcW w:w="1980" w:type="dxa"/>
            <w:vMerge/>
            <w:shd w:val="clear" w:color="auto" w:fill="A8D08D" w:themeFill="accent6" w:themeFillTint="99"/>
            <w:vAlign w:val="center"/>
            <w:hideMark/>
          </w:tcPr>
          <w:p w14:paraId="71BC611C" w14:textId="77777777" w:rsidR="00E20E29" w:rsidRPr="00E20E29" w:rsidRDefault="00E20E29" w:rsidP="00E20E29">
            <w:pPr>
              <w:rPr>
                <w:rFonts w:eastAsia="Times New Roman" w:cs="Times New Roman"/>
                <w:b/>
                <w:bCs/>
                <w:color w:val="000000"/>
                <w:sz w:val="22"/>
                <w:szCs w:val="22"/>
                <w:lang w:eastAsia="lv-LV"/>
              </w:rPr>
            </w:pPr>
          </w:p>
        </w:tc>
        <w:tc>
          <w:tcPr>
            <w:tcW w:w="7087" w:type="dxa"/>
            <w:shd w:val="clear" w:color="000000" w:fill="EBF1E9"/>
            <w:vAlign w:val="bottom"/>
            <w:hideMark/>
          </w:tcPr>
          <w:p w14:paraId="62E65DFD" w14:textId="3F6C7FC4" w:rsidR="00E20E29" w:rsidRPr="00E20E29" w:rsidRDefault="00E20E29" w:rsidP="00E20E29">
            <w:pPr>
              <w:jc w:val="center"/>
              <w:rPr>
                <w:rFonts w:eastAsia="Times New Roman" w:cs="Times New Roman"/>
                <w:color w:val="000000"/>
                <w:sz w:val="22"/>
                <w:szCs w:val="22"/>
                <w:lang w:eastAsia="lv-LV"/>
              </w:rPr>
            </w:pPr>
            <w:r w:rsidRPr="00E20E29">
              <w:rPr>
                <w:rFonts w:eastAsia="Times New Roman" w:cs="Times New Roman"/>
                <w:color w:val="000000"/>
                <w:sz w:val="22"/>
                <w:szCs w:val="22"/>
                <w:lang w:eastAsia="lv-LV"/>
              </w:rPr>
              <w:t>Atbilstoši marķētas ģenētiski modificētas pārtikas un dzīvnieku barības īpatsvars no pārbaudītā apjoma</w:t>
            </w:r>
            <w:r w:rsidR="009C0771">
              <w:rPr>
                <w:rFonts w:eastAsia="Times New Roman" w:cs="Times New Roman"/>
                <w:color w:val="000000"/>
                <w:sz w:val="22"/>
                <w:szCs w:val="22"/>
                <w:lang w:eastAsia="lv-LV"/>
              </w:rPr>
              <w:t xml:space="preserve"> (</w:t>
            </w:r>
            <w:r w:rsidRPr="00E20E29">
              <w:rPr>
                <w:rFonts w:eastAsia="Times New Roman" w:cs="Times New Roman"/>
                <w:color w:val="000000"/>
                <w:sz w:val="22"/>
                <w:szCs w:val="22"/>
                <w:lang w:eastAsia="lv-LV"/>
              </w:rPr>
              <w:t>%</w:t>
            </w:r>
            <w:r w:rsidR="009C0771">
              <w:rPr>
                <w:rFonts w:eastAsia="Times New Roman" w:cs="Times New Roman"/>
                <w:color w:val="000000"/>
                <w:sz w:val="22"/>
                <w:szCs w:val="22"/>
                <w:lang w:eastAsia="lv-LV"/>
              </w:rPr>
              <w:t>)</w:t>
            </w:r>
          </w:p>
        </w:tc>
      </w:tr>
      <w:tr w:rsidR="00E20E29" w:rsidRPr="00E20E29" w14:paraId="32CDFEAB" w14:textId="77777777" w:rsidTr="00E20E29">
        <w:trPr>
          <w:trHeight w:val="451"/>
        </w:trPr>
        <w:tc>
          <w:tcPr>
            <w:tcW w:w="1980" w:type="dxa"/>
            <w:vMerge/>
            <w:shd w:val="clear" w:color="auto" w:fill="A8D08D" w:themeFill="accent6" w:themeFillTint="99"/>
            <w:vAlign w:val="center"/>
            <w:hideMark/>
          </w:tcPr>
          <w:p w14:paraId="25CEC87D" w14:textId="77777777" w:rsidR="00E20E29" w:rsidRPr="00E20E29" w:rsidRDefault="00E20E29" w:rsidP="00E20E29">
            <w:pPr>
              <w:rPr>
                <w:rFonts w:eastAsia="Times New Roman" w:cs="Times New Roman"/>
                <w:b/>
                <w:bCs/>
                <w:color w:val="000000"/>
                <w:sz w:val="22"/>
                <w:szCs w:val="22"/>
                <w:lang w:eastAsia="lv-LV"/>
              </w:rPr>
            </w:pPr>
          </w:p>
        </w:tc>
        <w:tc>
          <w:tcPr>
            <w:tcW w:w="7087" w:type="dxa"/>
            <w:shd w:val="clear" w:color="000000" w:fill="EBF1E9"/>
            <w:vAlign w:val="bottom"/>
            <w:hideMark/>
          </w:tcPr>
          <w:p w14:paraId="08EE2354" w14:textId="79AAD8C0" w:rsidR="00E20E29" w:rsidRPr="00E20E29" w:rsidRDefault="00E20E29" w:rsidP="00E20E29">
            <w:pPr>
              <w:jc w:val="center"/>
              <w:rPr>
                <w:rFonts w:eastAsia="Times New Roman" w:cs="Times New Roman"/>
                <w:color w:val="000000"/>
                <w:sz w:val="22"/>
                <w:szCs w:val="22"/>
                <w:lang w:eastAsia="lv-LV"/>
              </w:rPr>
            </w:pPr>
            <w:r w:rsidRPr="00E20E29">
              <w:rPr>
                <w:rFonts w:eastAsia="Times New Roman" w:cs="Times New Roman"/>
                <w:color w:val="000000"/>
                <w:sz w:val="22"/>
                <w:szCs w:val="22"/>
                <w:lang w:eastAsia="lv-LV"/>
              </w:rPr>
              <w:t xml:space="preserve">Augu un augu produktu paraugu, kuros konstatēti normatīvo aktu pārkāpumi par AAL lietošanu, </w:t>
            </w:r>
            <w:r w:rsidR="00EE7EF4" w:rsidRPr="00E20E29">
              <w:rPr>
                <w:rFonts w:eastAsia="Times New Roman" w:cs="Times New Roman"/>
                <w:color w:val="000000"/>
                <w:sz w:val="22"/>
                <w:szCs w:val="22"/>
                <w:lang w:eastAsia="lv-LV"/>
              </w:rPr>
              <w:t xml:space="preserve">īpatsvars </w:t>
            </w:r>
            <w:r w:rsidRPr="00E20E29">
              <w:rPr>
                <w:rFonts w:eastAsia="Times New Roman" w:cs="Times New Roman"/>
                <w:color w:val="000000"/>
                <w:sz w:val="22"/>
                <w:szCs w:val="22"/>
                <w:lang w:eastAsia="lv-LV"/>
              </w:rPr>
              <w:t>attiecībā pret visiem noņemtajiem paraugiem</w:t>
            </w:r>
            <w:r w:rsidR="00EE7EF4">
              <w:rPr>
                <w:rFonts w:eastAsia="Times New Roman" w:cs="Times New Roman"/>
                <w:color w:val="000000"/>
                <w:sz w:val="22"/>
                <w:szCs w:val="22"/>
                <w:lang w:eastAsia="lv-LV"/>
              </w:rPr>
              <w:t xml:space="preserve"> (%)</w:t>
            </w:r>
          </w:p>
        </w:tc>
      </w:tr>
      <w:tr w:rsidR="00E20E29" w:rsidRPr="00E20E29" w14:paraId="1815FA47" w14:textId="77777777" w:rsidTr="00E20E29">
        <w:trPr>
          <w:trHeight w:val="546"/>
        </w:trPr>
        <w:tc>
          <w:tcPr>
            <w:tcW w:w="1980" w:type="dxa"/>
            <w:vMerge/>
            <w:shd w:val="clear" w:color="auto" w:fill="A8D08D" w:themeFill="accent6" w:themeFillTint="99"/>
            <w:vAlign w:val="center"/>
            <w:hideMark/>
          </w:tcPr>
          <w:p w14:paraId="23AFC5F5" w14:textId="77777777" w:rsidR="00E20E29" w:rsidRPr="00E20E29" w:rsidRDefault="00E20E29" w:rsidP="00E20E29">
            <w:pPr>
              <w:rPr>
                <w:rFonts w:eastAsia="Times New Roman" w:cs="Times New Roman"/>
                <w:b/>
                <w:bCs/>
                <w:color w:val="000000"/>
                <w:sz w:val="22"/>
                <w:szCs w:val="22"/>
                <w:lang w:eastAsia="lv-LV"/>
              </w:rPr>
            </w:pPr>
          </w:p>
        </w:tc>
        <w:tc>
          <w:tcPr>
            <w:tcW w:w="7087" w:type="dxa"/>
            <w:shd w:val="clear" w:color="000000" w:fill="EBF1E9"/>
            <w:vAlign w:val="bottom"/>
            <w:hideMark/>
          </w:tcPr>
          <w:p w14:paraId="294A07B2" w14:textId="10002DF4" w:rsidR="00E20E29" w:rsidRPr="00E20E29" w:rsidRDefault="00E20E29" w:rsidP="00E20E29">
            <w:pPr>
              <w:jc w:val="center"/>
              <w:rPr>
                <w:rFonts w:eastAsia="Times New Roman" w:cs="Times New Roman"/>
                <w:color w:val="000000"/>
                <w:sz w:val="22"/>
                <w:szCs w:val="22"/>
                <w:lang w:eastAsia="lv-LV"/>
              </w:rPr>
            </w:pPr>
            <w:proofErr w:type="spellStart"/>
            <w:r w:rsidRPr="00E20E29">
              <w:rPr>
                <w:rFonts w:eastAsia="Times New Roman" w:cs="Times New Roman"/>
                <w:color w:val="000000"/>
                <w:sz w:val="22"/>
                <w:szCs w:val="22"/>
                <w:lang w:eastAsia="lv-LV"/>
              </w:rPr>
              <w:t>Antimikrobiālo</w:t>
            </w:r>
            <w:proofErr w:type="spellEnd"/>
            <w:r w:rsidRPr="00E20E29">
              <w:rPr>
                <w:rFonts w:eastAsia="Times New Roman" w:cs="Times New Roman"/>
                <w:color w:val="000000"/>
                <w:sz w:val="22"/>
                <w:szCs w:val="22"/>
                <w:lang w:eastAsia="lv-LV"/>
              </w:rPr>
              <w:t xml:space="preserve"> līdzekļu lietošanas īpa</w:t>
            </w:r>
            <w:r>
              <w:rPr>
                <w:rFonts w:eastAsia="Times New Roman" w:cs="Times New Roman"/>
                <w:color w:val="000000"/>
                <w:sz w:val="22"/>
                <w:szCs w:val="22"/>
                <w:lang w:eastAsia="lv-LV"/>
              </w:rPr>
              <w:t>t</w:t>
            </w:r>
            <w:r w:rsidRPr="00E20E29">
              <w:rPr>
                <w:rFonts w:eastAsia="Times New Roman" w:cs="Times New Roman"/>
                <w:color w:val="000000"/>
                <w:sz w:val="22"/>
                <w:szCs w:val="22"/>
                <w:lang w:eastAsia="lv-LV"/>
              </w:rPr>
              <w:t xml:space="preserve">svara izmaiņas dzīvnieku infekcijas slimību ierobežošanā, profilakses un </w:t>
            </w:r>
            <w:proofErr w:type="spellStart"/>
            <w:r w:rsidRPr="00E20E29">
              <w:rPr>
                <w:rFonts w:eastAsia="Times New Roman" w:cs="Times New Roman"/>
                <w:color w:val="000000"/>
                <w:sz w:val="22"/>
                <w:szCs w:val="22"/>
                <w:lang w:eastAsia="lv-LV"/>
              </w:rPr>
              <w:t>biodrošības</w:t>
            </w:r>
            <w:proofErr w:type="spellEnd"/>
            <w:r w:rsidRPr="00E20E29">
              <w:rPr>
                <w:rFonts w:eastAsia="Times New Roman" w:cs="Times New Roman"/>
                <w:color w:val="000000"/>
                <w:sz w:val="22"/>
                <w:szCs w:val="22"/>
                <w:lang w:eastAsia="lv-LV"/>
              </w:rPr>
              <w:t xml:space="preserve"> pasākumu ieviešanā</w:t>
            </w:r>
            <w:r w:rsidR="00EE7EF4">
              <w:rPr>
                <w:rFonts w:eastAsia="Times New Roman" w:cs="Times New Roman"/>
                <w:color w:val="000000"/>
                <w:sz w:val="22"/>
                <w:szCs w:val="22"/>
                <w:lang w:eastAsia="lv-LV"/>
              </w:rPr>
              <w:t xml:space="preserve"> (%)</w:t>
            </w:r>
          </w:p>
        </w:tc>
      </w:tr>
      <w:tr w:rsidR="00E20E29" w:rsidRPr="00E20E29" w14:paraId="07323C44" w14:textId="77777777" w:rsidTr="00E20E29">
        <w:trPr>
          <w:trHeight w:val="413"/>
        </w:trPr>
        <w:tc>
          <w:tcPr>
            <w:tcW w:w="1980" w:type="dxa"/>
            <w:vMerge w:val="restart"/>
            <w:shd w:val="clear" w:color="auto" w:fill="A8D08D" w:themeFill="accent6" w:themeFillTint="99"/>
            <w:vAlign w:val="center"/>
            <w:hideMark/>
          </w:tcPr>
          <w:p w14:paraId="1E2F3BA1" w14:textId="77777777" w:rsidR="00E20E29" w:rsidRPr="00E20E29" w:rsidRDefault="00E20E29" w:rsidP="00E20E29">
            <w:pPr>
              <w:jc w:val="center"/>
              <w:rPr>
                <w:rFonts w:eastAsia="Times New Roman" w:cs="Times New Roman"/>
                <w:b/>
                <w:bCs/>
                <w:color w:val="000000"/>
                <w:sz w:val="22"/>
                <w:szCs w:val="22"/>
                <w:lang w:eastAsia="lv-LV"/>
              </w:rPr>
            </w:pPr>
            <w:r w:rsidRPr="00E20E29">
              <w:rPr>
                <w:rFonts w:eastAsia="Times New Roman" w:cs="Times New Roman"/>
                <w:b/>
                <w:bCs/>
                <w:color w:val="000000"/>
                <w:sz w:val="22"/>
                <w:szCs w:val="22"/>
                <w:lang w:eastAsia="lv-LV"/>
              </w:rPr>
              <w:t>Nozaru uzņēmējdarbības attīstības veicināšana</w:t>
            </w:r>
          </w:p>
        </w:tc>
        <w:tc>
          <w:tcPr>
            <w:tcW w:w="7087" w:type="dxa"/>
            <w:shd w:val="clear" w:color="000000" w:fill="EBF1E9"/>
            <w:vAlign w:val="bottom"/>
            <w:hideMark/>
          </w:tcPr>
          <w:p w14:paraId="150F4E0E" w14:textId="0B25E897" w:rsidR="00E20E29" w:rsidRPr="00E20E29" w:rsidRDefault="00E20E29" w:rsidP="00E20E29">
            <w:pPr>
              <w:jc w:val="center"/>
              <w:rPr>
                <w:rFonts w:eastAsia="Times New Roman" w:cs="Times New Roman"/>
                <w:color w:val="000000"/>
                <w:sz w:val="22"/>
                <w:szCs w:val="22"/>
                <w:lang w:eastAsia="lv-LV"/>
              </w:rPr>
            </w:pPr>
            <w:r w:rsidRPr="00E20E29">
              <w:rPr>
                <w:rFonts w:eastAsia="Times New Roman" w:cs="Times New Roman"/>
                <w:color w:val="000000"/>
                <w:sz w:val="22"/>
                <w:szCs w:val="22"/>
                <w:lang w:eastAsia="lv-LV"/>
              </w:rPr>
              <w:t>Bruto pievienotā vērtība uz vienu nodarbināto augkopībā un lopkopībā (A01), zivsaimniecībā (A03), pārtikas produktu ražošanā (C10)</w:t>
            </w:r>
            <w:r w:rsidR="00EE7EF4">
              <w:rPr>
                <w:rFonts w:eastAsia="Times New Roman" w:cs="Times New Roman"/>
                <w:color w:val="000000"/>
                <w:sz w:val="22"/>
                <w:szCs w:val="22"/>
                <w:lang w:eastAsia="lv-LV"/>
              </w:rPr>
              <w:t xml:space="preserve"> (</w:t>
            </w:r>
            <w:r w:rsidRPr="00E20E29">
              <w:rPr>
                <w:rFonts w:eastAsia="Times New Roman" w:cs="Times New Roman"/>
                <w:color w:val="000000"/>
                <w:sz w:val="22"/>
                <w:szCs w:val="22"/>
                <w:lang w:eastAsia="lv-LV"/>
              </w:rPr>
              <w:t xml:space="preserve">tūkst. </w:t>
            </w:r>
            <w:proofErr w:type="spellStart"/>
            <w:r w:rsidRPr="00E20E29">
              <w:rPr>
                <w:rFonts w:eastAsia="Times New Roman" w:cs="Times New Roman"/>
                <w:i/>
                <w:iCs/>
                <w:color w:val="000000"/>
                <w:sz w:val="22"/>
                <w:szCs w:val="22"/>
                <w:lang w:eastAsia="lv-LV"/>
              </w:rPr>
              <w:t>euro</w:t>
            </w:r>
            <w:proofErr w:type="spellEnd"/>
            <w:r w:rsidR="00EE7EF4">
              <w:rPr>
                <w:rFonts w:eastAsia="Times New Roman" w:cs="Times New Roman"/>
                <w:color w:val="000000"/>
                <w:sz w:val="22"/>
                <w:szCs w:val="22"/>
                <w:lang w:eastAsia="lv-LV"/>
              </w:rPr>
              <w:t>)</w:t>
            </w:r>
          </w:p>
        </w:tc>
      </w:tr>
      <w:tr w:rsidR="00E20E29" w:rsidRPr="00E20E29" w14:paraId="4D17DDF6" w14:textId="77777777" w:rsidTr="00E20E29">
        <w:trPr>
          <w:trHeight w:val="70"/>
        </w:trPr>
        <w:tc>
          <w:tcPr>
            <w:tcW w:w="1980" w:type="dxa"/>
            <w:vMerge/>
            <w:shd w:val="clear" w:color="auto" w:fill="A8D08D" w:themeFill="accent6" w:themeFillTint="99"/>
            <w:vAlign w:val="center"/>
            <w:hideMark/>
          </w:tcPr>
          <w:p w14:paraId="2D3EB3A1" w14:textId="77777777" w:rsidR="00E20E29" w:rsidRPr="00E20E29" w:rsidRDefault="00E20E29" w:rsidP="00E20E29">
            <w:pPr>
              <w:rPr>
                <w:rFonts w:eastAsia="Times New Roman" w:cs="Times New Roman"/>
                <w:b/>
                <w:bCs/>
                <w:color w:val="000000"/>
                <w:sz w:val="22"/>
                <w:szCs w:val="22"/>
                <w:lang w:eastAsia="lv-LV"/>
              </w:rPr>
            </w:pPr>
          </w:p>
        </w:tc>
        <w:tc>
          <w:tcPr>
            <w:tcW w:w="7087" w:type="dxa"/>
            <w:shd w:val="clear" w:color="000000" w:fill="EBF1E9"/>
            <w:vAlign w:val="bottom"/>
            <w:hideMark/>
          </w:tcPr>
          <w:p w14:paraId="597DE06F" w14:textId="2CE7FAB6" w:rsidR="00E20E29" w:rsidRPr="00E20E29" w:rsidRDefault="00E20E29" w:rsidP="00E20E29">
            <w:pPr>
              <w:jc w:val="center"/>
              <w:rPr>
                <w:rFonts w:eastAsia="Times New Roman" w:cs="Times New Roman"/>
                <w:color w:val="000000"/>
                <w:sz w:val="22"/>
                <w:szCs w:val="22"/>
                <w:lang w:eastAsia="lv-LV"/>
              </w:rPr>
            </w:pPr>
            <w:r w:rsidRPr="00E20E29">
              <w:rPr>
                <w:rFonts w:eastAsia="Times New Roman" w:cs="Times New Roman"/>
                <w:color w:val="000000"/>
                <w:sz w:val="22"/>
                <w:szCs w:val="22"/>
                <w:lang w:eastAsia="lv-LV"/>
              </w:rPr>
              <w:t>Vietējo pārtikas produktu īpatsvars kopējā patēriņā</w:t>
            </w:r>
            <w:r w:rsidR="00EE7EF4">
              <w:rPr>
                <w:rFonts w:eastAsia="Times New Roman" w:cs="Times New Roman"/>
                <w:color w:val="000000"/>
                <w:sz w:val="22"/>
                <w:szCs w:val="22"/>
                <w:lang w:eastAsia="lv-LV"/>
              </w:rPr>
              <w:t xml:space="preserve"> (</w:t>
            </w:r>
            <w:r w:rsidRPr="00E20E29">
              <w:rPr>
                <w:rFonts w:eastAsia="Times New Roman" w:cs="Times New Roman"/>
                <w:color w:val="000000"/>
                <w:sz w:val="22"/>
                <w:szCs w:val="22"/>
                <w:lang w:eastAsia="lv-LV"/>
              </w:rPr>
              <w:t>%</w:t>
            </w:r>
            <w:r w:rsidR="00EE7EF4">
              <w:rPr>
                <w:rFonts w:eastAsia="Times New Roman" w:cs="Times New Roman"/>
                <w:color w:val="000000"/>
                <w:sz w:val="22"/>
                <w:szCs w:val="22"/>
                <w:lang w:eastAsia="lv-LV"/>
              </w:rPr>
              <w:t>)</w:t>
            </w:r>
          </w:p>
        </w:tc>
      </w:tr>
      <w:tr w:rsidR="00E20E29" w:rsidRPr="00E20E29" w14:paraId="396ADD4A" w14:textId="77777777" w:rsidTr="00E20E29">
        <w:trPr>
          <w:trHeight w:val="70"/>
        </w:trPr>
        <w:tc>
          <w:tcPr>
            <w:tcW w:w="1980" w:type="dxa"/>
            <w:vMerge/>
            <w:shd w:val="clear" w:color="auto" w:fill="A8D08D" w:themeFill="accent6" w:themeFillTint="99"/>
            <w:vAlign w:val="center"/>
            <w:hideMark/>
          </w:tcPr>
          <w:p w14:paraId="27AB05D4" w14:textId="77777777" w:rsidR="00E20E29" w:rsidRPr="00E20E29" w:rsidRDefault="00E20E29" w:rsidP="00E20E29">
            <w:pPr>
              <w:rPr>
                <w:rFonts w:eastAsia="Times New Roman" w:cs="Times New Roman"/>
                <w:b/>
                <w:bCs/>
                <w:color w:val="000000"/>
                <w:sz w:val="22"/>
                <w:szCs w:val="22"/>
                <w:lang w:eastAsia="lv-LV"/>
              </w:rPr>
            </w:pPr>
          </w:p>
        </w:tc>
        <w:tc>
          <w:tcPr>
            <w:tcW w:w="7087" w:type="dxa"/>
            <w:shd w:val="clear" w:color="000000" w:fill="EBF1E9"/>
            <w:vAlign w:val="bottom"/>
            <w:hideMark/>
          </w:tcPr>
          <w:p w14:paraId="670B5939" w14:textId="798F409A" w:rsidR="00E20E29" w:rsidRPr="00E20E29" w:rsidRDefault="00E20E29" w:rsidP="00E20E29">
            <w:pPr>
              <w:jc w:val="center"/>
              <w:rPr>
                <w:rFonts w:eastAsia="Times New Roman" w:cs="Times New Roman"/>
                <w:color w:val="000000"/>
                <w:sz w:val="22"/>
                <w:szCs w:val="22"/>
                <w:lang w:eastAsia="lv-LV"/>
              </w:rPr>
            </w:pPr>
            <w:r w:rsidRPr="00E20E29">
              <w:rPr>
                <w:rFonts w:eastAsia="Times New Roman" w:cs="Times New Roman"/>
                <w:color w:val="000000"/>
                <w:sz w:val="22"/>
                <w:szCs w:val="22"/>
                <w:lang w:eastAsia="lv-LV"/>
              </w:rPr>
              <w:t>Nozares (lauksaimniecība, pārtika, meži, zivis) eksporta īpatsvars kopējā nozaru ārējās tirdzniecības apjomā</w:t>
            </w:r>
            <w:r w:rsidR="00EE7EF4">
              <w:rPr>
                <w:rFonts w:eastAsia="Times New Roman" w:cs="Times New Roman"/>
                <w:color w:val="000000"/>
                <w:sz w:val="22"/>
                <w:szCs w:val="22"/>
                <w:lang w:eastAsia="lv-LV"/>
              </w:rPr>
              <w:t xml:space="preserve"> (</w:t>
            </w:r>
            <w:r w:rsidRPr="00E20E29">
              <w:rPr>
                <w:rFonts w:eastAsia="Times New Roman" w:cs="Times New Roman"/>
                <w:color w:val="000000"/>
                <w:sz w:val="22"/>
                <w:szCs w:val="22"/>
                <w:lang w:eastAsia="lv-LV"/>
              </w:rPr>
              <w:t>%</w:t>
            </w:r>
            <w:r w:rsidR="00EE7EF4">
              <w:rPr>
                <w:rFonts w:eastAsia="Times New Roman" w:cs="Times New Roman"/>
                <w:color w:val="000000"/>
                <w:sz w:val="22"/>
                <w:szCs w:val="22"/>
                <w:lang w:eastAsia="lv-LV"/>
              </w:rPr>
              <w:t>)</w:t>
            </w:r>
          </w:p>
        </w:tc>
      </w:tr>
      <w:tr w:rsidR="00E20E29" w:rsidRPr="00E20E29" w14:paraId="79CDAC0D" w14:textId="77777777" w:rsidTr="00E20E29">
        <w:trPr>
          <w:trHeight w:val="106"/>
        </w:trPr>
        <w:tc>
          <w:tcPr>
            <w:tcW w:w="1980" w:type="dxa"/>
            <w:vMerge w:val="restart"/>
            <w:shd w:val="clear" w:color="auto" w:fill="A8D08D" w:themeFill="accent6" w:themeFillTint="99"/>
            <w:vAlign w:val="center"/>
            <w:hideMark/>
          </w:tcPr>
          <w:p w14:paraId="53B823D8" w14:textId="77777777" w:rsidR="00E20E29" w:rsidRPr="00E20E29" w:rsidRDefault="00E20E29" w:rsidP="00E20E29">
            <w:pPr>
              <w:jc w:val="center"/>
              <w:rPr>
                <w:rFonts w:eastAsia="Times New Roman" w:cs="Times New Roman"/>
                <w:b/>
                <w:bCs/>
                <w:color w:val="000000"/>
                <w:sz w:val="22"/>
                <w:szCs w:val="22"/>
                <w:lang w:eastAsia="lv-LV"/>
              </w:rPr>
            </w:pPr>
            <w:r w:rsidRPr="00E20E29">
              <w:rPr>
                <w:rFonts w:eastAsia="Times New Roman" w:cs="Times New Roman"/>
                <w:b/>
                <w:bCs/>
                <w:color w:val="000000"/>
                <w:sz w:val="22"/>
                <w:szCs w:val="22"/>
                <w:lang w:eastAsia="lv-LV"/>
              </w:rPr>
              <w:t>Cilvēkresursu attīstības veicināšana laukiem</w:t>
            </w:r>
          </w:p>
        </w:tc>
        <w:tc>
          <w:tcPr>
            <w:tcW w:w="7087" w:type="dxa"/>
            <w:shd w:val="clear" w:color="000000" w:fill="EBF1E9"/>
            <w:vAlign w:val="bottom"/>
            <w:hideMark/>
          </w:tcPr>
          <w:p w14:paraId="5A43E5A4" w14:textId="7747D103" w:rsidR="00E20E29" w:rsidRPr="00E20E29" w:rsidRDefault="00E20E29" w:rsidP="00E20E29">
            <w:pPr>
              <w:jc w:val="center"/>
              <w:rPr>
                <w:rFonts w:eastAsia="Times New Roman" w:cs="Times New Roman"/>
                <w:color w:val="000000"/>
                <w:sz w:val="22"/>
                <w:szCs w:val="22"/>
                <w:lang w:eastAsia="lv-LV"/>
              </w:rPr>
            </w:pPr>
            <w:r w:rsidRPr="00E20E29">
              <w:rPr>
                <w:rFonts w:eastAsia="Times New Roman" w:cs="Times New Roman"/>
                <w:color w:val="000000"/>
                <w:sz w:val="22"/>
                <w:szCs w:val="22"/>
                <w:lang w:eastAsia="lv-LV"/>
              </w:rPr>
              <w:t>Saimniecību vadītāju ar profesionālo vai augstāko izglītību īpatsvars kopējā saimniecību vadītāju skaitā</w:t>
            </w:r>
            <w:r w:rsidR="00EE7EF4">
              <w:rPr>
                <w:rFonts w:eastAsia="Times New Roman" w:cs="Times New Roman"/>
                <w:color w:val="000000"/>
                <w:sz w:val="22"/>
                <w:szCs w:val="22"/>
                <w:lang w:eastAsia="lv-LV"/>
              </w:rPr>
              <w:t xml:space="preserve"> (</w:t>
            </w:r>
            <w:r w:rsidRPr="00E20E29">
              <w:rPr>
                <w:rFonts w:eastAsia="Times New Roman" w:cs="Times New Roman"/>
                <w:color w:val="000000"/>
                <w:sz w:val="22"/>
                <w:szCs w:val="22"/>
                <w:lang w:eastAsia="lv-LV"/>
              </w:rPr>
              <w:t>%</w:t>
            </w:r>
            <w:r w:rsidR="00EE7EF4">
              <w:rPr>
                <w:rFonts w:eastAsia="Times New Roman" w:cs="Times New Roman"/>
                <w:color w:val="000000"/>
                <w:sz w:val="22"/>
                <w:szCs w:val="22"/>
                <w:lang w:eastAsia="lv-LV"/>
              </w:rPr>
              <w:t>)</w:t>
            </w:r>
          </w:p>
        </w:tc>
      </w:tr>
      <w:tr w:rsidR="00E20E29" w:rsidRPr="00E20E29" w14:paraId="4966F098" w14:textId="77777777" w:rsidTr="00E20E29">
        <w:trPr>
          <w:trHeight w:val="296"/>
        </w:trPr>
        <w:tc>
          <w:tcPr>
            <w:tcW w:w="1980" w:type="dxa"/>
            <w:vMerge/>
            <w:shd w:val="clear" w:color="auto" w:fill="A8D08D" w:themeFill="accent6" w:themeFillTint="99"/>
            <w:vAlign w:val="center"/>
            <w:hideMark/>
          </w:tcPr>
          <w:p w14:paraId="624E6901" w14:textId="77777777" w:rsidR="00E20E29" w:rsidRPr="00E20E29" w:rsidRDefault="00E20E29" w:rsidP="00E20E29">
            <w:pPr>
              <w:rPr>
                <w:rFonts w:eastAsia="Times New Roman" w:cs="Times New Roman"/>
                <w:b/>
                <w:bCs/>
                <w:color w:val="000000"/>
                <w:sz w:val="22"/>
                <w:szCs w:val="22"/>
                <w:lang w:eastAsia="lv-LV"/>
              </w:rPr>
            </w:pPr>
          </w:p>
        </w:tc>
        <w:tc>
          <w:tcPr>
            <w:tcW w:w="7087" w:type="dxa"/>
            <w:shd w:val="clear" w:color="000000" w:fill="EBF1E9"/>
            <w:vAlign w:val="bottom"/>
            <w:hideMark/>
          </w:tcPr>
          <w:p w14:paraId="751F35FC" w14:textId="1EAED567" w:rsidR="00E20E29" w:rsidRPr="00E20E29" w:rsidRDefault="00E20E29" w:rsidP="00E20E29">
            <w:pPr>
              <w:jc w:val="center"/>
              <w:rPr>
                <w:rFonts w:eastAsia="Times New Roman" w:cs="Times New Roman"/>
                <w:color w:val="000000"/>
                <w:sz w:val="22"/>
                <w:szCs w:val="22"/>
                <w:lang w:eastAsia="lv-LV"/>
              </w:rPr>
            </w:pPr>
            <w:r w:rsidRPr="00E20E29">
              <w:rPr>
                <w:rFonts w:eastAsia="Times New Roman" w:cs="Times New Roman"/>
                <w:color w:val="000000"/>
                <w:sz w:val="22"/>
                <w:szCs w:val="22"/>
                <w:lang w:eastAsia="lv-LV"/>
              </w:rPr>
              <w:t>Saimniecību</w:t>
            </w:r>
            <w:r w:rsidR="00EE7EF4" w:rsidRPr="00E20E29">
              <w:rPr>
                <w:rFonts w:eastAsia="Times New Roman" w:cs="Times New Roman"/>
                <w:color w:val="000000"/>
                <w:sz w:val="22"/>
                <w:szCs w:val="22"/>
                <w:lang w:eastAsia="lv-LV"/>
              </w:rPr>
              <w:t xml:space="preserve"> īpatsvars</w:t>
            </w:r>
            <w:r w:rsidRPr="00E20E29">
              <w:rPr>
                <w:rFonts w:eastAsia="Times New Roman" w:cs="Times New Roman"/>
                <w:color w:val="000000"/>
                <w:sz w:val="22"/>
                <w:szCs w:val="22"/>
                <w:lang w:eastAsia="lv-LV"/>
              </w:rPr>
              <w:t>, kurām sniegtas LLKC konsultācijas lauksaimniecības / mežsaimniecības / zivsaimniecības jautājumos, no kopējā lauku saimniecību skaita</w:t>
            </w:r>
            <w:r w:rsidR="00EE7EF4">
              <w:rPr>
                <w:rFonts w:eastAsia="Times New Roman" w:cs="Times New Roman"/>
                <w:color w:val="000000"/>
                <w:sz w:val="22"/>
                <w:szCs w:val="22"/>
                <w:lang w:eastAsia="lv-LV"/>
              </w:rPr>
              <w:t xml:space="preserve"> (%)</w:t>
            </w:r>
          </w:p>
        </w:tc>
      </w:tr>
      <w:tr w:rsidR="00E20E29" w:rsidRPr="00E20E29" w14:paraId="1082E097" w14:textId="77777777" w:rsidTr="00E20E29">
        <w:trPr>
          <w:trHeight w:val="237"/>
        </w:trPr>
        <w:tc>
          <w:tcPr>
            <w:tcW w:w="1980" w:type="dxa"/>
            <w:vMerge w:val="restart"/>
            <w:shd w:val="clear" w:color="auto" w:fill="A8D08D" w:themeFill="accent6" w:themeFillTint="99"/>
            <w:vAlign w:val="center"/>
            <w:hideMark/>
          </w:tcPr>
          <w:p w14:paraId="0D28CE5D" w14:textId="77777777" w:rsidR="00E20E29" w:rsidRPr="00E20E29" w:rsidRDefault="00E20E29" w:rsidP="00E20E29">
            <w:pPr>
              <w:jc w:val="center"/>
              <w:rPr>
                <w:rFonts w:eastAsia="Times New Roman" w:cs="Times New Roman"/>
                <w:b/>
                <w:bCs/>
                <w:color w:val="000000"/>
                <w:sz w:val="22"/>
                <w:szCs w:val="22"/>
                <w:lang w:eastAsia="lv-LV"/>
              </w:rPr>
            </w:pPr>
            <w:r w:rsidRPr="00E20E29">
              <w:rPr>
                <w:rFonts w:eastAsia="Times New Roman" w:cs="Times New Roman"/>
                <w:b/>
                <w:bCs/>
                <w:color w:val="000000"/>
                <w:sz w:val="22"/>
                <w:szCs w:val="22"/>
                <w:lang w:eastAsia="lv-LV"/>
              </w:rPr>
              <w:lastRenderedPageBreak/>
              <w:t xml:space="preserve">Dabas resursu  ilgtspējības saglabāšana </w:t>
            </w:r>
          </w:p>
        </w:tc>
        <w:tc>
          <w:tcPr>
            <w:tcW w:w="7087" w:type="dxa"/>
            <w:shd w:val="clear" w:color="000000" w:fill="EBF1E9"/>
            <w:vAlign w:val="bottom"/>
            <w:hideMark/>
          </w:tcPr>
          <w:p w14:paraId="718182C6" w14:textId="2CE4D2AE" w:rsidR="00E20E29" w:rsidRPr="00E20E29" w:rsidRDefault="00E20E29" w:rsidP="00E20E29">
            <w:pPr>
              <w:jc w:val="center"/>
              <w:rPr>
                <w:rFonts w:eastAsia="Times New Roman" w:cs="Times New Roman"/>
                <w:color w:val="000000"/>
                <w:sz w:val="22"/>
                <w:szCs w:val="22"/>
                <w:lang w:eastAsia="lv-LV"/>
              </w:rPr>
            </w:pPr>
            <w:r w:rsidRPr="00E20E29">
              <w:rPr>
                <w:rFonts w:eastAsia="Times New Roman" w:cs="Times New Roman"/>
                <w:color w:val="000000"/>
                <w:sz w:val="22"/>
                <w:szCs w:val="22"/>
                <w:lang w:eastAsia="lv-LV"/>
              </w:rPr>
              <w:t xml:space="preserve">Publiski pieejamo iekšējo ūdeņu zivju resursu papildinājums ar zivju kāpuriem, mazuļiem un </w:t>
            </w:r>
            <w:proofErr w:type="spellStart"/>
            <w:r w:rsidRPr="00E20E29">
              <w:rPr>
                <w:rFonts w:eastAsia="Times New Roman" w:cs="Times New Roman"/>
                <w:color w:val="000000"/>
                <w:sz w:val="22"/>
                <w:szCs w:val="22"/>
                <w:lang w:eastAsia="lv-LV"/>
              </w:rPr>
              <w:t>smoltiem</w:t>
            </w:r>
            <w:proofErr w:type="spellEnd"/>
            <w:r w:rsidRPr="00E20E29">
              <w:rPr>
                <w:rFonts w:eastAsia="Times New Roman" w:cs="Times New Roman"/>
                <w:color w:val="000000"/>
                <w:sz w:val="22"/>
                <w:szCs w:val="22"/>
                <w:lang w:eastAsia="lv-LV"/>
              </w:rPr>
              <w:t>, tai skaitā nēģu kāpuriem</w:t>
            </w:r>
            <w:r w:rsidR="00EE7EF4">
              <w:rPr>
                <w:rFonts w:eastAsia="Times New Roman" w:cs="Times New Roman"/>
                <w:color w:val="000000"/>
                <w:sz w:val="22"/>
                <w:szCs w:val="22"/>
                <w:lang w:eastAsia="lv-LV"/>
              </w:rPr>
              <w:t xml:space="preserve"> (</w:t>
            </w:r>
            <w:r w:rsidRPr="00E20E29">
              <w:rPr>
                <w:rFonts w:eastAsia="Times New Roman" w:cs="Times New Roman"/>
                <w:color w:val="000000"/>
                <w:sz w:val="22"/>
                <w:szCs w:val="22"/>
                <w:lang w:eastAsia="lv-LV"/>
              </w:rPr>
              <w:t>milj.</w:t>
            </w:r>
            <w:r w:rsidR="00EE7EF4">
              <w:rPr>
                <w:rFonts w:eastAsia="Times New Roman" w:cs="Times New Roman"/>
                <w:color w:val="000000"/>
                <w:sz w:val="22"/>
                <w:szCs w:val="22"/>
                <w:lang w:eastAsia="lv-LV"/>
              </w:rPr>
              <w:t xml:space="preserve"> </w:t>
            </w:r>
            <w:r w:rsidRPr="00E20E29">
              <w:rPr>
                <w:rFonts w:eastAsia="Times New Roman" w:cs="Times New Roman"/>
                <w:color w:val="000000"/>
                <w:sz w:val="22"/>
                <w:szCs w:val="22"/>
                <w:lang w:eastAsia="lv-LV"/>
              </w:rPr>
              <w:t>gab.</w:t>
            </w:r>
            <w:r w:rsidR="00EE7EF4">
              <w:rPr>
                <w:rFonts w:eastAsia="Times New Roman" w:cs="Times New Roman"/>
                <w:color w:val="000000"/>
                <w:sz w:val="22"/>
                <w:szCs w:val="22"/>
                <w:lang w:eastAsia="lv-LV"/>
              </w:rPr>
              <w:t>)</w:t>
            </w:r>
          </w:p>
        </w:tc>
      </w:tr>
      <w:tr w:rsidR="00E20E29" w:rsidRPr="00E20E29" w14:paraId="2CC38527" w14:textId="77777777" w:rsidTr="00E20E29">
        <w:trPr>
          <w:trHeight w:val="70"/>
        </w:trPr>
        <w:tc>
          <w:tcPr>
            <w:tcW w:w="1980" w:type="dxa"/>
            <w:vMerge/>
            <w:shd w:val="clear" w:color="auto" w:fill="A8D08D" w:themeFill="accent6" w:themeFillTint="99"/>
            <w:vAlign w:val="center"/>
            <w:hideMark/>
          </w:tcPr>
          <w:p w14:paraId="07EEC1AC" w14:textId="77777777" w:rsidR="00E20E29" w:rsidRPr="00E20E29" w:rsidRDefault="00E20E29" w:rsidP="00E20E29">
            <w:pPr>
              <w:rPr>
                <w:rFonts w:eastAsia="Times New Roman" w:cs="Times New Roman"/>
                <w:b/>
                <w:bCs/>
                <w:color w:val="000000"/>
                <w:sz w:val="22"/>
                <w:szCs w:val="22"/>
                <w:lang w:eastAsia="lv-LV"/>
              </w:rPr>
            </w:pPr>
          </w:p>
        </w:tc>
        <w:tc>
          <w:tcPr>
            <w:tcW w:w="7087" w:type="dxa"/>
            <w:shd w:val="clear" w:color="000000" w:fill="EBF1E9"/>
            <w:vAlign w:val="bottom"/>
            <w:hideMark/>
          </w:tcPr>
          <w:p w14:paraId="6D889B87" w14:textId="1AC40851" w:rsidR="00E20E29" w:rsidRPr="00E20E29" w:rsidRDefault="00E20E29" w:rsidP="00E20E29">
            <w:pPr>
              <w:jc w:val="center"/>
              <w:rPr>
                <w:rFonts w:eastAsia="Times New Roman" w:cs="Times New Roman"/>
                <w:color w:val="000000"/>
                <w:sz w:val="22"/>
                <w:szCs w:val="22"/>
                <w:lang w:eastAsia="lv-LV"/>
              </w:rPr>
            </w:pPr>
            <w:r w:rsidRPr="00E20E29">
              <w:rPr>
                <w:rFonts w:eastAsia="Times New Roman" w:cs="Times New Roman"/>
                <w:color w:val="000000"/>
                <w:sz w:val="22"/>
                <w:szCs w:val="22"/>
                <w:lang w:eastAsia="lv-LV"/>
              </w:rPr>
              <w:t>Augošu koku krāja</w:t>
            </w:r>
            <w:r w:rsidR="00EE7EF4">
              <w:rPr>
                <w:rFonts w:eastAsia="Times New Roman" w:cs="Times New Roman"/>
                <w:color w:val="000000"/>
                <w:sz w:val="22"/>
                <w:szCs w:val="22"/>
                <w:lang w:eastAsia="lv-LV"/>
              </w:rPr>
              <w:t xml:space="preserve"> (</w:t>
            </w:r>
            <w:r w:rsidRPr="00E20E29">
              <w:rPr>
                <w:rFonts w:eastAsia="Times New Roman" w:cs="Times New Roman"/>
                <w:color w:val="000000"/>
                <w:sz w:val="22"/>
                <w:szCs w:val="22"/>
                <w:lang w:eastAsia="lv-LV"/>
              </w:rPr>
              <w:t>milj. m</w:t>
            </w:r>
            <w:r w:rsidRPr="00E20E29">
              <w:rPr>
                <w:rFonts w:eastAsia="Times New Roman" w:cs="Times New Roman"/>
                <w:color w:val="000000"/>
                <w:sz w:val="22"/>
                <w:szCs w:val="22"/>
                <w:vertAlign w:val="superscript"/>
                <w:lang w:eastAsia="lv-LV"/>
              </w:rPr>
              <w:t>3</w:t>
            </w:r>
            <w:r w:rsidR="00EE7EF4">
              <w:rPr>
                <w:rFonts w:eastAsia="Times New Roman" w:cs="Times New Roman"/>
                <w:color w:val="000000"/>
                <w:sz w:val="22"/>
                <w:szCs w:val="22"/>
                <w:lang w:eastAsia="lv-LV"/>
              </w:rPr>
              <w:t>)</w:t>
            </w:r>
          </w:p>
        </w:tc>
      </w:tr>
      <w:tr w:rsidR="00E20E29" w:rsidRPr="00E20E29" w14:paraId="6DEE42EE" w14:textId="77777777" w:rsidTr="00E20E29">
        <w:trPr>
          <w:trHeight w:val="177"/>
        </w:trPr>
        <w:tc>
          <w:tcPr>
            <w:tcW w:w="1980" w:type="dxa"/>
            <w:vMerge/>
            <w:shd w:val="clear" w:color="auto" w:fill="A8D08D" w:themeFill="accent6" w:themeFillTint="99"/>
            <w:vAlign w:val="center"/>
            <w:hideMark/>
          </w:tcPr>
          <w:p w14:paraId="63D7ED6D" w14:textId="77777777" w:rsidR="00E20E29" w:rsidRPr="00E20E29" w:rsidRDefault="00E20E29" w:rsidP="00E20E29">
            <w:pPr>
              <w:rPr>
                <w:rFonts w:eastAsia="Times New Roman" w:cs="Times New Roman"/>
                <w:b/>
                <w:bCs/>
                <w:color w:val="000000"/>
                <w:sz w:val="22"/>
                <w:szCs w:val="22"/>
                <w:lang w:eastAsia="lv-LV"/>
              </w:rPr>
            </w:pPr>
          </w:p>
        </w:tc>
        <w:tc>
          <w:tcPr>
            <w:tcW w:w="7087" w:type="dxa"/>
            <w:shd w:val="clear" w:color="000000" w:fill="EBF1E9"/>
            <w:vAlign w:val="bottom"/>
            <w:hideMark/>
          </w:tcPr>
          <w:p w14:paraId="6DBC5AA4" w14:textId="30F04F56" w:rsidR="00E20E29" w:rsidRPr="00E20E29" w:rsidRDefault="00E20E29" w:rsidP="00E20E29">
            <w:pPr>
              <w:jc w:val="center"/>
              <w:rPr>
                <w:rFonts w:eastAsia="Times New Roman" w:cs="Times New Roman"/>
                <w:color w:val="000000"/>
                <w:sz w:val="22"/>
                <w:szCs w:val="22"/>
                <w:lang w:eastAsia="lv-LV"/>
              </w:rPr>
            </w:pPr>
            <w:r w:rsidRPr="00E20E29">
              <w:rPr>
                <w:rFonts w:eastAsia="Times New Roman" w:cs="Times New Roman"/>
                <w:color w:val="000000"/>
                <w:sz w:val="22"/>
                <w:szCs w:val="22"/>
                <w:lang w:eastAsia="lv-LV"/>
              </w:rPr>
              <w:t>Saimniecību īpatsvars, kuras audzē kultūraugus saskaņā ar vadlīnijām integrētai audzēšanai</w:t>
            </w:r>
            <w:r w:rsidR="00EE7EF4">
              <w:rPr>
                <w:rFonts w:eastAsia="Times New Roman" w:cs="Times New Roman"/>
                <w:color w:val="000000"/>
                <w:sz w:val="22"/>
                <w:szCs w:val="22"/>
                <w:lang w:eastAsia="lv-LV"/>
              </w:rPr>
              <w:t xml:space="preserve"> (</w:t>
            </w:r>
            <w:r w:rsidRPr="00E20E29">
              <w:rPr>
                <w:rFonts w:eastAsia="Times New Roman" w:cs="Times New Roman"/>
                <w:color w:val="000000"/>
                <w:sz w:val="22"/>
                <w:szCs w:val="22"/>
                <w:lang w:eastAsia="lv-LV"/>
              </w:rPr>
              <w:t>%</w:t>
            </w:r>
            <w:r w:rsidR="00EE7EF4">
              <w:rPr>
                <w:rFonts w:eastAsia="Times New Roman" w:cs="Times New Roman"/>
                <w:color w:val="000000"/>
                <w:sz w:val="22"/>
                <w:szCs w:val="22"/>
                <w:lang w:eastAsia="lv-LV"/>
              </w:rPr>
              <w:t>)</w:t>
            </w:r>
          </w:p>
        </w:tc>
      </w:tr>
      <w:tr w:rsidR="00E20E29" w:rsidRPr="00E20E29" w14:paraId="77263A8F" w14:textId="77777777" w:rsidTr="00E20E29">
        <w:trPr>
          <w:trHeight w:val="70"/>
        </w:trPr>
        <w:tc>
          <w:tcPr>
            <w:tcW w:w="1980" w:type="dxa"/>
            <w:vMerge/>
            <w:shd w:val="clear" w:color="auto" w:fill="A8D08D" w:themeFill="accent6" w:themeFillTint="99"/>
            <w:vAlign w:val="center"/>
            <w:hideMark/>
          </w:tcPr>
          <w:p w14:paraId="688AA051" w14:textId="77777777" w:rsidR="00E20E29" w:rsidRPr="00E20E29" w:rsidRDefault="00E20E29" w:rsidP="00E20E29">
            <w:pPr>
              <w:rPr>
                <w:rFonts w:eastAsia="Times New Roman" w:cs="Times New Roman"/>
                <w:b/>
                <w:bCs/>
                <w:color w:val="000000"/>
                <w:sz w:val="22"/>
                <w:szCs w:val="22"/>
                <w:lang w:eastAsia="lv-LV"/>
              </w:rPr>
            </w:pPr>
          </w:p>
        </w:tc>
        <w:tc>
          <w:tcPr>
            <w:tcW w:w="7087" w:type="dxa"/>
            <w:shd w:val="clear" w:color="000000" w:fill="EBF1E9"/>
            <w:vAlign w:val="bottom"/>
            <w:hideMark/>
          </w:tcPr>
          <w:p w14:paraId="29352702" w14:textId="66C96203" w:rsidR="00E20E29" w:rsidRPr="00E20E29" w:rsidRDefault="00E20E29" w:rsidP="00E20E29">
            <w:pPr>
              <w:jc w:val="center"/>
              <w:rPr>
                <w:rFonts w:eastAsia="Times New Roman" w:cs="Times New Roman"/>
                <w:color w:val="000000"/>
                <w:sz w:val="22"/>
                <w:szCs w:val="22"/>
                <w:lang w:eastAsia="lv-LV"/>
              </w:rPr>
            </w:pPr>
            <w:r w:rsidRPr="00E20E29">
              <w:rPr>
                <w:rFonts w:eastAsia="Times New Roman" w:cs="Times New Roman"/>
                <w:color w:val="000000"/>
                <w:sz w:val="22"/>
                <w:szCs w:val="22"/>
                <w:lang w:eastAsia="lv-LV"/>
              </w:rPr>
              <w:t>Nekoptas vai neapstrādātas LIZ īpatsvars</w:t>
            </w:r>
            <w:r w:rsidR="00EE7EF4">
              <w:rPr>
                <w:rFonts w:eastAsia="Times New Roman" w:cs="Times New Roman"/>
                <w:color w:val="000000"/>
                <w:sz w:val="22"/>
                <w:szCs w:val="22"/>
                <w:lang w:eastAsia="lv-LV"/>
              </w:rPr>
              <w:t xml:space="preserve"> (</w:t>
            </w:r>
            <w:r w:rsidRPr="00E20E29">
              <w:rPr>
                <w:rFonts w:eastAsia="Times New Roman" w:cs="Times New Roman"/>
                <w:color w:val="000000"/>
                <w:sz w:val="22"/>
                <w:szCs w:val="22"/>
                <w:lang w:eastAsia="lv-LV"/>
              </w:rPr>
              <w:t>%</w:t>
            </w:r>
            <w:r w:rsidR="00EE7EF4">
              <w:rPr>
                <w:rFonts w:eastAsia="Times New Roman" w:cs="Times New Roman"/>
                <w:color w:val="000000"/>
                <w:sz w:val="22"/>
                <w:szCs w:val="22"/>
                <w:lang w:eastAsia="lv-LV"/>
              </w:rPr>
              <w:t>)</w:t>
            </w:r>
          </w:p>
        </w:tc>
      </w:tr>
      <w:tr w:rsidR="00E20E29" w:rsidRPr="00E20E29" w14:paraId="2BA7CD0E" w14:textId="77777777" w:rsidTr="00E20E29">
        <w:trPr>
          <w:trHeight w:val="70"/>
        </w:trPr>
        <w:tc>
          <w:tcPr>
            <w:tcW w:w="1980" w:type="dxa"/>
            <w:vMerge/>
            <w:shd w:val="clear" w:color="auto" w:fill="A8D08D" w:themeFill="accent6" w:themeFillTint="99"/>
            <w:vAlign w:val="center"/>
            <w:hideMark/>
          </w:tcPr>
          <w:p w14:paraId="10A1810E" w14:textId="77777777" w:rsidR="00E20E29" w:rsidRPr="00E20E29" w:rsidRDefault="00E20E29" w:rsidP="00E20E29">
            <w:pPr>
              <w:rPr>
                <w:rFonts w:eastAsia="Times New Roman" w:cs="Times New Roman"/>
                <w:b/>
                <w:bCs/>
                <w:color w:val="000000"/>
                <w:sz w:val="22"/>
                <w:szCs w:val="22"/>
                <w:lang w:eastAsia="lv-LV"/>
              </w:rPr>
            </w:pPr>
          </w:p>
        </w:tc>
        <w:tc>
          <w:tcPr>
            <w:tcW w:w="7087" w:type="dxa"/>
            <w:shd w:val="clear" w:color="000000" w:fill="EBF1E9"/>
            <w:vAlign w:val="bottom"/>
            <w:hideMark/>
          </w:tcPr>
          <w:p w14:paraId="1EE0A85D" w14:textId="4D5B5722" w:rsidR="00E20E29" w:rsidRPr="00E20E29" w:rsidRDefault="00E20E29" w:rsidP="00E20E29">
            <w:pPr>
              <w:jc w:val="center"/>
              <w:rPr>
                <w:rFonts w:eastAsia="Times New Roman" w:cs="Times New Roman"/>
                <w:color w:val="000000"/>
                <w:sz w:val="22"/>
                <w:szCs w:val="22"/>
                <w:lang w:eastAsia="lv-LV"/>
              </w:rPr>
            </w:pPr>
            <w:r w:rsidRPr="00E20E29">
              <w:rPr>
                <w:rFonts w:eastAsia="Times New Roman" w:cs="Times New Roman"/>
                <w:color w:val="000000"/>
                <w:sz w:val="22"/>
                <w:szCs w:val="22"/>
                <w:lang w:eastAsia="lv-LV"/>
              </w:rPr>
              <w:t xml:space="preserve">AAL uz LIZ </w:t>
            </w:r>
            <w:r w:rsidR="00EE7EF4">
              <w:rPr>
                <w:rFonts w:eastAsia="Times New Roman" w:cs="Times New Roman"/>
                <w:color w:val="000000"/>
                <w:sz w:val="22"/>
                <w:szCs w:val="22"/>
                <w:lang w:eastAsia="lv-LV"/>
              </w:rPr>
              <w:t>(</w:t>
            </w:r>
            <w:r w:rsidRPr="00E20E29">
              <w:rPr>
                <w:rFonts w:eastAsia="Times New Roman" w:cs="Times New Roman"/>
                <w:color w:val="000000"/>
                <w:sz w:val="22"/>
                <w:szCs w:val="22"/>
                <w:lang w:eastAsia="lv-LV"/>
              </w:rPr>
              <w:t>kg/ha</w:t>
            </w:r>
            <w:r w:rsidR="00EE7EF4">
              <w:rPr>
                <w:rFonts w:eastAsia="Times New Roman" w:cs="Times New Roman"/>
                <w:color w:val="000000"/>
                <w:sz w:val="22"/>
                <w:szCs w:val="22"/>
                <w:lang w:eastAsia="lv-LV"/>
              </w:rPr>
              <w:t>)</w:t>
            </w:r>
          </w:p>
        </w:tc>
      </w:tr>
      <w:tr w:rsidR="00E20E29" w:rsidRPr="00E20E29" w14:paraId="49EA375B" w14:textId="77777777" w:rsidTr="00EE7EF4">
        <w:trPr>
          <w:trHeight w:val="70"/>
        </w:trPr>
        <w:tc>
          <w:tcPr>
            <w:tcW w:w="1980" w:type="dxa"/>
            <w:vMerge/>
            <w:shd w:val="clear" w:color="auto" w:fill="A8D08D" w:themeFill="accent6" w:themeFillTint="99"/>
            <w:vAlign w:val="center"/>
            <w:hideMark/>
          </w:tcPr>
          <w:p w14:paraId="5F7260AF" w14:textId="77777777" w:rsidR="00E20E29" w:rsidRPr="00E20E29" w:rsidRDefault="00E20E29" w:rsidP="00E20E29">
            <w:pPr>
              <w:rPr>
                <w:rFonts w:eastAsia="Times New Roman" w:cs="Times New Roman"/>
                <w:b/>
                <w:bCs/>
                <w:color w:val="000000"/>
                <w:sz w:val="22"/>
                <w:szCs w:val="22"/>
                <w:lang w:eastAsia="lv-LV"/>
              </w:rPr>
            </w:pPr>
          </w:p>
        </w:tc>
        <w:tc>
          <w:tcPr>
            <w:tcW w:w="7087" w:type="dxa"/>
            <w:shd w:val="clear" w:color="000000" w:fill="EBF1E9"/>
            <w:vAlign w:val="bottom"/>
            <w:hideMark/>
          </w:tcPr>
          <w:p w14:paraId="41F4082B" w14:textId="2F870C3A" w:rsidR="00E20E29" w:rsidRPr="00E20E29" w:rsidRDefault="00E20E29" w:rsidP="00E20E29">
            <w:pPr>
              <w:jc w:val="center"/>
              <w:rPr>
                <w:rFonts w:eastAsia="Times New Roman" w:cs="Times New Roman"/>
                <w:color w:val="000000"/>
                <w:sz w:val="22"/>
                <w:szCs w:val="22"/>
                <w:lang w:eastAsia="lv-LV"/>
              </w:rPr>
            </w:pPr>
            <w:r w:rsidRPr="00E20E29">
              <w:rPr>
                <w:rFonts w:eastAsia="Times New Roman" w:cs="Times New Roman"/>
                <w:color w:val="000000"/>
                <w:sz w:val="22"/>
                <w:szCs w:val="22"/>
                <w:lang w:eastAsia="lv-LV"/>
              </w:rPr>
              <w:t>Esošo augu karantīnas organismi</w:t>
            </w:r>
            <w:r w:rsidR="00EE7EF4">
              <w:rPr>
                <w:rFonts w:eastAsia="Times New Roman" w:cs="Times New Roman"/>
                <w:color w:val="000000"/>
                <w:sz w:val="22"/>
                <w:szCs w:val="22"/>
                <w:lang w:eastAsia="lv-LV"/>
              </w:rPr>
              <w:t xml:space="preserve"> (</w:t>
            </w:r>
            <w:r w:rsidRPr="00E20E29">
              <w:rPr>
                <w:rFonts w:eastAsia="Times New Roman" w:cs="Times New Roman"/>
                <w:color w:val="000000"/>
                <w:sz w:val="22"/>
                <w:szCs w:val="22"/>
                <w:lang w:eastAsia="lv-LV"/>
              </w:rPr>
              <w:t>skaits</w:t>
            </w:r>
            <w:r w:rsidR="00EE7EF4">
              <w:rPr>
                <w:rFonts w:eastAsia="Times New Roman" w:cs="Times New Roman"/>
                <w:color w:val="000000"/>
                <w:sz w:val="22"/>
                <w:szCs w:val="22"/>
                <w:lang w:eastAsia="lv-LV"/>
              </w:rPr>
              <w:t>)</w:t>
            </w:r>
          </w:p>
        </w:tc>
      </w:tr>
      <w:tr w:rsidR="00E20E29" w:rsidRPr="00E20E29" w14:paraId="5DB6B772" w14:textId="77777777" w:rsidTr="00EE7EF4">
        <w:trPr>
          <w:trHeight w:val="70"/>
        </w:trPr>
        <w:tc>
          <w:tcPr>
            <w:tcW w:w="1980" w:type="dxa"/>
            <w:vMerge w:val="restart"/>
            <w:shd w:val="clear" w:color="auto" w:fill="A8D08D" w:themeFill="accent6" w:themeFillTint="99"/>
            <w:vAlign w:val="center"/>
            <w:hideMark/>
          </w:tcPr>
          <w:p w14:paraId="395A80D1" w14:textId="77777777" w:rsidR="00E20E29" w:rsidRPr="00E20E29" w:rsidRDefault="00E20E29" w:rsidP="00E20E29">
            <w:pPr>
              <w:jc w:val="center"/>
              <w:rPr>
                <w:rFonts w:eastAsia="Times New Roman" w:cs="Times New Roman"/>
                <w:b/>
                <w:bCs/>
                <w:color w:val="000000"/>
                <w:sz w:val="22"/>
                <w:szCs w:val="22"/>
                <w:lang w:eastAsia="lv-LV"/>
              </w:rPr>
            </w:pPr>
            <w:r w:rsidRPr="00E20E29">
              <w:rPr>
                <w:rFonts w:eastAsia="Times New Roman" w:cs="Times New Roman"/>
                <w:b/>
                <w:bCs/>
                <w:color w:val="000000"/>
                <w:sz w:val="22"/>
                <w:szCs w:val="22"/>
                <w:lang w:eastAsia="lv-LV"/>
              </w:rPr>
              <w:t>Nozaru vadība un politikas plānošana</w:t>
            </w:r>
          </w:p>
        </w:tc>
        <w:tc>
          <w:tcPr>
            <w:tcW w:w="7087" w:type="dxa"/>
            <w:shd w:val="clear" w:color="000000" w:fill="EBF1E9"/>
            <w:vAlign w:val="bottom"/>
            <w:hideMark/>
          </w:tcPr>
          <w:p w14:paraId="2ABC5C2A" w14:textId="550D6B92" w:rsidR="00E20E29" w:rsidRDefault="00E20E29" w:rsidP="00E20E29">
            <w:pPr>
              <w:jc w:val="center"/>
              <w:rPr>
                <w:rFonts w:eastAsia="Times New Roman" w:cs="Times New Roman"/>
                <w:color w:val="000000"/>
                <w:sz w:val="22"/>
                <w:szCs w:val="22"/>
                <w:lang w:eastAsia="lv-LV"/>
              </w:rPr>
            </w:pPr>
            <w:r w:rsidRPr="00E20E29">
              <w:rPr>
                <w:rFonts w:eastAsia="Times New Roman" w:cs="Times New Roman"/>
                <w:color w:val="000000"/>
                <w:sz w:val="22"/>
                <w:szCs w:val="22"/>
                <w:lang w:eastAsia="lv-LV"/>
              </w:rPr>
              <w:t>Apmācības apmeklējušo īpatsvars no kopējo darbinieku skaita</w:t>
            </w:r>
            <w:r w:rsidR="00EE7EF4">
              <w:rPr>
                <w:rFonts w:eastAsia="Times New Roman" w:cs="Times New Roman"/>
                <w:color w:val="000000"/>
                <w:sz w:val="22"/>
                <w:szCs w:val="22"/>
                <w:lang w:eastAsia="lv-LV"/>
              </w:rPr>
              <w:t xml:space="preserve"> (</w:t>
            </w:r>
            <w:r w:rsidRPr="00E20E29">
              <w:rPr>
                <w:rFonts w:eastAsia="Times New Roman" w:cs="Times New Roman"/>
                <w:color w:val="000000"/>
                <w:sz w:val="22"/>
                <w:szCs w:val="22"/>
                <w:lang w:eastAsia="lv-LV"/>
              </w:rPr>
              <w:t>%</w:t>
            </w:r>
            <w:r w:rsidR="00EE7EF4">
              <w:rPr>
                <w:rFonts w:eastAsia="Times New Roman" w:cs="Times New Roman"/>
                <w:color w:val="000000"/>
                <w:sz w:val="22"/>
                <w:szCs w:val="22"/>
                <w:lang w:eastAsia="lv-LV"/>
              </w:rPr>
              <w:t>)</w:t>
            </w:r>
          </w:p>
          <w:p w14:paraId="600C94D6" w14:textId="3FAB53D8" w:rsidR="00E20E29" w:rsidRPr="00E20E29" w:rsidRDefault="00E20E29" w:rsidP="00E20E29">
            <w:pPr>
              <w:jc w:val="center"/>
              <w:rPr>
                <w:rFonts w:eastAsia="Times New Roman" w:cs="Times New Roman"/>
                <w:color w:val="000000"/>
                <w:sz w:val="22"/>
                <w:szCs w:val="22"/>
                <w:lang w:eastAsia="lv-LV"/>
              </w:rPr>
            </w:pPr>
          </w:p>
        </w:tc>
      </w:tr>
      <w:tr w:rsidR="00E20E29" w:rsidRPr="00E20E29" w14:paraId="7206F6CC" w14:textId="77777777" w:rsidTr="00E20E29">
        <w:trPr>
          <w:trHeight w:val="144"/>
        </w:trPr>
        <w:tc>
          <w:tcPr>
            <w:tcW w:w="1980" w:type="dxa"/>
            <w:vMerge/>
            <w:shd w:val="clear" w:color="auto" w:fill="A8D08D" w:themeFill="accent6" w:themeFillTint="99"/>
            <w:vAlign w:val="center"/>
            <w:hideMark/>
          </w:tcPr>
          <w:p w14:paraId="45A88B39" w14:textId="77777777" w:rsidR="00E20E29" w:rsidRPr="00E20E29" w:rsidRDefault="00E20E29" w:rsidP="00E20E29">
            <w:pPr>
              <w:rPr>
                <w:rFonts w:eastAsia="Times New Roman" w:cs="Times New Roman"/>
                <w:b/>
                <w:bCs/>
                <w:color w:val="000000"/>
                <w:sz w:val="22"/>
                <w:szCs w:val="22"/>
                <w:lang w:eastAsia="lv-LV"/>
              </w:rPr>
            </w:pPr>
          </w:p>
        </w:tc>
        <w:tc>
          <w:tcPr>
            <w:tcW w:w="7087" w:type="dxa"/>
            <w:shd w:val="clear" w:color="000000" w:fill="EBF1E9"/>
            <w:vAlign w:val="bottom"/>
            <w:hideMark/>
          </w:tcPr>
          <w:p w14:paraId="6DF1D861" w14:textId="2BE17B92" w:rsidR="00E20E29" w:rsidRPr="00E20E29" w:rsidRDefault="00E20E29" w:rsidP="00E20E29">
            <w:pPr>
              <w:jc w:val="center"/>
              <w:rPr>
                <w:rFonts w:eastAsia="Times New Roman" w:cs="Times New Roman"/>
                <w:color w:val="000000"/>
                <w:sz w:val="22"/>
                <w:szCs w:val="22"/>
                <w:lang w:eastAsia="lv-LV"/>
              </w:rPr>
            </w:pPr>
            <w:r w:rsidRPr="00E20E29">
              <w:rPr>
                <w:rFonts w:eastAsia="Times New Roman" w:cs="Times New Roman"/>
                <w:color w:val="000000"/>
                <w:sz w:val="22"/>
                <w:szCs w:val="22"/>
                <w:lang w:eastAsia="lv-LV"/>
              </w:rPr>
              <w:t>ZM personāla mainības īpatsvars no kopējā strādājošo skaita</w:t>
            </w:r>
            <w:r w:rsidR="00EE7EF4">
              <w:rPr>
                <w:rFonts w:eastAsia="Times New Roman" w:cs="Times New Roman"/>
                <w:color w:val="000000"/>
                <w:sz w:val="22"/>
                <w:szCs w:val="22"/>
                <w:lang w:eastAsia="lv-LV"/>
              </w:rPr>
              <w:t xml:space="preserve"> (</w:t>
            </w:r>
            <w:r w:rsidRPr="00E20E29">
              <w:rPr>
                <w:rFonts w:eastAsia="Times New Roman" w:cs="Times New Roman"/>
                <w:color w:val="000000"/>
                <w:sz w:val="22"/>
                <w:szCs w:val="22"/>
                <w:lang w:eastAsia="lv-LV"/>
              </w:rPr>
              <w:t>%</w:t>
            </w:r>
            <w:r w:rsidR="00EE7EF4">
              <w:rPr>
                <w:rFonts w:eastAsia="Times New Roman" w:cs="Times New Roman"/>
                <w:color w:val="000000"/>
                <w:sz w:val="22"/>
                <w:szCs w:val="22"/>
                <w:lang w:eastAsia="lv-LV"/>
              </w:rPr>
              <w:t>)</w:t>
            </w:r>
          </w:p>
        </w:tc>
      </w:tr>
      <w:tr w:rsidR="00E20E29" w:rsidRPr="00E20E29" w14:paraId="1F8857C7" w14:textId="77777777" w:rsidTr="00E20E29">
        <w:trPr>
          <w:trHeight w:val="392"/>
        </w:trPr>
        <w:tc>
          <w:tcPr>
            <w:tcW w:w="1980" w:type="dxa"/>
            <w:vMerge/>
            <w:shd w:val="clear" w:color="auto" w:fill="A8D08D" w:themeFill="accent6" w:themeFillTint="99"/>
            <w:vAlign w:val="center"/>
            <w:hideMark/>
          </w:tcPr>
          <w:p w14:paraId="1036F02A" w14:textId="77777777" w:rsidR="00E20E29" w:rsidRPr="00E20E29" w:rsidRDefault="00E20E29" w:rsidP="00E20E29">
            <w:pPr>
              <w:rPr>
                <w:rFonts w:eastAsia="Times New Roman" w:cs="Times New Roman"/>
                <w:b/>
                <w:bCs/>
                <w:color w:val="000000"/>
                <w:sz w:val="22"/>
                <w:szCs w:val="22"/>
                <w:lang w:eastAsia="lv-LV"/>
              </w:rPr>
            </w:pPr>
          </w:p>
        </w:tc>
        <w:tc>
          <w:tcPr>
            <w:tcW w:w="7087" w:type="dxa"/>
            <w:shd w:val="clear" w:color="000000" w:fill="EBF1E9"/>
            <w:vAlign w:val="bottom"/>
            <w:hideMark/>
          </w:tcPr>
          <w:p w14:paraId="26A83F12" w14:textId="278A8BA1" w:rsidR="00E20E29" w:rsidRPr="00E20E29" w:rsidRDefault="00E20E29" w:rsidP="00E20E29">
            <w:pPr>
              <w:jc w:val="center"/>
              <w:rPr>
                <w:rFonts w:eastAsia="Times New Roman" w:cs="Times New Roman"/>
                <w:color w:val="000000"/>
                <w:sz w:val="22"/>
                <w:szCs w:val="22"/>
                <w:lang w:eastAsia="lv-LV"/>
              </w:rPr>
            </w:pPr>
            <w:r w:rsidRPr="00E20E29">
              <w:rPr>
                <w:rFonts w:eastAsia="Times New Roman" w:cs="Times New Roman"/>
                <w:color w:val="000000"/>
                <w:sz w:val="22"/>
                <w:szCs w:val="22"/>
                <w:lang w:eastAsia="lv-LV"/>
              </w:rPr>
              <w:t xml:space="preserve">CO2 piesaiste un SEG emisiju attiecība noteiktās ZIZIMM sektora zemes uzskaites kategorijās </w:t>
            </w:r>
            <w:r w:rsidR="00EE7EF4">
              <w:rPr>
                <w:rFonts w:eastAsia="Times New Roman" w:cs="Times New Roman"/>
                <w:color w:val="000000"/>
                <w:sz w:val="22"/>
                <w:szCs w:val="22"/>
                <w:lang w:eastAsia="lv-LV"/>
              </w:rPr>
              <w:t>(</w:t>
            </w:r>
            <w:r w:rsidRPr="00E20E29">
              <w:rPr>
                <w:rFonts w:eastAsia="Times New Roman" w:cs="Times New Roman"/>
                <w:color w:val="000000"/>
                <w:sz w:val="22"/>
                <w:szCs w:val="22"/>
                <w:lang w:eastAsia="lv-LV"/>
              </w:rPr>
              <w:t xml:space="preserve">ktCO2 </w:t>
            </w:r>
            <w:proofErr w:type="spellStart"/>
            <w:r w:rsidRPr="00E20E29">
              <w:rPr>
                <w:rFonts w:eastAsia="Times New Roman" w:cs="Times New Roman"/>
                <w:color w:val="000000"/>
                <w:sz w:val="22"/>
                <w:szCs w:val="22"/>
                <w:lang w:eastAsia="lv-LV"/>
              </w:rPr>
              <w:t>ekv</w:t>
            </w:r>
            <w:proofErr w:type="spellEnd"/>
            <w:r w:rsidRPr="00E20E29">
              <w:rPr>
                <w:rFonts w:eastAsia="Times New Roman" w:cs="Times New Roman"/>
                <w:color w:val="000000"/>
                <w:sz w:val="22"/>
                <w:szCs w:val="22"/>
                <w:lang w:eastAsia="lv-LV"/>
              </w:rPr>
              <w:t>.</w:t>
            </w:r>
            <w:r w:rsidR="00EE7EF4">
              <w:rPr>
                <w:rFonts w:eastAsia="Times New Roman" w:cs="Times New Roman"/>
                <w:color w:val="000000"/>
                <w:sz w:val="22"/>
                <w:szCs w:val="22"/>
                <w:lang w:eastAsia="lv-LV"/>
              </w:rPr>
              <w:t>)</w:t>
            </w:r>
          </w:p>
        </w:tc>
      </w:tr>
    </w:tbl>
    <w:p w14:paraId="757F1B48" w14:textId="77777777" w:rsidR="00E20E29" w:rsidRDefault="00E20E29" w:rsidP="004F349D"/>
    <w:p w14:paraId="0FC95DDF" w14:textId="091B76EF" w:rsidR="00D2315B" w:rsidRDefault="00D2315B" w:rsidP="004F349D"/>
    <w:p w14:paraId="7DAE6153" w14:textId="25D89754" w:rsidR="00EE7EF4" w:rsidRDefault="00EE7EF4" w:rsidP="004F349D"/>
    <w:p w14:paraId="013233D5" w14:textId="77777777" w:rsidR="00EE7EF4" w:rsidRDefault="00EE7EF4" w:rsidP="004F349D"/>
    <w:p w14:paraId="70EBA0A4" w14:textId="4F7A734C" w:rsidR="00582CB5" w:rsidRDefault="00D2171D" w:rsidP="004F349D">
      <w:r>
        <w:t>Ministrs</w:t>
      </w:r>
      <w:r w:rsidR="004F349D">
        <w:tab/>
      </w:r>
      <w:r w:rsidR="004F349D">
        <w:tab/>
      </w:r>
      <w:r w:rsidR="004F349D">
        <w:tab/>
      </w:r>
      <w:r w:rsidR="004F349D">
        <w:tab/>
      </w:r>
      <w:r w:rsidR="004F349D">
        <w:tab/>
      </w:r>
      <w:r w:rsidR="004F349D">
        <w:tab/>
      </w:r>
      <w:r w:rsidR="004F349D">
        <w:tab/>
      </w:r>
      <w:r w:rsidR="004F349D">
        <w:tab/>
      </w:r>
      <w:r w:rsidR="004F349D">
        <w:tab/>
      </w:r>
      <w:r w:rsidR="004F349D">
        <w:tab/>
      </w:r>
      <w:r>
        <w:t>J. Reirs</w:t>
      </w:r>
    </w:p>
    <w:p w14:paraId="1A7E97C3" w14:textId="68A0B2E0" w:rsidR="00742FC4" w:rsidRDefault="00742FC4" w:rsidP="006237BF">
      <w:pPr>
        <w:rPr>
          <w:sz w:val="20"/>
          <w:szCs w:val="20"/>
        </w:rPr>
      </w:pPr>
    </w:p>
    <w:p w14:paraId="3131A18A" w14:textId="77777777" w:rsidR="00742FC4" w:rsidRPr="00742FC4" w:rsidRDefault="00742FC4" w:rsidP="00742FC4">
      <w:pPr>
        <w:rPr>
          <w:sz w:val="20"/>
          <w:szCs w:val="20"/>
        </w:rPr>
      </w:pPr>
    </w:p>
    <w:p w14:paraId="52EE19C0" w14:textId="15BEB4F2" w:rsidR="00742FC4" w:rsidRDefault="00742FC4" w:rsidP="00742FC4">
      <w:pPr>
        <w:rPr>
          <w:sz w:val="20"/>
          <w:szCs w:val="20"/>
        </w:rPr>
      </w:pPr>
    </w:p>
    <w:p w14:paraId="50305C4A" w14:textId="6A515B72" w:rsidR="00A57C7C" w:rsidRDefault="00A57C7C" w:rsidP="00742FC4">
      <w:pPr>
        <w:rPr>
          <w:sz w:val="20"/>
          <w:szCs w:val="20"/>
        </w:rPr>
      </w:pPr>
    </w:p>
    <w:p w14:paraId="4E2E1914" w14:textId="5984E6FC" w:rsidR="00A57C7C" w:rsidRDefault="00A57C7C" w:rsidP="00742FC4">
      <w:pPr>
        <w:rPr>
          <w:sz w:val="20"/>
          <w:szCs w:val="20"/>
        </w:rPr>
      </w:pPr>
    </w:p>
    <w:p w14:paraId="5A9E3FC4" w14:textId="04012377" w:rsidR="00A57C7C" w:rsidRDefault="00A57C7C" w:rsidP="00742FC4">
      <w:pPr>
        <w:rPr>
          <w:sz w:val="20"/>
          <w:szCs w:val="20"/>
        </w:rPr>
      </w:pPr>
    </w:p>
    <w:p w14:paraId="3ABA36DE" w14:textId="14D7A3B0" w:rsidR="00A57C7C" w:rsidRDefault="00A57C7C" w:rsidP="00742FC4">
      <w:pPr>
        <w:rPr>
          <w:sz w:val="20"/>
          <w:szCs w:val="20"/>
        </w:rPr>
      </w:pPr>
    </w:p>
    <w:p w14:paraId="2FAF63E4" w14:textId="7DFB1C56" w:rsidR="00A57C7C" w:rsidRDefault="00A57C7C" w:rsidP="00742FC4">
      <w:pPr>
        <w:rPr>
          <w:sz w:val="20"/>
          <w:szCs w:val="20"/>
        </w:rPr>
      </w:pPr>
    </w:p>
    <w:p w14:paraId="257B04A8" w14:textId="7B6E7852" w:rsidR="00EE7EF4" w:rsidRDefault="00EE7EF4" w:rsidP="00742FC4">
      <w:pPr>
        <w:rPr>
          <w:sz w:val="20"/>
          <w:szCs w:val="20"/>
        </w:rPr>
      </w:pPr>
    </w:p>
    <w:p w14:paraId="580AD314" w14:textId="32BE6790" w:rsidR="00EE7EF4" w:rsidRDefault="00EE7EF4" w:rsidP="00742FC4">
      <w:pPr>
        <w:rPr>
          <w:sz w:val="20"/>
          <w:szCs w:val="20"/>
        </w:rPr>
      </w:pPr>
    </w:p>
    <w:p w14:paraId="40B37740" w14:textId="3FF29B88" w:rsidR="00F30889" w:rsidRDefault="00F30889" w:rsidP="00742FC4">
      <w:pPr>
        <w:rPr>
          <w:sz w:val="20"/>
          <w:szCs w:val="20"/>
        </w:rPr>
      </w:pPr>
    </w:p>
    <w:p w14:paraId="59457C9B" w14:textId="59CA3C18" w:rsidR="00F30889" w:rsidRDefault="00F30889" w:rsidP="00742FC4">
      <w:pPr>
        <w:rPr>
          <w:sz w:val="20"/>
          <w:szCs w:val="20"/>
        </w:rPr>
      </w:pPr>
    </w:p>
    <w:p w14:paraId="3E70533D" w14:textId="77777777" w:rsidR="00F30889" w:rsidRDefault="00F30889" w:rsidP="00742FC4">
      <w:pPr>
        <w:rPr>
          <w:sz w:val="20"/>
          <w:szCs w:val="20"/>
        </w:rPr>
      </w:pPr>
    </w:p>
    <w:p w14:paraId="58FE330F" w14:textId="77777777" w:rsidR="00EE7EF4" w:rsidRDefault="00EE7EF4" w:rsidP="00742FC4">
      <w:pPr>
        <w:rPr>
          <w:sz w:val="20"/>
          <w:szCs w:val="20"/>
        </w:rPr>
      </w:pPr>
    </w:p>
    <w:p w14:paraId="1F5D5154" w14:textId="22632E3C" w:rsidR="00A57C7C" w:rsidRPr="00742FC4" w:rsidRDefault="00A57C7C" w:rsidP="00742FC4">
      <w:pPr>
        <w:rPr>
          <w:sz w:val="20"/>
          <w:szCs w:val="20"/>
        </w:rPr>
      </w:pPr>
    </w:p>
    <w:p w14:paraId="333D16C9" w14:textId="77777777" w:rsidR="00742FC4" w:rsidRPr="00295A5C" w:rsidRDefault="00742FC4" w:rsidP="00295A5C">
      <w:pPr>
        <w:rPr>
          <w:sz w:val="20"/>
          <w:szCs w:val="20"/>
        </w:rPr>
      </w:pPr>
    </w:p>
    <w:p w14:paraId="77FB3AAD" w14:textId="5FAF443F" w:rsidR="00742FC4" w:rsidRDefault="002B3A07" w:rsidP="00742FC4">
      <w:pPr>
        <w:rPr>
          <w:sz w:val="20"/>
          <w:szCs w:val="20"/>
        </w:rPr>
      </w:pPr>
      <w:r>
        <w:rPr>
          <w:sz w:val="20"/>
          <w:szCs w:val="20"/>
        </w:rPr>
        <w:t>Godiņa</w:t>
      </w:r>
      <w:r w:rsidR="00861C1C">
        <w:rPr>
          <w:sz w:val="20"/>
          <w:szCs w:val="20"/>
        </w:rPr>
        <w:t xml:space="preserve">, </w:t>
      </w:r>
      <w:r w:rsidRPr="002B3A07">
        <w:rPr>
          <w:sz w:val="20"/>
          <w:szCs w:val="20"/>
        </w:rPr>
        <w:t>67083969</w:t>
      </w:r>
    </w:p>
    <w:p w14:paraId="24865547" w14:textId="60E58594" w:rsidR="00A57C7C" w:rsidRDefault="002B3A07" w:rsidP="002B3A07">
      <w:pPr>
        <w:rPr>
          <w:sz w:val="20"/>
          <w:szCs w:val="20"/>
        </w:rPr>
      </w:pPr>
      <w:r w:rsidRPr="002B3A07">
        <w:rPr>
          <w:sz w:val="20"/>
          <w:szCs w:val="20"/>
        </w:rPr>
        <w:t>dace.godina@fm.gov.lv</w:t>
      </w:r>
    </w:p>
    <w:sectPr w:rsidR="00A57C7C" w:rsidSect="00435265">
      <w:headerReference w:type="default" r:id="rId8"/>
      <w:footerReference w:type="default" r:id="rId9"/>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90477" w14:textId="77777777" w:rsidR="001F54BA" w:rsidRDefault="001F54BA" w:rsidP="00893020">
      <w:r>
        <w:separator/>
      </w:r>
    </w:p>
  </w:endnote>
  <w:endnote w:type="continuationSeparator" w:id="0">
    <w:p w14:paraId="591A8D0F" w14:textId="77777777" w:rsidR="001F54BA" w:rsidRDefault="001F54BA" w:rsidP="0089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D7A5A" w14:textId="1B1328EF" w:rsidR="001F54BA" w:rsidRPr="006204A5" w:rsidRDefault="004F6F97">
    <w:pPr>
      <w:pStyle w:val="Footer"/>
    </w:pPr>
    <w:r>
      <w:fldChar w:fldCharType="begin"/>
    </w:r>
    <w:r>
      <w:instrText xml:space="preserve"> FILENAME \* MERGEFORMAT </w:instrText>
    </w:r>
    <w:r>
      <w:fldChar w:fldCharType="separate"/>
    </w:r>
    <w:r>
      <w:rPr>
        <w:noProof/>
      </w:rPr>
      <w:t>FMZinp3_190821_Izdparsk</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01E12" w14:textId="77777777" w:rsidR="001F54BA" w:rsidRDefault="001F54BA" w:rsidP="00893020">
      <w:r>
        <w:separator/>
      </w:r>
    </w:p>
  </w:footnote>
  <w:footnote w:type="continuationSeparator" w:id="0">
    <w:p w14:paraId="676E1F38" w14:textId="77777777" w:rsidR="001F54BA" w:rsidRDefault="001F54BA" w:rsidP="00893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12456" w14:textId="77777777" w:rsidR="001F54BA" w:rsidRDefault="001F54BA">
    <w:pPr>
      <w:pStyle w:val="Header"/>
      <w:jc w:val="center"/>
    </w:pPr>
  </w:p>
  <w:p w14:paraId="7D9BADA3" w14:textId="77777777" w:rsidR="001F54BA" w:rsidRDefault="001F5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59E"/>
    <w:multiLevelType w:val="hybridMultilevel"/>
    <w:tmpl w:val="453440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5C071E"/>
    <w:multiLevelType w:val="hybridMultilevel"/>
    <w:tmpl w:val="7E0637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873B78"/>
    <w:multiLevelType w:val="hybridMultilevel"/>
    <w:tmpl w:val="0BCAC7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9EF2D3B"/>
    <w:multiLevelType w:val="hybridMultilevel"/>
    <w:tmpl w:val="E4D6A4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B5"/>
    <w:rsid w:val="000368E4"/>
    <w:rsid w:val="0004596A"/>
    <w:rsid w:val="00053091"/>
    <w:rsid w:val="00055BCB"/>
    <w:rsid w:val="00081BF8"/>
    <w:rsid w:val="000950AE"/>
    <w:rsid w:val="000B099F"/>
    <w:rsid w:val="000D200F"/>
    <w:rsid w:val="000E5488"/>
    <w:rsid w:val="000F6A3C"/>
    <w:rsid w:val="00104A88"/>
    <w:rsid w:val="00111685"/>
    <w:rsid w:val="001140D1"/>
    <w:rsid w:val="00166899"/>
    <w:rsid w:val="001730A0"/>
    <w:rsid w:val="00184B60"/>
    <w:rsid w:val="001D5AE4"/>
    <w:rsid w:val="001E3D0D"/>
    <w:rsid w:val="001E4DEF"/>
    <w:rsid w:val="001F3F68"/>
    <w:rsid w:val="001F54BA"/>
    <w:rsid w:val="00213A82"/>
    <w:rsid w:val="00217CBF"/>
    <w:rsid w:val="0024661B"/>
    <w:rsid w:val="00251AEE"/>
    <w:rsid w:val="0027649B"/>
    <w:rsid w:val="00276C30"/>
    <w:rsid w:val="00295A5C"/>
    <w:rsid w:val="002978BF"/>
    <w:rsid w:val="002B18B1"/>
    <w:rsid w:val="002B3215"/>
    <w:rsid w:val="002B37FD"/>
    <w:rsid w:val="002B3A07"/>
    <w:rsid w:val="002E3BDC"/>
    <w:rsid w:val="002F4183"/>
    <w:rsid w:val="003206D3"/>
    <w:rsid w:val="003352C0"/>
    <w:rsid w:val="00341E0B"/>
    <w:rsid w:val="003469B1"/>
    <w:rsid w:val="00351C15"/>
    <w:rsid w:val="0035674D"/>
    <w:rsid w:val="0037049B"/>
    <w:rsid w:val="003947AB"/>
    <w:rsid w:val="003B59ED"/>
    <w:rsid w:val="003C1C1D"/>
    <w:rsid w:val="00400D19"/>
    <w:rsid w:val="0040382A"/>
    <w:rsid w:val="00407548"/>
    <w:rsid w:val="00420E42"/>
    <w:rsid w:val="00427C58"/>
    <w:rsid w:val="00432233"/>
    <w:rsid w:val="00435265"/>
    <w:rsid w:val="00441EED"/>
    <w:rsid w:val="0045465A"/>
    <w:rsid w:val="00481E1F"/>
    <w:rsid w:val="00484AE5"/>
    <w:rsid w:val="00490F36"/>
    <w:rsid w:val="00495378"/>
    <w:rsid w:val="004A24A0"/>
    <w:rsid w:val="004B154D"/>
    <w:rsid w:val="004B58E9"/>
    <w:rsid w:val="004C7170"/>
    <w:rsid w:val="004E408F"/>
    <w:rsid w:val="004E5C48"/>
    <w:rsid w:val="004F0F3E"/>
    <w:rsid w:val="004F349D"/>
    <w:rsid w:val="004F6F97"/>
    <w:rsid w:val="005060DC"/>
    <w:rsid w:val="0056451E"/>
    <w:rsid w:val="00582CB5"/>
    <w:rsid w:val="005B592B"/>
    <w:rsid w:val="005C477A"/>
    <w:rsid w:val="005C5CD3"/>
    <w:rsid w:val="005D051A"/>
    <w:rsid w:val="005D55A7"/>
    <w:rsid w:val="005E333D"/>
    <w:rsid w:val="005E5EE7"/>
    <w:rsid w:val="00610254"/>
    <w:rsid w:val="006169ED"/>
    <w:rsid w:val="006204A5"/>
    <w:rsid w:val="006237BF"/>
    <w:rsid w:val="0062792A"/>
    <w:rsid w:val="006672BC"/>
    <w:rsid w:val="00682D89"/>
    <w:rsid w:val="006867B7"/>
    <w:rsid w:val="00691345"/>
    <w:rsid w:val="006A2C68"/>
    <w:rsid w:val="006C459C"/>
    <w:rsid w:val="006E5D9B"/>
    <w:rsid w:val="006F1A9B"/>
    <w:rsid w:val="00707FD4"/>
    <w:rsid w:val="007350DA"/>
    <w:rsid w:val="00742FC4"/>
    <w:rsid w:val="00747ECA"/>
    <w:rsid w:val="0077680D"/>
    <w:rsid w:val="007926AF"/>
    <w:rsid w:val="007E3C42"/>
    <w:rsid w:val="008276BA"/>
    <w:rsid w:val="00833D98"/>
    <w:rsid w:val="00842C3E"/>
    <w:rsid w:val="00846CF0"/>
    <w:rsid w:val="00847F19"/>
    <w:rsid w:val="00861C1C"/>
    <w:rsid w:val="00871001"/>
    <w:rsid w:val="00893020"/>
    <w:rsid w:val="008A12A9"/>
    <w:rsid w:val="008C3255"/>
    <w:rsid w:val="008E19DA"/>
    <w:rsid w:val="00922807"/>
    <w:rsid w:val="0092764F"/>
    <w:rsid w:val="00942B3E"/>
    <w:rsid w:val="00950ED4"/>
    <w:rsid w:val="009625E8"/>
    <w:rsid w:val="0097775C"/>
    <w:rsid w:val="009C06EB"/>
    <w:rsid w:val="009C0771"/>
    <w:rsid w:val="009D26F7"/>
    <w:rsid w:val="009E294D"/>
    <w:rsid w:val="009F3E3B"/>
    <w:rsid w:val="00A15FE7"/>
    <w:rsid w:val="00A223FB"/>
    <w:rsid w:val="00A22990"/>
    <w:rsid w:val="00A30443"/>
    <w:rsid w:val="00A57C7C"/>
    <w:rsid w:val="00A61095"/>
    <w:rsid w:val="00A652AE"/>
    <w:rsid w:val="00A66916"/>
    <w:rsid w:val="00A76B9C"/>
    <w:rsid w:val="00A83E11"/>
    <w:rsid w:val="00A85910"/>
    <w:rsid w:val="00AC7222"/>
    <w:rsid w:val="00AC7742"/>
    <w:rsid w:val="00AE7B71"/>
    <w:rsid w:val="00B01546"/>
    <w:rsid w:val="00B137EA"/>
    <w:rsid w:val="00B44EE0"/>
    <w:rsid w:val="00B70D05"/>
    <w:rsid w:val="00B80991"/>
    <w:rsid w:val="00B872E2"/>
    <w:rsid w:val="00B91036"/>
    <w:rsid w:val="00B92224"/>
    <w:rsid w:val="00B9256C"/>
    <w:rsid w:val="00BE3090"/>
    <w:rsid w:val="00BF1339"/>
    <w:rsid w:val="00C120D7"/>
    <w:rsid w:val="00C14DFE"/>
    <w:rsid w:val="00C2089A"/>
    <w:rsid w:val="00C24A23"/>
    <w:rsid w:val="00C41FA7"/>
    <w:rsid w:val="00C60824"/>
    <w:rsid w:val="00C8259E"/>
    <w:rsid w:val="00C85CBF"/>
    <w:rsid w:val="00CB5309"/>
    <w:rsid w:val="00D128A3"/>
    <w:rsid w:val="00D20829"/>
    <w:rsid w:val="00D2171D"/>
    <w:rsid w:val="00D2315B"/>
    <w:rsid w:val="00D25C06"/>
    <w:rsid w:val="00D318BA"/>
    <w:rsid w:val="00D54DAD"/>
    <w:rsid w:val="00D76888"/>
    <w:rsid w:val="00D84F64"/>
    <w:rsid w:val="00DC3AFA"/>
    <w:rsid w:val="00DF4015"/>
    <w:rsid w:val="00DF54B6"/>
    <w:rsid w:val="00E011D5"/>
    <w:rsid w:val="00E20E29"/>
    <w:rsid w:val="00E25C01"/>
    <w:rsid w:val="00E310DB"/>
    <w:rsid w:val="00E34F18"/>
    <w:rsid w:val="00E369A8"/>
    <w:rsid w:val="00E4644A"/>
    <w:rsid w:val="00E503CF"/>
    <w:rsid w:val="00E60D9D"/>
    <w:rsid w:val="00E61CD4"/>
    <w:rsid w:val="00E8020B"/>
    <w:rsid w:val="00EA1A2C"/>
    <w:rsid w:val="00EE6BD7"/>
    <w:rsid w:val="00EE7EF4"/>
    <w:rsid w:val="00F05A7B"/>
    <w:rsid w:val="00F30889"/>
    <w:rsid w:val="00F30AF1"/>
    <w:rsid w:val="00F30FFB"/>
    <w:rsid w:val="00F32D37"/>
    <w:rsid w:val="00FA6684"/>
    <w:rsid w:val="00FE79DB"/>
    <w:rsid w:val="00FF2F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519C"/>
  <w15:docId w15:val="{50A4D6BE-1D44-40AD-9C83-81023704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B5"/>
    <w:pPr>
      <w:spacing w:after="0" w:line="240" w:lineRule="auto"/>
    </w:pPr>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3020"/>
    <w:pPr>
      <w:tabs>
        <w:tab w:val="center" w:pos="4153"/>
        <w:tab w:val="right" w:pos="8306"/>
      </w:tabs>
    </w:pPr>
  </w:style>
  <w:style w:type="character" w:customStyle="1" w:styleId="HeaderChar">
    <w:name w:val="Header Char"/>
    <w:basedOn w:val="DefaultParagraphFont"/>
    <w:link w:val="Header"/>
    <w:uiPriority w:val="99"/>
    <w:rsid w:val="00893020"/>
    <w:rPr>
      <w:rFonts w:cstheme="minorBidi"/>
    </w:rPr>
  </w:style>
  <w:style w:type="paragraph" w:styleId="Footer">
    <w:name w:val="footer"/>
    <w:basedOn w:val="Normal"/>
    <w:link w:val="FooterChar"/>
    <w:uiPriority w:val="99"/>
    <w:unhideWhenUsed/>
    <w:rsid w:val="00893020"/>
    <w:pPr>
      <w:tabs>
        <w:tab w:val="center" w:pos="4153"/>
        <w:tab w:val="right" w:pos="8306"/>
      </w:tabs>
    </w:pPr>
  </w:style>
  <w:style w:type="character" w:customStyle="1" w:styleId="FooterChar">
    <w:name w:val="Footer Char"/>
    <w:basedOn w:val="DefaultParagraphFont"/>
    <w:link w:val="Footer"/>
    <w:uiPriority w:val="99"/>
    <w:rsid w:val="00893020"/>
    <w:rPr>
      <w:rFonts w:cstheme="minorBidi"/>
    </w:rPr>
  </w:style>
  <w:style w:type="character" w:styleId="CommentReference">
    <w:name w:val="annotation reference"/>
    <w:basedOn w:val="DefaultParagraphFont"/>
    <w:uiPriority w:val="99"/>
    <w:semiHidden/>
    <w:unhideWhenUsed/>
    <w:rsid w:val="00213A82"/>
    <w:rPr>
      <w:sz w:val="16"/>
      <w:szCs w:val="16"/>
    </w:rPr>
  </w:style>
  <w:style w:type="paragraph" w:styleId="CommentText">
    <w:name w:val="annotation text"/>
    <w:basedOn w:val="Normal"/>
    <w:link w:val="CommentTextChar"/>
    <w:uiPriority w:val="99"/>
    <w:semiHidden/>
    <w:unhideWhenUsed/>
    <w:rsid w:val="00213A82"/>
    <w:rPr>
      <w:sz w:val="20"/>
      <w:szCs w:val="20"/>
    </w:rPr>
  </w:style>
  <w:style w:type="character" w:customStyle="1" w:styleId="CommentTextChar">
    <w:name w:val="Comment Text Char"/>
    <w:basedOn w:val="DefaultParagraphFont"/>
    <w:link w:val="CommentText"/>
    <w:uiPriority w:val="99"/>
    <w:semiHidden/>
    <w:rsid w:val="00213A82"/>
    <w:rPr>
      <w:rFonts w:cstheme="minorBidi"/>
      <w:sz w:val="20"/>
      <w:szCs w:val="20"/>
    </w:rPr>
  </w:style>
  <w:style w:type="paragraph" w:styleId="CommentSubject">
    <w:name w:val="annotation subject"/>
    <w:basedOn w:val="CommentText"/>
    <w:next w:val="CommentText"/>
    <w:link w:val="CommentSubjectChar"/>
    <w:uiPriority w:val="99"/>
    <w:semiHidden/>
    <w:unhideWhenUsed/>
    <w:rsid w:val="00213A82"/>
    <w:rPr>
      <w:b/>
      <w:bCs/>
    </w:rPr>
  </w:style>
  <w:style w:type="character" w:customStyle="1" w:styleId="CommentSubjectChar">
    <w:name w:val="Comment Subject Char"/>
    <w:basedOn w:val="CommentTextChar"/>
    <w:link w:val="CommentSubject"/>
    <w:uiPriority w:val="99"/>
    <w:semiHidden/>
    <w:rsid w:val="00213A82"/>
    <w:rPr>
      <w:rFonts w:cstheme="minorBidi"/>
      <w:b/>
      <w:bCs/>
      <w:sz w:val="20"/>
      <w:szCs w:val="20"/>
    </w:rPr>
  </w:style>
  <w:style w:type="paragraph" w:styleId="BalloonText">
    <w:name w:val="Balloon Text"/>
    <w:basedOn w:val="Normal"/>
    <w:link w:val="BalloonTextChar"/>
    <w:uiPriority w:val="99"/>
    <w:semiHidden/>
    <w:unhideWhenUsed/>
    <w:rsid w:val="00213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A82"/>
    <w:rPr>
      <w:rFonts w:ascii="Segoe UI" w:hAnsi="Segoe UI" w:cs="Segoe UI"/>
      <w:sz w:val="18"/>
      <w:szCs w:val="18"/>
    </w:rPr>
  </w:style>
  <w:style w:type="paragraph" w:styleId="ListParagraph">
    <w:name w:val="List Paragraph"/>
    <w:basedOn w:val="Normal"/>
    <w:uiPriority w:val="34"/>
    <w:qFormat/>
    <w:rsid w:val="00691345"/>
    <w:pPr>
      <w:ind w:left="720"/>
      <w:contextualSpacing/>
    </w:pPr>
  </w:style>
  <w:style w:type="paragraph" w:styleId="FootnoteText">
    <w:name w:val="footnote text"/>
    <w:basedOn w:val="Normal"/>
    <w:link w:val="FootnoteTextChar"/>
    <w:uiPriority w:val="99"/>
    <w:semiHidden/>
    <w:unhideWhenUsed/>
    <w:rsid w:val="00BE3090"/>
    <w:rPr>
      <w:sz w:val="20"/>
      <w:szCs w:val="20"/>
    </w:rPr>
  </w:style>
  <w:style w:type="character" w:customStyle="1" w:styleId="FootnoteTextChar">
    <w:name w:val="Footnote Text Char"/>
    <w:basedOn w:val="DefaultParagraphFont"/>
    <w:link w:val="FootnoteText"/>
    <w:uiPriority w:val="99"/>
    <w:semiHidden/>
    <w:rsid w:val="00BE3090"/>
    <w:rPr>
      <w:rFonts w:cstheme="minorBidi"/>
      <w:sz w:val="20"/>
      <w:szCs w:val="20"/>
    </w:rPr>
  </w:style>
  <w:style w:type="character" w:styleId="FootnoteReference">
    <w:name w:val="footnote reference"/>
    <w:basedOn w:val="DefaultParagraphFont"/>
    <w:uiPriority w:val="99"/>
    <w:semiHidden/>
    <w:unhideWhenUsed/>
    <w:rsid w:val="00BE30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715">
      <w:bodyDiv w:val="1"/>
      <w:marLeft w:val="0"/>
      <w:marRight w:val="0"/>
      <w:marTop w:val="0"/>
      <w:marBottom w:val="0"/>
      <w:divBdr>
        <w:top w:val="none" w:sz="0" w:space="0" w:color="auto"/>
        <w:left w:val="none" w:sz="0" w:space="0" w:color="auto"/>
        <w:bottom w:val="none" w:sz="0" w:space="0" w:color="auto"/>
        <w:right w:val="none" w:sz="0" w:space="0" w:color="auto"/>
      </w:divBdr>
    </w:div>
    <w:div w:id="14624453">
      <w:bodyDiv w:val="1"/>
      <w:marLeft w:val="0"/>
      <w:marRight w:val="0"/>
      <w:marTop w:val="0"/>
      <w:marBottom w:val="0"/>
      <w:divBdr>
        <w:top w:val="none" w:sz="0" w:space="0" w:color="auto"/>
        <w:left w:val="none" w:sz="0" w:space="0" w:color="auto"/>
        <w:bottom w:val="none" w:sz="0" w:space="0" w:color="auto"/>
        <w:right w:val="none" w:sz="0" w:space="0" w:color="auto"/>
      </w:divBdr>
    </w:div>
    <w:div w:id="27338701">
      <w:bodyDiv w:val="1"/>
      <w:marLeft w:val="0"/>
      <w:marRight w:val="0"/>
      <w:marTop w:val="0"/>
      <w:marBottom w:val="0"/>
      <w:divBdr>
        <w:top w:val="none" w:sz="0" w:space="0" w:color="auto"/>
        <w:left w:val="none" w:sz="0" w:space="0" w:color="auto"/>
        <w:bottom w:val="none" w:sz="0" w:space="0" w:color="auto"/>
        <w:right w:val="none" w:sz="0" w:space="0" w:color="auto"/>
      </w:divBdr>
    </w:div>
    <w:div w:id="33703786">
      <w:bodyDiv w:val="1"/>
      <w:marLeft w:val="0"/>
      <w:marRight w:val="0"/>
      <w:marTop w:val="0"/>
      <w:marBottom w:val="0"/>
      <w:divBdr>
        <w:top w:val="none" w:sz="0" w:space="0" w:color="auto"/>
        <w:left w:val="none" w:sz="0" w:space="0" w:color="auto"/>
        <w:bottom w:val="none" w:sz="0" w:space="0" w:color="auto"/>
        <w:right w:val="none" w:sz="0" w:space="0" w:color="auto"/>
      </w:divBdr>
    </w:div>
    <w:div w:id="38483576">
      <w:bodyDiv w:val="1"/>
      <w:marLeft w:val="0"/>
      <w:marRight w:val="0"/>
      <w:marTop w:val="0"/>
      <w:marBottom w:val="0"/>
      <w:divBdr>
        <w:top w:val="none" w:sz="0" w:space="0" w:color="auto"/>
        <w:left w:val="none" w:sz="0" w:space="0" w:color="auto"/>
        <w:bottom w:val="none" w:sz="0" w:space="0" w:color="auto"/>
        <w:right w:val="none" w:sz="0" w:space="0" w:color="auto"/>
      </w:divBdr>
    </w:div>
    <w:div w:id="40911637">
      <w:bodyDiv w:val="1"/>
      <w:marLeft w:val="0"/>
      <w:marRight w:val="0"/>
      <w:marTop w:val="0"/>
      <w:marBottom w:val="0"/>
      <w:divBdr>
        <w:top w:val="none" w:sz="0" w:space="0" w:color="auto"/>
        <w:left w:val="none" w:sz="0" w:space="0" w:color="auto"/>
        <w:bottom w:val="none" w:sz="0" w:space="0" w:color="auto"/>
        <w:right w:val="none" w:sz="0" w:space="0" w:color="auto"/>
      </w:divBdr>
    </w:div>
    <w:div w:id="81874076">
      <w:bodyDiv w:val="1"/>
      <w:marLeft w:val="0"/>
      <w:marRight w:val="0"/>
      <w:marTop w:val="0"/>
      <w:marBottom w:val="0"/>
      <w:divBdr>
        <w:top w:val="none" w:sz="0" w:space="0" w:color="auto"/>
        <w:left w:val="none" w:sz="0" w:space="0" w:color="auto"/>
        <w:bottom w:val="none" w:sz="0" w:space="0" w:color="auto"/>
        <w:right w:val="none" w:sz="0" w:space="0" w:color="auto"/>
      </w:divBdr>
    </w:div>
    <w:div w:id="84152058">
      <w:bodyDiv w:val="1"/>
      <w:marLeft w:val="0"/>
      <w:marRight w:val="0"/>
      <w:marTop w:val="0"/>
      <w:marBottom w:val="0"/>
      <w:divBdr>
        <w:top w:val="none" w:sz="0" w:space="0" w:color="auto"/>
        <w:left w:val="none" w:sz="0" w:space="0" w:color="auto"/>
        <w:bottom w:val="none" w:sz="0" w:space="0" w:color="auto"/>
        <w:right w:val="none" w:sz="0" w:space="0" w:color="auto"/>
      </w:divBdr>
    </w:div>
    <w:div w:id="86536435">
      <w:bodyDiv w:val="1"/>
      <w:marLeft w:val="0"/>
      <w:marRight w:val="0"/>
      <w:marTop w:val="0"/>
      <w:marBottom w:val="0"/>
      <w:divBdr>
        <w:top w:val="none" w:sz="0" w:space="0" w:color="auto"/>
        <w:left w:val="none" w:sz="0" w:space="0" w:color="auto"/>
        <w:bottom w:val="none" w:sz="0" w:space="0" w:color="auto"/>
        <w:right w:val="none" w:sz="0" w:space="0" w:color="auto"/>
      </w:divBdr>
    </w:div>
    <w:div w:id="87699666">
      <w:bodyDiv w:val="1"/>
      <w:marLeft w:val="0"/>
      <w:marRight w:val="0"/>
      <w:marTop w:val="0"/>
      <w:marBottom w:val="0"/>
      <w:divBdr>
        <w:top w:val="none" w:sz="0" w:space="0" w:color="auto"/>
        <w:left w:val="none" w:sz="0" w:space="0" w:color="auto"/>
        <w:bottom w:val="none" w:sz="0" w:space="0" w:color="auto"/>
        <w:right w:val="none" w:sz="0" w:space="0" w:color="auto"/>
      </w:divBdr>
    </w:div>
    <w:div w:id="95486848">
      <w:bodyDiv w:val="1"/>
      <w:marLeft w:val="0"/>
      <w:marRight w:val="0"/>
      <w:marTop w:val="0"/>
      <w:marBottom w:val="0"/>
      <w:divBdr>
        <w:top w:val="none" w:sz="0" w:space="0" w:color="auto"/>
        <w:left w:val="none" w:sz="0" w:space="0" w:color="auto"/>
        <w:bottom w:val="none" w:sz="0" w:space="0" w:color="auto"/>
        <w:right w:val="none" w:sz="0" w:space="0" w:color="auto"/>
      </w:divBdr>
    </w:div>
    <w:div w:id="96215293">
      <w:bodyDiv w:val="1"/>
      <w:marLeft w:val="0"/>
      <w:marRight w:val="0"/>
      <w:marTop w:val="0"/>
      <w:marBottom w:val="0"/>
      <w:divBdr>
        <w:top w:val="none" w:sz="0" w:space="0" w:color="auto"/>
        <w:left w:val="none" w:sz="0" w:space="0" w:color="auto"/>
        <w:bottom w:val="none" w:sz="0" w:space="0" w:color="auto"/>
        <w:right w:val="none" w:sz="0" w:space="0" w:color="auto"/>
      </w:divBdr>
    </w:div>
    <w:div w:id="97066778">
      <w:bodyDiv w:val="1"/>
      <w:marLeft w:val="0"/>
      <w:marRight w:val="0"/>
      <w:marTop w:val="0"/>
      <w:marBottom w:val="0"/>
      <w:divBdr>
        <w:top w:val="none" w:sz="0" w:space="0" w:color="auto"/>
        <w:left w:val="none" w:sz="0" w:space="0" w:color="auto"/>
        <w:bottom w:val="none" w:sz="0" w:space="0" w:color="auto"/>
        <w:right w:val="none" w:sz="0" w:space="0" w:color="auto"/>
      </w:divBdr>
    </w:div>
    <w:div w:id="120416350">
      <w:bodyDiv w:val="1"/>
      <w:marLeft w:val="0"/>
      <w:marRight w:val="0"/>
      <w:marTop w:val="0"/>
      <w:marBottom w:val="0"/>
      <w:divBdr>
        <w:top w:val="none" w:sz="0" w:space="0" w:color="auto"/>
        <w:left w:val="none" w:sz="0" w:space="0" w:color="auto"/>
        <w:bottom w:val="none" w:sz="0" w:space="0" w:color="auto"/>
        <w:right w:val="none" w:sz="0" w:space="0" w:color="auto"/>
      </w:divBdr>
    </w:div>
    <w:div w:id="127749730">
      <w:bodyDiv w:val="1"/>
      <w:marLeft w:val="0"/>
      <w:marRight w:val="0"/>
      <w:marTop w:val="0"/>
      <w:marBottom w:val="0"/>
      <w:divBdr>
        <w:top w:val="none" w:sz="0" w:space="0" w:color="auto"/>
        <w:left w:val="none" w:sz="0" w:space="0" w:color="auto"/>
        <w:bottom w:val="none" w:sz="0" w:space="0" w:color="auto"/>
        <w:right w:val="none" w:sz="0" w:space="0" w:color="auto"/>
      </w:divBdr>
    </w:div>
    <w:div w:id="128207255">
      <w:bodyDiv w:val="1"/>
      <w:marLeft w:val="0"/>
      <w:marRight w:val="0"/>
      <w:marTop w:val="0"/>
      <w:marBottom w:val="0"/>
      <w:divBdr>
        <w:top w:val="none" w:sz="0" w:space="0" w:color="auto"/>
        <w:left w:val="none" w:sz="0" w:space="0" w:color="auto"/>
        <w:bottom w:val="none" w:sz="0" w:space="0" w:color="auto"/>
        <w:right w:val="none" w:sz="0" w:space="0" w:color="auto"/>
      </w:divBdr>
    </w:div>
    <w:div w:id="135954377">
      <w:bodyDiv w:val="1"/>
      <w:marLeft w:val="0"/>
      <w:marRight w:val="0"/>
      <w:marTop w:val="0"/>
      <w:marBottom w:val="0"/>
      <w:divBdr>
        <w:top w:val="none" w:sz="0" w:space="0" w:color="auto"/>
        <w:left w:val="none" w:sz="0" w:space="0" w:color="auto"/>
        <w:bottom w:val="none" w:sz="0" w:space="0" w:color="auto"/>
        <w:right w:val="none" w:sz="0" w:space="0" w:color="auto"/>
      </w:divBdr>
    </w:div>
    <w:div w:id="139276921">
      <w:bodyDiv w:val="1"/>
      <w:marLeft w:val="0"/>
      <w:marRight w:val="0"/>
      <w:marTop w:val="0"/>
      <w:marBottom w:val="0"/>
      <w:divBdr>
        <w:top w:val="none" w:sz="0" w:space="0" w:color="auto"/>
        <w:left w:val="none" w:sz="0" w:space="0" w:color="auto"/>
        <w:bottom w:val="none" w:sz="0" w:space="0" w:color="auto"/>
        <w:right w:val="none" w:sz="0" w:space="0" w:color="auto"/>
      </w:divBdr>
    </w:div>
    <w:div w:id="141586133">
      <w:bodyDiv w:val="1"/>
      <w:marLeft w:val="0"/>
      <w:marRight w:val="0"/>
      <w:marTop w:val="0"/>
      <w:marBottom w:val="0"/>
      <w:divBdr>
        <w:top w:val="none" w:sz="0" w:space="0" w:color="auto"/>
        <w:left w:val="none" w:sz="0" w:space="0" w:color="auto"/>
        <w:bottom w:val="none" w:sz="0" w:space="0" w:color="auto"/>
        <w:right w:val="none" w:sz="0" w:space="0" w:color="auto"/>
      </w:divBdr>
    </w:div>
    <w:div w:id="150218073">
      <w:bodyDiv w:val="1"/>
      <w:marLeft w:val="0"/>
      <w:marRight w:val="0"/>
      <w:marTop w:val="0"/>
      <w:marBottom w:val="0"/>
      <w:divBdr>
        <w:top w:val="none" w:sz="0" w:space="0" w:color="auto"/>
        <w:left w:val="none" w:sz="0" w:space="0" w:color="auto"/>
        <w:bottom w:val="none" w:sz="0" w:space="0" w:color="auto"/>
        <w:right w:val="none" w:sz="0" w:space="0" w:color="auto"/>
      </w:divBdr>
    </w:div>
    <w:div w:id="156921658">
      <w:bodyDiv w:val="1"/>
      <w:marLeft w:val="0"/>
      <w:marRight w:val="0"/>
      <w:marTop w:val="0"/>
      <w:marBottom w:val="0"/>
      <w:divBdr>
        <w:top w:val="none" w:sz="0" w:space="0" w:color="auto"/>
        <w:left w:val="none" w:sz="0" w:space="0" w:color="auto"/>
        <w:bottom w:val="none" w:sz="0" w:space="0" w:color="auto"/>
        <w:right w:val="none" w:sz="0" w:space="0" w:color="auto"/>
      </w:divBdr>
    </w:div>
    <w:div w:id="164589612">
      <w:bodyDiv w:val="1"/>
      <w:marLeft w:val="0"/>
      <w:marRight w:val="0"/>
      <w:marTop w:val="0"/>
      <w:marBottom w:val="0"/>
      <w:divBdr>
        <w:top w:val="none" w:sz="0" w:space="0" w:color="auto"/>
        <w:left w:val="none" w:sz="0" w:space="0" w:color="auto"/>
        <w:bottom w:val="none" w:sz="0" w:space="0" w:color="auto"/>
        <w:right w:val="none" w:sz="0" w:space="0" w:color="auto"/>
      </w:divBdr>
    </w:div>
    <w:div w:id="184708569">
      <w:bodyDiv w:val="1"/>
      <w:marLeft w:val="0"/>
      <w:marRight w:val="0"/>
      <w:marTop w:val="0"/>
      <w:marBottom w:val="0"/>
      <w:divBdr>
        <w:top w:val="none" w:sz="0" w:space="0" w:color="auto"/>
        <w:left w:val="none" w:sz="0" w:space="0" w:color="auto"/>
        <w:bottom w:val="none" w:sz="0" w:space="0" w:color="auto"/>
        <w:right w:val="none" w:sz="0" w:space="0" w:color="auto"/>
      </w:divBdr>
    </w:div>
    <w:div w:id="184947706">
      <w:bodyDiv w:val="1"/>
      <w:marLeft w:val="0"/>
      <w:marRight w:val="0"/>
      <w:marTop w:val="0"/>
      <w:marBottom w:val="0"/>
      <w:divBdr>
        <w:top w:val="none" w:sz="0" w:space="0" w:color="auto"/>
        <w:left w:val="none" w:sz="0" w:space="0" w:color="auto"/>
        <w:bottom w:val="none" w:sz="0" w:space="0" w:color="auto"/>
        <w:right w:val="none" w:sz="0" w:space="0" w:color="auto"/>
      </w:divBdr>
    </w:div>
    <w:div w:id="188418568">
      <w:bodyDiv w:val="1"/>
      <w:marLeft w:val="0"/>
      <w:marRight w:val="0"/>
      <w:marTop w:val="0"/>
      <w:marBottom w:val="0"/>
      <w:divBdr>
        <w:top w:val="none" w:sz="0" w:space="0" w:color="auto"/>
        <w:left w:val="none" w:sz="0" w:space="0" w:color="auto"/>
        <w:bottom w:val="none" w:sz="0" w:space="0" w:color="auto"/>
        <w:right w:val="none" w:sz="0" w:space="0" w:color="auto"/>
      </w:divBdr>
    </w:div>
    <w:div w:id="214587968">
      <w:bodyDiv w:val="1"/>
      <w:marLeft w:val="0"/>
      <w:marRight w:val="0"/>
      <w:marTop w:val="0"/>
      <w:marBottom w:val="0"/>
      <w:divBdr>
        <w:top w:val="none" w:sz="0" w:space="0" w:color="auto"/>
        <w:left w:val="none" w:sz="0" w:space="0" w:color="auto"/>
        <w:bottom w:val="none" w:sz="0" w:space="0" w:color="auto"/>
        <w:right w:val="none" w:sz="0" w:space="0" w:color="auto"/>
      </w:divBdr>
    </w:div>
    <w:div w:id="219827066">
      <w:bodyDiv w:val="1"/>
      <w:marLeft w:val="0"/>
      <w:marRight w:val="0"/>
      <w:marTop w:val="0"/>
      <w:marBottom w:val="0"/>
      <w:divBdr>
        <w:top w:val="none" w:sz="0" w:space="0" w:color="auto"/>
        <w:left w:val="none" w:sz="0" w:space="0" w:color="auto"/>
        <w:bottom w:val="none" w:sz="0" w:space="0" w:color="auto"/>
        <w:right w:val="none" w:sz="0" w:space="0" w:color="auto"/>
      </w:divBdr>
    </w:div>
    <w:div w:id="225796564">
      <w:bodyDiv w:val="1"/>
      <w:marLeft w:val="0"/>
      <w:marRight w:val="0"/>
      <w:marTop w:val="0"/>
      <w:marBottom w:val="0"/>
      <w:divBdr>
        <w:top w:val="none" w:sz="0" w:space="0" w:color="auto"/>
        <w:left w:val="none" w:sz="0" w:space="0" w:color="auto"/>
        <w:bottom w:val="none" w:sz="0" w:space="0" w:color="auto"/>
        <w:right w:val="none" w:sz="0" w:space="0" w:color="auto"/>
      </w:divBdr>
    </w:div>
    <w:div w:id="226110648">
      <w:bodyDiv w:val="1"/>
      <w:marLeft w:val="0"/>
      <w:marRight w:val="0"/>
      <w:marTop w:val="0"/>
      <w:marBottom w:val="0"/>
      <w:divBdr>
        <w:top w:val="none" w:sz="0" w:space="0" w:color="auto"/>
        <w:left w:val="none" w:sz="0" w:space="0" w:color="auto"/>
        <w:bottom w:val="none" w:sz="0" w:space="0" w:color="auto"/>
        <w:right w:val="none" w:sz="0" w:space="0" w:color="auto"/>
      </w:divBdr>
    </w:div>
    <w:div w:id="227494225">
      <w:bodyDiv w:val="1"/>
      <w:marLeft w:val="0"/>
      <w:marRight w:val="0"/>
      <w:marTop w:val="0"/>
      <w:marBottom w:val="0"/>
      <w:divBdr>
        <w:top w:val="none" w:sz="0" w:space="0" w:color="auto"/>
        <w:left w:val="none" w:sz="0" w:space="0" w:color="auto"/>
        <w:bottom w:val="none" w:sz="0" w:space="0" w:color="auto"/>
        <w:right w:val="none" w:sz="0" w:space="0" w:color="auto"/>
      </w:divBdr>
    </w:div>
    <w:div w:id="234708499">
      <w:bodyDiv w:val="1"/>
      <w:marLeft w:val="0"/>
      <w:marRight w:val="0"/>
      <w:marTop w:val="0"/>
      <w:marBottom w:val="0"/>
      <w:divBdr>
        <w:top w:val="none" w:sz="0" w:space="0" w:color="auto"/>
        <w:left w:val="none" w:sz="0" w:space="0" w:color="auto"/>
        <w:bottom w:val="none" w:sz="0" w:space="0" w:color="auto"/>
        <w:right w:val="none" w:sz="0" w:space="0" w:color="auto"/>
      </w:divBdr>
    </w:div>
    <w:div w:id="255476917">
      <w:bodyDiv w:val="1"/>
      <w:marLeft w:val="0"/>
      <w:marRight w:val="0"/>
      <w:marTop w:val="0"/>
      <w:marBottom w:val="0"/>
      <w:divBdr>
        <w:top w:val="none" w:sz="0" w:space="0" w:color="auto"/>
        <w:left w:val="none" w:sz="0" w:space="0" w:color="auto"/>
        <w:bottom w:val="none" w:sz="0" w:space="0" w:color="auto"/>
        <w:right w:val="none" w:sz="0" w:space="0" w:color="auto"/>
      </w:divBdr>
    </w:div>
    <w:div w:id="257954431">
      <w:bodyDiv w:val="1"/>
      <w:marLeft w:val="0"/>
      <w:marRight w:val="0"/>
      <w:marTop w:val="0"/>
      <w:marBottom w:val="0"/>
      <w:divBdr>
        <w:top w:val="none" w:sz="0" w:space="0" w:color="auto"/>
        <w:left w:val="none" w:sz="0" w:space="0" w:color="auto"/>
        <w:bottom w:val="none" w:sz="0" w:space="0" w:color="auto"/>
        <w:right w:val="none" w:sz="0" w:space="0" w:color="auto"/>
      </w:divBdr>
    </w:div>
    <w:div w:id="269361346">
      <w:bodyDiv w:val="1"/>
      <w:marLeft w:val="0"/>
      <w:marRight w:val="0"/>
      <w:marTop w:val="0"/>
      <w:marBottom w:val="0"/>
      <w:divBdr>
        <w:top w:val="none" w:sz="0" w:space="0" w:color="auto"/>
        <w:left w:val="none" w:sz="0" w:space="0" w:color="auto"/>
        <w:bottom w:val="none" w:sz="0" w:space="0" w:color="auto"/>
        <w:right w:val="none" w:sz="0" w:space="0" w:color="auto"/>
      </w:divBdr>
    </w:div>
    <w:div w:id="281348406">
      <w:bodyDiv w:val="1"/>
      <w:marLeft w:val="0"/>
      <w:marRight w:val="0"/>
      <w:marTop w:val="0"/>
      <w:marBottom w:val="0"/>
      <w:divBdr>
        <w:top w:val="none" w:sz="0" w:space="0" w:color="auto"/>
        <w:left w:val="none" w:sz="0" w:space="0" w:color="auto"/>
        <w:bottom w:val="none" w:sz="0" w:space="0" w:color="auto"/>
        <w:right w:val="none" w:sz="0" w:space="0" w:color="auto"/>
      </w:divBdr>
    </w:div>
    <w:div w:id="281811019">
      <w:bodyDiv w:val="1"/>
      <w:marLeft w:val="0"/>
      <w:marRight w:val="0"/>
      <w:marTop w:val="0"/>
      <w:marBottom w:val="0"/>
      <w:divBdr>
        <w:top w:val="none" w:sz="0" w:space="0" w:color="auto"/>
        <w:left w:val="none" w:sz="0" w:space="0" w:color="auto"/>
        <w:bottom w:val="none" w:sz="0" w:space="0" w:color="auto"/>
        <w:right w:val="none" w:sz="0" w:space="0" w:color="auto"/>
      </w:divBdr>
    </w:div>
    <w:div w:id="284426853">
      <w:bodyDiv w:val="1"/>
      <w:marLeft w:val="0"/>
      <w:marRight w:val="0"/>
      <w:marTop w:val="0"/>
      <w:marBottom w:val="0"/>
      <w:divBdr>
        <w:top w:val="none" w:sz="0" w:space="0" w:color="auto"/>
        <w:left w:val="none" w:sz="0" w:space="0" w:color="auto"/>
        <w:bottom w:val="none" w:sz="0" w:space="0" w:color="auto"/>
        <w:right w:val="none" w:sz="0" w:space="0" w:color="auto"/>
      </w:divBdr>
    </w:div>
    <w:div w:id="288782965">
      <w:bodyDiv w:val="1"/>
      <w:marLeft w:val="0"/>
      <w:marRight w:val="0"/>
      <w:marTop w:val="0"/>
      <w:marBottom w:val="0"/>
      <w:divBdr>
        <w:top w:val="none" w:sz="0" w:space="0" w:color="auto"/>
        <w:left w:val="none" w:sz="0" w:space="0" w:color="auto"/>
        <w:bottom w:val="none" w:sz="0" w:space="0" w:color="auto"/>
        <w:right w:val="none" w:sz="0" w:space="0" w:color="auto"/>
      </w:divBdr>
    </w:div>
    <w:div w:id="301227988">
      <w:bodyDiv w:val="1"/>
      <w:marLeft w:val="0"/>
      <w:marRight w:val="0"/>
      <w:marTop w:val="0"/>
      <w:marBottom w:val="0"/>
      <w:divBdr>
        <w:top w:val="none" w:sz="0" w:space="0" w:color="auto"/>
        <w:left w:val="none" w:sz="0" w:space="0" w:color="auto"/>
        <w:bottom w:val="none" w:sz="0" w:space="0" w:color="auto"/>
        <w:right w:val="none" w:sz="0" w:space="0" w:color="auto"/>
      </w:divBdr>
    </w:div>
    <w:div w:id="301815170">
      <w:bodyDiv w:val="1"/>
      <w:marLeft w:val="0"/>
      <w:marRight w:val="0"/>
      <w:marTop w:val="0"/>
      <w:marBottom w:val="0"/>
      <w:divBdr>
        <w:top w:val="none" w:sz="0" w:space="0" w:color="auto"/>
        <w:left w:val="none" w:sz="0" w:space="0" w:color="auto"/>
        <w:bottom w:val="none" w:sz="0" w:space="0" w:color="auto"/>
        <w:right w:val="none" w:sz="0" w:space="0" w:color="auto"/>
      </w:divBdr>
    </w:div>
    <w:div w:id="335697937">
      <w:bodyDiv w:val="1"/>
      <w:marLeft w:val="0"/>
      <w:marRight w:val="0"/>
      <w:marTop w:val="0"/>
      <w:marBottom w:val="0"/>
      <w:divBdr>
        <w:top w:val="none" w:sz="0" w:space="0" w:color="auto"/>
        <w:left w:val="none" w:sz="0" w:space="0" w:color="auto"/>
        <w:bottom w:val="none" w:sz="0" w:space="0" w:color="auto"/>
        <w:right w:val="none" w:sz="0" w:space="0" w:color="auto"/>
      </w:divBdr>
    </w:div>
    <w:div w:id="355696576">
      <w:bodyDiv w:val="1"/>
      <w:marLeft w:val="0"/>
      <w:marRight w:val="0"/>
      <w:marTop w:val="0"/>
      <w:marBottom w:val="0"/>
      <w:divBdr>
        <w:top w:val="none" w:sz="0" w:space="0" w:color="auto"/>
        <w:left w:val="none" w:sz="0" w:space="0" w:color="auto"/>
        <w:bottom w:val="none" w:sz="0" w:space="0" w:color="auto"/>
        <w:right w:val="none" w:sz="0" w:space="0" w:color="auto"/>
      </w:divBdr>
    </w:div>
    <w:div w:id="370767758">
      <w:bodyDiv w:val="1"/>
      <w:marLeft w:val="0"/>
      <w:marRight w:val="0"/>
      <w:marTop w:val="0"/>
      <w:marBottom w:val="0"/>
      <w:divBdr>
        <w:top w:val="none" w:sz="0" w:space="0" w:color="auto"/>
        <w:left w:val="none" w:sz="0" w:space="0" w:color="auto"/>
        <w:bottom w:val="none" w:sz="0" w:space="0" w:color="auto"/>
        <w:right w:val="none" w:sz="0" w:space="0" w:color="auto"/>
      </w:divBdr>
    </w:div>
    <w:div w:id="371879131">
      <w:bodyDiv w:val="1"/>
      <w:marLeft w:val="0"/>
      <w:marRight w:val="0"/>
      <w:marTop w:val="0"/>
      <w:marBottom w:val="0"/>
      <w:divBdr>
        <w:top w:val="none" w:sz="0" w:space="0" w:color="auto"/>
        <w:left w:val="none" w:sz="0" w:space="0" w:color="auto"/>
        <w:bottom w:val="none" w:sz="0" w:space="0" w:color="auto"/>
        <w:right w:val="none" w:sz="0" w:space="0" w:color="auto"/>
      </w:divBdr>
    </w:div>
    <w:div w:id="377559147">
      <w:bodyDiv w:val="1"/>
      <w:marLeft w:val="0"/>
      <w:marRight w:val="0"/>
      <w:marTop w:val="0"/>
      <w:marBottom w:val="0"/>
      <w:divBdr>
        <w:top w:val="none" w:sz="0" w:space="0" w:color="auto"/>
        <w:left w:val="none" w:sz="0" w:space="0" w:color="auto"/>
        <w:bottom w:val="none" w:sz="0" w:space="0" w:color="auto"/>
        <w:right w:val="none" w:sz="0" w:space="0" w:color="auto"/>
      </w:divBdr>
    </w:div>
    <w:div w:id="388965456">
      <w:bodyDiv w:val="1"/>
      <w:marLeft w:val="0"/>
      <w:marRight w:val="0"/>
      <w:marTop w:val="0"/>
      <w:marBottom w:val="0"/>
      <w:divBdr>
        <w:top w:val="none" w:sz="0" w:space="0" w:color="auto"/>
        <w:left w:val="none" w:sz="0" w:space="0" w:color="auto"/>
        <w:bottom w:val="none" w:sz="0" w:space="0" w:color="auto"/>
        <w:right w:val="none" w:sz="0" w:space="0" w:color="auto"/>
      </w:divBdr>
    </w:div>
    <w:div w:id="392429900">
      <w:bodyDiv w:val="1"/>
      <w:marLeft w:val="0"/>
      <w:marRight w:val="0"/>
      <w:marTop w:val="0"/>
      <w:marBottom w:val="0"/>
      <w:divBdr>
        <w:top w:val="none" w:sz="0" w:space="0" w:color="auto"/>
        <w:left w:val="none" w:sz="0" w:space="0" w:color="auto"/>
        <w:bottom w:val="none" w:sz="0" w:space="0" w:color="auto"/>
        <w:right w:val="none" w:sz="0" w:space="0" w:color="auto"/>
      </w:divBdr>
    </w:div>
    <w:div w:id="393545924">
      <w:bodyDiv w:val="1"/>
      <w:marLeft w:val="0"/>
      <w:marRight w:val="0"/>
      <w:marTop w:val="0"/>
      <w:marBottom w:val="0"/>
      <w:divBdr>
        <w:top w:val="none" w:sz="0" w:space="0" w:color="auto"/>
        <w:left w:val="none" w:sz="0" w:space="0" w:color="auto"/>
        <w:bottom w:val="none" w:sz="0" w:space="0" w:color="auto"/>
        <w:right w:val="none" w:sz="0" w:space="0" w:color="auto"/>
      </w:divBdr>
    </w:div>
    <w:div w:id="409037737">
      <w:bodyDiv w:val="1"/>
      <w:marLeft w:val="0"/>
      <w:marRight w:val="0"/>
      <w:marTop w:val="0"/>
      <w:marBottom w:val="0"/>
      <w:divBdr>
        <w:top w:val="none" w:sz="0" w:space="0" w:color="auto"/>
        <w:left w:val="none" w:sz="0" w:space="0" w:color="auto"/>
        <w:bottom w:val="none" w:sz="0" w:space="0" w:color="auto"/>
        <w:right w:val="none" w:sz="0" w:space="0" w:color="auto"/>
      </w:divBdr>
    </w:div>
    <w:div w:id="413018273">
      <w:bodyDiv w:val="1"/>
      <w:marLeft w:val="0"/>
      <w:marRight w:val="0"/>
      <w:marTop w:val="0"/>
      <w:marBottom w:val="0"/>
      <w:divBdr>
        <w:top w:val="none" w:sz="0" w:space="0" w:color="auto"/>
        <w:left w:val="none" w:sz="0" w:space="0" w:color="auto"/>
        <w:bottom w:val="none" w:sz="0" w:space="0" w:color="auto"/>
        <w:right w:val="none" w:sz="0" w:space="0" w:color="auto"/>
      </w:divBdr>
    </w:div>
    <w:div w:id="415905305">
      <w:bodyDiv w:val="1"/>
      <w:marLeft w:val="0"/>
      <w:marRight w:val="0"/>
      <w:marTop w:val="0"/>
      <w:marBottom w:val="0"/>
      <w:divBdr>
        <w:top w:val="none" w:sz="0" w:space="0" w:color="auto"/>
        <w:left w:val="none" w:sz="0" w:space="0" w:color="auto"/>
        <w:bottom w:val="none" w:sz="0" w:space="0" w:color="auto"/>
        <w:right w:val="none" w:sz="0" w:space="0" w:color="auto"/>
      </w:divBdr>
    </w:div>
    <w:div w:id="425463241">
      <w:bodyDiv w:val="1"/>
      <w:marLeft w:val="0"/>
      <w:marRight w:val="0"/>
      <w:marTop w:val="0"/>
      <w:marBottom w:val="0"/>
      <w:divBdr>
        <w:top w:val="none" w:sz="0" w:space="0" w:color="auto"/>
        <w:left w:val="none" w:sz="0" w:space="0" w:color="auto"/>
        <w:bottom w:val="none" w:sz="0" w:space="0" w:color="auto"/>
        <w:right w:val="none" w:sz="0" w:space="0" w:color="auto"/>
      </w:divBdr>
    </w:div>
    <w:div w:id="431895733">
      <w:bodyDiv w:val="1"/>
      <w:marLeft w:val="0"/>
      <w:marRight w:val="0"/>
      <w:marTop w:val="0"/>
      <w:marBottom w:val="0"/>
      <w:divBdr>
        <w:top w:val="none" w:sz="0" w:space="0" w:color="auto"/>
        <w:left w:val="none" w:sz="0" w:space="0" w:color="auto"/>
        <w:bottom w:val="none" w:sz="0" w:space="0" w:color="auto"/>
        <w:right w:val="none" w:sz="0" w:space="0" w:color="auto"/>
      </w:divBdr>
    </w:div>
    <w:div w:id="451440949">
      <w:bodyDiv w:val="1"/>
      <w:marLeft w:val="0"/>
      <w:marRight w:val="0"/>
      <w:marTop w:val="0"/>
      <w:marBottom w:val="0"/>
      <w:divBdr>
        <w:top w:val="none" w:sz="0" w:space="0" w:color="auto"/>
        <w:left w:val="none" w:sz="0" w:space="0" w:color="auto"/>
        <w:bottom w:val="none" w:sz="0" w:space="0" w:color="auto"/>
        <w:right w:val="none" w:sz="0" w:space="0" w:color="auto"/>
      </w:divBdr>
    </w:div>
    <w:div w:id="455950978">
      <w:bodyDiv w:val="1"/>
      <w:marLeft w:val="0"/>
      <w:marRight w:val="0"/>
      <w:marTop w:val="0"/>
      <w:marBottom w:val="0"/>
      <w:divBdr>
        <w:top w:val="none" w:sz="0" w:space="0" w:color="auto"/>
        <w:left w:val="none" w:sz="0" w:space="0" w:color="auto"/>
        <w:bottom w:val="none" w:sz="0" w:space="0" w:color="auto"/>
        <w:right w:val="none" w:sz="0" w:space="0" w:color="auto"/>
      </w:divBdr>
    </w:div>
    <w:div w:id="465515189">
      <w:bodyDiv w:val="1"/>
      <w:marLeft w:val="0"/>
      <w:marRight w:val="0"/>
      <w:marTop w:val="0"/>
      <w:marBottom w:val="0"/>
      <w:divBdr>
        <w:top w:val="none" w:sz="0" w:space="0" w:color="auto"/>
        <w:left w:val="none" w:sz="0" w:space="0" w:color="auto"/>
        <w:bottom w:val="none" w:sz="0" w:space="0" w:color="auto"/>
        <w:right w:val="none" w:sz="0" w:space="0" w:color="auto"/>
      </w:divBdr>
    </w:div>
    <w:div w:id="467014083">
      <w:bodyDiv w:val="1"/>
      <w:marLeft w:val="0"/>
      <w:marRight w:val="0"/>
      <w:marTop w:val="0"/>
      <w:marBottom w:val="0"/>
      <w:divBdr>
        <w:top w:val="none" w:sz="0" w:space="0" w:color="auto"/>
        <w:left w:val="none" w:sz="0" w:space="0" w:color="auto"/>
        <w:bottom w:val="none" w:sz="0" w:space="0" w:color="auto"/>
        <w:right w:val="none" w:sz="0" w:space="0" w:color="auto"/>
      </w:divBdr>
    </w:div>
    <w:div w:id="469053519">
      <w:bodyDiv w:val="1"/>
      <w:marLeft w:val="0"/>
      <w:marRight w:val="0"/>
      <w:marTop w:val="0"/>
      <w:marBottom w:val="0"/>
      <w:divBdr>
        <w:top w:val="none" w:sz="0" w:space="0" w:color="auto"/>
        <w:left w:val="none" w:sz="0" w:space="0" w:color="auto"/>
        <w:bottom w:val="none" w:sz="0" w:space="0" w:color="auto"/>
        <w:right w:val="none" w:sz="0" w:space="0" w:color="auto"/>
      </w:divBdr>
    </w:div>
    <w:div w:id="472410116">
      <w:bodyDiv w:val="1"/>
      <w:marLeft w:val="0"/>
      <w:marRight w:val="0"/>
      <w:marTop w:val="0"/>
      <w:marBottom w:val="0"/>
      <w:divBdr>
        <w:top w:val="none" w:sz="0" w:space="0" w:color="auto"/>
        <w:left w:val="none" w:sz="0" w:space="0" w:color="auto"/>
        <w:bottom w:val="none" w:sz="0" w:space="0" w:color="auto"/>
        <w:right w:val="none" w:sz="0" w:space="0" w:color="auto"/>
      </w:divBdr>
    </w:div>
    <w:div w:id="475881200">
      <w:bodyDiv w:val="1"/>
      <w:marLeft w:val="0"/>
      <w:marRight w:val="0"/>
      <w:marTop w:val="0"/>
      <w:marBottom w:val="0"/>
      <w:divBdr>
        <w:top w:val="none" w:sz="0" w:space="0" w:color="auto"/>
        <w:left w:val="none" w:sz="0" w:space="0" w:color="auto"/>
        <w:bottom w:val="none" w:sz="0" w:space="0" w:color="auto"/>
        <w:right w:val="none" w:sz="0" w:space="0" w:color="auto"/>
      </w:divBdr>
    </w:div>
    <w:div w:id="478350262">
      <w:bodyDiv w:val="1"/>
      <w:marLeft w:val="0"/>
      <w:marRight w:val="0"/>
      <w:marTop w:val="0"/>
      <w:marBottom w:val="0"/>
      <w:divBdr>
        <w:top w:val="none" w:sz="0" w:space="0" w:color="auto"/>
        <w:left w:val="none" w:sz="0" w:space="0" w:color="auto"/>
        <w:bottom w:val="none" w:sz="0" w:space="0" w:color="auto"/>
        <w:right w:val="none" w:sz="0" w:space="0" w:color="auto"/>
      </w:divBdr>
    </w:div>
    <w:div w:id="482043774">
      <w:bodyDiv w:val="1"/>
      <w:marLeft w:val="0"/>
      <w:marRight w:val="0"/>
      <w:marTop w:val="0"/>
      <w:marBottom w:val="0"/>
      <w:divBdr>
        <w:top w:val="none" w:sz="0" w:space="0" w:color="auto"/>
        <w:left w:val="none" w:sz="0" w:space="0" w:color="auto"/>
        <w:bottom w:val="none" w:sz="0" w:space="0" w:color="auto"/>
        <w:right w:val="none" w:sz="0" w:space="0" w:color="auto"/>
      </w:divBdr>
    </w:div>
    <w:div w:id="491486542">
      <w:bodyDiv w:val="1"/>
      <w:marLeft w:val="0"/>
      <w:marRight w:val="0"/>
      <w:marTop w:val="0"/>
      <w:marBottom w:val="0"/>
      <w:divBdr>
        <w:top w:val="none" w:sz="0" w:space="0" w:color="auto"/>
        <w:left w:val="none" w:sz="0" w:space="0" w:color="auto"/>
        <w:bottom w:val="none" w:sz="0" w:space="0" w:color="auto"/>
        <w:right w:val="none" w:sz="0" w:space="0" w:color="auto"/>
      </w:divBdr>
    </w:div>
    <w:div w:id="497884627">
      <w:bodyDiv w:val="1"/>
      <w:marLeft w:val="0"/>
      <w:marRight w:val="0"/>
      <w:marTop w:val="0"/>
      <w:marBottom w:val="0"/>
      <w:divBdr>
        <w:top w:val="none" w:sz="0" w:space="0" w:color="auto"/>
        <w:left w:val="none" w:sz="0" w:space="0" w:color="auto"/>
        <w:bottom w:val="none" w:sz="0" w:space="0" w:color="auto"/>
        <w:right w:val="none" w:sz="0" w:space="0" w:color="auto"/>
      </w:divBdr>
    </w:div>
    <w:div w:id="518471136">
      <w:bodyDiv w:val="1"/>
      <w:marLeft w:val="0"/>
      <w:marRight w:val="0"/>
      <w:marTop w:val="0"/>
      <w:marBottom w:val="0"/>
      <w:divBdr>
        <w:top w:val="none" w:sz="0" w:space="0" w:color="auto"/>
        <w:left w:val="none" w:sz="0" w:space="0" w:color="auto"/>
        <w:bottom w:val="none" w:sz="0" w:space="0" w:color="auto"/>
        <w:right w:val="none" w:sz="0" w:space="0" w:color="auto"/>
      </w:divBdr>
    </w:div>
    <w:div w:id="522747364">
      <w:bodyDiv w:val="1"/>
      <w:marLeft w:val="0"/>
      <w:marRight w:val="0"/>
      <w:marTop w:val="0"/>
      <w:marBottom w:val="0"/>
      <w:divBdr>
        <w:top w:val="none" w:sz="0" w:space="0" w:color="auto"/>
        <w:left w:val="none" w:sz="0" w:space="0" w:color="auto"/>
        <w:bottom w:val="none" w:sz="0" w:space="0" w:color="auto"/>
        <w:right w:val="none" w:sz="0" w:space="0" w:color="auto"/>
      </w:divBdr>
    </w:div>
    <w:div w:id="528566231">
      <w:bodyDiv w:val="1"/>
      <w:marLeft w:val="0"/>
      <w:marRight w:val="0"/>
      <w:marTop w:val="0"/>
      <w:marBottom w:val="0"/>
      <w:divBdr>
        <w:top w:val="none" w:sz="0" w:space="0" w:color="auto"/>
        <w:left w:val="none" w:sz="0" w:space="0" w:color="auto"/>
        <w:bottom w:val="none" w:sz="0" w:space="0" w:color="auto"/>
        <w:right w:val="none" w:sz="0" w:space="0" w:color="auto"/>
      </w:divBdr>
    </w:div>
    <w:div w:id="553394615">
      <w:bodyDiv w:val="1"/>
      <w:marLeft w:val="0"/>
      <w:marRight w:val="0"/>
      <w:marTop w:val="0"/>
      <w:marBottom w:val="0"/>
      <w:divBdr>
        <w:top w:val="none" w:sz="0" w:space="0" w:color="auto"/>
        <w:left w:val="none" w:sz="0" w:space="0" w:color="auto"/>
        <w:bottom w:val="none" w:sz="0" w:space="0" w:color="auto"/>
        <w:right w:val="none" w:sz="0" w:space="0" w:color="auto"/>
      </w:divBdr>
    </w:div>
    <w:div w:id="558564558">
      <w:bodyDiv w:val="1"/>
      <w:marLeft w:val="0"/>
      <w:marRight w:val="0"/>
      <w:marTop w:val="0"/>
      <w:marBottom w:val="0"/>
      <w:divBdr>
        <w:top w:val="none" w:sz="0" w:space="0" w:color="auto"/>
        <w:left w:val="none" w:sz="0" w:space="0" w:color="auto"/>
        <w:bottom w:val="none" w:sz="0" w:space="0" w:color="auto"/>
        <w:right w:val="none" w:sz="0" w:space="0" w:color="auto"/>
      </w:divBdr>
    </w:div>
    <w:div w:id="565724947">
      <w:bodyDiv w:val="1"/>
      <w:marLeft w:val="0"/>
      <w:marRight w:val="0"/>
      <w:marTop w:val="0"/>
      <w:marBottom w:val="0"/>
      <w:divBdr>
        <w:top w:val="none" w:sz="0" w:space="0" w:color="auto"/>
        <w:left w:val="none" w:sz="0" w:space="0" w:color="auto"/>
        <w:bottom w:val="none" w:sz="0" w:space="0" w:color="auto"/>
        <w:right w:val="none" w:sz="0" w:space="0" w:color="auto"/>
      </w:divBdr>
    </w:div>
    <w:div w:id="576675069">
      <w:bodyDiv w:val="1"/>
      <w:marLeft w:val="0"/>
      <w:marRight w:val="0"/>
      <w:marTop w:val="0"/>
      <w:marBottom w:val="0"/>
      <w:divBdr>
        <w:top w:val="none" w:sz="0" w:space="0" w:color="auto"/>
        <w:left w:val="none" w:sz="0" w:space="0" w:color="auto"/>
        <w:bottom w:val="none" w:sz="0" w:space="0" w:color="auto"/>
        <w:right w:val="none" w:sz="0" w:space="0" w:color="auto"/>
      </w:divBdr>
    </w:div>
    <w:div w:id="587274752">
      <w:bodyDiv w:val="1"/>
      <w:marLeft w:val="0"/>
      <w:marRight w:val="0"/>
      <w:marTop w:val="0"/>
      <w:marBottom w:val="0"/>
      <w:divBdr>
        <w:top w:val="none" w:sz="0" w:space="0" w:color="auto"/>
        <w:left w:val="none" w:sz="0" w:space="0" w:color="auto"/>
        <w:bottom w:val="none" w:sz="0" w:space="0" w:color="auto"/>
        <w:right w:val="none" w:sz="0" w:space="0" w:color="auto"/>
      </w:divBdr>
    </w:div>
    <w:div w:id="592783334">
      <w:bodyDiv w:val="1"/>
      <w:marLeft w:val="0"/>
      <w:marRight w:val="0"/>
      <w:marTop w:val="0"/>
      <w:marBottom w:val="0"/>
      <w:divBdr>
        <w:top w:val="none" w:sz="0" w:space="0" w:color="auto"/>
        <w:left w:val="none" w:sz="0" w:space="0" w:color="auto"/>
        <w:bottom w:val="none" w:sz="0" w:space="0" w:color="auto"/>
        <w:right w:val="none" w:sz="0" w:space="0" w:color="auto"/>
      </w:divBdr>
    </w:div>
    <w:div w:id="600601677">
      <w:bodyDiv w:val="1"/>
      <w:marLeft w:val="0"/>
      <w:marRight w:val="0"/>
      <w:marTop w:val="0"/>
      <w:marBottom w:val="0"/>
      <w:divBdr>
        <w:top w:val="none" w:sz="0" w:space="0" w:color="auto"/>
        <w:left w:val="none" w:sz="0" w:space="0" w:color="auto"/>
        <w:bottom w:val="none" w:sz="0" w:space="0" w:color="auto"/>
        <w:right w:val="none" w:sz="0" w:space="0" w:color="auto"/>
      </w:divBdr>
    </w:div>
    <w:div w:id="600921210">
      <w:bodyDiv w:val="1"/>
      <w:marLeft w:val="0"/>
      <w:marRight w:val="0"/>
      <w:marTop w:val="0"/>
      <w:marBottom w:val="0"/>
      <w:divBdr>
        <w:top w:val="none" w:sz="0" w:space="0" w:color="auto"/>
        <w:left w:val="none" w:sz="0" w:space="0" w:color="auto"/>
        <w:bottom w:val="none" w:sz="0" w:space="0" w:color="auto"/>
        <w:right w:val="none" w:sz="0" w:space="0" w:color="auto"/>
      </w:divBdr>
    </w:div>
    <w:div w:id="617302688">
      <w:bodyDiv w:val="1"/>
      <w:marLeft w:val="0"/>
      <w:marRight w:val="0"/>
      <w:marTop w:val="0"/>
      <w:marBottom w:val="0"/>
      <w:divBdr>
        <w:top w:val="none" w:sz="0" w:space="0" w:color="auto"/>
        <w:left w:val="none" w:sz="0" w:space="0" w:color="auto"/>
        <w:bottom w:val="none" w:sz="0" w:space="0" w:color="auto"/>
        <w:right w:val="none" w:sz="0" w:space="0" w:color="auto"/>
      </w:divBdr>
    </w:div>
    <w:div w:id="617371130">
      <w:bodyDiv w:val="1"/>
      <w:marLeft w:val="0"/>
      <w:marRight w:val="0"/>
      <w:marTop w:val="0"/>
      <w:marBottom w:val="0"/>
      <w:divBdr>
        <w:top w:val="none" w:sz="0" w:space="0" w:color="auto"/>
        <w:left w:val="none" w:sz="0" w:space="0" w:color="auto"/>
        <w:bottom w:val="none" w:sz="0" w:space="0" w:color="auto"/>
        <w:right w:val="none" w:sz="0" w:space="0" w:color="auto"/>
      </w:divBdr>
    </w:div>
    <w:div w:id="618952361">
      <w:bodyDiv w:val="1"/>
      <w:marLeft w:val="0"/>
      <w:marRight w:val="0"/>
      <w:marTop w:val="0"/>
      <w:marBottom w:val="0"/>
      <w:divBdr>
        <w:top w:val="none" w:sz="0" w:space="0" w:color="auto"/>
        <w:left w:val="none" w:sz="0" w:space="0" w:color="auto"/>
        <w:bottom w:val="none" w:sz="0" w:space="0" w:color="auto"/>
        <w:right w:val="none" w:sz="0" w:space="0" w:color="auto"/>
      </w:divBdr>
    </w:div>
    <w:div w:id="626475347">
      <w:bodyDiv w:val="1"/>
      <w:marLeft w:val="0"/>
      <w:marRight w:val="0"/>
      <w:marTop w:val="0"/>
      <w:marBottom w:val="0"/>
      <w:divBdr>
        <w:top w:val="none" w:sz="0" w:space="0" w:color="auto"/>
        <w:left w:val="none" w:sz="0" w:space="0" w:color="auto"/>
        <w:bottom w:val="none" w:sz="0" w:space="0" w:color="auto"/>
        <w:right w:val="none" w:sz="0" w:space="0" w:color="auto"/>
      </w:divBdr>
    </w:div>
    <w:div w:id="630749497">
      <w:bodyDiv w:val="1"/>
      <w:marLeft w:val="0"/>
      <w:marRight w:val="0"/>
      <w:marTop w:val="0"/>
      <w:marBottom w:val="0"/>
      <w:divBdr>
        <w:top w:val="none" w:sz="0" w:space="0" w:color="auto"/>
        <w:left w:val="none" w:sz="0" w:space="0" w:color="auto"/>
        <w:bottom w:val="none" w:sz="0" w:space="0" w:color="auto"/>
        <w:right w:val="none" w:sz="0" w:space="0" w:color="auto"/>
      </w:divBdr>
    </w:div>
    <w:div w:id="632364847">
      <w:bodyDiv w:val="1"/>
      <w:marLeft w:val="0"/>
      <w:marRight w:val="0"/>
      <w:marTop w:val="0"/>
      <w:marBottom w:val="0"/>
      <w:divBdr>
        <w:top w:val="none" w:sz="0" w:space="0" w:color="auto"/>
        <w:left w:val="none" w:sz="0" w:space="0" w:color="auto"/>
        <w:bottom w:val="none" w:sz="0" w:space="0" w:color="auto"/>
        <w:right w:val="none" w:sz="0" w:space="0" w:color="auto"/>
      </w:divBdr>
    </w:div>
    <w:div w:id="634332387">
      <w:bodyDiv w:val="1"/>
      <w:marLeft w:val="0"/>
      <w:marRight w:val="0"/>
      <w:marTop w:val="0"/>
      <w:marBottom w:val="0"/>
      <w:divBdr>
        <w:top w:val="none" w:sz="0" w:space="0" w:color="auto"/>
        <w:left w:val="none" w:sz="0" w:space="0" w:color="auto"/>
        <w:bottom w:val="none" w:sz="0" w:space="0" w:color="auto"/>
        <w:right w:val="none" w:sz="0" w:space="0" w:color="auto"/>
      </w:divBdr>
    </w:div>
    <w:div w:id="647130991">
      <w:bodyDiv w:val="1"/>
      <w:marLeft w:val="0"/>
      <w:marRight w:val="0"/>
      <w:marTop w:val="0"/>
      <w:marBottom w:val="0"/>
      <w:divBdr>
        <w:top w:val="none" w:sz="0" w:space="0" w:color="auto"/>
        <w:left w:val="none" w:sz="0" w:space="0" w:color="auto"/>
        <w:bottom w:val="none" w:sz="0" w:space="0" w:color="auto"/>
        <w:right w:val="none" w:sz="0" w:space="0" w:color="auto"/>
      </w:divBdr>
    </w:div>
    <w:div w:id="654458620">
      <w:bodyDiv w:val="1"/>
      <w:marLeft w:val="0"/>
      <w:marRight w:val="0"/>
      <w:marTop w:val="0"/>
      <w:marBottom w:val="0"/>
      <w:divBdr>
        <w:top w:val="none" w:sz="0" w:space="0" w:color="auto"/>
        <w:left w:val="none" w:sz="0" w:space="0" w:color="auto"/>
        <w:bottom w:val="none" w:sz="0" w:space="0" w:color="auto"/>
        <w:right w:val="none" w:sz="0" w:space="0" w:color="auto"/>
      </w:divBdr>
    </w:div>
    <w:div w:id="656613838">
      <w:bodyDiv w:val="1"/>
      <w:marLeft w:val="0"/>
      <w:marRight w:val="0"/>
      <w:marTop w:val="0"/>
      <w:marBottom w:val="0"/>
      <w:divBdr>
        <w:top w:val="none" w:sz="0" w:space="0" w:color="auto"/>
        <w:left w:val="none" w:sz="0" w:space="0" w:color="auto"/>
        <w:bottom w:val="none" w:sz="0" w:space="0" w:color="auto"/>
        <w:right w:val="none" w:sz="0" w:space="0" w:color="auto"/>
      </w:divBdr>
    </w:div>
    <w:div w:id="657151462">
      <w:bodyDiv w:val="1"/>
      <w:marLeft w:val="0"/>
      <w:marRight w:val="0"/>
      <w:marTop w:val="0"/>
      <w:marBottom w:val="0"/>
      <w:divBdr>
        <w:top w:val="none" w:sz="0" w:space="0" w:color="auto"/>
        <w:left w:val="none" w:sz="0" w:space="0" w:color="auto"/>
        <w:bottom w:val="none" w:sz="0" w:space="0" w:color="auto"/>
        <w:right w:val="none" w:sz="0" w:space="0" w:color="auto"/>
      </w:divBdr>
    </w:div>
    <w:div w:id="671563858">
      <w:bodyDiv w:val="1"/>
      <w:marLeft w:val="0"/>
      <w:marRight w:val="0"/>
      <w:marTop w:val="0"/>
      <w:marBottom w:val="0"/>
      <w:divBdr>
        <w:top w:val="none" w:sz="0" w:space="0" w:color="auto"/>
        <w:left w:val="none" w:sz="0" w:space="0" w:color="auto"/>
        <w:bottom w:val="none" w:sz="0" w:space="0" w:color="auto"/>
        <w:right w:val="none" w:sz="0" w:space="0" w:color="auto"/>
      </w:divBdr>
    </w:div>
    <w:div w:id="674964391">
      <w:bodyDiv w:val="1"/>
      <w:marLeft w:val="0"/>
      <w:marRight w:val="0"/>
      <w:marTop w:val="0"/>
      <w:marBottom w:val="0"/>
      <w:divBdr>
        <w:top w:val="none" w:sz="0" w:space="0" w:color="auto"/>
        <w:left w:val="none" w:sz="0" w:space="0" w:color="auto"/>
        <w:bottom w:val="none" w:sz="0" w:space="0" w:color="auto"/>
        <w:right w:val="none" w:sz="0" w:space="0" w:color="auto"/>
      </w:divBdr>
    </w:div>
    <w:div w:id="676615068">
      <w:bodyDiv w:val="1"/>
      <w:marLeft w:val="0"/>
      <w:marRight w:val="0"/>
      <w:marTop w:val="0"/>
      <w:marBottom w:val="0"/>
      <w:divBdr>
        <w:top w:val="none" w:sz="0" w:space="0" w:color="auto"/>
        <w:left w:val="none" w:sz="0" w:space="0" w:color="auto"/>
        <w:bottom w:val="none" w:sz="0" w:space="0" w:color="auto"/>
        <w:right w:val="none" w:sz="0" w:space="0" w:color="auto"/>
      </w:divBdr>
    </w:div>
    <w:div w:id="677195252">
      <w:bodyDiv w:val="1"/>
      <w:marLeft w:val="0"/>
      <w:marRight w:val="0"/>
      <w:marTop w:val="0"/>
      <w:marBottom w:val="0"/>
      <w:divBdr>
        <w:top w:val="none" w:sz="0" w:space="0" w:color="auto"/>
        <w:left w:val="none" w:sz="0" w:space="0" w:color="auto"/>
        <w:bottom w:val="none" w:sz="0" w:space="0" w:color="auto"/>
        <w:right w:val="none" w:sz="0" w:space="0" w:color="auto"/>
      </w:divBdr>
    </w:div>
    <w:div w:id="680623258">
      <w:bodyDiv w:val="1"/>
      <w:marLeft w:val="0"/>
      <w:marRight w:val="0"/>
      <w:marTop w:val="0"/>
      <w:marBottom w:val="0"/>
      <w:divBdr>
        <w:top w:val="none" w:sz="0" w:space="0" w:color="auto"/>
        <w:left w:val="none" w:sz="0" w:space="0" w:color="auto"/>
        <w:bottom w:val="none" w:sz="0" w:space="0" w:color="auto"/>
        <w:right w:val="none" w:sz="0" w:space="0" w:color="auto"/>
      </w:divBdr>
    </w:div>
    <w:div w:id="684592881">
      <w:bodyDiv w:val="1"/>
      <w:marLeft w:val="0"/>
      <w:marRight w:val="0"/>
      <w:marTop w:val="0"/>
      <w:marBottom w:val="0"/>
      <w:divBdr>
        <w:top w:val="none" w:sz="0" w:space="0" w:color="auto"/>
        <w:left w:val="none" w:sz="0" w:space="0" w:color="auto"/>
        <w:bottom w:val="none" w:sz="0" w:space="0" w:color="auto"/>
        <w:right w:val="none" w:sz="0" w:space="0" w:color="auto"/>
      </w:divBdr>
    </w:div>
    <w:div w:id="689113491">
      <w:bodyDiv w:val="1"/>
      <w:marLeft w:val="0"/>
      <w:marRight w:val="0"/>
      <w:marTop w:val="0"/>
      <w:marBottom w:val="0"/>
      <w:divBdr>
        <w:top w:val="none" w:sz="0" w:space="0" w:color="auto"/>
        <w:left w:val="none" w:sz="0" w:space="0" w:color="auto"/>
        <w:bottom w:val="none" w:sz="0" w:space="0" w:color="auto"/>
        <w:right w:val="none" w:sz="0" w:space="0" w:color="auto"/>
      </w:divBdr>
    </w:div>
    <w:div w:id="699013106">
      <w:bodyDiv w:val="1"/>
      <w:marLeft w:val="0"/>
      <w:marRight w:val="0"/>
      <w:marTop w:val="0"/>
      <w:marBottom w:val="0"/>
      <w:divBdr>
        <w:top w:val="none" w:sz="0" w:space="0" w:color="auto"/>
        <w:left w:val="none" w:sz="0" w:space="0" w:color="auto"/>
        <w:bottom w:val="none" w:sz="0" w:space="0" w:color="auto"/>
        <w:right w:val="none" w:sz="0" w:space="0" w:color="auto"/>
      </w:divBdr>
    </w:div>
    <w:div w:id="737442796">
      <w:bodyDiv w:val="1"/>
      <w:marLeft w:val="0"/>
      <w:marRight w:val="0"/>
      <w:marTop w:val="0"/>
      <w:marBottom w:val="0"/>
      <w:divBdr>
        <w:top w:val="none" w:sz="0" w:space="0" w:color="auto"/>
        <w:left w:val="none" w:sz="0" w:space="0" w:color="auto"/>
        <w:bottom w:val="none" w:sz="0" w:space="0" w:color="auto"/>
        <w:right w:val="none" w:sz="0" w:space="0" w:color="auto"/>
      </w:divBdr>
    </w:div>
    <w:div w:id="770004362">
      <w:bodyDiv w:val="1"/>
      <w:marLeft w:val="0"/>
      <w:marRight w:val="0"/>
      <w:marTop w:val="0"/>
      <w:marBottom w:val="0"/>
      <w:divBdr>
        <w:top w:val="none" w:sz="0" w:space="0" w:color="auto"/>
        <w:left w:val="none" w:sz="0" w:space="0" w:color="auto"/>
        <w:bottom w:val="none" w:sz="0" w:space="0" w:color="auto"/>
        <w:right w:val="none" w:sz="0" w:space="0" w:color="auto"/>
      </w:divBdr>
    </w:div>
    <w:div w:id="770779990">
      <w:bodyDiv w:val="1"/>
      <w:marLeft w:val="0"/>
      <w:marRight w:val="0"/>
      <w:marTop w:val="0"/>
      <w:marBottom w:val="0"/>
      <w:divBdr>
        <w:top w:val="none" w:sz="0" w:space="0" w:color="auto"/>
        <w:left w:val="none" w:sz="0" w:space="0" w:color="auto"/>
        <w:bottom w:val="none" w:sz="0" w:space="0" w:color="auto"/>
        <w:right w:val="none" w:sz="0" w:space="0" w:color="auto"/>
      </w:divBdr>
    </w:div>
    <w:div w:id="774401040">
      <w:bodyDiv w:val="1"/>
      <w:marLeft w:val="0"/>
      <w:marRight w:val="0"/>
      <w:marTop w:val="0"/>
      <w:marBottom w:val="0"/>
      <w:divBdr>
        <w:top w:val="none" w:sz="0" w:space="0" w:color="auto"/>
        <w:left w:val="none" w:sz="0" w:space="0" w:color="auto"/>
        <w:bottom w:val="none" w:sz="0" w:space="0" w:color="auto"/>
        <w:right w:val="none" w:sz="0" w:space="0" w:color="auto"/>
      </w:divBdr>
    </w:div>
    <w:div w:id="789974551">
      <w:bodyDiv w:val="1"/>
      <w:marLeft w:val="0"/>
      <w:marRight w:val="0"/>
      <w:marTop w:val="0"/>
      <w:marBottom w:val="0"/>
      <w:divBdr>
        <w:top w:val="none" w:sz="0" w:space="0" w:color="auto"/>
        <w:left w:val="none" w:sz="0" w:space="0" w:color="auto"/>
        <w:bottom w:val="none" w:sz="0" w:space="0" w:color="auto"/>
        <w:right w:val="none" w:sz="0" w:space="0" w:color="auto"/>
      </w:divBdr>
    </w:div>
    <w:div w:id="797142487">
      <w:bodyDiv w:val="1"/>
      <w:marLeft w:val="0"/>
      <w:marRight w:val="0"/>
      <w:marTop w:val="0"/>
      <w:marBottom w:val="0"/>
      <w:divBdr>
        <w:top w:val="none" w:sz="0" w:space="0" w:color="auto"/>
        <w:left w:val="none" w:sz="0" w:space="0" w:color="auto"/>
        <w:bottom w:val="none" w:sz="0" w:space="0" w:color="auto"/>
        <w:right w:val="none" w:sz="0" w:space="0" w:color="auto"/>
      </w:divBdr>
    </w:div>
    <w:div w:id="812021032">
      <w:bodyDiv w:val="1"/>
      <w:marLeft w:val="0"/>
      <w:marRight w:val="0"/>
      <w:marTop w:val="0"/>
      <w:marBottom w:val="0"/>
      <w:divBdr>
        <w:top w:val="none" w:sz="0" w:space="0" w:color="auto"/>
        <w:left w:val="none" w:sz="0" w:space="0" w:color="auto"/>
        <w:bottom w:val="none" w:sz="0" w:space="0" w:color="auto"/>
        <w:right w:val="none" w:sz="0" w:space="0" w:color="auto"/>
      </w:divBdr>
    </w:div>
    <w:div w:id="816993856">
      <w:bodyDiv w:val="1"/>
      <w:marLeft w:val="0"/>
      <w:marRight w:val="0"/>
      <w:marTop w:val="0"/>
      <w:marBottom w:val="0"/>
      <w:divBdr>
        <w:top w:val="none" w:sz="0" w:space="0" w:color="auto"/>
        <w:left w:val="none" w:sz="0" w:space="0" w:color="auto"/>
        <w:bottom w:val="none" w:sz="0" w:space="0" w:color="auto"/>
        <w:right w:val="none" w:sz="0" w:space="0" w:color="auto"/>
      </w:divBdr>
    </w:div>
    <w:div w:id="817310271">
      <w:bodyDiv w:val="1"/>
      <w:marLeft w:val="0"/>
      <w:marRight w:val="0"/>
      <w:marTop w:val="0"/>
      <w:marBottom w:val="0"/>
      <w:divBdr>
        <w:top w:val="none" w:sz="0" w:space="0" w:color="auto"/>
        <w:left w:val="none" w:sz="0" w:space="0" w:color="auto"/>
        <w:bottom w:val="none" w:sz="0" w:space="0" w:color="auto"/>
        <w:right w:val="none" w:sz="0" w:space="0" w:color="auto"/>
      </w:divBdr>
    </w:div>
    <w:div w:id="823816879">
      <w:bodyDiv w:val="1"/>
      <w:marLeft w:val="0"/>
      <w:marRight w:val="0"/>
      <w:marTop w:val="0"/>
      <w:marBottom w:val="0"/>
      <w:divBdr>
        <w:top w:val="none" w:sz="0" w:space="0" w:color="auto"/>
        <w:left w:val="none" w:sz="0" w:space="0" w:color="auto"/>
        <w:bottom w:val="none" w:sz="0" w:space="0" w:color="auto"/>
        <w:right w:val="none" w:sz="0" w:space="0" w:color="auto"/>
      </w:divBdr>
    </w:div>
    <w:div w:id="824860714">
      <w:bodyDiv w:val="1"/>
      <w:marLeft w:val="0"/>
      <w:marRight w:val="0"/>
      <w:marTop w:val="0"/>
      <w:marBottom w:val="0"/>
      <w:divBdr>
        <w:top w:val="none" w:sz="0" w:space="0" w:color="auto"/>
        <w:left w:val="none" w:sz="0" w:space="0" w:color="auto"/>
        <w:bottom w:val="none" w:sz="0" w:space="0" w:color="auto"/>
        <w:right w:val="none" w:sz="0" w:space="0" w:color="auto"/>
      </w:divBdr>
    </w:div>
    <w:div w:id="835222578">
      <w:bodyDiv w:val="1"/>
      <w:marLeft w:val="0"/>
      <w:marRight w:val="0"/>
      <w:marTop w:val="0"/>
      <w:marBottom w:val="0"/>
      <w:divBdr>
        <w:top w:val="none" w:sz="0" w:space="0" w:color="auto"/>
        <w:left w:val="none" w:sz="0" w:space="0" w:color="auto"/>
        <w:bottom w:val="none" w:sz="0" w:space="0" w:color="auto"/>
        <w:right w:val="none" w:sz="0" w:space="0" w:color="auto"/>
      </w:divBdr>
    </w:div>
    <w:div w:id="836043251">
      <w:bodyDiv w:val="1"/>
      <w:marLeft w:val="0"/>
      <w:marRight w:val="0"/>
      <w:marTop w:val="0"/>
      <w:marBottom w:val="0"/>
      <w:divBdr>
        <w:top w:val="none" w:sz="0" w:space="0" w:color="auto"/>
        <w:left w:val="none" w:sz="0" w:space="0" w:color="auto"/>
        <w:bottom w:val="none" w:sz="0" w:space="0" w:color="auto"/>
        <w:right w:val="none" w:sz="0" w:space="0" w:color="auto"/>
      </w:divBdr>
    </w:div>
    <w:div w:id="836261657">
      <w:bodyDiv w:val="1"/>
      <w:marLeft w:val="0"/>
      <w:marRight w:val="0"/>
      <w:marTop w:val="0"/>
      <w:marBottom w:val="0"/>
      <w:divBdr>
        <w:top w:val="none" w:sz="0" w:space="0" w:color="auto"/>
        <w:left w:val="none" w:sz="0" w:space="0" w:color="auto"/>
        <w:bottom w:val="none" w:sz="0" w:space="0" w:color="auto"/>
        <w:right w:val="none" w:sz="0" w:space="0" w:color="auto"/>
      </w:divBdr>
    </w:div>
    <w:div w:id="837576324">
      <w:bodyDiv w:val="1"/>
      <w:marLeft w:val="0"/>
      <w:marRight w:val="0"/>
      <w:marTop w:val="0"/>
      <w:marBottom w:val="0"/>
      <w:divBdr>
        <w:top w:val="none" w:sz="0" w:space="0" w:color="auto"/>
        <w:left w:val="none" w:sz="0" w:space="0" w:color="auto"/>
        <w:bottom w:val="none" w:sz="0" w:space="0" w:color="auto"/>
        <w:right w:val="none" w:sz="0" w:space="0" w:color="auto"/>
      </w:divBdr>
    </w:div>
    <w:div w:id="844975961">
      <w:bodyDiv w:val="1"/>
      <w:marLeft w:val="0"/>
      <w:marRight w:val="0"/>
      <w:marTop w:val="0"/>
      <w:marBottom w:val="0"/>
      <w:divBdr>
        <w:top w:val="none" w:sz="0" w:space="0" w:color="auto"/>
        <w:left w:val="none" w:sz="0" w:space="0" w:color="auto"/>
        <w:bottom w:val="none" w:sz="0" w:space="0" w:color="auto"/>
        <w:right w:val="none" w:sz="0" w:space="0" w:color="auto"/>
      </w:divBdr>
    </w:div>
    <w:div w:id="847014649">
      <w:bodyDiv w:val="1"/>
      <w:marLeft w:val="0"/>
      <w:marRight w:val="0"/>
      <w:marTop w:val="0"/>
      <w:marBottom w:val="0"/>
      <w:divBdr>
        <w:top w:val="none" w:sz="0" w:space="0" w:color="auto"/>
        <w:left w:val="none" w:sz="0" w:space="0" w:color="auto"/>
        <w:bottom w:val="none" w:sz="0" w:space="0" w:color="auto"/>
        <w:right w:val="none" w:sz="0" w:space="0" w:color="auto"/>
      </w:divBdr>
    </w:div>
    <w:div w:id="853151056">
      <w:bodyDiv w:val="1"/>
      <w:marLeft w:val="0"/>
      <w:marRight w:val="0"/>
      <w:marTop w:val="0"/>
      <w:marBottom w:val="0"/>
      <w:divBdr>
        <w:top w:val="none" w:sz="0" w:space="0" w:color="auto"/>
        <w:left w:val="none" w:sz="0" w:space="0" w:color="auto"/>
        <w:bottom w:val="none" w:sz="0" w:space="0" w:color="auto"/>
        <w:right w:val="none" w:sz="0" w:space="0" w:color="auto"/>
      </w:divBdr>
    </w:div>
    <w:div w:id="873227686">
      <w:bodyDiv w:val="1"/>
      <w:marLeft w:val="0"/>
      <w:marRight w:val="0"/>
      <w:marTop w:val="0"/>
      <w:marBottom w:val="0"/>
      <w:divBdr>
        <w:top w:val="none" w:sz="0" w:space="0" w:color="auto"/>
        <w:left w:val="none" w:sz="0" w:space="0" w:color="auto"/>
        <w:bottom w:val="none" w:sz="0" w:space="0" w:color="auto"/>
        <w:right w:val="none" w:sz="0" w:space="0" w:color="auto"/>
      </w:divBdr>
    </w:div>
    <w:div w:id="881670487">
      <w:bodyDiv w:val="1"/>
      <w:marLeft w:val="0"/>
      <w:marRight w:val="0"/>
      <w:marTop w:val="0"/>
      <w:marBottom w:val="0"/>
      <w:divBdr>
        <w:top w:val="none" w:sz="0" w:space="0" w:color="auto"/>
        <w:left w:val="none" w:sz="0" w:space="0" w:color="auto"/>
        <w:bottom w:val="none" w:sz="0" w:space="0" w:color="auto"/>
        <w:right w:val="none" w:sz="0" w:space="0" w:color="auto"/>
      </w:divBdr>
    </w:div>
    <w:div w:id="883176853">
      <w:bodyDiv w:val="1"/>
      <w:marLeft w:val="0"/>
      <w:marRight w:val="0"/>
      <w:marTop w:val="0"/>
      <w:marBottom w:val="0"/>
      <w:divBdr>
        <w:top w:val="none" w:sz="0" w:space="0" w:color="auto"/>
        <w:left w:val="none" w:sz="0" w:space="0" w:color="auto"/>
        <w:bottom w:val="none" w:sz="0" w:space="0" w:color="auto"/>
        <w:right w:val="none" w:sz="0" w:space="0" w:color="auto"/>
      </w:divBdr>
    </w:div>
    <w:div w:id="884756003">
      <w:bodyDiv w:val="1"/>
      <w:marLeft w:val="0"/>
      <w:marRight w:val="0"/>
      <w:marTop w:val="0"/>
      <w:marBottom w:val="0"/>
      <w:divBdr>
        <w:top w:val="none" w:sz="0" w:space="0" w:color="auto"/>
        <w:left w:val="none" w:sz="0" w:space="0" w:color="auto"/>
        <w:bottom w:val="none" w:sz="0" w:space="0" w:color="auto"/>
        <w:right w:val="none" w:sz="0" w:space="0" w:color="auto"/>
      </w:divBdr>
    </w:div>
    <w:div w:id="885409668">
      <w:bodyDiv w:val="1"/>
      <w:marLeft w:val="0"/>
      <w:marRight w:val="0"/>
      <w:marTop w:val="0"/>
      <w:marBottom w:val="0"/>
      <w:divBdr>
        <w:top w:val="none" w:sz="0" w:space="0" w:color="auto"/>
        <w:left w:val="none" w:sz="0" w:space="0" w:color="auto"/>
        <w:bottom w:val="none" w:sz="0" w:space="0" w:color="auto"/>
        <w:right w:val="none" w:sz="0" w:space="0" w:color="auto"/>
      </w:divBdr>
    </w:div>
    <w:div w:id="893346938">
      <w:bodyDiv w:val="1"/>
      <w:marLeft w:val="0"/>
      <w:marRight w:val="0"/>
      <w:marTop w:val="0"/>
      <w:marBottom w:val="0"/>
      <w:divBdr>
        <w:top w:val="none" w:sz="0" w:space="0" w:color="auto"/>
        <w:left w:val="none" w:sz="0" w:space="0" w:color="auto"/>
        <w:bottom w:val="none" w:sz="0" w:space="0" w:color="auto"/>
        <w:right w:val="none" w:sz="0" w:space="0" w:color="auto"/>
      </w:divBdr>
    </w:div>
    <w:div w:id="897590312">
      <w:bodyDiv w:val="1"/>
      <w:marLeft w:val="0"/>
      <w:marRight w:val="0"/>
      <w:marTop w:val="0"/>
      <w:marBottom w:val="0"/>
      <w:divBdr>
        <w:top w:val="none" w:sz="0" w:space="0" w:color="auto"/>
        <w:left w:val="none" w:sz="0" w:space="0" w:color="auto"/>
        <w:bottom w:val="none" w:sz="0" w:space="0" w:color="auto"/>
        <w:right w:val="none" w:sz="0" w:space="0" w:color="auto"/>
      </w:divBdr>
    </w:div>
    <w:div w:id="902641385">
      <w:bodyDiv w:val="1"/>
      <w:marLeft w:val="0"/>
      <w:marRight w:val="0"/>
      <w:marTop w:val="0"/>
      <w:marBottom w:val="0"/>
      <w:divBdr>
        <w:top w:val="none" w:sz="0" w:space="0" w:color="auto"/>
        <w:left w:val="none" w:sz="0" w:space="0" w:color="auto"/>
        <w:bottom w:val="none" w:sz="0" w:space="0" w:color="auto"/>
        <w:right w:val="none" w:sz="0" w:space="0" w:color="auto"/>
      </w:divBdr>
    </w:div>
    <w:div w:id="911541866">
      <w:bodyDiv w:val="1"/>
      <w:marLeft w:val="0"/>
      <w:marRight w:val="0"/>
      <w:marTop w:val="0"/>
      <w:marBottom w:val="0"/>
      <w:divBdr>
        <w:top w:val="none" w:sz="0" w:space="0" w:color="auto"/>
        <w:left w:val="none" w:sz="0" w:space="0" w:color="auto"/>
        <w:bottom w:val="none" w:sz="0" w:space="0" w:color="auto"/>
        <w:right w:val="none" w:sz="0" w:space="0" w:color="auto"/>
      </w:divBdr>
    </w:div>
    <w:div w:id="914977507">
      <w:bodyDiv w:val="1"/>
      <w:marLeft w:val="0"/>
      <w:marRight w:val="0"/>
      <w:marTop w:val="0"/>
      <w:marBottom w:val="0"/>
      <w:divBdr>
        <w:top w:val="none" w:sz="0" w:space="0" w:color="auto"/>
        <w:left w:val="none" w:sz="0" w:space="0" w:color="auto"/>
        <w:bottom w:val="none" w:sz="0" w:space="0" w:color="auto"/>
        <w:right w:val="none" w:sz="0" w:space="0" w:color="auto"/>
      </w:divBdr>
    </w:div>
    <w:div w:id="918439372">
      <w:bodyDiv w:val="1"/>
      <w:marLeft w:val="0"/>
      <w:marRight w:val="0"/>
      <w:marTop w:val="0"/>
      <w:marBottom w:val="0"/>
      <w:divBdr>
        <w:top w:val="none" w:sz="0" w:space="0" w:color="auto"/>
        <w:left w:val="none" w:sz="0" w:space="0" w:color="auto"/>
        <w:bottom w:val="none" w:sz="0" w:space="0" w:color="auto"/>
        <w:right w:val="none" w:sz="0" w:space="0" w:color="auto"/>
      </w:divBdr>
    </w:div>
    <w:div w:id="922491878">
      <w:bodyDiv w:val="1"/>
      <w:marLeft w:val="0"/>
      <w:marRight w:val="0"/>
      <w:marTop w:val="0"/>
      <w:marBottom w:val="0"/>
      <w:divBdr>
        <w:top w:val="none" w:sz="0" w:space="0" w:color="auto"/>
        <w:left w:val="none" w:sz="0" w:space="0" w:color="auto"/>
        <w:bottom w:val="none" w:sz="0" w:space="0" w:color="auto"/>
        <w:right w:val="none" w:sz="0" w:space="0" w:color="auto"/>
      </w:divBdr>
    </w:div>
    <w:div w:id="924265858">
      <w:bodyDiv w:val="1"/>
      <w:marLeft w:val="0"/>
      <w:marRight w:val="0"/>
      <w:marTop w:val="0"/>
      <w:marBottom w:val="0"/>
      <w:divBdr>
        <w:top w:val="none" w:sz="0" w:space="0" w:color="auto"/>
        <w:left w:val="none" w:sz="0" w:space="0" w:color="auto"/>
        <w:bottom w:val="none" w:sz="0" w:space="0" w:color="auto"/>
        <w:right w:val="none" w:sz="0" w:space="0" w:color="auto"/>
      </w:divBdr>
    </w:div>
    <w:div w:id="926614917">
      <w:bodyDiv w:val="1"/>
      <w:marLeft w:val="0"/>
      <w:marRight w:val="0"/>
      <w:marTop w:val="0"/>
      <w:marBottom w:val="0"/>
      <w:divBdr>
        <w:top w:val="none" w:sz="0" w:space="0" w:color="auto"/>
        <w:left w:val="none" w:sz="0" w:space="0" w:color="auto"/>
        <w:bottom w:val="none" w:sz="0" w:space="0" w:color="auto"/>
        <w:right w:val="none" w:sz="0" w:space="0" w:color="auto"/>
      </w:divBdr>
    </w:div>
    <w:div w:id="943416244">
      <w:bodyDiv w:val="1"/>
      <w:marLeft w:val="0"/>
      <w:marRight w:val="0"/>
      <w:marTop w:val="0"/>
      <w:marBottom w:val="0"/>
      <w:divBdr>
        <w:top w:val="none" w:sz="0" w:space="0" w:color="auto"/>
        <w:left w:val="none" w:sz="0" w:space="0" w:color="auto"/>
        <w:bottom w:val="none" w:sz="0" w:space="0" w:color="auto"/>
        <w:right w:val="none" w:sz="0" w:space="0" w:color="auto"/>
      </w:divBdr>
    </w:div>
    <w:div w:id="945044422">
      <w:bodyDiv w:val="1"/>
      <w:marLeft w:val="0"/>
      <w:marRight w:val="0"/>
      <w:marTop w:val="0"/>
      <w:marBottom w:val="0"/>
      <w:divBdr>
        <w:top w:val="none" w:sz="0" w:space="0" w:color="auto"/>
        <w:left w:val="none" w:sz="0" w:space="0" w:color="auto"/>
        <w:bottom w:val="none" w:sz="0" w:space="0" w:color="auto"/>
        <w:right w:val="none" w:sz="0" w:space="0" w:color="auto"/>
      </w:divBdr>
    </w:div>
    <w:div w:id="981619402">
      <w:bodyDiv w:val="1"/>
      <w:marLeft w:val="0"/>
      <w:marRight w:val="0"/>
      <w:marTop w:val="0"/>
      <w:marBottom w:val="0"/>
      <w:divBdr>
        <w:top w:val="none" w:sz="0" w:space="0" w:color="auto"/>
        <w:left w:val="none" w:sz="0" w:space="0" w:color="auto"/>
        <w:bottom w:val="none" w:sz="0" w:space="0" w:color="auto"/>
        <w:right w:val="none" w:sz="0" w:space="0" w:color="auto"/>
      </w:divBdr>
    </w:div>
    <w:div w:id="1003508645">
      <w:bodyDiv w:val="1"/>
      <w:marLeft w:val="0"/>
      <w:marRight w:val="0"/>
      <w:marTop w:val="0"/>
      <w:marBottom w:val="0"/>
      <w:divBdr>
        <w:top w:val="none" w:sz="0" w:space="0" w:color="auto"/>
        <w:left w:val="none" w:sz="0" w:space="0" w:color="auto"/>
        <w:bottom w:val="none" w:sz="0" w:space="0" w:color="auto"/>
        <w:right w:val="none" w:sz="0" w:space="0" w:color="auto"/>
      </w:divBdr>
    </w:div>
    <w:div w:id="1007054704">
      <w:bodyDiv w:val="1"/>
      <w:marLeft w:val="0"/>
      <w:marRight w:val="0"/>
      <w:marTop w:val="0"/>
      <w:marBottom w:val="0"/>
      <w:divBdr>
        <w:top w:val="none" w:sz="0" w:space="0" w:color="auto"/>
        <w:left w:val="none" w:sz="0" w:space="0" w:color="auto"/>
        <w:bottom w:val="none" w:sz="0" w:space="0" w:color="auto"/>
        <w:right w:val="none" w:sz="0" w:space="0" w:color="auto"/>
      </w:divBdr>
    </w:div>
    <w:div w:id="1013649094">
      <w:bodyDiv w:val="1"/>
      <w:marLeft w:val="0"/>
      <w:marRight w:val="0"/>
      <w:marTop w:val="0"/>
      <w:marBottom w:val="0"/>
      <w:divBdr>
        <w:top w:val="none" w:sz="0" w:space="0" w:color="auto"/>
        <w:left w:val="none" w:sz="0" w:space="0" w:color="auto"/>
        <w:bottom w:val="none" w:sz="0" w:space="0" w:color="auto"/>
        <w:right w:val="none" w:sz="0" w:space="0" w:color="auto"/>
      </w:divBdr>
    </w:div>
    <w:div w:id="1026255100">
      <w:bodyDiv w:val="1"/>
      <w:marLeft w:val="0"/>
      <w:marRight w:val="0"/>
      <w:marTop w:val="0"/>
      <w:marBottom w:val="0"/>
      <w:divBdr>
        <w:top w:val="none" w:sz="0" w:space="0" w:color="auto"/>
        <w:left w:val="none" w:sz="0" w:space="0" w:color="auto"/>
        <w:bottom w:val="none" w:sz="0" w:space="0" w:color="auto"/>
        <w:right w:val="none" w:sz="0" w:space="0" w:color="auto"/>
      </w:divBdr>
    </w:div>
    <w:div w:id="1027607247">
      <w:bodyDiv w:val="1"/>
      <w:marLeft w:val="0"/>
      <w:marRight w:val="0"/>
      <w:marTop w:val="0"/>
      <w:marBottom w:val="0"/>
      <w:divBdr>
        <w:top w:val="none" w:sz="0" w:space="0" w:color="auto"/>
        <w:left w:val="none" w:sz="0" w:space="0" w:color="auto"/>
        <w:bottom w:val="none" w:sz="0" w:space="0" w:color="auto"/>
        <w:right w:val="none" w:sz="0" w:space="0" w:color="auto"/>
      </w:divBdr>
    </w:div>
    <w:div w:id="1034422397">
      <w:bodyDiv w:val="1"/>
      <w:marLeft w:val="0"/>
      <w:marRight w:val="0"/>
      <w:marTop w:val="0"/>
      <w:marBottom w:val="0"/>
      <w:divBdr>
        <w:top w:val="none" w:sz="0" w:space="0" w:color="auto"/>
        <w:left w:val="none" w:sz="0" w:space="0" w:color="auto"/>
        <w:bottom w:val="none" w:sz="0" w:space="0" w:color="auto"/>
        <w:right w:val="none" w:sz="0" w:space="0" w:color="auto"/>
      </w:divBdr>
    </w:div>
    <w:div w:id="1034623372">
      <w:bodyDiv w:val="1"/>
      <w:marLeft w:val="0"/>
      <w:marRight w:val="0"/>
      <w:marTop w:val="0"/>
      <w:marBottom w:val="0"/>
      <w:divBdr>
        <w:top w:val="none" w:sz="0" w:space="0" w:color="auto"/>
        <w:left w:val="none" w:sz="0" w:space="0" w:color="auto"/>
        <w:bottom w:val="none" w:sz="0" w:space="0" w:color="auto"/>
        <w:right w:val="none" w:sz="0" w:space="0" w:color="auto"/>
      </w:divBdr>
    </w:div>
    <w:div w:id="1058475653">
      <w:bodyDiv w:val="1"/>
      <w:marLeft w:val="0"/>
      <w:marRight w:val="0"/>
      <w:marTop w:val="0"/>
      <w:marBottom w:val="0"/>
      <w:divBdr>
        <w:top w:val="none" w:sz="0" w:space="0" w:color="auto"/>
        <w:left w:val="none" w:sz="0" w:space="0" w:color="auto"/>
        <w:bottom w:val="none" w:sz="0" w:space="0" w:color="auto"/>
        <w:right w:val="none" w:sz="0" w:space="0" w:color="auto"/>
      </w:divBdr>
    </w:div>
    <w:div w:id="1063989548">
      <w:bodyDiv w:val="1"/>
      <w:marLeft w:val="0"/>
      <w:marRight w:val="0"/>
      <w:marTop w:val="0"/>
      <w:marBottom w:val="0"/>
      <w:divBdr>
        <w:top w:val="none" w:sz="0" w:space="0" w:color="auto"/>
        <w:left w:val="none" w:sz="0" w:space="0" w:color="auto"/>
        <w:bottom w:val="none" w:sz="0" w:space="0" w:color="auto"/>
        <w:right w:val="none" w:sz="0" w:space="0" w:color="auto"/>
      </w:divBdr>
    </w:div>
    <w:div w:id="1070008383">
      <w:bodyDiv w:val="1"/>
      <w:marLeft w:val="0"/>
      <w:marRight w:val="0"/>
      <w:marTop w:val="0"/>
      <w:marBottom w:val="0"/>
      <w:divBdr>
        <w:top w:val="none" w:sz="0" w:space="0" w:color="auto"/>
        <w:left w:val="none" w:sz="0" w:space="0" w:color="auto"/>
        <w:bottom w:val="none" w:sz="0" w:space="0" w:color="auto"/>
        <w:right w:val="none" w:sz="0" w:space="0" w:color="auto"/>
      </w:divBdr>
    </w:div>
    <w:div w:id="1087459139">
      <w:bodyDiv w:val="1"/>
      <w:marLeft w:val="0"/>
      <w:marRight w:val="0"/>
      <w:marTop w:val="0"/>
      <w:marBottom w:val="0"/>
      <w:divBdr>
        <w:top w:val="none" w:sz="0" w:space="0" w:color="auto"/>
        <w:left w:val="none" w:sz="0" w:space="0" w:color="auto"/>
        <w:bottom w:val="none" w:sz="0" w:space="0" w:color="auto"/>
        <w:right w:val="none" w:sz="0" w:space="0" w:color="auto"/>
      </w:divBdr>
    </w:div>
    <w:div w:id="1093206124">
      <w:bodyDiv w:val="1"/>
      <w:marLeft w:val="0"/>
      <w:marRight w:val="0"/>
      <w:marTop w:val="0"/>
      <w:marBottom w:val="0"/>
      <w:divBdr>
        <w:top w:val="none" w:sz="0" w:space="0" w:color="auto"/>
        <w:left w:val="none" w:sz="0" w:space="0" w:color="auto"/>
        <w:bottom w:val="none" w:sz="0" w:space="0" w:color="auto"/>
        <w:right w:val="none" w:sz="0" w:space="0" w:color="auto"/>
      </w:divBdr>
    </w:div>
    <w:div w:id="1127432302">
      <w:bodyDiv w:val="1"/>
      <w:marLeft w:val="0"/>
      <w:marRight w:val="0"/>
      <w:marTop w:val="0"/>
      <w:marBottom w:val="0"/>
      <w:divBdr>
        <w:top w:val="none" w:sz="0" w:space="0" w:color="auto"/>
        <w:left w:val="none" w:sz="0" w:space="0" w:color="auto"/>
        <w:bottom w:val="none" w:sz="0" w:space="0" w:color="auto"/>
        <w:right w:val="none" w:sz="0" w:space="0" w:color="auto"/>
      </w:divBdr>
    </w:div>
    <w:div w:id="1128082233">
      <w:bodyDiv w:val="1"/>
      <w:marLeft w:val="0"/>
      <w:marRight w:val="0"/>
      <w:marTop w:val="0"/>
      <w:marBottom w:val="0"/>
      <w:divBdr>
        <w:top w:val="none" w:sz="0" w:space="0" w:color="auto"/>
        <w:left w:val="none" w:sz="0" w:space="0" w:color="auto"/>
        <w:bottom w:val="none" w:sz="0" w:space="0" w:color="auto"/>
        <w:right w:val="none" w:sz="0" w:space="0" w:color="auto"/>
      </w:divBdr>
    </w:div>
    <w:div w:id="1138769191">
      <w:bodyDiv w:val="1"/>
      <w:marLeft w:val="0"/>
      <w:marRight w:val="0"/>
      <w:marTop w:val="0"/>
      <w:marBottom w:val="0"/>
      <w:divBdr>
        <w:top w:val="none" w:sz="0" w:space="0" w:color="auto"/>
        <w:left w:val="none" w:sz="0" w:space="0" w:color="auto"/>
        <w:bottom w:val="none" w:sz="0" w:space="0" w:color="auto"/>
        <w:right w:val="none" w:sz="0" w:space="0" w:color="auto"/>
      </w:divBdr>
    </w:div>
    <w:div w:id="1141000638">
      <w:bodyDiv w:val="1"/>
      <w:marLeft w:val="0"/>
      <w:marRight w:val="0"/>
      <w:marTop w:val="0"/>
      <w:marBottom w:val="0"/>
      <w:divBdr>
        <w:top w:val="none" w:sz="0" w:space="0" w:color="auto"/>
        <w:left w:val="none" w:sz="0" w:space="0" w:color="auto"/>
        <w:bottom w:val="none" w:sz="0" w:space="0" w:color="auto"/>
        <w:right w:val="none" w:sz="0" w:space="0" w:color="auto"/>
      </w:divBdr>
    </w:div>
    <w:div w:id="1141269079">
      <w:bodyDiv w:val="1"/>
      <w:marLeft w:val="0"/>
      <w:marRight w:val="0"/>
      <w:marTop w:val="0"/>
      <w:marBottom w:val="0"/>
      <w:divBdr>
        <w:top w:val="none" w:sz="0" w:space="0" w:color="auto"/>
        <w:left w:val="none" w:sz="0" w:space="0" w:color="auto"/>
        <w:bottom w:val="none" w:sz="0" w:space="0" w:color="auto"/>
        <w:right w:val="none" w:sz="0" w:space="0" w:color="auto"/>
      </w:divBdr>
    </w:div>
    <w:div w:id="1148398457">
      <w:bodyDiv w:val="1"/>
      <w:marLeft w:val="0"/>
      <w:marRight w:val="0"/>
      <w:marTop w:val="0"/>
      <w:marBottom w:val="0"/>
      <w:divBdr>
        <w:top w:val="none" w:sz="0" w:space="0" w:color="auto"/>
        <w:left w:val="none" w:sz="0" w:space="0" w:color="auto"/>
        <w:bottom w:val="none" w:sz="0" w:space="0" w:color="auto"/>
        <w:right w:val="none" w:sz="0" w:space="0" w:color="auto"/>
      </w:divBdr>
    </w:div>
    <w:div w:id="1155684086">
      <w:bodyDiv w:val="1"/>
      <w:marLeft w:val="0"/>
      <w:marRight w:val="0"/>
      <w:marTop w:val="0"/>
      <w:marBottom w:val="0"/>
      <w:divBdr>
        <w:top w:val="none" w:sz="0" w:space="0" w:color="auto"/>
        <w:left w:val="none" w:sz="0" w:space="0" w:color="auto"/>
        <w:bottom w:val="none" w:sz="0" w:space="0" w:color="auto"/>
        <w:right w:val="none" w:sz="0" w:space="0" w:color="auto"/>
      </w:divBdr>
    </w:div>
    <w:div w:id="1181747406">
      <w:bodyDiv w:val="1"/>
      <w:marLeft w:val="0"/>
      <w:marRight w:val="0"/>
      <w:marTop w:val="0"/>
      <w:marBottom w:val="0"/>
      <w:divBdr>
        <w:top w:val="none" w:sz="0" w:space="0" w:color="auto"/>
        <w:left w:val="none" w:sz="0" w:space="0" w:color="auto"/>
        <w:bottom w:val="none" w:sz="0" w:space="0" w:color="auto"/>
        <w:right w:val="none" w:sz="0" w:space="0" w:color="auto"/>
      </w:divBdr>
    </w:div>
    <w:div w:id="1185434639">
      <w:bodyDiv w:val="1"/>
      <w:marLeft w:val="0"/>
      <w:marRight w:val="0"/>
      <w:marTop w:val="0"/>
      <w:marBottom w:val="0"/>
      <w:divBdr>
        <w:top w:val="none" w:sz="0" w:space="0" w:color="auto"/>
        <w:left w:val="none" w:sz="0" w:space="0" w:color="auto"/>
        <w:bottom w:val="none" w:sz="0" w:space="0" w:color="auto"/>
        <w:right w:val="none" w:sz="0" w:space="0" w:color="auto"/>
      </w:divBdr>
    </w:div>
    <w:div w:id="1188568096">
      <w:bodyDiv w:val="1"/>
      <w:marLeft w:val="0"/>
      <w:marRight w:val="0"/>
      <w:marTop w:val="0"/>
      <w:marBottom w:val="0"/>
      <w:divBdr>
        <w:top w:val="none" w:sz="0" w:space="0" w:color="auto"/>
        <w:left w:val="none" w:sz="0" w:space="0" w:color="auto"/>
        <w:bottom w:val="none" w:sz="0" w:space="0" w:color="auto"/>
        <w:right w:val="none" w:sz="0" w:space="0" w:color="auto"/>
      </w:divBdr>
    </w:div>
    <w:div w:id="1213923773">
      <w:bodyDiv w:val="1"/>
      <w:marLeft w:val="0"/>
      <w:marRight w:val="0"/>
      <w:marTop w:val="0"/>
      <w:marBottom w:val="0"/>
      <w:divBdr>
        <w:top w:val="none" w:sz="0" w:space="0" w:color="auto"/>
        <w:left w:val="none" w:sz="0" w:space="0" w:color="auto"/>
        <w:bottom w:val="none" w:sz="0" w:space="0" w:color="auto"/>
        <w:right w:val="none" w:sz="0" w:space="0" w:color="auto"/>
      </w:divBdr>
    </w:div>
    <w:div w:id="1215581940">
      <w:bodyDiv w:val="1"/>
      <w:marLeft w:val="0"/>
      <w:marRight w:val="0"/>
      <w:marTop w:val="0"/>
      <w:marBottom w:val="0"/>
      <w:divBdr>
        <w:top w:val="none" w:sz="0" w:space="0" w:color="auto"/>
        <w:left w:val="none" w:sz="0" w:space="0" w:color="auto"/>
        <w:bottom w:val="none" w:sz="0" w:space="0" w:color="auto"/>
        <w:right w:val="none" w:sz="0" w:space="0" w:color="auto"/>
      </w:divBdr>
    </w:div>
    <w:div w:id="1218275824">
      <w:bodyDiv w:val="1"/>
      <w:marLeft w:val="0"/>
      <w:marRight w:val="0"/>
      <w:marTop w:val="0"/>
      <w:marBottom w:val="0"/>
      <w:divBdr>
        <w:top w:val="none" w:sz="0" w:space="0" w:color="auto"/>
        <w:left w:val="none" w:sz="0" w:space="0" w:color="auto"/>
        <w:bottom w:val="none" w:sz="0" w:space="0" w:color="auto"/>
        <w:right w:val="none" w:sz="0" w:space="0" w:color="auto"/>
      </w:divBdr>
    </w:div>
    <w:div w:id="1231696137">
      <w:bodyDiv w:val="1"/>
      <w:marLeft w:val="0"/>
      <w:marRight w:val="0"/>
      <w:marTop w:val="0"/>
      <w:marBottom w:val="0"/>
      <w:divBdr>
        <w:top w:val="none" w:sz="0" w:space="0" w:color="auto"/>
        <w:left w:val="none" w:sz="0" w:space="0" w:color="auto"/>
        <w:bottom w:val="none" w:sz="0" w:space="0" w:color="auto"/>
        <w:right w:val="none" w:sz="0" w:space="0" w:color="auto"/>
      </w:divBdr>
    </w:div>
    <w:div w:id="1235967875">
      <w:bodyDiv w:val="1"/>
      <w:marLeft w:val="0"/>
      <w:marRight w:val="0"/>
      <w:marTop w:val="0"/>
      <w:marBottom w:val="0"/>
      <w:divBdr>
        <w:top w:val="none" w:sz="0" w:space="0" w:color="auto"/>
        <w:left w:val="none" w:sz="0" w:space="0" w:color="auto"/>
        <w:bottom w:val="none" w:sz="0" w:space="0" w:color="auto"/>
        <w:right w:val="none" w:sz="0" w:space="0" w:color="auto"/>
      </w:divBdr>
    </w:div>
    <w:div w:id="1250122060">
      <w:bodyDiv w:val="1"/>
      <w:marLeft w:val="0"/>
      <w:marRight w:val="0"/>
      <w:marTop w:val="0"/>
      <w:marBottom w:val="0"/>
      <w:divBdr>
        <w:top w:val="none" w:sz="0" w:space="0" w:color="auto"/>
        <w:left w:val="none" w:sz="0" w:space="0" w:color="auto"/>
        <w:bottom w:val="none" w:sz="0" w:space="0" w:color="auto"/>
        <w:right w:val="none" w:sz="0" w:space="0" w:color="auto"/>
      </w:divBdr>
    </w:div>
    <w:div w:id="1254775311">
      <w:bodyDiv w:val="1"/>
      <w:marLeft w:val="0"/>
      <w:marRight w:val="0"/>
      <w:marTop w:val="0"/>
      <w:marBottom w:val="0"/>
      <w:divBdr>
        <w:top w:val="none" w:sz="0" w:space="0" w:color="auto"/>
        <w:left w:val="none" w:sz="0" w:space="0" w:color="auto"/>
        <w:bottom w:val="none" w:sz="0" w:space="0" w:color="auto"/>
        <w:right w:val="none" w:sz="0" w:space="0" w:color="auto"/>
      </w:divBdr>
    </w:div>
    <w:div w:id="1257861095">
      <w:bodyDiv w:val="1"/>
      <w:marLeft w:val="0"/>
      <w:marRight w:val="0"/>
      <w:marTop w:val="0"/>
      <w:marBottom w:val="0"/>
      <w:divBdr>
        <w:top w:val="none" w:sz="0" w:space="0" w:color="auto"/>
        <w:left w:val="none" w:sz="0" w:space="0" w:color="auto"/>
        <w:bottom w:val="none" w:sz="0" w:space="0" w:color="auto"/>
        <w:right w:val="none" w:sz="0" w:space="0" w:color="auto"/>
      </w:divBdr>
    </w:div>
    <w:div w:id="1275864316">
      <w:bodyDiv w:val="1"/>
      <w:marLeft w:val="0"/>
      <w:marRight w:val="0"/>
      <w:marTop w:val="0"/>
      <w:marBottom w:val="0"/>
      <w:divBdr>
        <w:top w:val="none" w:sz="0" w:space="0" w:color="auto"/>
        <w:left w:val="none" w:sz="0" w:space="0" w:color="auto"/>
        <w:bottom w:val="none" w:sz="0" w:space="0" w:color="auto"/>
        <w:right w:val="none" w:sz="0" w:space="0" w:color="auto"/>
      </w:divBdr>
    </w:div>
    <w:div w:id="1282373120">
      <w:bodyDiv w:val="1"/>
      <w:marLeft w:val="0"/>
      <w:marRight w:val="0"/>
      <w:marTop w:val="0"/>
      <w:marBottom w:val="0"/>
      <w:divBdr>
        <w:top w:val="none" w:sz="0" w:space="0" w:color="auto"/>
        <w:left w:val="none" w:sz="0" w:space="0" w:color="auto"/>
        <w:bottom w:val="none" w:sz="0" w:space="0" w:color="auto"/>
        <w:right w:val="none" w:sz="0" w:space="0" w:color="auto"/>
      </w:divBdr>
    </w:div>
    <w:div w:id="1287196231">
      <w:bodyDiv w:val="1"/>
      <w:marLeft w:val="0"/>
      <w:marRight w:val="0"/>
      <w:marTop w:val="0"/>
      <w:marBottom w:val="0"/>
      <w:divBdr>
        <w:top w:val="none" w:sz="0" w:space="0" w:color="auto"/>
        <w:left w:val="none" w:sz="0" w:space="0" w:color="auto"/>
        <w:bottom w:val="none" w:sz="0" w:space="0" w:color="auto"/>
        <w:right w:val="none" w:sz="0" w:space="0" w:color="auto"/>
      </w:divBdr>
    </w:div>
    <w:div w:id="1340500338">
      <w:bodyDiv w:val="1"/>
      <w:marLeft w:val="0"/>
      <w:marRight w:val="0"/>
      <w:marTop w:val="0"/>
      <w:marBottom w:val="0"/>
      <w:divBdr>
        <w:top w:val="none" w:sz="0" w:space="0" w:color="auto"/>
        <w:left w:val="none" w:sz="0" w:space="0" w:color="auto"/>
        <w:bottom w:val="none" w:sz="0" w:space="0" w:color="auto"/>
        <w:right w:val="none" w:sz="0" w:space="0" w:color="auto"/>
      </w:divBdr>
    </w:div>
    <w:div w:id="1364213560">
      <w:bodyDiv w:val="1"/>
      <w:marLeft w:val="0"/>
      <w:marRight w:val="0"/>
      <w:marTop w:val="0"/>
      <w:marBottom w:val="0"/>
      <w:divBdr>
        <w:top w:val="none" w:sz="0" w:space="0" w:color="auto"/>
        <w:left w:val="none" w:sz="0" w:space="0" w:color="auto"/>
        <w:bottom w:val="none" w:sz="0" w:space="0" w:color="auto"/>
        <w:right w:val="none" w:sz="0" w:space="0" w:color="auto"/>
      </w:divBdr>
    </w:div>
    <w:div w:id="1371145475">
      <w:bodyDiv w:val="1"/>
      <w:marLeft w:val="0"/>
      <w:marRight w:val="0"/>
      <w:marTop w:val="0"/>
      <w:marBottom w:val="0"/>
      <w:divBdr>
        <w:top w:val="none" w:sz="0" w:space="0" w:color="auto"/>
        <w:left w:val="none" w:sz="0" w:space="0" w:color="auto"/>
        <w:bottom w:val="none" w:sz="0" w:space="0" w:color="auto"/>
        <w:right w:val="none" w:sz="0" w:space="0" w:color="auto"/>
      </w:divBdr>
    </w:div>
    <w:div w:id="1373115093">
      <w:bodyDiv w:val="1"/>
      <w:marLeft w:val="0"/>
      <w:marRight w:val="0"/>
      <w:marTop w:val="0"/>
      <w:marBottom w:val="0"/>
      <w:divBdr>
        <w:top w:val="none" w:sz="0" w:space="0" w:color="auto"/>
        <w:left w:val="none" w:sz="0" w:space="0" w:color="auto"/>
        <w:bottom w:val="none" w:sz="0" w:space="0" w:color="auto"/>
        <w:right w:val="none" w:sz="0" w:space="0" w:color="auto"/>
      </w:divBdr>
    </w:div>
    <w:div w:id="1385367871">
      <w:bodyDiv w:val="1"/>
      <w:marLeft w:val="0"/>
      <w:marRight w:val="0"/>
      <w:marTop w:val="0"/>
      <w:marBottom w:val="0"/>
      <w:divBdr>
        <w:top w:val="none" w:sz="0" w:space="0" w:color="auto"/>
        <w:left w:val="none" w:sz="0" w:space="0" w:color="auto"/>
        <w:bottom w:val="none" w:sz="0" w:space="0" w:color="auto"/>
        <w:right w:val="none" w:sz="0" w:space="0" w:color="auto"/>
      </w:divBdr>
    </w:div>
    <w:div w:id="1385641841">
      <w:bodyDiv w:val="1"/>
      <w:marLeft w:val="0"/>
      <w:marRight w:val="0"/>
      <w:marTop w:val="0"/>
      <w:marBottom w:val="0"/>
      <w:divBdr>
        <w:top w:val="none" w:sz="0" w:space="0" w:color="auto"/>
        <w:left w:val="none" w:sz="0" w:space="0" w:color="auto"/>
        <w:bottom w:val="none" w:sz="0" w:space="0" w:color="auto"/>
        <w:right w:val="none" w:sz="0" w:space="0" w:color="auto"/>
      </w:divBdr>
    </w:div>
    <w:div w:id="1416897562">
      <w:bodyDiv w:val="1"/>
      <w:marLeft w:val="0"/>
      <w:marRight w:val="0"/>
      <w:marTop w:val="0"/>
      <w:marBottom w:val="0"/>
      <w:divBdr>
        <w:top w:val="none" w:sz="0" w:space="0" w:color="auto"/>
        <w:left w:val="none" w:sz="0" w:space="0" w:color="auto"/>
        <w:bottom w:val="none" w:sz="0" w:space="0" w:color="auto"/>
        <w:right w:val="none" w:sz="0" w:space="0" w:color="auto"/>
      </w:divBdr>
    </w:div>
    <w:div w:id="1419013089">
      <w:bodyDiv w:val="1"/>
      <w:marLeft w:val="0"/>
      <w:marRight w:val="0"/>
      <w:marTop w:val="0"/>
      <w:marBottom w:val="0"/>
      <w:divBdr>
        <w:top w:val="none" w:sz="0" w:space="0" w:color="auto"/>
        <w:left w:val="none" w:sz="0" w:space="0" w:color="auto"/>
        <w:bottom w:val="none" w:sz="0" w:space="0" w:color="auto"/>
        <w:right w:val="none" w:sz="0" w:space="0" w:color="auto"/>
      </w:divBdr>
    </w:div>
    <w:div w:id="1430811923">
      <w:bodyDiv w:val="1"/>
      <w:marLeft w:val="0"/>
      <w:marRight w:val="0"/>
      <w:marTop w:val="0"/>
      <w:marBottom w:val="0"/>
      <w:divBdr>
        <w:top w:val="none" w:sz="0" w:space="0" w:color="auto"/>
        <w:left w:val="none" w:sz="0" w:space="0" w:color="auto"/>
        <w:bottom w:val="none" w:sz="0" w:space="0" w:color="auto"/>
        <w:right w:val="none" w:sz="0" w:space="0" w:color="auto"/>
      </w:divBdr>
    </w:div>
    <w:div w:id="1431392313">
      <w:bodyDiv w:val="1"/>
      <w:marLeft w:val="0"/>
      <w:marRight w:val="0"/>
      <w:marTop w:val="0"/>
      <w:marBottom w:val="0"/>
      <w:divBdr>
        <w:top w:val="none" w:sz="0" w:space="0" w:color="auto"/>
        <w:left w:val="none" w:sz="0" w:space="0" w:color="auto"/>
        <w:bottom w:val="none" w:sz="0" w:space="0" w:color="auto"/>
        <w:right w:val="none" w:sz="0" w:space="0" w:color="auto"/>
      </w:divBdr>
    </w:div>
    <w:div w:id="1444612966">
      <w:bodyDiv w:val="1"/>
      <w:marLeft w:val="0"/>
      <w:marRight w:val="0"/>
      <w:marTop w:val="0"/>
      <w:marBottom w:val="0"/>
      <w:divBdr>
        <w:top w:val="none" w:sz="0" w:space="0" w:color="auto"/>
        <w:left w:val="none" w:sz="0" w:space="0" w:color="auto"/>
        <w:bottom w:val="none" w:sz="0" w:space="0" w:color="auto"/>
        <w:right w:val="none" w:sz="0" w:space="0" w:color="auto"/>
      </w:divBdr>
    </w:div>
    <w:div w:id="1446923393">
      <w:bodyDiv w:val="1"/>
      <w:marLeft w:val="0"/>
      <w:marRight w:val="0"/>
      <w:marTop w:val="0"/>
      <w:marBottom w:val="0"/>
      <w:divBdr>
        <w:top w:val="none" w:sz="0" w:space="0" w:color="auto"/>
        <w:left w:val="none" w:sz="0" w:space="0" w:color="auto"/>
        <w:bottom w:val="none" w:sz="0" w:space="0" w:color="auto"/>
        <w:right w:val="none" w:sz="0" w:space="0" w:color="auto"/>
      </w:divBdr>
    </w:div>
    <w:div w:id="1452288339">
      <w:bodyDiv w:val="1"/>
      <w:marLeft w:val="0"/>
      <w:marRight w:val="0"/>
      <w:marTop w:val="0"/>
      <w:marBottom w:val="0"/>
      <w:divBdr>
        <w:top w:val="none" w:sz="0" w:space="0" w:color="auto"/>
        <w:left w:val="none" w:sz="0" w:space="0" w:color="auto"/>
        <w:bottom w:val="none" w:sz="0" w:space="0" w:color="auto"/>
        <w:right w:val="none" w:sz="0" w:space="0" w:color="auto"/>
      </w:divBdr>
    </w:div>
    <w:div w:id="1464808717">
      <w:bodyDiv w:val="1"/>
      <w:marLeft w:val="0"/>
      <w:marRight w:val="0"/>
      <w:marTop w:val="0"/>
      <w:marBottom w:val="0"/>
      <w:divBdr>
        <w:top w:val="none" w:sz="0" w:space="0" w:color="auto"/>
        <w:left w:val="none" w:sz="0" w:space="0" w:color="auto"/>
        <w:bottom w:val="none" w:sz="0" w:space="0" w:color="auto"/>
        <w:right w:val="none" w:sz="0" w:space="0" w:color="auto"/>
      </w:divBdr>
    </w:div>
    <w:div w:id="1473477432">
      <w:bodyDiv w:val="1"/>
      <w:marLeft w:val="0"/>
      <w:marRight w:val="0"/>
      <w:marTop w:val="0"/>
      <w:marBottom w:val="0"/>
      <w:divBdr>
        <w:top w:val="none" w:sz="0" w:space="0" w:color="auto"/>
        <w:left w:val="none" w:sz="0" w:space="0" w:color="auto"/>
        <w:bottom w:val="none" w:sz="0" w:space="0" w:color="auto"/>
        <w:right w:val="none" w:sz="0" w:space="0" w:color="auto"/>
      </w:divBdr>
    </w:div>
    <w:div w:id="1476337122">
      <w:bodyDiv w:val="1"/>
      <w:marLeft w:val="0"/>
      <w:marRight w:val="0"/>
      <w:marTop w:val="0"/>
      <w:marBottom w:val="0"/>
      <w:divBdr>
        <w:top w:val="none" w:sz="0" w:space="0" w:color="auto"/>
        <w:left w:val="none" w:sz="0" w:space="0" w:color="auto"/>
        <w:bottom w:val="none" w:sz="0" w:space="0" w:color="auto"/>
        <w:right w:val="none" w:sz="0" w:space="0" w:color="auto"/>
      </w:divBdr>
    </w:div>
    <w:div w:id="1478107799">
      <w:bodyDiv w:val="1"/>
      <w:marLeft w:val="0"/>
      <w:marRight w:val="0"/>
      <w:marTop w:val="0"/>
      <w:marBottom w:val="0"/>
      <w:divBdr>
        <w:top w:val="none" w:sz="0" w:space="0" w:color="auto"/>
        <w:left w:val="none" w:sz="0" w:space="0" w:color="auto"/>
        <w:bottom w:val="none" w:sz="0" w:space="0" w:color="auto"/>
        <w:right w:val="none" w:sz="0" w:space="0" w:color="auto"/>
      </w:divBdr>
    </w:div>
    <w:div w:id="1484934448">
      <w:bodyDiv w:val="1"/>
      <w:marLeft w:val="0"/>
      <w:marRight w:val="0"/>
      <w:marTop w:val="0"/>
      <w:marBottom w:val="0"/>
      <w:divBdr>
        <w:top w:val="none" w:sz="0" w:space="0" w:color="auto"/>
        <w:left w:val="none" w:sz="0" w:space="0" w:color="auto"/>
        <w:bottom w:val="none" w:sz="0" w:space="0" w:color="auto"/>
        <w:right w:val="none" w:sz="0" w:space="0" w:color="auto"/>
      </w:divBdr>
    </w:div>
    <w:div w:id="1493526363">
      <w:bodyDiv w:val="1"/>
      <w:marLeft w:val="0"/>
      <w:marRight w:val="0"/>
      <w:marTop w:val="0"/>
      <w:marBottom w:val="0"/>
      <w:divBdr>
        <w:top w:val="none" w:sz="0" w:space="0" w:color="auto"/>
        <w:left w:val="none" w:sz="0" w:space="0" w:color="auto"/>
        <w:bottom w:val="none" w:sz="0" w:space="0" w:color="auto"/>
        <w:right w:val="none" w:sz="0" w:space="0" w:color="auto"/>
      </w:divBdr>
    </w:div>
    <w:div w:id="1501774794">
      <w:bodyDiv w:val="1"/>
      <w:marLeft w:val="0"/>
      <w:marRight w:val="0"/>
      <w:marTop w:val="0"/>
      <w:marBottom w:val="0"/>
      <w:divBdr>
        <w:top w:val="none" w:sz="0" w:space="0" w:color="auto"/>
        <w:left w:val="none" w:sz="0" w:space="0" w:color="auto"/>
        <w:bottom w:val="none" w:sz="0" w:space="0" w:color="auto"/>
        <w:right w:val="none" w:sz="0" w:space="0" w:color="auto"/>
      </w:divBdr>
    </w:div>
    <w:div w:id="1518688390">
      <w:bodyDiv w:val="1"/>
      <w:marLeft w:val="0"/>
      <w:marRight w:val="0"/>
      <w:marTop w:val="0"/>
      <w:marBottom w:val="0"/>
      <w:divBdr>
        <w:top w:val="none" w:sz="0" w:space="0" w:color="auto"/>
        <w:left w:val="none" w:sz="0" w:space="0" w:color="auto"/>
        <w:bottom w:val="none" w:sz="0" w:space="0" w:color="auto"/>
        <w:right w:val="none" w:sz="0" w:space="0" w:color="auto"/>
      </w:divBdr>
    </w:div>
    <w:div w:id="1529752920">
      <w:bodyDiv w:val="1"/>
      <w:marLeft w:val="0"/>
      <w:marRight w:val="0"/>
      <w:marTop w:val="0"/>
      <w:marBottom w:val="0"/>
      <w:divBdr>
        <w:top w:val="none" w:sz="0" w:space="0" w:color="auto"/>
        <w:left w:val="none" w:sz="0" w:space="0" w:color="auto"/>
        <w:bottom w:val="none" w:sz="0" w:space="0" w:color="auto"/>
        <w:right w:val="none" w:sz="0" w:space="0" w:color="auto"/>
      </w:divBdr>
    </w:div>
    <w:div w:id="1552575337">
      <w:bodyDiv w:val="1"/>
      <w:marLeft w:val="0"/>
      <w:marRight w:val="0"/>
      <w:marTop w:val="0"/>
      <w:marBottom w:val="0"/>
      <w:divBdr>
        <w:top w:val="none" w:sz="0" w:space="0" w:color="auto"/>
        <w:left w:val="none" w:sz="0" w:space="0" w:color="auto"/>
        <w:bottom w:val="none" w:sz="0" w:space="0" w:color="auto"/>
        <w:right w:val="none" w:sz="0" w:space="0" w:color="auto"/>
      </w:divBdr>
    </w:div>
    <w:div w:id="1567033680">
      <w:bodyDiv w:val="1"/>
      <w:marLeft w:val="0"/>
      <w:marRight w:val="0"/>
      <w:marTop w:val="0"/>
      <w:marBottom w:val="0"/>
      <w:divBdr>
        <w:top w:val="none" w:sz="0" w:space="0" w:color="auto"/>
        <w:left w:val="none" w:sz="0" w:space="0" w:color="auto"/>
        <w:bottom w:val="none" w:sz="0" w:space="0" w:color="auto"/>
        <w:right w:val="none" w:sz="0" w:space="0" w:color="auto"/>
      </w:divBdr>
    </w:div>
    <w:div w:id="1581255292">
      <w:bodyDiv w:val="1"/>
      <w:marLeft w:val="0"/>
      <w:marRight w:val="0"/>
      <w:marTop w:val="0"/>
      <w:marBottom w:val="0"/>
      <w:divBdr>
        <w:top w:val="none" w:sz="0" w:space="0" w:color="auto"/>
        <w:left w:val="none" w:sz="0" w:space="0" w:color="auto"/>
        <w:bottom w:val="none" w:sz="0" w:space="0" w:color="auto"/>
        <w:right w:val="none" w:sz="0" w:space="0" w:color="auto"/>
      </w:divBdr>
    </w:div>
    <w:div w:id="1595169935">
      <w:bodyDiv w:val="1"/>
      <w:marLeft w:val="0"/>
      <w:marRight w:val="0"/>
      <w:marTop w:val="0"/>
      <w:marBottom w:val="0"/>
      <w:divBdr>
        <w:top w:val="none" w:sz="0" w:space="0" w:color="auto"/>
        <w:left w:val="none" w:sz="0" w:space="0" w:color="auto"/>
        <w:bottom w:val="none" w:sz="0" w:space="0" w:color="auto"/>
        <w:right w:val="none" w:sz="0" w:space="0" w:color="auto"/>
      </w:divBdr>
    </w:div>
    <w:div w:id="1598058320">
      <w:bodyDiv w:val="1"/>
      <w:marLeft w:val="0"/>
      <w:marRight w:val="0"/>
      <w:marTop w:val="0"/>
      <w:marBottom w:val="0"/>
      <w:divBdr>
        <w:top w:val="none" w:sz="0" w:space="0" w:color="auto"/>
        <w:left w:val="none" w:sz="0" w:space="0" w:color="auto"/>
        <w:bottom w:val="none" w:sz="0" w:space="0" w:color="auto"/>
        <w:right w:val="none" w:sz="0" w:space="0" w:color="auto"/>
      </w:divBdr>
    </w:div>
    <w:div w:id="1606233306">
      <w:bodyDiv w:val="1"/>
      <w:marLeft w:val="0"/>
      <w:marRight w:val="0"/>
      <w:marTop w:val="0"/>
      <w:marBottom w:val="0"/>
      <w:divBdr>
        <w:top w:val="none" w:sz="0" w:space="0" w:color="auto"/>
        <w:left w:val="none" w:sz="0" w:space="0" w:color="auto"/>
        <w:bottom w:val="none" w:sz="0" w:space="0" w:color="auto"/>
        <w:right w:val="none" w:sz="0" w:space="0" w:color="auto"/>
      </w:divBdr>
    </w:div>
    <w:div w:id="1612476429">
      <w:bodyDiv w:val="1"/>
      <w:marLeft w:val="0"/>
      <w:marRight w:val="0"/>
      <w:marTop w:val="0"/>
      <w:marBottom w:val="0"/>
      <w:divBdr>
        <w:top w:val="none" w:sz="0" w:space="0" w:color="auto"/>
        <w:left w:val="none" w:sz="0" w:space="0" w:color="auto"/>
        <w:bottom w:val="none" w:sz="0" w:space="0" w:color="auto"/>
        <w:right w:val="none" w:sz="0" w:space="0" w:color="auto"/>
      </w:divBdr>
    </w:div>
    <w:div w:id="1620726319">
      <w:bodyDiv w:val="1"/>
      <w:marLeft w:val="0"/>
      <w:marRight w:val="0"/>
      <w:marTop w:val="0"/>
      <w:marBottom w:val="0"/>
      <w:divBdr>
        <w:top w:val="none" w:sz="0" w:space="0" w:color="auto"/>
        <w:left w:val="none" w:sz="0" w:space="0" w:color="auto"/>
        <w:bottom w:val="none" w:sz="0" w:space="0" w:color="auto"/>
        <w:right w:val="none" w:sz="0" w:space="0" w:color="auto"/>
      </w:divBdr>
    </w:div>
    <w:div w:id="1622611728">
      <w:bodyDiv w:val="1"/>
      <w:marLeft w:val="0"/>
      <w:marRight w:val="0"/>
      <w:marTop w:val="0"/>
      <w:marBottom w:val="0"/>
      <w:divBdr>
        <w:top w:val="none" w:sz="0" w:space="0" w:color="auto"/>
        <w:left w:val="none" w:sz="0" w:space="0" w:color="auto"/>
        <w:bottom w:val="none" w:sz="0" w:space="0" w:color="auto"/>
        <w:right w:val="none" w:sz="0" w:space="0" w:color="auto"/>
      </w:divBdr>
    </w:div>
    <w:div w:id="1626040362">
      <w:bodyDiv w:val="1"/>
      <w:marLeft w:val="0"/>
      <w:marRight w:val="0"/>
      <w:marTop w:val="0"/>
      <w:marBottom w:val="0"/>
      <w:divBdr>
        <w:top w:val="none" w:sz="0" w:space="0" w:color="auto"/>
        <w:left w:val="none" w:sz="0" w:space="0" w:color="auto"/>
        <w:bottom w:val="none" w:sz="0" w:space="0" w:color="auto"/>
        <w:right w:val="none" w:sz="0" w:space="0" w:color="auto"/>
      </w:divBdr>
    </w:div>
    <w:div w:id="1646858706">
      <w:bodyDiv w:val="1"/>
      <w:marLeft w:val="0"/>
      <w:marRight w:val="0"/>
      <w:marTop w:val="0"/>
      <w:marBottom w:val="0"/>
      <w:divBdr>
        <w:top w:val="none" w:sz="0" w:space="0" w:color="auto"/>
        <w:left w:val="none" w:sz="0" w:space="0" w:color="auto"/>
        <w:bottom w:val="none" w:sz="0" w:space="0" w:color="auto"/>
        <w:right w:val="none" w:sz="0" w:space="0" w:color="auto"/>
      </w:divBdr>
    </w:div>
    <w:div w:id="1651665482">
      <w:bodyDiv w:val="1"/>
      <w:marLeft w:val="0"/>
      <w:marRight w:val="0"/>
      <w:marTop w:val="0"/>
      <w:marBottom w:val="0"/>
      <w:divBdr>
        <w:top w:val="none" w:sz="0" w:space="0" w:color="auto"/>
        <w:left w:val="none" w:sz="0" w:space="0" w:color="auto"/>
        <w:bottom w:val="none" w:sz="0" w:space="0" w:color="auto"/>
        <w:right w:val="none" w:sz="0" w:space="0" w:color="auto"/>
      </w:divBdr>
    </w:div>
    <w:div w:id="1663585974">
      <w:bodyDiv w:val="1"/>
      <w:marLeft w:val="0"/>
      <w:marRight w:val="0"/>
      <w:marTop w:val="0"/>
      <w:marBottom w:val="0"/>
      <w:divBdr>
        <w:top w:val="none" w:sz="0" w:space="0" w:color="auto"/>
        <w:left w:val="none" w:sz="0" w:space="0" w:color="auto"/>
        <w:bottom w:val="none" w:sz="0" w:space="0" w:color="auto"/>
        <w:right w:val="none" w:sz="0" w:space="0" w:color="auto"/>
      </w:divBdr>
    </w:div>
    <w:div w:id="1663659327">
      <w:bodyDiv w:val="1"/>
      <w:marLeft w:val="0"/>
      <w:marRight w:val="0"/>
      <w:marTop w:val="0"/>
      <w:marBottom w:val="0"/>
      <w:divBdr>
        <w:top w:val="none" w:sz="0" w:space="0" w:color="auto"/>
        <w:left w:val="none" w:sz="0" w:space="0" w:color="auto"/>
        <w:bottom w:val="none" w:sz="0" w:space="0" w:color="auto"/>
        <w:right w:val="none" w:sz="0" w:space="0" w:color="auto"/>
      </w:divBdr>
    </w:div>
    <w:div w:id="1665162414">
      <w:bodyDiv w:val="1"/>
      <w:marLeft w:val="0"/>
      <w:marRight w:val="0"/>
      <w:marTop w:val="0"/>
      <w:marBottom w:val="0"/>
      <w:divBdr>
        <w:top w:val="none" w:sz="0" w:space="0" w:color="auto"/>
        <w:left w:val="none" w:sz="0" w:space="0" w:color="auto"/>
        <w:bottom w:val="none" w:sz="0" w:space="0" w:color="auto"/>
        <w:right w:val="none" w:sz="0" w:space="0" w:color="auto"/>
      </w:divBdr>
    </w:div>
    <w:div w:id="1678463348">
      <w:bodyDiv w:val="1"/>
      <w:marLeft w:val="0"/>
      <w:marRight w:val="0"/>
      <w:marTop w:val="0"/>
      <w:marBottom w:val="0"/>
      <w:divBdr>
        <w:top w:val="none" w:sz="0" w:space="0" w:color="auto"/>
        <w:left w:val="none" w:sz="0" w:space="0" w:color="auto"/>
        <w:bottom w:val="none" w:sz="0" w:space="0" w:color="auto"/>
        <w:right w:val="none" w:sz="0" w:space="0" w:color="auto"/>
      </w:divBdr>
    </w:div>
    <w:div w:id="1684479733">
      <w:bodyDiv w:val="1"/>
      <w:marLeft w:val="0"/>
      <w:marRight w:val="0"/>
      <w:marTop w:val="0"/>
      <w:marBottom w:val="0"/>
      <w:divBdr>
        <w:top w:val="none" w:sz="0" w:space="0" w:color="auto"/>
        <w:left w:val="none" w:sz="0" w:space="0" w:color="auto"/>
        <w:bottom w:val="none" w:sz="0" w:space="0" w:color="auto"/>
        <w:right w:val="none" w:sz="0" w:space="0" w:color="auto"/>
      </w:divBdr>
    </w:div>
    <w:div w:id="1691638059">
      <w:bodyDiv w:val="1"/>
      <w:marLeft w:val="0"/>
      <w:marRight w:val="0"/>
      <w:marTop w:val="0"/>
      <w:marBottom w:val="0"/>
      <w:divBdr>
        <w:top w:val="none" w:sz="0" w:space="0" w:color="auto"/>
        <w:left w:val="none" w:sz="0" w:space="0" w:color="auto"/>
        <w:bottom w:val="none" w:sz="0" w:space="0" w:color="auto"/>
        <w:right w:val="none" w:sz="0" w:space="0" w:color="auto"/>
      </w:divBdr>
    </w:div>
    <w:div w:id="1704473736">
      <w:bodyDiv w:val="1"/>
      <w:marLeft w:val="0"/>
      <w:marRight w:val="0"/>
      <w:marTop w:val="0"/>
      <w:marBottom w:val="0"/>
      <w:divBdr>
        <w:top w:val="none" w:sz="0" w:space="0" w:color="auto"/>
        <w:left w:val="none" w:sz="0" w:space="0" w:color="auto"/>
        <w:bottom w:val="none" w:sz="0" w:space="0" w:color="auto"/>
        <w:right w:val="none" w:sz="0" w:space="0" w:color="auto"/>
      </w:divBdr>
    </w:div>
    <w:div w:id="1708019873">
      <w:bodyDiv w:val="1"/>
      <w:marLeft w:val="0"/>
      <w:marRight w:val="0"/>
      <w:marTop w:val="0"/>
      <w:marBottom w:val="0"/>
      <w:divBdr>
        <w:top w:val="none" w:sz="0" w:space="0" w:color="auto"/>
        <w:left w:val="none" w:sz="0" w:space="0" w:color="auto"/>
        <w:bottom w:val="none" w:sz="0" w:space="0" w:color="auto"/>
        <w:right w:val="none" w:sz="0" w:space="0" w:color="auto"/>
      </w:divBdr>
    </w:div>
    <w:div w:id="1720594624">
      <w:bodyDiv w:val="1"/>
      <w:marLeft w:val="0"/>
      <w:marRight w:val="0"/>
      <w:marTop w:val="0"/>
      <w:marBottom w:val="0"/>
      <w:divBdr>
        <w:top w:val="none" w:sz="0" w:space="0" w:color="auto"/>
        <w:left w:val="none" w:sz="0" w:space="0" w:color="auto"/>
        <w:bottom w:val="none" w:sz="0" w:space="0" w:color="auto"/>
        <w:right w:val="none" w:sz="0" w:space="0" w:color="auto"/>
      </w:divBdr>
    </w:div>
    <w:div w:id="1734962494">
      <w:bodyDiv w:val="1"/>
      <w:marLeft w:val="0"/>
      <w:marRight w:val="0"/>
      <w:marTop w:val="0"/>
      <w:marBottom w:val="0"/>
      <w:divBdr>
        <w:top w:val="none" w:sz="0" w:space="0" w:color="auto"/>
        <w:left w:val="none" w:sz="0" w:space="0" w:color="auto"/>
        <w:bottom w:val="none" w:sz="0" w:space="0" w:color="auto"/>
        <w:right w:val="none" w:sz="0" w:space="0" w:color="auto"/>
      </w:divBdr>
    </w:div>
    <w:div w:id="1757895085">
      <w:bodyDiv w:val="1"/>
      <w:marLeft w:val="0"/>
      <w:marRight w:val="0"/>
      <w:marTop w:val="0"/>
      <w:marBottom w:val="0"/>
      <w:divBdr>
        <w:top w:val="none" w:sz="0" w:space="0" w:color="auto"/>
        <w:left w:val="none" w:sz="0" w:space="0" w:color="auto"/>
        <w:bottom w:val="none" w:sz="0" w:space="0" w:color="auto"/>
        <w:right w:val="none" w:sz="0" w:space="0" w:color="auto"/>
      </w:divBdr>
    </w:div>
    <w:div w:id="1768111758">
      <w:bodyDiv w:val="1"/>
      <w:marLeft w:val="0"/>
      <w:marRight w:val="0"/>
      <w:marTop w:val="0"/>
      <w:marBottom w:val="0"/>
      <w:divBdr>
        <w:top w:val="none" w:sz="0" w:space="0" w:color="auto"/>
        <w:left w:val="none" w:sz="0" w:space="0" w:color="auto"/>
        <w:bottom w:val="none" w:sz="0" w:space="0" w:color="auto"/>
        <w:right w:val="none" w:sz="0" w:space="0" w:color="auto"/>
      </w:divBdr>
    </w:div>
    <w:div w:id="1771046653">
      <w:bodyDiv w:val="1"/>
      <w:marLeft w:val="0"/>
      <w:marRight w:val="0"/>
      <w:marTop w:val="0"/>
      <w:marBottom w:val="0"/>
      <w:divBdr>
        <w:top w:val="none" w:sz="0" w:space="0" w:color="auto"/>
        <w:left w:val="none" w:sz="0" w:space="0" w:color="auto"/>
        <w:bottom w:val="none" w:sz="0" w:space="0" w:color="auto"/>
        <w:right w:val="none" w:sz="0" w:space="0" w:color="auto"/>
      </w:divBdr>
    </w:div>
    <w:div w:id="1785345383">
      <w:bodyDiv w:val="1"/>
      <w:marLeft w:val="0"/>
      <w:marRight w:val="0"/>
      <w:marTop w:val="0"/>
      <w:marBottom w:val="0"/>
      <w:divBdr>
        <w:top w:val="none" w:sz="0" w:space="0" w:color="auto"/>
        <w:left w:val="none" w:sz="0" w:space="0" w:color="auto"/>
        <w:bottom w:val="none" w:sz="0" w:space="0" w:color="auto"/>
        <w:right w:val="none" w:sz="0" w:space="0" w:color="auto"/>
      </w:divBdr>
    </w:div>
    <w:div w:id="1792672074">
      <w:bodyDiv w:val="1"/>
      <w:marLeft w:val="0"/>
      <w:marRight w:val="0"/>
      <w:marTop w:val="0"/>
      <w:marBottom w:val="0"/>
      <w:divBdr>
        <w:top w:val="none" w:sz="0" w:space="0" w:color="auto"/>
        <w:left w:val="none" w:sz="0" w:space="0" w:color="auto"/>
        <w:bottom w:val="none" w:sz="0" w:space="0" w:color="auto"/>
        <w:right w:val="none" w:sz="0" w:space="0" w:color="auto"/>
      </w:divBdr>
    </w:div>
    <w:div w:id="1798136713">
      <w:bodyDiv w:val="1"/>
      <w:marLeft w:val="0"/>
      <w:marRight w:val="0"/>
      <w:marTop w:val="0"/>
      <w:marBottom w:val="0"/>
      <w:divBdr>
        <w:top w:val="none" w:sz="0" w:space="0" w:color="auto"/>
        <w:left w:val="none" w:sz="0" w:space="0" w:color="auto"/>
        <w:bottom w:val="none" w:sz="0" w:space="0" w:color="auto"/>
        <w:right w:val="none" w:sz="0" w:space="0" w:color="auto"/>
      </w:divBdr>
    </w:div>
    <w:div w:id="1814523812">
      <w:bodyDiv w:val="1"/>
      <w:marLeft w:val="0"/>
      <w:marRight w:val="0"/>
      <w:marTop w:val="0"/>
      <w:marBottom w:val="0"/>
      <w:divBdr>
        <w:top w:val="none" w:sz="0" w:space="0" w:color="auto"/>
        <w:left w:val="none" w:sz="0" w:space="0" w:color="auto"/>
        <w:bottom w:val="none" w:sz="0" w:space="0" w:color="auto"/>
        <w:right w:val="none" w:sz="0" w:space="0" w:color="auto"/>
      </w:divBdr>
    </w:div>
    <w:div w:id="1836261698">
      <w:bodyDiv w:val="1"/>
      <w:marLeft w:val="0"/>
      <w:marRight w:val="0"/>
      <w:marTop w:val="0"/>
      <w:marBottom w:val="0"/>
      <w:divBdr>
        <w:top w:val="none" w:sz="0" w:space="0" w:color="auto"/>
        <w:left w:val="none" w:sz="0" w:space="0" w:color="auto"/>
        <w:bottom w:val="none" w:sz="0" w:space="0" w:color="auto"/>
        <w:right w:val="none" w:sz="0" w:space="0" w:color="auto"/>
      </w:divBdr>
    </w:div>
    <w:div w:id="1859389051">
      <w:bodyDiv w:val="1"/>
      <w:marLeft w:val="0"/>
      <w:marRight w:val="0"/>
      <w:marTop w:val="0"/>
      <w:marBottom w:val="0"/>
      <w:divBdr>
        <w:top w:val="none" w:sz="0" w:space="0" w:color="auto"/>
        <w:left w:val="none" w:sz="0" w:space="0" w:color="auto"/>
        <w:bottom w:val="none" w:sz="0" w:space="0" w:color="auto"/>
        <w:right w:val="none" w:sz="0" w:space="0" w:color="auto"/>
      </w:divBdr>
    </w:div>
    <w:div w:id="1862889115">
      <w:bodyDiv w:val="1"/>
      <w:marLeft w:val="0"/>
      <w:marRight w:val="0"/>
      <w:marTop w:val="0"/>
      <w:marBottom w:val="0"/>
      <w:divBdr>
        <w:top w:val="none" w:sz="0" w:space="0" w:color="auto"/>
        <w:left w:val="none" w:sz="0" w:space="0" w:color="auto"/>
        <w:bottom w:val="none" w:sz="0" w:space="0" w:color="auto"/>
        <w:right w:val="none" w:sz="0" w:space="0" w:color="auto"/>
      </w:divBdr>
    </w:div>
    <w:div w:id="1873495369">
      <w:bodyDiv w:val="1"/>
      <w:marLeft w:val="0"/>
      <w:marRight w:val="0"/>
      <w:marTop w:val="0"/>
      <w:marBottom w:val="0"/>
      <w:divBdr>
        <w:top w:val="none" w:sz="0" w:space="0" w:color="auto"/>
        <w:left w:val="none" w:sz="0" w:space="0" w:color="auto"/>
        <w:bottom w:val="none" w:sz="0" w:space="0" w:color="auto"/>
        <w:right w:val="none" w:sz="0" w:space="0" w:color="auto"/>
      </w:divBdr>
    </w:div>
    <w:div w:id="1874658614">
      <w:bodyDiv w:val="1"/>
      <w:marLeft w:val="0"/>
      <w:marRight w:val="0"/>
      <w:marTop w:val="0"/>
      <w:marBottom w:val="0"/>
      <w:divBdr>
        <w:top w:val="none" w:sz="0" w:space="0" w:color="auto"/>
        <w:left w:val="none" w:sz="0" w:space="0" w:color="auto"/>
        <w:bottom w:val="none" w:sz="0" w:space="0" w:color="auto"/>
        <w:right w:val="none" w:sz="0" w:space="0" w:color="auto"/>
      </w:divBdr>
    </w:div>
    <w:div w:id="1896433037">
      <w:bodyDiv w:val="1"/>
      <w:marLeft w:val="0"/>
      <w:marRight w:val="0"/>
      <w:marTop w:val="0"/>
      <w:marBottom w:val="0"/>
      <w:divBdr>
        <w:top w:val="none" w:sz="0" w:space="0" w:color="auto"/>
        <w:left w:val="none" w:sz="0" w:space="0" w:color="auto"/>
        <w:bottom w:val="none" w:sz="0" w:space="0" w:color="auto"/>
        <w:right w:val="none" w:sz="0" w:space="0" w:color="auto"/>
      </w:divBdr>
    </w:div>
    <w:div w:id="1914311400">
      <w:bodyDiv w:val="1"/>
      <w:marLeft w:val="0"/>
      <w:marRight w:val="0"/>
      <w:marTop w:val="0"/>
      <w:marBottom w:val="0"/>
      <w:divBdr>
        <w:top w:val="none" w:sz="0" w:space="0" w:color="auto"/>
        <w:left w:val="none" w:sz="0" w:space="0" w:color="auto"/>
        <w:bottom w:val="none" w:sz="0" w:space="0" w:color="auto"/>
        <w:right w:val="none" w:sz="0" w:space="0" w:color="auto"/>
      </w:divBdr>
    </w:div>
    <w:div w:id="1927038171">
      <w:bodyDiv w:val="1"/>
      <w:marLeft w:val="0"/>
      <w:marRight w:val="0"/>
      <w:marTop w:val="0"/>
      <w:marBottom w:val="0"/>
      <w:divBdr>
        <w:top w:val="none" w:sz="0" w:space="0" w:color="auto"/>
        <w:left w:val="none" w:sz="0" w:space="0" w:color="auto"/>
        <w:bottom w:val="none" w:sz="0" w:space="0" w:color="auto"/>
        <w:right w:val="none" w:sz="0" w:space="0" w:color="auto"/>
      </w:divBdr>
    </w:div>
    <w:div w:id="1929381465">
      <w:bodyDiv w:val="1"/>
      <w:marLeft w:val="0"/>
      <w:marRight w:val="0"/>
      <w:marTop w:val="0"/>
      <w:marBottom w:val="0"/>
      <w:divBdr>
        <w:top w:val="none" w:sz="0" w:space="0" w:color="auto"/>
        <w:left w:val="none" w:sz="0" w:space="0" w:color="auto"/>
        <w:bottom w:val="none" w:sz="0" w:space="0" w:color="auto"/>
        <w:right w:val="none" w:sz="0" w:space="0" w:color="auto"/>
      </w:divBdr>
    </w:div>
    <w:div w:id="1929607835">
      <w:bodyDiv w:val="1"/>
      <w:marLeft w:val="0"/>
      <w:marRight w:val="0"/>
      <w:marTop w:val="0"/>
      <w:marBottom w:val="0"/>
      <w:divBdr>
        <w:top w:val="none" w:sz="0" w:space="0" w:color="auto"/>
        <w:left w:val="none" w:sz="0" w:space="0" w:color="auto"/>
        <w:bottom w:val="none" w:sz="0" w:space="0" w:color="auto"/>
        <w:right w:val="none" w:sz="0" w:space="0" w:color="auto"/>
      </w:divBdr>
    </w:div>
    <w:div w:id="1933079168">
      <w:bodyDiv w:val="1"/>
      <w:marLeft w:val="0"/>
      <w:marRight w:val="0"/>
      <w:marTop w:val="0"/>
      <w:marBottom w:val="0"/>
      <w:divBdr>
        <w:top w:val="none" w:sz="0" w:space="0" w:color="auto"/>
        <w:left w:val="none" w:sz="0" w:space="0" w:color="auto"/>
        <w:bottom w:val="none" w:sz="0" w:space="0" w:color="auto"/>
        <w:right w:val="none" w:sz="0" w:space="0" w:color="auto"/>
      </w:divBdr>
    </w:div>
    <w:div w:id="1934821942">
      <w:bodyDiv w:val="1"/>
      <w:marLeft w:val="0"/>
      <w:marRight w:val="0"/>
      <w:marTop w:val="0"/>
      <w:marBottom w:val="0"/>
      <w:divBdr>
        <w:top w:val="none" w:sz="0" w:space="0" w:color="auto"/>
        <w:left w:val="none" w:sz="0" w:space="0" w:color="auto"/>
        <w:bottom w:val="none" w:sz="0" w:space="0" w:color="auto"/>
        <w:right w:val="none" w:sz="0" w:space="0" w:color="auto"/>
      </w:divBdr>
    </w:div>
    <w:div w:id="1940136284">
      <w:bodyDiv w:val="1"/>
      <w:marLeft w:val="0"/>
      <w:marRight w:val="0"/>
      <w:marTop w:val="0"/>
      <w:marBottom w:val="0"/>
      <w:divBdr>
        <w:top w:val="none" w:sz="0" w:space="0" w:color="auto"/>
        <w:left w:val="none" w:sz="0" w:space="0" w:color="auto"/>
        <w:bottom w:val="none" w:sz="0" w:space="0" w:color="auto"/>
        <w:right w:val="none" w:sz="0" w:space="0" w:color="auto"/>
      </w:divBdr>
    </w:div>
    <w:div w:id="1943420052">
      <w:bodyDiv w:val="1"/>
      <w:marLeft w:val="0"/>
      <w:marRight w:val="0"/>
      <w:marTop w:val="0"/>
      <w:marBottom w:val="0"/>
      <w:divBdr>
        <w:top w:val="none" w:sz="0" w:space="0" w:color="auto"/>
        <w:left w:val="none" w:sz="0" w:space="0" w:color="auto"/>
        <w:bottom w:val="none" w:sz="0" w:space="0" w:color="auto"/>
        <w:right w:val="none" w:sz="0" w:space="0" w:color="auto"/>
      </w:divBdr>
    </w:div>
    <w:div w:id="1945845828">
      <w:bodyDiv w:val="1"/>
      <w:marLeft w:val="0"/>
      <w:marRight w:val="0"/>
      <w:marTop w:val="0"/>
      <w:marBottom w:val="0"/>
      <w:divBdr>
        <w:top w:val="none" w:sz="0" w:space="0" w:color="auto"/>
        <w:left w:val="none" w:sz="0" w:space="0" w:color="auto"/>
        <w:bottom w:val="none" w:sz="0" w:space="0" w:color="auto"/>
        <w:right w:val="none" w:sz="0" w:space="0" w:color="auto"/>
      </w:divBdr>
    </w:div>
    <w:div w:id="1953246079">
      <w:bodyDiv w:val="1"/>
      <w:marLeft w:val="0"/>
      <w:marRight w:val="0"/>
      <w:marTop w:val="0"/>
      <w:marBottom w:val="0"/>
      <w:divBdr>
        <w:top w:val="none" w:sz="0" w:space="0" w:color="auto"/>
        <w:left w:val="none" w:sz="0" w:space="0" w:color="auto"/>
        <w:bottom w:val="none" w:sz="0" w:space="0" w:color="auto"/>
        <w:right w:val="none" w:sz="0" w:space="0" w:color="auto"/>
      </w:divBdr>
    </w:div>
    <w:div w:id="1972902699">
      <w:bodyDiv w:val="1"/>
      <w:marLeft w:val="0"/>
      <w:marRight w:val="0"/>
      <w:marTop w:val="0"/>
      <w:marBottom w:val="0"/>
      <w:divBdr>
        <w:top w:val="none" w:sz="0" w:space="0" w:color="auto"/>
        <w:left w:val="none" w:sz="0" w:space="0" w:color="auto"/>
        <w:bottom w:val="none" w:sz="0" w:space="0" w:color="auto"/>
        <w:right w:val="none" w:sz="0" w:space="0" w:color="auto"/>
      </w:divBdr>
    </w:div>
    <w:div w:id="1975019586">
      <w:bodyDiv w:val="1"/>
      <w:marLeft w:val="0"/>
      <w:marRight w:val="0"/>
      <w:marTop w:val="0"/>
      <w:marBottom w:val="0"/>
      <w:divBdr>
        <w:top w:val="none" w:sz="0" w:space="0" w:color="auto"/>
        <w:left w:val="none" w:sz="0" w:space="0" w:color="auto"/>
        <w:bottom w:val="none" w:sz="0" w:space="0" w:color="auto"/>
        <w:right w:val="none" w:sz="0" w:space="0" w:color="auto"/>
      </w:divBdr>
    </w:div>
    <w:div w:id="1979458314">
      <w:bodyDiv w:val="1"/>
      <w:marLeft w:val="0"/>
      <w:marRight w:val="0"/>
      <w:marTop w:val="0"/>
      <w:marBottom w:val="0"/>
      <w:divBdr>
        <w:top w:val="none" w:sz="0" w:space="0" w:color="auto"/>
        <w:left w:val="none" w:sz="0" w:space="0" w:color="auto"/>
        <w:bottom w:val="none" w:sz="0" w:space="0" w:color="auto"/>
        <w:right w:val="none" w:sz="0" w:space="0" w:color="auto"/>
      </w:divBdr>
    </w:div>
    <w:div w:id="1990552506">
      <w:bodyDiv w:val="1"/>
      <w:marLeft w:val="0"/>
      <w:marRight w:val="0"/>
      <w:marTop w:val="0"/>
      <w:marBottom w:val="0"/>
      <w:divBdr>
        <w:top w:val="none" w:sz="0" w:space="0" w:color="auto"/>
        <w:left w:val="none" w:sz="0" w:space="0" w:color="auto"/>
        <w:bottom w:val="none" w:sz="0" w:space="0" w:color="auto"/>
        <w:right w:val="none" w:sz="0" w:space="0" w:color="auto"/>
      </w:divBdr>
    </w:div>
    <w:div w:id="1995328751">
      <w:bodyDiv w:val="1"/>
      <w:marLeft w:val="0"/>
      <w:marRight w:val="0"/>
      <w:marTop w:val="0"/>
      <w:marBottom w:val="0"/>
      <w:divBdr>
        <w:top w:val="none" w:sz="0" w:space="0" w:color="auto"/>
        <w:left w:val="none" w:sz="0" w:space="0" w:color="auto"/>
        <w:bottom w:val="none" w:sz="0" w:space="0" w:color="auto"/>
        <w:right w:val="none" w:sz="0" w:space="0" w:color="auto"/>
      </w:divBdr>
    </w:div>
    <w:div w:id="2002808847">
      <w:bodyDiv w:val="1"/>
      <w:marLeft w:val="0"/>
      <w:marRight w:val="0"/>
      <w:marTop w:val="0"/>
      <w:marBottom w:val="0"/>
      <w:divBdr>
        <w:top w:val="none" w:sz="0" w:space="0" w:color="auto"/>
        <w:left w:val="none" w:sz="0" w:space="0" w:color="auto"/>
        <w:bottom w:val="none" w:sz="0" w:space="0" w:color="auto"/>
        <w:right w:val="none" w:sz="0" w:space="0" w:color="auto"/>
      </w:divBdr>
    </w:div>
    <w:div w:id="2003267161">
      <w:bodyDiv w:val="1"/>
      <w:marLeft w:val="0"/>
      <w:marRight w:val="0"/>
      <w:marTop w:val="0"/>
      <w:marBottom w:val="0"/>
      <w:divBdr>
        <w:top w:val="none" w:sz="0" w:space="0" w:color="auto"/>
        <w:left w:val="none" w:sz="0" w:space="0" w:color="auto"/>
        <w:bottom w:val="none" w:sz="0" w:space="0" w:color="auto"/>
        <w:right w:val="none" w:sz="0" w:space="0" w:color="auto"/>
      </w:divBdr>
    </w:div>
    <w:div w:id="2005543659">
      <w:bodyDiv w:val="1"/>
      <w:marLeft w:val="0"/>
      <w:marRight w:val="0"/>
      <w:marTop w:val="0"/>
      <w:marBottom w:val="0"/>
      <w:divBdr>
        <w:top w:val="none" w:sz="0" w:space="0" w:color="auto"/>
        <w:left w:val="none" w:sz="0" w:space="0" w:color="auto"/>
        <w:bottom w:val="none" w:sz="0" w:space="0" w:color="auto"/>
        <w:right w:val="none" w:sz="0" w:space="0" w:color="auto"/>
      </w:divBdr>
    </w:div>
    <w:div w:id="2015768146">
      <w:bodyDiv w:val="1"/>
      <w:marLeft w:val="0"/>
      <w:marRight w:val="0"/>
      <w:marTop w:val="0"/>
      <w:marBottom w:val="0"/>
      <w:divBdr>
        <w:top w:val="none" w:sz="0" w:space="0" w:color="auto"/>
        <w:left w:val="none" w:sz="0" w:space="0" w:color="auto"/>
        <w:bottom w:val="none" w:sz="0" w:space="0" w:color="auto"/>
        <w:right w:val="none" w:sz="0" w:space="0" w:color="auto"/>
      </w:divBdr>
    </w:div>
    <w:div w:id="2028367851">
      <w:bodyDiv w:val="1"/>
      <w:marLeft w:val="0"/>
      <w:marRight w:val="0"/>
      <w:marTop w:val="0"/>
      <w:marBottom w:val="0"/>
      <w:divBdr>
        <w:top w:val="none" w:sz="0" w:space="0" w:color="auto"/>
        <w:left w:val="none" w:sz="0" w:space="0" w:color="auto"/>
        <w:bottom w:val="none" w:sz="0" w:space="0" w:color="auto"/>
        <w:right w:val="none" w:sz="0" w:space="0" w:color="auto"/>
      </w:divBdr>
    </w:div>
    <w:div w:id="2036732047">
      <w:bodyDiv w:val="1"/>
      <w:marLeft w:val="0"/>
      <w:marRight w:val="0"/>
      <w:marTop w:val="0"/>
      <w:marBottom w:val="0"/>
      <w:divBdr>
        <w:top w:val="none" w:sz="0" w:space="0" w:color="auto"/>
        <w:left w:val="none" w:sz="0" w:space="0" w:color="auto"/>
        <w:bottom w:val="none" w:sz="0" w:space="0" w:color="auto"/>
        <w:right w:val="none" w:sz="0" w:space="0" w:color="auto"/>
      </w:divBdr>
    </w:div>
    <w:div w:id="2037415316">
      <w:bodyDiv w:val="1"/>
      <w:marLeft w:val="0"/>
      <w:marRight w:val="0"/>
      <w:marTop w:val="0"/>
      <w:marBottom w:val="0"/>
      <w:divBdr>
        <w:top w:val="none" w:sz="0" w:space="0" w:color="auto"/>
        <w:left w:val="none" w:sz="0" w:space="0" w:color="auto"/>
        <w:bottom w:val="none" w:sz="0" w:space="0" w:color="auto"/>
        <w:right w:val="none" w:sz="0" w:space="0" w:color="auto"/>
      </w:divBdr>
    </w:div>
    <w:div w:id="2042436934">
      <w:bodyDiv w:val="1"/>
      <w:marLeft w:val="0"/>
      <w:marRight w:val="0"/>
      <w:marTop w:val="0"/>
      <w:marBottom w:val="0"/>
      <w:divBdr>
        <w:top w:val="none" w:sz="0" w:space="0" w:color="auto"/>
        <w:left w:val="none" w:sz="0" w:space="0" w:color="auto"/>
        <w:bottom w:val="none" w:sz="0" w:space="0" w:color="auto"/>
        <w:right w:val="none" w:sz="0" w:space="0" w:color="auto"/>
      </w:divBdr>
    </w:div>
    <w:div w:id="2066560162">
      <w:bodyDiv w:val="1"/>
      <w:marLeft w:val="0"/>
      <w:marRight w:val="0"/>
      <w:marTop w:val="0"/>
      <w:marBottom w:val="0"/>
      <w:divBdr>
        <w:top w:val="none" w:sz="0" w:space="0" w:color="auto"/>
        <w:left w:val="none" w:sz="0" w:space="0" w:color="auto"/>
        <w:bottom w:val="none" w:sz="0" w:space="0" w:color="auto"/>
        <w:right w:val="none" w:sz="0" w:space="0" w:color="auto"/>
      </w:divBdr>
    </w:div>
    <w:div w:id="2082096087">
      <w:bodyDiv w:val="1"/>
      <w:marLeft w:val="0"/>
      <w:marRight w:val="0"/>
      <w:marTop w:val="0"/>
      <w:marBottom w:val="0"/>
      <w:divBdr>
        <w:top w:val="none" w:sz="0" w:space="0" w:color="auto"/>
        <w:left w:val="none" w:sz="0" w:space="0" w:color="auto"/>
        <w:bottom w:val="none" w:sz="0" w:space="0" w:color="auto"/>
        <w:right w:val="none" w:sz="0" w:space="0" w:color="auto"/>
      </w:divBdr>
    </w:div>
    <w:div w:id="2082367493">
      <w:bodyDiv w:val="1"/>
      <w:marLeft w:val="0"/>
      <w:marRight w:val="0"/>
      <w:marTop w:val="0"/>
      <w:marBottom w:val="0"/>
      <w:divBdr>
        <w:top w:val="none" w:sz="0" w:space="0" w:color="auto"/>
        <w:left w:val="none" w:sz="0" w:space="0" w:color="auto"/>
        <w:bottom w:val="none" w:sz="0" w:space="0" w:color="auto"/>
        <w:right w:val="none" w:sz="0" w:space="0" w:color="auto"/>
      </w:divBdr>
    </w:div>
    <w:div w:id="2100783261">
      <w:bodyDiv w:val="1"/>
      <w:marLeft w:val="0"/>
      <w:marRight w:val="0"/>
      <w:marTop w:val="0"/>
      <w:marBottom w:val="0"/>
      <w:divBdr>
        <w:top w:val="none" w:sz="0" w:space="0" w:color="auto"/>
        <w:left w:val="none" w:sz="0" w:space="0" w:color="auto"/>
        <w:bottom w:val="none" w:sz="0" w:space="0" w:color="auto"/>
        <w:right w:val="none" w:sz="0" w:space="0" w:color="auto"/>
      </w:divBdr>
    </w:div>
    <w:div w:id="2113430677">
      <w:bodyDiv w:val="1"/>
      <w:marLeft w:val="0"/>
      <w:marRight w:val="0"/>
      <w:marTop w:val="0"/>
      <w:marBottom w:val="0"/>
      <w:divBdr>
        <w:top w:val="none" w:sz="0" w:space="0" w:color="auto"/>
        <w:left w:val="none" w:sz="0" w:space="0" w:color="auto"/>
        <w:bottom w:val="none" w:sz="0" w:space="0" w:color="auto"/>
        <w:right w:val="none" w:sz="0" w:space="0" w:color="auto"/>
      </w:divBdr>
    </w:div>
    <w:div w:id="2123500367">
      <w:bodyDiv w:val="1"/>
      <w:marLeft w:val="0"/>
      <w:marRight w:val="0"/>
      <w:marTop w:val="0"/>
      <w:marBottom w:val="0"/>
      <w:divBdr>
        <w:top w:val="none" w:sz="0" w:space="0" w:color="auto"/>
        <w:left w:val="none" w:sz="0" w:space="0" w:color="auto"/>
        <w:bottom w:val="none" w:sz="0" w:space="0" w:color="auto"/>
        <w:right w:val="none" w:sz="0" w:space="0" w:color="auto"/>
      </w:divBdr>
    </w:div>
    <w:div w:id="2140561828">
      <w:bodyDiv w:val="1"/>
      <w:marLeft w:val="0"/>
      <w:marRight w:val="0"/>
      <w:marTop w:val="0"/>
      <w:marBottom w:val="0"/>
      <w:divBdr>
        <w:top w:val="none" w:sz="0" w:space="0" w:color="auto"/>
        <w:left w:val="none" w:sz="0" w:space="0" w:color="auto"/>
        <w:bottom w:val="none" w:sz="0" w:space="0" w:color="auto"/>
        <w:right w:val="none" w:sz="0" w:space="0" w:color="auto"/>
      </w:divBdr>
    </w:div>
    <w:div w:id="2141877995">
      <w:bodyDiv w:val="1"/>
      <w:marLeft w:val="0"/>
      <w:marRight w:val="0"/>
      <w:marTop w:val="0"/>
      <w:marBottom w:val="0"/>
      <w:divBdr>
        <w:top w:val="none" w:sz="0" w:space="0" w:color="auto"/>
        <w:left w:val="none" w:sz="0" w:space="0" w:color="auto"/>
        <w:bottom w:val="none" w:sz="0" w:space="0" w:color="auto"/>
        <w:right w:val="none" w:sz="0" w:space="0" w:color="auto"/>
      </w:divBdr>
    </w:div>
    <w:div w:id="2142306892">
      <w:bodyDiv w:val="1"/>
      <w:marLeft w:val="0"/>
      <w:marRight w:val="0"/>
      <w:marTop w:val="0"/>
      <w:marBottom w:val="0"/>
      <w:divBdr>
        <w:top w:val="none" w:sz="0" w:space="0" w:color="auto"/>
        <w:left w:val="none" w:sz="0" w:space="0" w:color="auto"/>
        <w:bottom w:val="none" w:sz="0" w:space="0" w:color="auto"/>
        <w:right w:val="none" w:sz="0" w:space="0" w:color="auto"/>
      </w:divBdr>
    </w:div>
    <w:div w:id="21463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CCDF2-1092-46C6-9BBA-09E51117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10</Pages>
  <Words>16245</Words>
  <Characters>9261</Characters>
  <Application>Microsoft Office Word</Application>
  <DocSecurity>0</DocSecurity>
  <Lines>77</Lines>
  <Paragraphs>50</Paragraphs>
  <ScaleCrop>false</ScaleCrop>
  <HeadingPairs>
    <vt:vector size="2" baseType="variant">
      <vt:variant>
        <vt:lpstr>Title</vt:lpstr>
      </vt:variant>
      <vt:variant>
        <vt:i4>1</vt:i4>
      </vt:variant>
    </vt:vector>
  </HeadingPairs>
  <TitlesOfParts>
    <vt:vector size="1" baseType="lpstr">
      <vt:lpstr>3. pielikums informatīvajam ziņojumam  “Par valsts budžeta izdevumu pārskatīšanas rezultātiem un priekšlikumi par šo rezultātu izmantošanu likumprojekta “Par vidēja termiņa budžeta ietvaru 2022., 2023. un 2024. gadam” un likumprojekta “Par valsts budžetu </vt:lpstr>
    </vt:vector>
  </TitlesOfParts>
  <Company>Finanšu Ministrija</Company>
  <LinksUpToDate>false</LinksUpToDate>
  <CharactersWithSpaces>25456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pielikums informatīvajam ziņojumam  “Par valsts budžeta izdevumu pārskatīšanas rezultātiem un priekšlikumi par šo rezultātu izmantošanu likumprojekta “Par vidēja termiņa budžeta ietvaru 2022., 2023. un 2024. gadam” un likumprojekta “Par valsts budžetu 2022. gadam” izstrādes procesā”</dc:title>
  <dc:subject>Pielikums</dc:subject>
  <dc:creator>Dace Godiņa</dc:creator>
  <dc:description>dace.godina@fm.gov.lv, 67083969</dc:description>
  <cp:lastModifiedBy>Māra Aļļēna</cp:lastModifiedBy>
  <cp:revision>44</cp:revision>
  <dcterms:created xsi:type="dcterms:W3CDTF">2021-06-30T06:53:00Z</dcterms:created>
  <dcterms:modified xsi:type="dcterms:W3CDTF">2021-08-19T05:28:00Z</dcterms:modified>
</cp:coreProperties>
</file>