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highlight w:val="yellow"/>
        </w:rPr>
        <w:id w:val="-1673177141"/>
        <w:docPartObj>
          <w:docPartGallery w:val="Cover Pages"/>
          <w:docPartUnique/>
        </w:docPartObj>
      </w:sdtPr>
      <w:sdtEndPr>
        <w:rPr>
          <w:rFonts w:ascii="Times New Roman" w:hAnsi="Times New Roman" w:cs="Times New Roman"/>
          <w:b/>
          <w:sz w:val="40"/>
          <w:highlight w:val="none"/>
        </w:rPr>
      </w:sdtEndPr>
      <w:sdtContent>
        <w:p w14:paraId="42EAD3DB" w14:textId="4B0D303A" w:rsidR="00444AD7" w:rsidRPr="001054F7" w:rsidRDefault="00444AD7">
          <w:pPr>
            <w:rPr>
              <w:highlight w:val="yellow"/>
            </w:rPr>
          </w:pPr>
          <w:r w:rsidRPr="001054F7">
            <w:rPr>
              <w:noProof/>
              <w:highlight w:val="yellow"/>
              <w:lang w:eastAsia="lv-LV"/>
            </w:rPr>
            <mc:AlternateContent>
              <mc:Choice Requires="wpg">
                <w:drawing>
                  <wp:anchor distT="0" distB="0" distL="114300" distR="114300" simplePos="0" relativeHeight="251666432" behindDoc="1" locked="0" layoutInCell="1" allowOverlap="1" wp14:anchorId="19414D73" wp14:editId="79450147">
                    <wp:simplePos x="0" y="0"/>
                    <wp:positionH relativeFrom="page">
                      <wp:align>center</wp:align>
                    </wp:positionH>
                    <wp:positionV relativeFrom="page">
                      <wp:align>center</wp:align>
                    </wp:positionV>
                    <wp:extent cx="6864824" cy="9123528"/>
                    <wp:effectExtent l="0" t="0" r="2540" b="635"/>
                    <wp:wrapNone/>
                    <wp:docPr id="1" name="Group 1"/>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3" name="Rectangle 3"/>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BBDD9" w14:textId="77777777" w:rsidR="00CA7612" w:rsidRDefault="00CA7612">
                                  <w:pPr>
                                    <w:pStyle w:val="NoSpacing"/>
                                    <w:spacing w:before="120"/>
                                    <w:jc w:val="center"/>
                                    <w:rPr>
                                      <w:color w:val="FFFFFF" w:themeColor="background1"/>
                                    </w:rPr>
                                  </w:pPr>
                                </w:p>
                                <w:p w14:paraId="7D8F384C" w14:textId="1DA5E856" w:rsidR="00CA7612" w:rsidRPr="007B0EDA" w:rsidRDefault="008535D6">
                                  <w:pPr>
                                    <w:pStyle w:val="NoSpacing"/>
                                    <w:spacing w:before="120"/>
                                    <w:jc w:val="center"/>
                                    <w:rPr>
                                      <w:color w:val="000000" w:themeColor="text1"/>
                                    </w:rPr>
                                  </w:pPr>
                                  <w:sdt>
                                    <w:sdtPr>
                                      <w:rPr>
                                        <w:rFonts w:ascii="Times New Roman" w:hAnsi="Times New Roman" w:cs="Times New Roman"/>
                                        <w:caps/>
                                        <w:color w:val="000000" w:themeColor="text1"/>
                                        <w:sz w:val="24"/>
                                      </w:rPr>
                                      <w:alias w:val="Company"/>
                                      <w:tag w:val=""/>
                                      <w:id w:val="-973371250"/>
                                      <w:dataBinding w:prefixMappings="xmlns:ns0='http://schemas.openxmlformats.org/officeDocument/2006/extended-properties' " w:xpath="/ns0:Properties[1]/ns0:Company[1]" w:storeItemID="{6668398D-A668-4E3E-A5EB-62B293D839F1}"/>
                                      <w:text/>
                                    </w:sdtPr>
                                    <w:sdtEndPr/>
                                    <w:sdtContent>
                                      <w:r w:rsidR="00CA7612" w:rsidRPr="007B0EDA">
                                        <w:rPr>
                                          <w:rFonts w:ascii="Times New Roman" w:hAnsi="Times New Roman" w:cs="Times New Roman"/>
                                          <w:caps/>
                                          <w:color w:val="000000" w:themeColor="text1"/>
                                          <w:sz w:val="24"/>
                                        </w:rPr>
                                        <w:t>R</w:t>
                                      </w:r>
                                      <w:r w:rsidR="00CA7612">
                                        <w:rPr>
                                          <w:rFonts w:ascii="Times New Roman" w:hAnsi="Times New Roman" w:cs="Times New Roman"/>
                                          <w:caps/>
                                          <w:color w:val="000000" w:themeColor="text1"/>
                                          <w:sz w:val="24"/>
                                        </w:rPr>
                                        <w:t>ĪGA</w:t>
                                      </w:r>
                                      <w:r w:rsidR="00CA7612" w:rsidRPr="007B0EDA">
                                        <w:rPr>
                                          <w:rFonts w:ascii="Times New Roman" w:hAnsi="Times New Roman" w:cs="Times New Roman"/>
                                          <w:caps/>
                                          <w:color w:val="000000" w:themeColor="text1"/>
                                          <w:sz w:val="24"/>
                                        </w:rPr>
                                        <w:t>, 20</w:t>
                                      </w:r>
                                      <w:r w:rsidR="00CA7612">
                                        <w:rPr>
                                          <w:rFonts w:ascii="Times New Roman" w:hAnsi="Times New Roman" w:cs="Times New Roman"/>
                                          <w:caps/>
                                          <w:color w:val="000000" w:themeColor="text1"/>
                                          <w:sz w:val="24"/>
                                        </w:rPr>
                                        <w:t>21</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5" name="Text Box 5"/>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aps/>
                                      <w:sz w:val="54"/>
                                      <w:szCs w:val="54"/>
                                    </w:rPr>
                                    <w:alias w:val="Title"/>
                                    <w:tag w:val=""/>
                                    <w:id w:val="1396936297"/>
                                    <w:dataBinding w:prefixMappings="xmlns:ns0='http://purl.org/dc/elements/1.1/' xmlns:ns1='http://schemas.openxmlformats.org/package/2006/metadata/core-properties' " w:xpath="/ns1:coreProperties[1]/ns0:title[1]" w:storeItemID="{6C3C8BC8-F283-45AE-878A-BAB7291924A1}"/>
                                    <w:text/>
                                  </w:sdtPr>
                                  <w:sdtEndPr/>
                                  <w:sdtContent>
                                    <w:p w14:paraId="55BB0E5C" w14:textId="4E1ABD76" w:rsidR="00CA7612" w:rsidRPr="00BB69DC" w:rsidRDefault="00942C6E">
                                      <w:pPr>
                                        <w:pStyle w:val="NoSpacing"/>
                                        <w:jc w:val="center"/>
                                        <w:rPr>
                                          <w:rFonts w:asciiTheme="majorHAnsi" w:eastAsiaTheme="majorEastAsia" w:hAnsiTheme="majorHAnsi" w:cstheme="majorBidi"/>
                                          <w:caps/>
                                          <w:color w:val="5B9BD5" w:themeColor="accent1"/>
                                          <w:sz w:val="96"/>
                                          <w:szCs w:val="72"/>
                                        </w:rPr>
                                      </w:pPr>
                                      <w:r w:rsidRPr="00BB69DC">
                                        <w:rPr>
                                          <w:rFonts w:ascii="Times New Roman" w:eastAsiaTheme="majorEastAsia" w:hAnsi="Times New Roman" w:cs="Times New Roman"/>
                                          <w:b/>
                                          <w:caps/>
                                          <w:sz w:val="54"/>
                                          <w:szCs w:val="54"/>
                                        </w:rPr>
                                        <w:t xml:space="preserve">Informatīvais ziņojums </w:t>
                                      </w:r>
                                      <w:r w:rsidR="00CA7612" w:rsidRPr="00BB69DC">
                                        <w:rPr>
                                          <w:rFonts w:ascii="Times New Roman" w:eastAsiaTheme="majorEastAsia" w:hAnsi="Times New Roman" w:cs="Times New Roman"/>
                                          <w:b/>
                                          <w:caps/>
                                          <w:sz w:val="54"/>
                                          <w:szCs w:val="54"/>
                                        </w:rPr>
                                        <w:t>"Fiskālo risku</w:t>
                                      </w:r>
                                      <w:r w:rsidRPr="00BB69DC">
                                        <w:rPr>
                                          <w:rFonts w:ascii="Times New Roman" w:eastAsiaTheme="majorEastAsia" w:hAnsi="Times New Roman" w:cs="Times New Roman"/>
                                          <w:b/>
                                          <w:caps/>
                                          <w:sz w:val="54"/>
                                          <w:szCs w:val="54"/>
                                        </w:rPr>
                                        <w:t xml:space="preserve"> </w:t>
                                      </w:r>
                                      <w:r w:rsidR="00CA7612" w:rsidRPr="00BB69DC">
                                        <w:rPr>
                                          <w:rFonts w:ascii="Times New Roman" w:eastAsiaTheme="majorEastAsia" w:hAnsi="Times New Roman" w:cs="Times New Roman"/>
                                          <w:b/>
                                          <w:caps/>
                                          <w:sz w:val="54"/>
                                          <w:szCs w:val="54"/>
                                        </w:rPr>
                                        <w:t>deklarācija"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9414D73" id="Group 1" o:spid="_x0000_s1026" style="position:absolute;margin-left:0;margin-top:0;width:540.55pt;height:718.4pt;z-index:-25165004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">
                    <v:rect id="Rectangle 3"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5b9bd5 [3204]" stroked="f" strokeweight="1pt"/>
                    <v:rect id="Rectangle 4"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" fillcolor="#5b9bd5 [3204]" stroked="f" strokeweight="1pt">
                      <v:textbox inset="36pt,57.6pt,36pt,36pt">
                        <w:txbxContent>
                          <w:p w14:paraId="7F5BBDD9" w14:textId="77777777" w:rsidR="00CA7612" w:rsidRDefault="00CA7612">
                            <w:pPr>
                              <w:pStyle w:val="NoSpacing"/>
                              <w:spacing w:before="120"/>
                              <w:jc w:val="center"/>
                              <w:rPr>
                                <w:color w:val="FFFFFF" w:themeColor="background1"/>
                              </w:rPr>
                            </w:pPr>
                          </w:p>
                          <w:p w14:paraId="7D8F384C" w14:textId="1DA5E856" w:rsidR="00CA7612" w:rsidRPr="007B0EDA" w:rsidRDefault="00BB69DC">
                            <w:pPr>
                              <w:pStyle w:val="NoSpacing"/>
                              <w:spacing w:before="120"/>
                              <w:jc w:val="center"/>
                              <w:rPr>
                                <w:color w:val="000000" w:themeColor="text1"/>
                              </w:rPr>
                            </w:pPr>
                            <w:sdt>
                              <w:sdtPr>
                                <w:rPr>
                                  <w:rFonts w:ascii="Times New Roman" w:hAnsi="Times New Roman" w:cs="Times New Roman"/>
                                  <w:caps/>
                                  <w:color w:val="000000" w:themeColor="text1"/>
                                  <w:sz w:val="24"/>
                                </w:rPr>
                                <w:alias w:val="Company"/>
                                <w:tag w:val=""/>
                                <w:id w:val="-973371250"/>
                                <w:dataBinding w:prefixMappings="xmlns:ns0='http://schemas.openxmlformats.org/officeDocument/2006/extended-properties' " w:xpath="/ns0:Properties[1]/ns0:Company[1]" w:storeItemID="{6668398D-A668-4E3E-A5EB-62B293D839F1}"/>
                                <w:text/>
                              </w:sdtPr>
                              <w:sdtEndPr/>
                              <w:sdtContent>
                                <w:r w:rsidR="00CA7612" w:rsidRPr="007B0EDA">
                                  <w:rPr>
                                    <w:rFonts w:ascii="Times New Roman" w:hAnsi="Times New Roman" w:cs="Times New Roman"/>
                                    <w:caps/>
                                    <w:color w:val="000000" w:themeColor="text1"/>
                                    <w:sz w:val="24"/>
                                  </w:rPr>
                                  <w:t>R</w:t>
                                </w:r>
                                <w:r w:rsidR="00CA7612">
                                  <w:rPr>
                                    <w:rFonts w:ascii="Times New Roman" w:hAnsi="Times New Roman" w:cs="Times New Roman"/>
                                    <w:caps/>
                                    <w:color w:val="000000" w:themeColor="text1"/>
                                    <w:sz w:val="24"/>
                                  </w:rPr>
                                  <w:t>ĪGA</w:t>
                                </w:r>
                                <w:r w:rsidR="00CA7612" w:rsidRPr="007B0EDA">
                                  <w:rPr>
                                    <w:rFonts w:ascii="Times New Roman" w:hAnsi="Times New Roman" w:cs="Times New Roman"/>
                                    <w:caps/>
                                    <w:color w:val="000000" w:themeColor="text1"/>
                                    <w:sz w:val="24"/>
                                  </w:rPr>
                                  <w:t>, 20</w:t>
                                </w:r>
                                <w:r w:rsidR="00CA7612">
                                  <w:rPr>
                                    <w:rFonts w:ascii="Times New Roman" w:hAnsi="Times New Roman" w:cs="Times New Roman"/>
                                    <w:caps/>
                                    <w:color w:val="000000" w:themeColor="text1"/>
                                    <w:sz w:val="24"/>
                                  </w:rPr>
                                  <w:t>21</w:t>
                                </w:r>
                              </w:sdtContent>
                            </w:sdt>
                          </w:p>
                        </w:txbxContent>
                      </v:textbox>
                    </v:rect>
                    <v:shapetype id="_x0000_t202" coordsize="21600,21600" o:spt="202" path="m,l,21600r21600,l21600,xe">
                      <v:stroke joinstyle="miter"/>
                      <v:path gradientshapeok="t" o:connecttype="rect"/>
                    </v:shapetype>
                    <v:shape id="Text Box 5"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" fillcolor="white [3212]" stroked="f" strokeweight=".5pt">
                      <v:textbox inset="36pt,7.2pt,36pt,7.2pt">
                        <w:txbxContent>
                          <w:sdt>
                            <w:sdtPr>
                              <w:rPr>
                                <w:rFonts w:ascii="Times New Roman" w:eastAsiaTheme="majorEastAsia" w:hAnsi="Times New Roman" w:cs="Times New Roman"/>
                                <w:b/>
                                <w:caps/>
                                <w:sz w:val="54"/>
                                <w:szCs w:val="54"/>
                              </w:rPr>
                              <w:alias w:val="Title"/>
                              <w:tag w:val=""/>
                              <w:id w:val="1396936297"/>
                              <w:dataBinding w:prefixMappings="xmlns:ns0='http://purl.org/dc/elements/1.1/' xmlns:ns1='http://schemas.openxmlformats.org/package/2006/metadata/core-properties' " w:xpath="/ns1:coreProperties[1]/ns0:title[1]" w:storeItemID="{6C3C8BC8-F283-45AE-878A-BAB7291924A1}"/>
                              <w:text/>
                            </w:sdtPr>
                            <w:sdtEndPr/>
                            <w:sdtContent>
                              <w:p w14:paraId="55BB0E5C" w14:textId="4E1ABD76" w:rsidR="00CA7612" w:rsidRPr="00BB69DC" w:rsidRDefault="00942C6E">
                                <w:pPr>
                                  <w:pStyle w:val="NoSpacing"/>
                                  <w:jc w:val="center"/>
                                  <w:rPr>
                                    <w:rFonts w:asciiTheme="majorHAnsi" w:eastAsiaTheme="majorEastAsia" w:hAnsiTheme="majorHAnsi" w:cstheme="majorBidi"/>
                                    <w:caps/>
                                    <w:color w:val="5B9BD5" w:themeColor="accent1"/>
                                    <w:sz w:val="96"/>
                                    <w:szCs w:val="72"/>
                                  </w:rPr>
                                </w:pPr>
                                <w:r w:rsidRPr="00BB69DC">
                                  <w:rPr>
                                    <w:rFonts w:ascii="Times New Roman" w:eastAsiaTheme="majorEastAsia" w:hAnsi="Times New Roman" w:cs="Times New Roman"/>
                                    <w:b/>
                                    <w:caps/>
                                    <w:sz w:val="54"/>
                                    <w:szCs w:val="54"/>
                                  </w:rPr>
                                  <w:t xml:space="preserve">Informatīvais ziņojums </w:t>
                                </w:r>
                                <w:r w:rsidR="00CA7612" w:rsidRPr="00BB69DC">
                                  <w:rPr>
                                    <w:rFonts w:ascii="Times New Roman" w:eastAsiaTheme="majorEastAsia" w:hAnsi="Times New Roman" w:cs="Times New Roman"/>
                                    <w:b/>
                                    <w:caps/>
                                    <w:sz w:val="54"/>
                                    <w:szCs w:val="54"/>
                                  </w:rPr>
                                  <w:t>"Fiskālo risku</w:t>
                                </w:r>
                                <w:r w:rsidRPr="00BB69DC">
                                  <w:rPr>
                                    <w:rFonts w:ascii="Times New Roman" w:eastAsiaTheme="majorEastAsia" w:hAnsi="Times New Roman" w:cs="Times New Roman"/>
                                    <w:b/>
                                    <w:caps/>
                                    <w:sz w:val="54"/>
                                    <w:szCs w:val="54"/>
                                  </w:rPr>
                                  <w:t xml:space="preserve"> </w:t>
                                </w:r>
                                <w:r w:rsidR="00CA7612" w:rsidRPr="00BB69DC">
                                  <w:rPr>
                                    <w:rFonts w:ascii="Times New Roman" w:eastAsiaTheme="majorEastAsia" w:hAnsi="Times New Roman" w:cs="Times New Roman"/>
                                    <w:b/>
                                    <w:caps/>
                                    <w:sz w:val="54"/>
                                    <w:szCs w:val="54"/>
                                  </w:rPr>
                                  <w:t>deklarācija"</w:t>
                                </w:r>
                              </w:p>
                            </w:sdtContent>
                          </w:sdt>
                        </w:txbxContent>
                      </v:textbox>
                    </v:shape>
                    <w10:wrap anchorx="page" anchory="page"/>
                  </v:group>
                </w:pict>
              </mc:Fallback>
            </mc:AlternateContent>
          </w:r>
        </w:p>
        <w:p w14:paraId="3AF5C715" w14:textId="69CD3236" w:rsidR="00444AD7" w:rsidRPr="00F951DB" w:rsidRDefault="00444AD7">
          <w:pPr>
            <w:rPr>
              <w:rFonts w:ascii="Times New Roman" w:hAnsi="Times New Roman" w:cs="Times New Roman"/>
              <w:b/>
              <w:sz w:val="40"/>
            </w:rPr>
          </w:pPr>
          <w:r w:rsidRPr="00F951DB">
            <w:rPr>
              <w:rFonts w:ascii="Times New Roman" w:hAnsi="Times New Roman" w:cs="Times New Roman"/>
              <w:b/>
              <w:sz w:val="40"/>
            </w:rPr>
            <w:br w:type="page"/>
          </w:r>
        </w:p>
      </w:sdtContent>
    </w:sdt>
    <w:sdt>
      <w:sdtPr>
        <w:rPr>
          <w:rFonts w:asciiTheme="minorHAnsi" w:eastAsiaTheme="minorEastAsia" w:hAnsiTheme="minorHAnsi" w:cstheme="minorBidi"/>
          <w:b w:val="0"/>
          <w:bCs w:val="0"/>
          <w:smallCaps w:val="0"/>
          <w:color w:val="auto"/>
          <w:sz w:val="22"/>
          <w:szCs w:val="22"/>
          <w:highlight w:val="yellow"/>
        </w:rPr>
        <w:id w:val="494848509"/>
        <w:docPartObj>
          <w:docPartGallery w:val="Table of Contents"/>
          <w:docPartUnique/>
        </w:docPartObj>
      </w:sdtPr>
      <w:sdtEndPr>
        <w:rPr>
          <w:rFonts w:ascii="Times New Roman" w:hAnsi="Times New Roman" w:cs="Times New Roman"/>
          <w:noProof/>
          <w:sz w:val="24"/>
          <w:szCs w:val="24"/>
        </w:rPr>
      </w:sdtEndPr>
      <w:sdtContent>
        <w:p w14:paraId="01E351E4" w14:textId="000C2FEA" w:rsidR="002A186B" w:rsidRPr="00075814" w:rsidRDefault="002A186B" w:rsidP="00191E2E">
          <w:pPr>
            <w:pStyle w:val="TOCHeading"/>
            <w:numPr>
              <w:ilvl w:val="0"/>
              <w:numId w:val="0"/>
            </w:numPr>
            <w:ind w:left="432" w:hanging="432"/>
            <w:jc w:val="center"/>
            <w:rPr>
              <w:rFonts w:ascii="Times New Roman" w:hAnsi="Times New Roman" w:cs="Times New Roman"/>
            </w:rPr>
          </w:pPr>
          <w:r w:rsidRPr="00075814">
            <w:rPr>
              <w:rFonts w:ascii="Times New Roman" w:hAnsi="Times New Roman" w:cs="Times New Roman"/>
            </w:rPr>
            <w:t>Saturs</w:t>
          </w:r>
        </w:p>
        <w:p w14:paraId="14B98D7E" w14:textId="77777777" w:rsidR="008B1F6F" w:rsidRDefault="00AA5EF1">
          <w:pPr>
            <w:pStyle w:val="TOC1"/>
            <w:rPr>
              <w:noProof/>
            </w:rPr>
          </w:pPr>
          <w:r w:rsidRPr="009222B4">
            <w:rPr>
              <w:rFonts w:ascii="Times New Roman" w:hAnsi="Times New Roman" w:cs="Times New Roman"/>
              <w:sz w:val="24"/>
              <w:szCs w:val="24"/>
            </w:rPr>
            <w:t xml:space="preserve"> </w:t>
          </w:r>
          <w:r w:rsidR="002A186B" w:rsidRPr="000F5FF5">
            <w:rPr>
              <w:rFonts w:ascii="Times New Roman" w:hAnsi="Times New Roman" w:cs="Times New Roman"/>
              <w:sz w:val="24"/>
              <w:szCs w:val="24"/>
              <w:highlight w:val="yellow"/>
            </w:rPr>
            <w:fldChar w:fldCharType="begin"/>
          </w:r>
          <w:r w:rsidR="002A186B" w:rsidRPr="009222B4">
            <w:rPr>
              <w:rFonts w:ascii="Times New Roman" w:hAnsi="Times New Roman" w:cs="Times New Roman"/>
              <w:sz w:val="24"/>
              <w:szCs w:val="24"/>
              <w:highlight w:val="yellow"/>
            </w:rPr>
            <w:instrText xml:space="preserve"> TOC \o "1-3" \h \z \u </w:instrText>
          </w:r>
          <w:r w:rsidR="002A186B" w:rsidRPr="000F5FF5">
            <w:rPr>
              <w:rFonts w:ascii="Times New Roman" w:hAnsi="Times New Roman" w:cs="Times New Roman"/>
              <w:sz w:val="24"/>
              <w:szCs w:val="24"/>
              <w:highlight w:val="yellow"/>
            </w:rPr>
            <w:fldChar w:fldCharType="separate"/>
          </w:r>
        </w:p>
        <w:p w14:paraId="2D75E388" w14:textId="0E906F1B" w:rsidR="008B1F6F" w:rsidRDefault="008535D6">
          <w:pPr>
            <w:pStyle w:val="TOC1"/>
            <w:rPr>
              <w:noProof/>
              <w:lang w:eastAsia="lv-LV"/>
            </w:rPr>
          </w:pPr>
          <w:hyperlink w:anchor="_Toc80111844" w:history="1">
            <w:r w:rsidR="008B1F6F" w:rsidRPr="00855A81">
              <w:rPr>
                <w:rStyle w:val="Hyperlink"/>
                <w:rFonts w:ascii="Times New Roman" w:hAnsi="Times New Roman" w:cs="Times New Roman"/>
                <w:noProof/>
              </w:rPr>
              <w:t>Ievads</w:t>
            </w:r>
            <w:r w:rsidR="008B1F6F">
              <w:rPr>
                <w:noProof/>
                <w:webHidden/>
              </w:rPr>
              <w:tab/>
            </w:r>
            <w:r w:rsidR="008B1F6F">
              <w:rPr>
                <w:noProof/>
                <w:webHidden/>
              </w:rPr>
              <w:fldChar w:fldCharType="begin"/>
            </w:r>
            <w:r w:rsidR="008B1F6F">
              <w:rPr>
                <w:noProof/>
                <w:webHidden/>
              </w:rPr>
              <w:instrText xml:space="preserve"> PAGEREF _Toc80111844 \h </w:instrText>
            </w:r>
            <w:r w:rsidR="008B1F6F">
              <w:rPr>
                <w:noProof/>
                <w:webHidden/>
              </w:rPr>
            </w:r>
            <w:r w:rsidR="008B1F6F">
              <w:rPr>
                <w:noProof/>
                <w:webHidden/>
              </w:rPr>
              <w:fldChar w:fldCharType="separate"/>
            </w:r>
            <w:r w:rsidR="008B1F6F">
              <w:rPr>
                <w:noProof/>
                <w:webHidden/>
              </w:rPr>
              <w:t>3</w:t>
            </w:r>
            <w:r w:rsidR="008B1F6F">
              <w:rPr>
                <w:noProof/>
                <w:webHidden/>
              </w:rPr>
              <w:fldChar w:fldCharType="end"/>
            </w:r>
          </w:hyperlink>
        </w:p>
        <w:p w14:paraId="1EA69A32" w14:textId="18AD26A1" w:rsidR="008B1F6F" w:rsidRDefault="008535D6">
          <w:pPr>
            <w:pStyle w:val="TOC1"/>
            <w:rPr>
              <w:noProof/>
              <w:lang w:eastAsia="lv-LV"/>
            </w:rPr>
          </w:pPr>
          <w:hyperlink w:anchor="_Toc80111845" w:history="1">
            <w:r w:rsidR="008B1F6F" w:rsidRPr="00855A81">
              <w:rPr>
                <w:rStyle w:val="Hyperlink"/>
                <w:rFonts w:ascii="Times New Roman" w:hAnsi="Times New Roman"/>
                <w:noProof/>
              </w:rPr>
              <w:t>1.</w:t>
            </w:r>
            <w:r w:rsidR="008B1F6F">
              <w:rPr>
                <w:noProof/>
                <w:lang w:eastAsia="lv-LV"/>
              </w:rPr>
              <w:tab/>
            </w:r>
            <w:r w:rsidR="008B1F6F" w:rsidRPr="00855A81">
              <w:rPr>
                <w:rStyle w:val="Hyperlink"/>
                <w:rFonts w:ascii="Times New Roman" w:hAnsi="Times New Roman" w:cs="Times New Roman"/>
                <w:noProof/>
              </w:rPr>
              <w:t>Fiskālo risku vispārējā vadība</w:t>
            </w:r>
            <w:r w:rsidR="008B1F6F">
              <w:rPr>
                <w:noProof/>
                <w:webHidden/>
              </w:rPr>
              <w:tab/>
            </w:r>
            <w:r w:rsidR="008B1F6F">
              <w:rPr>
                <w:noProof/>
                <w:webHidden/>
              </w:rPr>
              <w:fldChar w:fldCharType="begin"/>
            </w:r>
            <w:r w:rsidR="008B1F6F">
              <w:rPr>
                <w:noProof/>
                <w:webHidden/>
              </w:rPr>
              <w:instrText xml:space="preserve"> PAGEREF _Toc80111845 \h </w:instrText>
            </w:r>
            <w:r w:rsidR="008B1F6F">
              <w:rPr>
                <w:noProof/>
                <w:webHidden/>
              </w:rPr>
            </w:r>
            <w:r w:rsidR="008B1F6F">
              <w:rPr>
                <w:noProof/>
                <w:webHidden/>
              </w:rPr>
              <w:fldChar w:fldCharType="separate"/>
            </w:r>
            <w:r w:rsidR="008B1F6F">
              <w:rPr>
                <w:noProof/>
                <w:webHidden/>
              </w:rPr>
              <w:t>4</w:t>
            </w:r>
            <w:r w:rsidR="008B1F6F">
              <w:rPr>
                <w:noProof/>
                <w:webHidden/>
              </w:rPr>
              <w:fldChar w:fldCharType="end"/>
            </w:r>
          </w:hyperlink>
        </w:p>
        <w:p w14:paraId="78763612" w14:textId="193523ED" w:rsidR="008B1F6F" w:rsidRDefault="008535D6">
          <w:pPr>
            <w:pStyle w:val="TOC2"/>
            <w:rPr>
              <w:noProof/>
              <w:lang w:eastAsia="lv-LV"/>
            </w:rPr>
          </w:pPr>
          <w:hyperlink w:anchor="_Toc80111846" w:history="1">
            <w:r w:rsidR="008B1F6F" w:rsidRPr="00855A81">
              <w:rPr>
                <w:rStyle w:val="Hyperlink"/>
                <w:rFonts w:ascii="Times New Roman" w:hAnsi="Times New Roman" w:cs="Times New Roman"/>
                <w:noProof/>
              </w:rPr>
              <w:t>1.1.</w:t>
            </w:r>
            <w:r w:rsidR="008B1F6F">
              <w:rPr>
                <w:noProof/>
                <w:lang w:eastAsia="lv-LV"/>
              </w:rPr>
              <w:tab/>
            </w:r>
            <w:r w:rsidR="008B1F6F" w:rsidRPr="00855A81">
              <w:rPr>
                <w:rStyle w:val="Hyperlink"/>
                <w:rFonts w:ascii="Times New Roman" w:hAnsi="Times New Roman" w:cs="Times New Roman"/>
                <w:noProof/>
              </w:rPr>
              <w:t>Fiskālo risku vispārējās vadības mehānisms</w:t>
            </w:r>
            <w:r w:rsidR="008B1F6F">
              <w:rPr>
                <w:noProof/>
                <w:webHidden/>
              </w:rPr>
              <w:tab/>
            </w:r>
            <w:r w:rsidR="008B1F6F">
              <w:rPr>
                <w:noProof/>
                <w:webHidden/>
              </w:rPr>
              <w:fldChar w:fldCharType="begin"/>
            </w:r>
            <w:r w:rsidR="008B1F6F">
              <w:rPr>
                <w:noProof/>
                <w:webHidden/>
              </w:rPr>
              <w:instrText xml:space="preserve"> PAGEREF _Toc80111846 \h </w:instrText>
            </w:r>
            <w:r w:rsidR="008B1F6F">
              <w:rPr>
                <w:noProof/>
                <w:webHidden/>
              </w:rPr>
            </w:r>
            <w:r w:rsidR="008B1F6F">
              <w:rPr>
                <w:noProof/>
                <w:webHidden/>
              </w:rPr>
              <w:fldChar w:fldCharType="separate"/>
            </w:r>
            <w:r w:rsidR="008B1F6F">
              <w:rPr>
                <w:noProof/>
                <w:webHidden/>
              </w:rPr>
              <w:t>4</w:t>
            </w:r>
            <w:r w:rsidR="008B1F6F">
              <w:rPr>
                <w:noProof/>
                <w:webHidden/>
              </w:rPr>
              <w:fldChar w:fldCharType="end"/>
            </w:r>
          </w:hyperlink>
        </w:p>
        <w:p w14:paraId="6A053C6F" w14:textId="6E28D97A" w:rsidR="008B1F6F" w:rsidRDefault="008535D6">
          <w:pPr>
            <w:pStyle w:val="TOC2"/>
            <w:rPr>
              <w:noProof/>
              <w:lang w:eastAsia="lv-LV"/>
            </w:rPr>
          </w:pPr>
          <w:hyperlink w:anchor="_Toc80111847" w:history="1">
            <w:r w:rsidR="008B1F6F" w:rsidRPr="00855A81">
              <w:rPr>
                <w:rStyle w:val="Hyperlink"/>
                <w:rFonts w:ascii="Times New Roman" w:hAnsi="Times New Roman" w:cs="Times New Roman"/>
                <w:noProof/>
              </w:rPr>
              <w:t>1.2.</w:t>
            </w:r>
            <w:r w:rsidR="008B1F6F">
              <w:rPr>
                <w:noProof/>
                <w:lang w:eastAsia="lv-LV"/>
              </w:rPr>
              <w:tab/>
            </w:r>
            <w:r w:rsidR="008B1F6F" w:rsidRPr="00855A81">
              <w:rPr>
                <w:rStyle w:val="Hyperlink"/>
                <w:rFonts w:ascii="Times New Roman" w:hAnsi="Times New Roman" w:cs="Times New Roman"/>
                <w:noProof/>
              </w:rPr>
              <w:t>Fiskālo risku klasifikācija</w:t>
            </w:r>
            <w:r w:rsidR="008B1F6F">
              <w:rPr>
                <w:noProof/>
                <w:webHidden/>
              </w:rPr>
              <w:tab/>
            </w:r>
            <w:r w:rsidR="008B1F6F">
              <w:rPr>
                <w:noProof/>
                <w:webHidden/>
              </w:rPr>
              <w:fldChar w:fldCharType="begin"/>
            </w:r>
            <w:r w:rsidR="008B1F6F">
              <w:rPr>
                <w:noProof/>
                <w:webHidden/>
              </w:rPr>
              <w:instrText xml:space="preserve"> PAGEREF _Toc80111847 \h </w:instrText>
            </w:r>
            <w:r w:rsidR="008B1F6F">
              <w:rPr>
                <w:noProof/>
                <w:webHidden/>
              </w:rPr>
            </w:r>
            <w:r w:rsidR="008B1F6F">
              <w:rPr>
                <w:noProof/>
                <w:webHidden/>
              </w:rPr>
              <w:fldChar w:fldCharType="separate"/>
            </w:r>
            <w:r w:rsidR="008B1F6F">
              <w:rPr>
                <w:noProof/>
                <w:webHidden/>
              </w:rPr>
              <w:t>4</w:t>
            </w:r>
            <w:r w:rsidR="008B1F6F">
              <w:rPr>
                <w:noProof/>
                <w:webHidden/>
              </w:rPr>
              <w:fldChar w:fldCharType="end"/>
            </w:r>
          </w:hyperlink>
        </w:p>
        <w:p w14:paraId="65EC5DBE" w14:textId="2A93AF57" w:rsidR="008B1F6F" w:rsidRDefault="008535D6">
          <w:pPr>
            <w:pStyle w:val="TOC2"/>
            <w:rPr>
              <w:noProof/>
              <w:lang w:eastAsia="lv-LV"/>
            </w:rPr>
          </w:pPr>
          <w:hyperlink w:anchor="_Toc80111848" w:history="1">
            <w:r w:rsidR="008B1F6F" w:rsidRPr="00855A81">
              <w:rPr>
                <w:rStyle w:val="Hyperlink"/>
                <w:rFonts w:ascii="Times New Roman" w:hAnsi="Times New Roman" w:cs="Times New Roman"/>
                <w:noProof/>
              </w:rPr>
              <w:t>1.3.</w:t>
            </w:r>
            <w:r w:rsidR="008B1F6F">
              <w:rPr>
                <w:noProof/>
                <w:lang w:eastAsia="lv-LV"/>
              </w:rPr>
              <w:tab/>
            </w:r>
            <w:r w:rsidR="008B1F6F" w:rsidRPr="00855A81">
              <w:rPr>
                <w:rStyle w:val="Hyperlink"/>
                <w:rFonts w:ascii="Times New Roman" w:hAnsi="Times New Roman" w:cs="Times New Roman"/>
                <w:noProof/>
              </w:rPr>
              <w:t>Fiskālo risku ietekmes un iestāšanās varbūtības novērtēšanas metodes</w:t>
            </w:r>
            <w:r w:rsidR="008B1F6F">
              <w:rPr>
                <w:noProof/>
                <w:webHidden/>
              </w:rPr>
              <w:tab/>
            </w:r>
            <w:r w:rsidR="008B1F6F">
              <w:rPr>
                <w:noProof/>
                <w:webHidden/>
              </w:rPr>
              <w:fldChar w:fldCharType="begin"/>
            </w:r>
            <w:r w:rsidR="008B1F6F">
              <w:rPr>
                <w:noProof/>
                <w:webHidden/>
              </w:rPr>
              <w:instrText xml:space="preserve"> PAGEREF _Toc80111848 \h </w:instrText>
            </w:r>
            <w:r w:rsidR="008B1F6F">
              <w:rPr>
                <w:noProof/>
                <w:webHidden/>
              </w:rPr>
            </w:r>
            <w:r w:rsidR="008B1F6F">
              <w:rPr>
                <w:noProof/>
                <w:webHidden/>
              </w:rPr>
              <w:fldChar w:fldCharType="separate"/>
            </w:r>
            <w:r w:rsidR="008B1F6F">
              <w:rPr>
                <w:noProof/>
                <w:webHidden/>
              </w:rPr>
              <w:t>5</w:t>
            </w:r>
            <w:r w:rsidR="008B1F6F">
              <w:rPr>
                <w:noProof/>
                <w:webHidden/>
              </w:rPr>
              <w:fldChar w:fldCharType="end"/>
            </w:r>
          </w:hyperlink>
        </w:p>
        <w:p w14:paraId="37D51FAF" w14:textId="70F9BB2E" w:rsidR="008B1F6F" w:rsidRDefault="008535D6">
          <w:pPr>
            <w:pStyle w:val="TOC1"/>
            <w:rPr>
              <w:noProof/>
              <w:lang w:eastAsia="lv-LV"/>
            </w:rPr>
          </w:pPr>
          <w:hyperlink w:anchor="_Toc80111849" w:history="1">
            <w:r w:rsidR="008B1F6F" w:rsidRPr="00855A81">
              <w:rPr>
                <w:rStyle w:val="Hyperlink"/>
                <w:rFonts w:ascii="Times New Roman" w:hAnsi="Times New Roman" w:cs="Times New Roman"/>
                <w:noProof/>
              </w:rPr>
              <w:t>2.</w:t>
            </w:r>
            <w:r w:rsidR="008B1F6F">
              <w:rPr>
                <w:noProof/>
                <w:lang w:eastAsia="lv-LV"/>
              </w:rPr>
              <w:tab/>
            </w:r>
            <w:r w:rsidR="008B1F6F" w:rsidRPr="00855A81">
              <w:rPr>
                <w:rStyle w:val="Hyperlink"/>
                <w:rFonts w:ascii="Times New Roman" w:hAnsi="Times New Roman" w:cs="Times New Roman"/>
                <w:noProof/>
              </w:rPr>
              <w:t>Kvantificējamie fiskālie riski</w:t>
            </w:r>
            <w:r w:rsidR="008B1F6F">
              <w:rPr>
                <w:noProof/>
                <w:webHidden/>
              </w:rPr>
              <w:tab/>
            </w:r>
            <w:r w:rsidR="008B1F6F">
              <w:rPr>
                <w:noProof/>
                <w:webHidden/>
              </w:rPr>
              <w:fldChar w:fldCharType="begin"/>
            </w:r>
            <w:r w:rsidR="008B1F6F">
              <w:rPr>
                <w:noProof/>
                <w:webHidden/>
              </w:rPr>
              <w:instrText xml:space="preserve"> PAGEREF _Toc80111849 \h </w:instrText>
            </w:r>
            <w:r w:rsidR="008B1F6F">
              <w:rPr>
                <w:noProof/>
                <w:webHidden/>
              </w:rPr>
            </w:r>
            <w:r w:rsidR="008B1F6F">
              <w:rPr>
                <w:noProof/>
                <w:webHidden/>
              </w:rPr>
              <w:fldChar w:fldCharType="separate"/>
            </w:r>
            <w:r w:rsidR="008B1F6F">
              <w:rPr>
                <w:noProof/>
                <w:webHidden/>
              </w:rPr>
              <w:t>7</w:t>
            </w:r>
            <w:r w:rsidR="008B1F6F">
              <w:rPr>
                <w:noProof/>
                <w:webHidden/>
              </w:rPr>
              <w:fldChar w:fldCharType="end"/>
            </w:r>
          </w:hyperlink>
        </w:p>
        <w:p w14:paraId="062D585D" w14:textId="489F1C2E" w:rsidR="008B1F6F" w:rsidRDefault="008535D6">
          <w:pPr>
            <w:pStyle w:val="TOC2"/>
            <w:rPr>
              <w:noProof/>
              <w:lang w:eastAsia="lv-LV"/>
            </w:rPr>
          </w:pPr>
          <w:hyperlink w:anchor="_Toc80111850" w:history="1">
            <w:r w:rsidR="008B1F6F" w:rsidRPr="00855A81">
              <w:rPr>
                <w:rStyle w:val="Hyperlink"/>
                <w:rFonts w:ascii="Times New Roman" w:hAnsi="Times New Roman" w:cs="Times New Roman"/>
                <w:noProof/>
              </w:rPr>
              <w:t>2.1.</w:t>
            </w:r>
            <w:r w:rsidR="008B1F6F">
              <w:rPr>
                <w:noProof/>
                <w:lang w:eastAsia="lv-LV"/>
              </w:rPr>
              <w:tab/>
            </w:r>
            <w:r w:rsidR="008B1F6F" w:rsidRPr="00855A81">
              <w:rPr>
                <w:rStyle w:val="Hyperlink"/>
                <w:rFonts w:ascii="Times New Roman" w:hAnsi="Times New Roman" w:cs="Times New Roman"/>
                <w:noProof/>
              </w:rPr>
              <w:t>Valsts un pašvaldību galvojumi</w:t>
            </w:r>
            <w:r w:rsidR="008B1F6F">
              <w:rPr>
                <w:noProof/>
                <w:webHidden/>
              </w:rPr>
              <w:tab/>
            </w:r>
            <w:r w:rsidR="008B1F6F">
              <w:rPr>
                <w:noProof/>
                <w:webHidden/>
              </w:rPr>
              <w:fldChar w:fldCharType="begin"/>
            </w:r>
            <w:r w:rsidR="008B1F6F">
              <w:rPr>
                <w:noProof/>
                <w:webHidden/>
              </w:rPr>
              <w:instrText xml:space="preserve"> PAGEREF _Toc80111850 \h </w:instrText>
            </w:r>
            <w:r w:rsidR="008B1F6F">
              <w:rPr>
                <w:noProof/>
                <w:webHidden/>
              </w:rPr>
            </w:r>
            <w:r w:rsidR="008B1F6F">
              <w:rPr>
                <w:noProof/>
                <w:webHidden/>
              </w:rPr>
              <w:fldChar w:fldCharType="separate"/>
            </w:r>
            <w:r w:rsidR="008B1F6F">
              <w:rPr>
                <w:noProof/>
                <w:webHidden/>
              </w:rPr>
              <w:t>7</w:t>
            </w:r>
            <w:r w:rsidR="008B1F6F">
              <w:rPr>
                <w:noProof/>
                <w:webHidden/>
              </w:rPr>
              <w:fldChar w:fldCharType="end"/>
            </w:r>
          </w:hyperlink>
        </w:p>
        <w:p w14:paraId="14A3AED2" w14:textId="1C58F7FD" w:rsidR="008B1F6F" w:rsidRDefault="008535D6">
          <w:pPr>
            <w:pStyle w:val="TOC2"/>
            <w:rPr>
              <w:noProof/>
              <w:lang w:eastAsia="lv-LV"/>
            </w:rPr>
          </w:pPr>
          <w:hyperlink w:anchor="_Toc80111851" w:history="1">
            <w:r w:rsidR="008B1F6F" w:rsidRPr="00855A81">
              <w:rPr>
                <w:rStyle w:val="Hyperlink"/>
                <w:rFonts w:ascii="Times New Roman" w:hAnsi="Times New Roman" w:cs="Times New Roman"/>
                <w:noProof/>
              </w:rPr>
              <w:t>2.2.</w:t>
            </w:r>
            <w:r w:rsidR="008B1F6F">
              <w:rPr>
                <w:noProof/>
                <w:lang w:eastAsia="lv-LV"/>
              </w:rPr>
              <w:tab/>
            </w:r>
            <w:r w:rsidR="008B1F6F" w:rsidRPr="00855A81">
              <w:rPr>
                <w:rStyle w:val="Hyperlink"/>
                <w:rFonts w:ascii="Times New Roman" w:hAnsi="Times New Roman" w:cs="Times New Roman"/>
                <w:noProof/>
              </w:rPr>
              <w:t>Valsts galvojums studiju un studējošo kreditēšanai</w:t>
            </w:r>
            <w:r w:rsidR="008B1F6F">
              <w:rPr>
                <w:noProof/>
                <w:webHidden/>
              </w:rPr>
              <w:tab/>
            </w:r>
            <w:r w:rsidR="008B1F6F">
              <w:rPr>
                <w:noProof/>
                <w:webHidden/>
              </w:rPr>
              <w:fldChar w:fldCharType="begin"/>
            </w:r>
            <w:r w:rsidR="008B1F6F">
              <w:rPr>
                <w:noProof/>
                <w:webHidden/>
              </w:rPr>
              <w:instrText xml:space="preserve"> PAGEREF _Toc80111851 \h </w:instrText>
            </w:r>
            <w:r w:rsidR="008B1F6F">
              <w:rPr>
                <w:noProof/>
                <w:webHidden/>
              </w:rPr>
            </w:r>
            <w:r w:rsidR="008B1F6F">
              <w:rPr>
                <w:noProof/>
                <w:webHidden/>
              </w:rPr>
              <w:fldChar w:fldCharType="separate"/>
            </w:r>
            <w:r w:rsidR="008B1F6F">
              <w:rPr>
                <w:noProof/>
                <w:webHidden/>
              </w:rPr>
              <w:t>9</w:t>
            </w:r>
            <w:r w:rsidR="008B1F6F">
              <w:rPr>
                <w:noProof/>
                <w:webHidden/>
              </w:rPr>
              <w:fldChar w:fldCharType="end"/>
            </w:r>
          </w:hyperlink>
        </w:p>
        <w:p w14:paraId="66766941" w14:textId="7D52924F" w:rsidR="008B1F6F" w:rsidRDefault="008535D6">
          <w:pPr>
            <w:pStyle w:val="TOC2"/>
            <w:rPr>
              <w:noProof/>
              <w:lang w:eastAsia="lv-LV"/>
            </w:rPr>
          </w:pPr>
          <w:hyperlink w:anchor="_Toc80111852" w:history="1">
            <w:r w:rsidR="008B1F6F" w:rsidRPr="00855A81">
              <w:rPr>
                <w:rStyle w:val="Hyperlink"/>
                <w:rFonts w:ascii="Times New Roman" w:hAnsi="Times New Roman" w:cs="Times New Roman"/>
                <w:noProof/>
              </w:rPr>
              <w:t>2.3.</w:t>
            </w:r>
            <w:r w:rsidR="008B1F6F">
              <w:rPr>
                <w:noProof/>
                <w:lang w:eastAsia="lv-LV"/>
              </w:rPr>
              <w:tab/>
            </w:r>
            <w:r w:rsidR="008B1F6F" w:rsidRPr="00855A81">
              <w:rPr>
                <w:rStyle w:val="Hyperlink"/>
                <w:rFonts w:ascii="Times New Roman" w:hAnsi="Times New Roman" w:cs="Times New Roman"/>
                <w:noProof/>
              </w:rPr>
              <w:t>Valsts aizdevumi</w:t>
            </w:r>
            <w:r w:rsidR="008B1F6F">
              <w:rPr>
                <w:noProof/>
                <w:webHidden/>
              </w:rPr>
              <w:tab/>
            </w:r>
            <w:r w:rsidR="008B1F6F">
              <w:rPr>
                <w:noProof/>
                <w:webHidden/>
              </w:rPr>
              <w:fldChar w:fldCharType="begin"/>
            </w:r>
            <w:r w:rsidR="008B1F6F">
              <w:rPr>
                <w:noProof/>
                <w:webHidden/>
              </w:rPr>
              <w:instrText xml:space="preserve"> PAGEREF _Toc80111852 \h </w:instrText>
            </w:r>
            <w:r w:rsidR="008B1F6F">
              <w:rPr>
                <w:noProof/>
                <w:webHidden/>
              </w:rPr>
            </w:r>
            <w:r w:rsidR="008B1F6F">
              <w:rPr>
                <w:noProof/>
                <w:webHidden/>
              </w:rPr>
              <w:fldChar w:fldCharType="separate"/>
            </w:r>
            <w:r w:rsidR="008B1F6F">
              <w:rPr>
                <w:noProof/>
                <w:webHidden/>
              </w:rPr>
              <w:t>9</w:t>
            </w:r>
            <w:r w:rsidR="008B1F6F">
              <w:rPr>
                <w:noProof/>
                <w:webHidden/>
              </w:rPr>
              <w:fldChar w:fldCharType="end"/>
            </w:r>
          </w:hyperlink>
        </w:p>
        <w:p w14:paraId="67B0E0F1" w14:textId="746F2744" w:rsidR="008B1F6F" w:rsidRDefault="008535D6">
          <w:pPr>
            <w:pStyle w:val="TOC2"/>
            <w:rPr>
              <w:noProof/>
              <w:lang w:eastAsia="lv-LV"/>
            </w:rPr>
          </w:pPr>
          <w:hyperlink w:anchor="_Toc80111853" w:history="1">
            <w:r w:rsidR="008B1F6F" w:rsidRPr="00855A81">
              <w:rPr>
                <w:rStyle w:val="Hyperlink"/>
                <w:rFonts w:ascii="Times New Roman" w:hAnsi="Times New Roman" w:cs="Times New Roman"/>
                <w:noProof/>
              </w:rPr>
              <w:t>2.4.</w:t>
            </w:r>
            <w:r w:rsidR="008B1F6F">
              <w:rPr>
                <w:noProof/>
                <w:lang w:eastAsia="lv-LV"/>
              </w:rPr>
              <w:tab/>
            </w:r>
            <w:r w:rsidR="008B1F6F" w:rsidRPr="00855A81">
              <w:rPr>
                <w:rStyle w:val="Hyperlink"/>
                <w:rFonts w:ascii="Times New Roman" w:hAnsi="Times New Roman" w:cs="Times New Roman"/>
                <w:noProof/>
              </w:rPr>
              <w:t>Kvantificējamie riski labklājības nozarē</w:t>
            </w:r>
            <w:r w:rsidR="008B1F6F">
              <w:rPr>
                <w:noProof/>
                <w:webHidden/>
              </w:rPr>
              <w:tab/>
            </w:r>
            <w:r w:rsidR="008B1F6F">
              <w:rPr>
                <w:noProof/>
                <w:webHidden/>
              </w:rPr>
              <w:fldChar w:fldCharType="begin"/>
            </w:r>
            <w:r w:rsidR="008B1F6F">
              <w:rPr>
                <w:noProof/>
                <w:webHidden/>
              </w:rPr>
              <w:instrText xml:space="preserve"> PAGEREF _Toc80111853 \h </w:instrText>
            </w:r>
            <w:r w:rsidR="008B1F6F">
              <w:rPr>
                <w:noProof/>
                <w:webHidden/>
              </w:rPr>
            </w:r>
            <w:r w:rsidR="008B1F6F">
              <w:rPr>
                <w:noProof/>
                <w:webHidden/>
              </w:rPr>
              <w:fldChar w:fldCharType="separate"/>
            </w:r>
            <w:r w:rsidR="008B1F6F">
              <w:rPr>
                <w:noProof/>
                <w:webHidden/>
              </w:rPr>
              <w:t>10</w:t>
            </w:r>
            <w:r w:rsidR="008B1F6F">
              <w:rPr>
                <w:noProof/>
                <w:webHidden/>
              </w:rPr>
              <w:fldChar w:fldCharType="end"/>
            </w:r>
          </w:hyperlink>
        </w:p>
        <w:p w14:paraId="07B260D6" w14:textId="1E03D67E" w:rsidR="008B1F6F" w:rsidRDefault="008535D6">
          <w:pPr>
            <w:pStyle w:val="TOC2"/>
            <w:rPr>
              <w:noProof/>
              <w:lang w:eastAsia="lv-LV"/>
            </w:rPr>
          </w:pPr>
          <w:hyperlink w:anchor="_Toc80111854" w:history="1">
            <w:r w:rsidR="008B1F6F" w:rsidRPr="00855A81">
              <w:rPr>
                <w:rStyle w:val="Hyperlink"/>
                <w:rFonts w:ascii="Times New Roman" w:hAnsi="Times New Roman" w:cs="Times New Roman"/>
                <w:noProof/>
              </w:rPr>
              <w:t>2.5.</w:t>
            </w:r>
            <w:r w:rsidR="008B1F6F">
              <w:rPr>
                <w:noProof/>
                <w:lang w:eastAsia="lv-LV"/>
              </w:rPr>
              <w:tab/>
            </w:r>
            <w:r w:rsidR="008B1F6F" w:rsidRPr="00855A81">
              <w:rPr>
                <w:rStyle w:val="Hyperlink"/>
                <w:rFonts w:ascii="Times New Roman" w:hAnsi="Times New Roman" w:cs="Times New Roman"/>
                <w:noProof/>
              </w:rPr>
              <w:t>Kārtējo maksājumu Eiropas Savienības budžetā un starptautiskai sadarbībai pieaugums</w:t>
            </w:r>
            <w:r w:rsidR="008B1F6F">
              <w:rPr>
                <w:noProof/>
                <w:webHidden/>
              </w:rPr>
              <w:tab/>
            </w:r>
            <w:r w:rsidR="008B1F6F">
              <w:rPr>
                <w:noProof/>
                <w:webHidden/>
              </w:rPr>
              <w:fldChar w:fldCharType="begin"/>
            </w:r>
            <w:r w:rsidR="008B1F6F">
              <w:rPr>
                <w:noProof/>
                <w:webHidden/>
              </w:rPr>
              <w:instrText xml:space="preserve"> PAGEREF _Toc80111854 \h </w:instrText>
            </w:r>
            <w:r w:rsidR="008B1F6F">
              <w:rPr>
                <w:noProof/>
                <w:webHidden/>
              </w:rPr>
            </w:r>
            <w:r w:rsidR="008B1F6F">
              <w:rPr>
                <w:noProof/>
                <w:webHidden/>
              </w:rPr>
              <w:fldChar w:fldCharType="separate"/>
            </w:r>
            <w:r w:rsidR="008B1F6F">
              <w:rPr>
                <w:noProof/>
                <w:webHidden/>
              </w:rPr>
              <w:t>13</w:t>
            </w:r>
            <w:r w:rsidR="008B1F6F">
              <w:rPr>
                <w:noProof/>
                <w:webHidden/>
              </w:rPr>
              <w:fldChar w:fldCharType="end"/>
            </w:r>
          </w:hyperlink>
        </w:p>
        <w:p w14:paraId="613998B4" w14:textId="7985A8F6" w:rsidR="008B1F6F" w:rsidRDefault="008535D6">
          <w:pPr>
            <w:pStyle w:val="TOC2"/>
            <w:rPr>
              <w:noProof/>
              <w:lang w:eastAsia="lv-LV"/>
            </w:rPr>
          </w:pPr>
          <w:hyperlink w:anchor="_Toc80111855" w:history="1">
            <w:r w:rsidR="008B1F6F" w:rsidRPr="00855A81">
              <w:rPr>
                <w:rStyle w:val="Hyperlink"/>
                <w:rFonts w:ascii="Times New Roman" w:hAnsi="Times New Roman" w:cs="Times New Roman"/>
                <w:noProof/>
              </w:rPr>
              <w:t>2.6.</w:t>
            </w:r>
            <w:r w:rsidR="008B1F6F">
              <w:rPr>
                <w:noProof/>
                <w:lang w:eastAsia="lv-LV"/>
              </w:rPr>
              <w:tab/>
            </w:r>
            <w:r w:rsidR="008B1F6F" w:rsidRPr="00855A81">
              <w:rPr>
                <w:rStyle w:val="Hyperlink"/>
                <w:rFonts w:ascii="Times New Roman" w:hAnsi="Times New Roman" w:cs="Times New Roman"/>
                <w:noProof/>
              </w:rPr>
              <w:t>Eiropas Savienības politiku instrumentu un citu ārvalstu finanšu palīdzības programmas</w:t>
            </w:r>
            <w:r w:rsidR="008B1F6F">
              <w:rPr>
                <w:noProof/>
                <w:webHidden/>
              </w:rPr>
              <w:tab/>
            </w:r>
            <w:r w:rsidR="008B1F6F">
              <w:rPr>
                <w:noProof/>
                <w:webHidden/>
              </w:rPr>
              <w:fldChar w:fldCharType="begin"/>
            </w:r>
            <w:r w:rsidR="008B1F6F">
              <w:rPr>
                <w:noProof/>
                <w:webHidden/>
              </w:rPr>
              <w:instrText xml:space="preserve"> PAGEREF _Toc80111855 \h </w:instrText>
            </w:r>
            <w:r w:rsidR="008B1F6F">
              <w:rPr>
                <w:noProof/>
                <w:webHidden/>
              </w:rPr>
            </w:r>
            <w:r w:rsidR="008B1F6F">
              <w:rPr>
                <w:noProof/>
                <w:webHidden/>
              </w:rPr>
              <w:fldChar w:fldCharType="separate"/>
            </w:r>
            <w:r w:rsidR="008B1F6F">
              <w:rPr>
                <w:noProof/>
                <w:webHidden/>
              </w:rPr>
              <w:t>14</w:t>
            </w:r>
            <w:r w:rsidR="008B1F6F">
              <w:rPr>
                <w:noProof/>
                <w:webHidden/>
              </w:rPr>
              <w:fldChar w:fldCharType="end"/>
            </w:r>
          </w:hyperlink>
        </w:p>
        <w:p w14:paraId="79A41C9C" w14:textId="6B49947F" w:rsidR="008B1F6F" w:rsidRDefault="008535D6">
          <w:pPr>
            <w:pStyle w:val="TOC2"/>
            <w:rPr>
              <w:noProof/>
              <w:lang w:eastAsia="lv-LV"/>
            </w:rPr>
          </w:pPr>
          <w:hyperlink w:anchor="_Toc80111856" w:history="1">
            <w:r w:rsidR="008B1F6F" w:rsidRPr="00855A81">
              <w:rPr>
                <w:rStyle w:val="Hyperlink"/>
                <w:rFonts w:ascii="Times New Roman" w:hAnsi="Times New Roman" w:cs="Times New Roman"/>
                <w:noProof/>
              </w:rPr>
              <w:t>2.7.</w:t>
            </w:r>
            <w:r w:rsidR="008B1F6F">
              <w:rPr>
                <w:noProof/>
                <w:lang w:eastAsia="lv-LV"/>
              </w:rPr>
              <w:tab/>
            </w:r>
            <w:r w:rsidR="008B1F6F" w:rsidRPr="00855A81">
              <w:rPr>
                <w:rStyle w:val="Hyperlink"/>
                <w:rFonts w:ascii="Times New Roman" w:hAnsi="Times New Roman" w:cs="Times New Roman"/>
                <w:noProof/>
              </w:rPr>
              <w:t>Kapitāls uz pieprasījumu</w:t>
            </w:r>
            <w:r w:rsidR="008B1F6F">
              <w:rPr>
                <w:noProof/>
                <w:webHidden/>
              </w:rPr>
              <w:tab/>
            </w:r>
            <w:r w:rsidR="008B1F6F">
              <w:rPr>
                <w:noProof/>
                <w:webHidden/>
              </w:rPr>
              <w:fldChar w:fldCharType="begin"/>
            </w:r>
            <w:r w:rsidR="008B1F6F">
              <w:rPr>
                <w:noProof/>
                <w:webHidden/>
              </w:rPr>
              <w:instrText xml:space="preserve"> PAGEREF _Toc80111856 \h </w:instrText>
            </w:r>
            <w:r w:rsidR="008B1F6F">
              <w:rPr>
                <w:noProof/>
                <w:webHidden/>
              </w:rPr>
            </w:r>
            <w:r w:rsidR="008B1F6F">
              <w:rPr>
                <w:noProof/>
                <w:webHidden/>
              </w:rPr>
              <w:fldChar w:fldCharType="separate"/>
            </w:r>
            <w:r w:rsidR="008B1F6F">
              <w:rPr>
                <w:noProof/>
                <w:webHidden/>
              </w:rPr>
              <w:t>16</w:t>
            </w:r>
            <w:r w:rsidR="008B1F6F">
              <w:rPr>
                <w:noProof/>
                <w:webHidden/>
              </w:rPr>
              <w:fldChar w:fldCharType="end"/>
            </w:r>
          </w:hyperlink>
        </w:p>
        <w:p w14:paraId="27EA8A1B" w14:textId="0686916E" w:rsidR="008B1F6F" w:rsidRDefault="008535D6">
          <w:pPr>
            <w:pStyle w:val="TOC2"/>
            <w:rPr>
              <w:noProof/>
              <w:lang w:eastAsia="lv-LV"/>
            </w:rPr>
          </w:pPr>
          <w:hyperlink w:anchor="_Toc80111857" w:history="1">
            <w:r w:rsidR="008B1F6F" w:rsidRPr="00855A81">
              <w:rPr>
                <w:rStyle w:val="Hyperlink"/>
                <w:rFonts w:ascii="Times New Roman" w:hAnsi="Times New Roman" w:cs="Times New Roman"/>
                <w:noProof/>
              </w:rPr>
              <w:t>2.8.</w:t>
            </w:r>
            <w:r w:rsidR="008B1F6F">
              <w:rPr>
                <w:noProof/>
                <w:lang w:eastAsia="lv-LV"/>
              </w:rPr>
              <w:tab/>
            </w:r>
            <w:r w:rsidR="008B1F6F" w:rsidRPr="00855A81">
              <w:rPr>
                <w:rStyle w:val="Hyperlink"/>
                <w:rFonts w:ascii="Times New Roman" w:hAnsi="Times New Roman" w:cs="Times New Roman"/>
                <w:noProof/>
              </w:rPr>
              <w:t>Valsts un pašvaldību kapitālsabiedrības</w:t>
            </w:r>
            <w:r w:rsidR="008B1F6F">
              <w:rPr>
                <w:noProof/>
                <w:webHidden/>
              </w:rPr>
              <w:tab/>
            </w:r>
            <w:r w:rsidR="008B1F6F">
              <w:rPr>
                <w:noProof/>
                <w:webHidden/>
              </w:rPr>
              <w:fldChar w:fldCharType="begin"/>
            </w:r>
            <w:r w:rsidR="008B1F6F">
              <w:rPr>
                <w:noProof/>
                <w:webHidden/>
              </w:rPr>
              <w:instrText xml:space="preserve"> PAGEREF _Toc80111857 \h </w:instrText>
            </w:r>
            <w:r w:rsidR="008B1F6F">
              <w:rPr>
                <w:noProof/>
                <w:webHidden/>
              </w:rPr>
            </w:r>
            <w:r w:rsidR="008B1F6F">
              <w:rPr>
                <w:noProof/>
                <w:webHidden/>
              </w:rPr>
              <w:fldChar w:fldCharType="separate"/>
            </w:r>
            <w:r w:rsidR="008B1F6F">
              <w:rPr>
                <w:noProof/>
                <w:webHidden/>
              </w:rPr>
              <w:t>17</w:t>
            </w:r>
            <w:r w:rsidR="008B1F6F">
              <w:rPr>
                <w:noProof/>
                <w:webHidden/>
              </w:rPr>
              <w:fldChar w:fldCharType="end"/>
            </w:r>
          </w:hyperlink>
        </w:p>
        <w:p w14:paraId="6BC0E3FB" w14:textId="7D820329" w:rsidR="008B1F6F" w:rsidRDefault="008535D6">
          <w:pPr>
            <w:pStyle w:val="TOC2"/>
            <w:rPr>
              <w:noProof/>
              <w:lang w:eastAsia="lv-LV"/>
            </w:rPr>
          </w:pPr>
          <w:hyperlink w:anchor="_Toc80111858" w:history="1">
            <w:r w:rsidR="008B1F6F" w:rsidRPr="00855A81">
              <w:rPr>
                <w:rStyle w:val="Hyperlink"/>
                <w:rFonts w:ascii="Times New Roman" w:hAnsi="Times New Roman" w:cs="Times New Roman"/>
                <w:noProof/>
              </w:rPr>
              <w:t>2.9.</w:t>
            </w:r>
            <w:r w:rsidR="008B1F6F">
              <w:rPr>
                <w:noProof/>
                <w:lang w:eastAsia="lv-LV"/>
              </w:rPr>
              <w:tab/>
            </w:r>
            <w:r w:rsidR="008B1F6F" w:rsidRPr="00855A81">
              <w:rPr>
                <w:rStyle w:val="Hyperlink"/>
                <w:rFonts w:ascii="Times New Roman" w:hAnsi="Times New Roman" w:cs="Times New Roman"/>
                <w:noProof/>
              </w:rPr>
              <w:t>Superdividendes</w:t>
            </w:r>
            <w:r w:rsidR="008B1F6F">
              <w:rPr>
                <w:noProof/>
                <w:webHidden/>
              </w:rPr>
              <w:tab/>
            </w:r>
            <w:r w:rsidR="008B1F6F">
              <w:rPr>
                <w:noProof/>
                <w:webHidden/>
              </w:rPr>
              <w:fldChar w:fldCharType="begin"/>
            </w:r>
            <w:r w:rsidR="008B1F6F">
              <w:rPr>
                <w:noProof/>
                <w:webHidden/>
              </w:rPr>
              <w:instrText xml:space="preserve"> PAGEREF _Toc80111858 \h </w:instrText>
            </w:r>
            <w:r w:rsidR="008B1F6F">
              <w:rPr>
                <w:noProof/>
                <w:webHidden/>
              </w:rPr>
            </w:r>
            <w:r w:rsidR="008B1F6F">
              <w:rPr>
                <w:noProof/>
                <w:webHidden/>
              </w:rPr>
              <w:fldChar w:fldCharType="separate"/>
            </w:r>
            <w:r w:rsidR="008B1F6F">
              <w:rPr>
                <w:noProof/>
                <w:webHidden/>
              </w:rPr>
              <w:t>20</w:t>
            </w:r>
            <w:r w:rsidR="008B1F6F">
              <w:rPr>
                <w:noProof/>
                <w:webHidden/>
              </w:rPr>
              <w:fldChar w:fldCharType="end"/>
            </w:r>
          </w:hyperlink>
        </w:p>
        <w:p w14:paraId="61F6FA89" w14:textId="3C498DA8" w:rsidR="008B1F6F" w:rsidRDefault="008535D6">
          <w:pPr>
            <w:pStyle w:val="TOC2"/>
            <w:rPr>
              <w:noProof/>
              <w:lang w:eastAsia="lv-LV"/>
            </w:rPr>
          </w:pPr>
          <w:hyperlink w:anchor="_Toc80111859" w:history="1">
            <w:r w:rsidR="008B1F6F" w:rsidRPr="00855A81">
              <w:rPr>
                <w:rStyle w:val="Hyperlink"/>
                <w:rFonts w:ascii="Times New Roman" w:hAnsi="Times New Roman" w:cs="Times New Roman"/>
                <w:noProof/>
              </w:rPr>
              <w:t>2.10.</w:t>
            </w:r>
            <w:r w:rsidR="008B1F6F">
              <w:rPr>
                <w:noProof/>
                <w:lang w:eastAsia="lv-LV"/>
              </w:rPr>
              <w:tab/>
            </w:r>
            <w:r w:rsidR="008B1F6F" w:rsidRPr="00855A81">
              <w:rPr>
                <w:rStyle w:val="Hyperlink"/>
                <w:rFonts w:ascii="Times New Roman" w:hAnsi="Times New Roman" w:cs="Times New Roman"/>
                <w:noProof/>
              </w:rPr>
              <w:t>Publiskās un privātās partnerības (t.sk. koncesijas) projekti</w:t>
            </w:r>
            <w:r w:rsidR="008B1F6F">
              <w:rPr>
                <w:noProof/>
                <w:webHidden/>
              </w:rPr>
              <w:tab/>
            </w:r>
            <w:r w:rsidR="008B1F6F">
              <w:rPr>
                <w:noProof/>
                <w:webHidden/>
              </w:rPr>
              <w:fldChar w:fldCharType="begin"/>
            </w:r>
            <w:r w:rsidR="008B1F6F">
              <w:rPr>
                <w:noProof/>
                <w:webHidden/>
              </w:rPr>
              <w:instrText xml:space="preserve"> PAGEREF _Toc80111859 \h </w:instrText>
            </w:r>
            <w:r w:rsidR="008B1F6F">
              <w:rPr>
                <w:noProof/>
                <w:webHidden/>
              </w:rPr>
            </w:r>
            <w:r w:rsidR="008B1F6F">
              <w:rPr>
                <w:noProof/>
                <w:webHidden/>
              </w:rPr>
              <w:fldChar w:fldCharType="separate"/>
            </w:r>
            <w:r w:rsidR="008B1F6F">
              <w:rPr>
                <w:noProof/>
                <w:webHidden/>
              </w:rPr>
              <w:t>21</w:t>
            </w:r>
            <w:r w:rsidR="008B1F6F">
              <w:rPr>
                <w:noProof/>
                <w:webHidden/>
              </w:rPr>
              <w:fldChar w:fldCharType="end"/>
            </w:r>
          </w:hyperlink>
        </w:p>
        <w:p w14:paraId="5AF63867" w14:textId="7A023933" w:rsidR="008B1F6F" w:rsidRDefault="008535D6">
          <w:pPr>
            <w:pStyle w:val="TOC2"/>
            <w:rPr>
              <w:noProof/>
              <w:lang w:eastAsia="lv-LV"/>
            </w:rPr>
          </w:pPr>
          <w:hyperlink w:anchor="_Toc80111860" w:history="1">
            <w:r w:rsidR="008B1F6F" w:rsidRPr="00855A81">
              <w:rPr>
                <w:rStyle w:val="Hyperlink"/>
                <w:rFonts w:ascii="Times New Roman" w:hAnsi="Times New Roman" w:cs="Times New Roman"/>
                <w:noProof/>
              </w:rPr>
              <w:t>2.11.</w:t>
            </w:r>
            <w:r w:rsidR="008B1F6F">
              <w:rPr>
                <w:noProof/>
                <w:lang w:eastAsia="lv-LV"/>
              </w:rPr>
              <w:tab/>
            </w:r>
            <w:r w:rsidR="008B1F6F" w:rsidRPr="00855A81">
              <w:rPr>
                <w:rStyle w:val="Hyperlink"/>
                <w:rFonts w:ascii="Times New Roman" w:hAnsi="Times New Roman" w:cs="Times New Roman"/>
                <w:noProof/>
              </w:rPr>
              <w:t>Enerģijas publiskais tirgotājs</w:t>
            </w:r>
            <w:r w:rsidR="008B1F6F">
              <w:rPr>
                <w:noProof/>
                <w:webHidden/>
              </w:rPr>
              <w:tab/>
            </w:r>
            <w:r w:rsidR="008B1F6F">
              <w:rPr>
                <w:noProof/>
                <w:webHidden/>
              </w:rPr>
              <w:fldChar w:fldCharType="begin"/>
            </w:r>
            <w:r w:rsidR="008B1F6F">
              <w:rPr>
                <w:noProof/>
                <w:webHidden/>
              </w:rPr>
              <w:instrText xml:space="preserve"> PAGEREF _Toc80111860 \h </w:instrText>
            </w:r>
            <w:r w:rsidR="008B1F6F">
              <w:rPr>
                <w:noProof/>
                <w:webHidden/>
              </w:rPr>
            </w:r>
            <w:r w:rsidR="008B1F6F">
              <w:rPr>
                <w:noProof/>
                <w:webHidden/>
              </w:rPr>
              <w:fldChar w:fldCharType="separate"/>
            </w:r>
            <w:r w:rsidR="008B1F6F">
              <w:rPr>
                <w:noProof/>
                <w:webHidden/>
              </w:rPr>
              <w:t>23</w:t>
            </w:r>
            <w:r w:rsidR="008B1F6F">
              <w:rPr>
                <w:noProof/>
                <w:webHidden/>
              </w:rPr>
              <w:fldChar w:fldCharType="end"/>
            </w:r>
          </w:hyperlink>
        </w:p>
        <w:p w14:paraId="32DEB111" w14:textId="1BD9A839" w:rsidR="008B1F6F" w:rsidRDefault="008535D6">
          <w:pPr>
            <w:pStyle w:val="TOC1"/>
            <w:rPr>
              <w:noProof/>
              <w:lang w:eastAsia="lv-LV"/>
            </w:rPr>
          </w:pPr>
          <w:hyperlink w:anchor="_Toc80111861" w:history="1">
            <w:r w:rsidR="008B1F6F" w:rsidRPr="00855A81">
              <w:rPr>
                <w:rStyle w:val="Hyperlink"/>
                <w:rFonts w:ascii="Times New Roman" w:hAnsi="Times New Roman" w:cs="Times New Roman"/>
                <w:noProof/>
              </w:rPr>
              <w:t>3.</w:t>
            </w:r>
            <w:r w:rsidR="008B1F6F">
              <w:rPr>
                <w:noProof/>
                <w:lang w:eastAsia="lv-LV"/>
              </w:rPr>
              <w:tab/>
            </w:r>
            <w:r w:rsidR="008B1F6F" w:rsidRPr="00855A81">
              <w:rPr>
                <w:rStyle w:val="Hyperlink"/>
                <w:rFonts w:ascii="Times New Roman" w:hAnsi="Times New Roman" w:cs="Times New Roman"/>
                <w:noProof/>
              </w:rPr>
              <w:t>Nekvantificējamie fiskālie riski</w:t>
            </w:r>
            <w:r w:rsidR="008B1F6F">
              <w:rPr>
                <w:noProof/>
                <w:webHidden/>
              </w:rPr>
              <w:tab/>
            </w:r>
            <w:r w:rsidR="008B1F6F">
              <w:rPr>
                <w:noProof/>
                <w:webHidden/>
              </w:rPr>
              <w:fldChar w:fldCharType="begin"/>
            </w:r>
            <w:r w:rsidR="008B1F6F">
              <w:rPr>
                <w:noProof/>
                <w:webHidden/>
              </w:rPr>
              <w:instrText xml:space="preserve"> PAGEREF _Toc80111861 \h </w:instrText>
            </w:r>
            <w:r w:rsidR="008B1F6F">
              <w:rPr>
                <w:noProof/>
                <w:webHidden/>
              </w:rPr>
            </w:r>
            <w:r w:rsidR="008B1F6F">
              <w:rPr>
                <w:noProof/>
                <w:webHidden/>
              </w:rPr>
              <w:fldChar w:fldCharType="separate"/>
            </w:r>
            <w:r w:rsidR="008B1F6F">
              <w:rPr>
                <w:noProof/>
                <w:webHidden/>
              </w:rPr>
              <w:t>25</w:t>
            </w:r>
            <w:r w:rsidR="008B1F6F">
              <w:rPr>
                <w:noProof/>
                <w:webHidden/>
              </w:rPr>
              <w:fldChar w:fldCharType="end"/>
            </w:r>
          </w:hyperlink>
        </w:p>
        <w:p w14:paraId="243BB75D" w14:textId="737622A2" w:rsidR="008B1F6F" w:rsidRDefault="008535D6">
          <w:pPr>
            <w:pStyle w:val="TOC2"/>
            <w:rPr>
              <w:noProof/>
              <w:lang w:eastAsia="lv-LV"/>
            </w:rPr>
          </w:pPr>
          <w:hyperlink w:anchor="_Toc80111862" w:history="1">
            <w:r w:rsidR="008B1F6F" w:rsidRPr="00855A81">
              <w:rPr>
                <w:rStyle w:val="Hyperlink"/>
                <w:rFonts w:ascii="Times New Roman" w:hAnsi="Times New Roman" w:cs="Times New Roman"/>
                <w:noProof/>
              </w:rPr>
              <w:t>3.1.</w:t>
            </w:r>
            <w:r w:rsidR="008B1F6F">
              <w:rPr>
                <w:noProof/>
                <w:lang w:eastAsia="lv-LV"/>
              </w:rPr>
              <w:tab/>
            </w:r>
            <w:r w:rsidR="008B1F6F" w:rsidRPr="00855A81">
              <w:rPr>
                <w:rStyle w:val="Hyperlink"/>
                <w:rFonts w:ascii="Times New Roman" w:hAnsi="Times New Roman" w:cs="Times New Roman"/>
                <w:noProof/>
              </w:rPr>
              <w:t>Starptautisko tiesu un Satversmes tiesas spriedumu izpilde</w:t>
            </w:r>
            <w:r w:rsidR="008B1F6F">
              <w:rPr>
                <w:noProof/>
                <w:webHidden/>
              </w:rPr>
              <w:tab/>
            </w:r>
            <w:r w:rsidR="008B1F6F">
              <w:rPr>
                <w:noProof/>
                <w:webHidden/>
              </w:rPr>
              <w:fldChar w:fldCharType="begin"/>
            </w:r>
            <w:r w:rsidR="008B1F6F">
              <w:rPr>
                <w:noProof/>
                <w:webHidden/>
              </w:rPr>
              <w:instrText xml:space="preserve"> PAGEREF _Toc80111862 \h </w:instrText>
            </w:r>
            <w:r w:rsidR="008B1F6F">
              <w:rPr>
                <w:noProof/>
                <w:webHidden/>
              </w:rPr>
            </w:r>
            <w:r w:rsidR="008B1F6F">
              <w:rPr>
                <w:noProof/>
                <w:webHidden/>
              </w:rPr>
              <w:fldChar w:fldCharType="separate"/>
            </w:r>
            <w:r w:rsidR="008B1F6F">
              <w:rPr>
                <w:noProof/>
                <w:webHidden/>
              </w:rPr>
              <w:t>25</w:t>
            </w:r>
            <w:r w:rsidR="008B1F6F">
              <w:rPr>
                <w:noProof/>
                <w:webHidden/>
              </w:rPr>
              <w:fldChar w:fldCharType="end"/>
            </w:r>
          </w:hyperlink>
        </w:p>
        <w:p w14:paraId="21F62AA0" w14:textId="324476CE" w:rsidR="008B1F6F" w:rsidRDefault="008535D6">
          <w:pPr>
            <w:pStyle w:val="TOC2"/>
            <w:rPr>
              <w:noProof/>
              <w:lang w:eastAsia="lv-LV"/>
            </w:rPr>
          </w:pPr>
          <w:hyperlink w:anchor="_Toc80111863" w:history="1">
            <w:r w:rsidR="008B1F6F" w:rsidRPr="00855A81">
              <w:rPr>
                <w:rStyle w:val="Hyperlink"/>
                <w:rFonts w:ascii="Times New Roman" w:hAnsi="Times New Roman" w:cs="Times New Roman"/>
                <w:noProof/>
              </w:rPr>
              <w:t>3.2.</w:t>
            </w:r>
            <w:r w:rsidR="008B1F6F">
              <w:rPr>
                <w:noProof/>
                <w:lang w:eastAsia="lv-LV"/>
              </w:rPr>
              <w:tab/>
            </w:r>
            <w:r w:rsidR="008B1F6F" w:rsidRPr="00855A81">
              <w:rPr>
                <w:rStyle w:val="Hyperlink"/>
                <w:rFonts w:ascii="Times New Roman" w:hAnsi="Times New Roman" w:cs="Times New Roman"/>
                <w:noProof/>
              </w:rPr>
              <w:t>Finanšu sektors</w:t>
            </w:r>
            <w:r w:rsidR="008B1F6F">
              <w:rPr>
                <w:noProof/>
                <w:webHidden/>
              </w:rPr>
              <w:tab/>
            </w:r>
            <w:r w:rsidR="008B1F6F">
              <w:rPr>
                <w:noProof/>
                <w:webHidden/>
              </w:rPr>
              <w:fldChar w:fldCharType="begin"/>
            </w:r>
            <w:r w:rsidR="008B1F6F">
              <w:rPr>
                <w:noProof/>
                <w:webHidden/>
              </w:rPr>
              <w:instrText xml:space="preserve"> PAGEREF _Toc80111863 \h </w:instrText>
            </w:r>
            <w:r w:rsidR="008B1F6F">
              <w:rPr>
                <w:noProof/>
                <w:webHidden/>
              </w:rPr>
            </w:r>
            <w:r w:rsidR="008B1F6F">
              <w:rPr>
                <w:noProof/>
                <w:webHidden/>
              </w:rPr>
              <w:fldChar w:fldCharType="separate"/>
            </w:r>
            <w:r w:rsidR="008B1F6F">
              <w:rPr>
                <w:noProof/>
                <w:webHidden/>
              </w:rPr>
              <w:t>27</w:t>
            </w:r>
            <w:r w:rsidR="008B1F6F">
              <w:rPr>
                <w:noProof/>
                <w:webHidden/>
              </w:rPr>
              <w:fldChar w:fldCharType="end"/>
            </w:r>
          </w:hyperlink>
        </w:p>
        <w:p w14:paraId="7BCE0CAB" w14:textId="074762C9" w:rsidR="008B1F6F" w:rsidRDefault="008535D6">
          <w:pPr>
            <w:pStyle w:val="TOC2"/>
            <w:rPr>
              <w:noProof/>
              <w:lang w:eastAsia="lv-LV"/>
            </w:rPr>
          </w:pPr>
          <w:hyperlink w:anchor="_Toc80111864" w:history="1">
            <w:r w:rsidR="008B1F6F" w:rsidRPr="00855A81">
              <w:rPr>
                <w:rStyle w:val="Hyperlink"/>
                <w:rFonts w:ascii="Times New Roman" w:hAnsi="Times New Roman" w:cs="Times New Roman"/>
                <w:noProof/>
              </w:rPr>
              <w:t>3.3.</w:t>
            </w:r>
            <w:r w:rsidR="008B1F6F">
              <w:rPr>
                <w:noProof/>
                <w:lang w:eastAsia="lv-LV"/>
              </w:rPr>
              <w:tab/>
            </w:r>
            <w:r w:rsidR="008B1F6F" w:rsidRPr="00855A81">
              <w:rPr>
                <w:rStyle w:val="Hyperlink"/>
                <w:rFonts w:ascii="Times New Roman" w:hAnsi="Times New Roman" w:cs="Times New Roman"/>
                <w:noProof/>
              </w:rPr>
              <w:t>Fiskālie riski saistībā ar “būvnieku karteļa” lietu</w:t>
            </w:r>
            <w:r w:rsidR="008B1F6F">
              <w:rPr>
                <w:noProof/>
                <w:webHidden/>
              </w:rPr>
              <w:tab/>
            </w:r>
            <w:r w:rsidR="008B1F6F">
              <w:rPr>
                <w:noProof/>
                <w:webHidden/>
              </w:rPr>
              <w:fldChar w:fldCharType="begin"/>
            </w:r>
            <w:r w:rsidR="008B1F6F">
              <w:rPr>
                <w:noProof/>
                <w:webHidden/>
              </w:rPr>
              <w:instrText xml:space="preserve"> PAGEREF _Toc80111864 \h </w:instrText>
            </w:r>
            <w:r w:rsidR="008B1F6F">
              <w:rPr>
                <w:noProof/>
                <w:webHidden/>
              </w:rPr>
            </w:r>
            <w:r w:rsidR="008B1F6F">
              <w:rPr>
                <w:noProof/>
                <w:webHidden/>
              </w:rPr>
              <w:fldChar w:fldCharType="separate"/>
            </w:r>
            <w:r w:rsidR="008B1F6F">
              <w:rPr>
                <w:noProof/>
                <w:webHidden/>
              </w:rPr>
              <w:t>28</w:t>
            </w:r>
            <w:r w:rsidR="008B1F6F">
              <w:rPr>
                <w:noProof/>
                <w:webHidden/>
              </w:rPr>
              <w:fldChar w:fldCharType="end"/>
            </w:r>
          </w:hyperlink>
        </w:p>
        <w:p w14:paraId="2AC90671" w14:textId="7BC21889" w:rsidR="008B1F6F" w:rsidRDefault="008535D6">
          <w:pPr>
            <w:pStyle w:val="TOC1"/>
            <w:rPr>
              <w:noProof/>
              <w:lang w:eastAsia="lv-LV"/>
            </w:rPr>
          </w:pPr>
          <w:hyperlink w:anchor="_Toc80111865" w:history="1">
            <w:r w:rsidR="008B1F6F" w:rsidRPr="00855A81">
              <w:rPr>
                <w:rStyle w:val="Hyperlink"/>
                <w:rFonts w:ascii="Times New Roman" w:hAnsi="Times New Roman" w:cs="Times New Roman"/>
                <w:noProof/>
              </w:rPr>
              <w:t>4.</w:t>
            </w:r>
            <w:r w:rsidR="008B1F6F">
              <w:rPr>
                <w:noProof/>
                <w:lang w:eastAsia="lv-LV"/>
              </w:rPr>
              <w:tab/>
            </w:r>
            <w:r w:rsidR="008B1F6F" w:rsidRPr="00855A81">
              <w:rPr>
                <w:rStyle w:val="Hyperlink"/>
                <w:rFonts w:ascii="Times New Roman" w:hAnsi="Times New Roman" w:cs="Times New Roman"/>
                <w:noProof/>
              </w:rPr>
              <w:t>Ekonomikas šoku transmisijas kanāli uz valsts fiskālajiem rādītājiem</w:t>
            </w:r>
            <w:r w:rsidR="008B1F6F">
              <w:rPr>
                <w:noProof/>
                <w:webHidden/>
              </w:rPr>
              <w:tab/>
            </w:r>
            <w:r w:rsidR="008B1F6F">
              <w:rPr>
                <w:noProof/>
                <w:webHidden/>
              </w:rPr>
              <w:fldChar w:fldCharType="begin"/>
            </w:r>
            <w:r w:rsidR="008B1F6F">
              <w:rPr>
                <w:noProof/>
                <w:webHidden/>
              </w:rPr>
              <w:instrText xml:space="preserve"> PAGEREF _Toc80111865 \h </w:instrText>
            </w:r>
            <w:r w:rsidR="008B1F6F">
              <w:rPr>
                <w:noProof/>
                <w:webHidden/>
              </w:rPr>
            </w:r>
            <w:r w:rsidR="008B1F6F">
              <w:rPr>
                <w:noProof/>
                <w:webHidden/>
              </w:rPr>
              <w:fldChar w:fldCharType="separate"/>
            </w:r>
            <w:r w:rsidR="008B1F6F">
              <w:rPr>
                <w:noProof/>
                <w:webHidden/>
              </w:rPr>
              <w:t>30</w:t>
            </w:r>
            <w:r w:rsidR="008B1F6F">
              <w:rPr>
                <w:noProof/>
                <w:webHidden/>
              </w:rPr>
              <w:fldChar w:fldCharType="end"/>
            </w:r>
          </w:hyperlink>
        </w:p>
        <w:p w14:paraId="7D08DC83" w14:textId="7D481535" w:rsidR="008B1F6F" w:rsidRDefault="008535D6">
          <w:pPr>
            <w:pStyle w:val="TOC2"/>
            <w:rPr>
              <w:noProof/>
              <w:lang w:eastAsia="lv-LV"/>
            </w:rPr>
          </w:pPr>
          <w:hyperlink w:anchor="_Toc80111866" w:history="1">
            <w:r w:rsidR="008B1F6F" w:rsidRPr="00855A81">
              <w:rPr>
                <w:rStyle w:val="Hyperlink"/>
                <w:rFonts w:ascii="Times New Roman" w:hAnsi="Times New Roman" w:cs="Times New Roman"/>
                <w:noProof/>
              </w:rPr>
              <w:t>4.1.</w:t>
            </w:r>
            <w:r w:rsidR="008B1F6F">
              <w:rPr>
                <w:noProof/>
                <w:lang w:eastAsia="lv-LV"/>
              </w:rPr>
              <w:tab/>
            </w:r>
            <w:r w:rsidR="008B1F6F" w:rsidRPr="00855A81">
              <w:rPr>
                <w:rStyle w:val="Hyperlink"/>
                <w:rFonts w:ascii="Times New Roman" w:hAnsi="Times New Roman" w:cs="Times New Roman"/>
                <w:noProof/>
              </w:rPr>
              <w:t>Valsts kapitālsabiedrības, kuras nav pieklasificētas S.13 sektoram</w:t>
            </w:r>
            <w:r w:rsidR="008B1F6F">
              <w:rPr>
                <w:noProof/>
                <w:webHidden/>
              </w:rPr>
              <w:tab/>
            </w:r>
            <w:r w:rsidR="008B1F6F">
              <w:rPr>
                <w:noProof/>
                <w:webHidden/>
              </w:rPr>
              <w:fldChar w:fldCharType="begin"/>
            </w:r>
            <w:r w:rsidR="008B1F6F">
              <w:rPr>
                <w:noProof/>
                <w:webHidden/>
              </w:rPr>
              <w:instrText xml:space="preserve"> PAGEREF _Toc80111866 \h </w:instrText>
            </w:r>
            <w:r w:rsidR="008B1F6F">
              <w:rPr>
                <w:noProof/>
                <w:webHidden/>
              </w:rPr>
            </w:r>
            <w:r w:rsidR="008B1F6F">
              <w:rPr>
                <w:noProof/>
                <w:webHidden/>
              </w:rPr>
              <w:fldChar w:fldCharType="separate"/>
            </w:r>
            <w:r w:rsidR="008B1F6F">
              <w:rPr>
                <w:noProof/>
                <w:webHidden/>
              </w:rPr>
              <w:t>30</w:t>
            </w:r>
            <w:r w:rsidR="008B1F6F">
              <w:rPr>
                <w:noProof/>
                <w:webHidden/>
              </w:rPr>
              <w:fldChar w:fldCharType="end"/>
            </w:r>
          </w:hyperlink>
        </w:p>
        <w:p w14:paraId="58008806" w14:textId="18B4997D" w:rsidR="008B1F6F" w:rsidRDefault="008535D6">
          <w:pPr>
            <w:pStyle w:val="TOC2"/>
            <w:rPr>
              <w:noProof/>
              <w:lang w:eastAsia="lv-LV"/>
            </w:rPr>
          </w:pPr>
          <w:hyperlink w:anchor="_Toc80111867" w:history="1">
            <w:r w:rsidR="008B1F6F" w:rsidRPr="00855A81">
              <w:rPr>
                <w:rStyle w:val="Hyperlink"/>
                <w:rFonts w:ascii="Times New Roman" w:hAnsi="Times New Roman" w:cs="Times New Roman"/>
                <w:noProof/>
              </w:rPr>
              <w:t>4.2.</w:t>
            </w:r>
            <w:r w:rsidR="008B1F6F">
              <w:rPr>
                <w:noProof/>
                <w:lang w:eastAsia="lv-LV"/>
              </w:rPr>
              <w:tab/>
            </w:r>
            <w:r w:rsidR="008B1F6F" w:rsidRPr="00855A81">
              <w:rPr>
                <w:rStyle w:val="Hyperlink"/>
                <w:rFonts w:ascii="Times New Roman" w:hAnsi="Times New Roman" w:cs="Times New Roman"/>
                <w:noProof/>
              </w:rPr>
              <w:t>Vispārējās valdības sektora galvojumi</w:t>
            </w:r>
            <w:r w:rsidR="008B1F6F">
              <w:rPr>
                <w:noProof/>
                <w:webHidden/>
              </w:rPr>
              <w:tab/>
            </w:r>
            <w:r w:rsidR="008B1F6F">
              <w:rPr>
                <w:noProof/>
                <w:webHidden/>
              </w:rPr>
              <w:fldChar w:fldCharType="begin"/>
            </w:r>
            <w:r w:rsidR="008B1F6F">
              <w:rPr>
                <w:noProof/>
                <w:webHidden/>
              </w:rPr>
              <w:instrText xml:space="preserve"> PAGEREF _Toc80111867 \h </w:instrText>
            </w:r>
            <w:r w:rsidR="008B1F6F">
              <w:rPr>
                <w:noProof/>
                <w:webHidden/>
              </w:rPr>
            </w:r>
            <w:r w:rsidR="008B1F6F">
              <w:rPr>
                <w:noProof/>
                <w:webHidden/>
              </w:rPr>
              <w:fldChar w:fldCharType="separate"/>
            </w:r>
            <w:r w:rsidR="008B1F6F">
              <w:rPr>
                <w:noProof/>
                <w:webHidden/>
              </w:rPr>
              <w:t>32</w:t>
            </w:r>
            <w:r w:rsidR="008B1F6F">
              <w:rPr>
                <w:noProof/>
                <w:webHidden/>
              </w:rPr>
              <w:fldChar w:fldCharType="end"/>
            </w:r>
          </w:hyperlink>
        </w:p>
        <w:p w14:paraId="276F2087" w14:textId="0AFDA862" w:rsidR="008B1F6F" w:rsidRDefault="008535D6">
          <w:pPr>
            <w:pStyle w:val="TOC2"/>
            <w:rPr>
              <w:noProof/>
              <w:lang w:eastAsia="lv-LV"/>
            </w:rPr>
          </w:pPr>
          <w:hyperlink w:anchor="_Toc80111868" w:history="1">
            <w:r w:rsidR="008B1F6F" w:rsidRPr="00855A81">
              <w:rPr>
                <w:rStyle w:val="Hyperlink"/>
                <w:rFonts w:ascii="Times New Roman" w:hAnsi="Times New Roman" w:cs="Times New Roman"/>
                <w:noProof/>
              </w:rPr>
              <w:t>4.3.</w:t>
            </w:r>
            <w:r w:rsidR="008B1F6F">
              <w:rPr>
                <w:noProof/>
                <w:lang w:eastAsia="lv-LV"/>
              </w:rPr>
              <w:tab/>
            </w:r>
            <w:r w:rsidR="008B1F6F" w:rsidRPr="00855A81">
              <w:rPr>
                <w:rStyle w:val="Hyperlink"/>
                <w:rFonts w:ascii="Times New Roman" w:hAnsi="Times New Roman" w:cs="Times New Roman"/>
                <w:noProof/>
              </w:rPr>
              <w:t>Valsts parāda vadība un ilgtspēja</w:t>
            </w:r>
            <w:r w:rsidR="008B1F6F">
              <w:rPr>
                <w:noProof/>
                <w:webHidden/>
              </w:rPr>
              <w:tab/>
            </w:r>
            <w:r w:rsidR="008B1F6F">
              <w:rPr>
                <w:noProof/>
                <w:webHidden/>
              </w:rPr>
              <w:fldChar w:fldCharType="begin"/>
            </w:r>
            <w:r w:rsidR="008B1F6F">
              <w:rPr>
                <w:noProof/>
                <w:webHidden/>
              </w:rPr>
              <w:instrText xml:space="preserve"> PAGEREF _Toc80111868 \h </w:instrText>
            </w:r>
            <w:r w:rsidR="008B1F6F">
              <w:rPr>
                <w:noProof/>
                <w:webHidden/>
              </w:rPr>
            </w:r>
            <w:r w:rsidR="008B1F6F">
              <w:rPr>
                <w:noProof/>
                <w:webHidden/>
              </w:rPr>
              <w:fldChar w:fldCharType="separate"/>
            </w:r>
            <w:r w:rsidR="008B1F6F">
              <w:rPr>
                <w:noProof/>
                <w:webHidden/>
              </w:rPr>
              <w:t>32</w:t>
            </w:r>
            <w:r w:rsidR="008B1F6F">
              <w:rPr>
                <w:noProof/>
                <w:webHidden/>
              </w:rPr>
              <w:fldChar w:fldCharType="end"/>
            </w:r>
          </w:hyperlink>
        </w:p>
        <w:p w14:paraId="6D3FA66B" w14:textId="66D616CB" w:rsidR="008B1F6F" w:rsidRDefault="008535D6">
          <w:pPr>
            <w:pStyle w:val="TOC1"/>
            <w:rPr>
              <w:noProof/>
              <w:lang w:eastAsia="lv-LV"/>
            </w:rPr>
          </w:pPr>
          <w:hyperlink w:anchor="_Toc80111869" w:history="1">
            <w:r w:rsidR="008B1F6F" w:rsidRPr="00855A81">
              <w:rPr>
                <w:rStyle w:val="Hyperlink"/>
                <w:rFonts w:ascii="Times New Roman" w:hAnsi="Times New Roman" w:cs="Times New Roman"/>
                <w:noProof/>
              </w:rPr>
              <w:t>5. Iepriekšējā laika perioda fiskālo rādītāju iznākumu un prognožu salīdzinājums</w:t>
            </w:r>
            <w:r w:rsidR="008B1F6F">
              <w:rPr>
                <w:noProof/>
                <w:webHidden/>
              </w:rPr>
              <w:tab/>
            </w:r>
            <w:r w:rsidR="008B1F6F">
              <w:rPr>
                <w:noProof/>
                <w:webHidden/>
              </w:rPr>
              <w:fldChar w:fldCharType="begin"/>
            </w:r>
            <w:r w:rsidR="008B1F6F">
              <w:rPr>
                <w:noProof/>
                <w:webHidden/>
              </w:rPr>
              <w:instrText xml:space="preserve"> PAGEREF _Toc80111869 \h </w:instrText>
            </w:r>
            <w:r w:rsidR="008B1F6F">
              <w:rPr>
                <w:noProof/>
                <w:webHidden/>
              </w:rPr>
            </w:r>
            <w:r w:rsidR="008B1F6F">
              <w:rPr>
                <w:noProof/>
                <w:webHidden/>
              </w:rPr>
              <w:fldChar w:fldCharType="separate"/>
            </w:r>
            <w:r w:rsidR="008B1F6F">
              <w:rPr>
                <w:noProof/>
                <w:webHidden/>
              </w:rPr>
              <w:t>34</w:t>
            </w:r>
            <w:r w:rsidR="008B1F6F">
              <w:rPr>
                <w:noProof/>
                <w:webHidden/>
              </w:rPr>
              <w:fldChar w:fldCharType="end"/>
            </w:r>
          </w:hyperlink>
        </w:p>
        <w:p w14:paraId="3DE04CBC" w14:textId="4CC94097" w:rsidR="008B1F6F" w:rsidRDefault="008535D6">
          <w:pPr>
            <w:pStyle w:val="TOC1"/>
            <w:rPr>
              <w:noProof/>
              <w:lang w:eastAsia="lv-LV"/>
            </w:rPr>
          </w:pPr>
          <w:hyperlink w:anchor="_Toc80111870" w:history="1">
            <w:r w:rsidR="008B1F6F" w:rsidRPr="00855A81">
              <w:rPr>
                <w:rStyle w:val="Hyperlink"/>
                <w:rFonts w:ascii="Times New Roman" w:hAnsi="Times New Roman" w:cs="Times New Roman"/>
                <w:noProof/>
              </w:rPr>
              <w:t>6. Fiskālā nodrošinājuma rezerves aprēķins un papildu nepieciešamie pasākumi fiskālo risku mazināšanai</w:t>
            </w:r>
            <w:r w:rsidR="008B1F6F">
              <w:rPr>
                <w:noProof/>
                <w:webHidden/>
              </w:rPr>
              <w:tab/>
            </w:r>
            <w:r w:rsidR="008B1F6F">
              <w:rPr>
                <w:noProof/>
                <w:webHidden/>
              </w:rPr>
              <w:fldChar w:fldCharType="begin"/>
            </w:r>
            <w:r w:rsidR="008B1F6F">
              <w:rPr>
                <w:noProof/>
                <w:webHidden/>
              </w:rPr>
              <w:instrText xml:space="preserve"> PAGEREF _Toc80111870 \h </w:instrText>
            </w:r>
            <w:r w:rsidR="008B1F6F">
              <w:rPr>
                <w:noProof/>
                <w:webHidden/>
              </w:rPr>
            </w:r>
            <w:r w:rsidR="008B1F6F">
              <w:rPr>
                <w:noProof/>
                <w:webHidden/>
              </w:rPr>
              <w:fldChar w:fldCharType="separate"/>
            </w:r>
            <w:r w:rsidR="008B1F6F">
              <w:rPr>
                <w:noProof/>
                <w:webHidden/>
              </w:rPr>
              <w:t>39</w:t>
            </w:r>
            <w:r w:rsidR="008B1F6F">
              <w:rPr>
                <w:noProof/>
                <w:webHidden/>
              </w:rPr>
              <w:fldChar w:fldCharType="end"/>
            </w:r>
          </w:hyperlink>
        </w:p>
        <w:p w14:paraId="06616C8B" w14:textId="77777777" w:rsidR="002A186B" w:rsidRPr="001054F7" w:rsidRDefault="002A186B">
          <w:pPr>
            <w:rPr>
              <w:rFonts w:ascii="Times New Roman" w:hAnsi="Times New Roman" w:cs="Times New Roman"/>
              <w:sz w:val="24"/>
              <w:szCs w:val="24"/>
              <w:highlight w:val="yellow"/>
            </w:rPr>
          </w:pPr>
          <w:r w:rsidRPr="000F5FF5">
            <w:rPr>
              <w:rFonts w:ascii="Times New Roman" w:hAnsi="Times New Roman" w:cs="Times New Roman"/>
              <w:b/>
              <w:bCs/>
              <w:noProof/>
              <w:sz w:val="24"/>
              <w:szCs w:val="24"/>
              <w:highlight w:val="yellow"/>
            </w:rPr>
            <w:fldChar w:fldCharType="end"/>
          </w:r>
        </w:p>
      </w:sdtContent>
    </w:sdt>
    <w:p w14:paraId="628DD714" w14:textId="77777777" w:rsidR="008F58C9" w:rsidRPr="001054F7" w:rsidRDefault="008F58C9" w:rsidP="008F58C9">
      <w:pPr>
        <w:jc w:val="center"/>
        <w:rPr>
          <w:rFonts w:ascii="Times New Roman" w:hAnsi="Times New Roman" w:cs="Times New Roman"/>
          <w:szCs w:val="24"/>
          <w:highlight w:val="yellow"/>
        </w:rPr>
      </w:pPr>
    </w:p>
    <w:p w14:paraId="7680F826" w14:textId="77777777" w:rsidR="008F58C9" w:rsidRPr="001054F7" w:rsidRDefault="008F58C9">
      <w:pPr>
        <w:rPr>
          <w:szCs w:val="24"/>
          <w:highlight w:val="yellow"/>
        </w:rPr>
      </w:pPr>
      <w:r w:rsidRPr="001054F7">
        <w:rPr>
          <w:szCs w:val="24"/>
          <w:highlight w:val="yellow"/>
        </w:rPr>
        <w:br w:type="page"/>
      </w:r>
    </w:p>
    <w:p w14:paraId="4CBCBA7F" w14:textId="77777777" w:rsidR="008F58C9" w:rsidRPr="00835CFD" w:rsidRDefault="008F58C9" w:rsidP="00191E2E">
      <w:pPr>
        <w:pStyle w:val="Heading1"/>
        <w:numPr>
          <w:ilvl w:val="0"/>
          <w:numId w:val="0"/>
        </w:numPr>
        <w:ind w:left="432"/>
        <w:jc w:val="center"/>
        <w:rPr>
          <w:rFonts w:ascii="Times New Roman" w:hAnsi="Times New Roman" w:cs="Times New Roman"/>
          <w:sz w:val="32"/>
        </w:rPr>
      </w:pPr>
      <w:bookmarkStart w:id="1" w:name="_Toc536779054"/>
      <w:bookmarkStart w:id="2" w:name="_Toc80111844"/>
      <w:r w:rsidRPr="00835CFD">
        <w:rPr>
          <w:rFonts w:ascii="Times New Roman" w:hAnsi="Times New Roman" w:cs="Times New Roman"/>
          <w:sz w:val="32"/>
        </w:rPr>
        <w:lastRenderedPageBreak/>
        <w:t>Ievads</w:t>
      </w:r>
      <w:bookmarkEnd w:id="1"/>
      <w:bookmarkEnd w:id="2"/>
    </w:p>
    <w:p w14:paraId="32B69D82" w14:textId="521AD26A" w:rsidR="00556D1F" w:rsidRDefault="00556D1F" w:rsidP="00556D1F">
      <w:pPr>
        <w:spacing w:after="0" w:line="240" w:lineRule="auto"/>
        <w:ind w:firstLine="720"/>
        <w:jc w:val="both"/>
        <w:rPr>
          <w:rFonts w:ascii="Times New Roman" w:hAnsi="Times New Roman" w:cs="Times New Roman"/>
          <w:sz w:val="24"/>
          <w:szCs w:val="24"/>
        </w:rPr>
      </w:pPr>
      <w:r w:rsidRPr="001660EC">
        <w:rPr>
          <w:rFonts w:ascii="Times New Roman" w:hAnsi="Times New Roman" w:cs="Times New Roman"/>
          <w:sz w:val="24"/>
          <w:szCs w:val="24"/>
        </w:rPr>
        <w:t>C</w:t>
      </w:r>
      <w:r>
        <w:rPr>
          <w:rFonts w:ascii="Times New Roman" w:hAnsi="Times New Roman" w:cs="Times New Roman"/>
          <w:sz w:val="24"/>
          <w:szCs w:val="24"/>
        </w:rPr>
        <w:t>ovid</w:t>
      </w:r>
      <w:r w:rsidRPr="00552573">
        <w:rPr>
          <w:rFonts w:ascii="Times New Roman" w:eastAsia="Calibri" w:hAnsi="Times New Roman"/>
          <w:sz w:val="24"/>
          <w:szCs w:val="24"/>
        </w:rPr>
        <w:t>–</w:t>
      </w:r>
      <w:r w:rsidRPr="001660EC">
        <w:rPr>
          <w:rFonts w:ascii="Times New Roman" w:hAnsi="Times New Roman" w:cs="Times New Roman"/>
          <w:sz w:val="24"/>
          <w:szCs w:val="24"/>
        </w:rPr>
        <w:t xml:space="preserve">19 </w:t>
      </w:r>
      <w:r>
        <w:rPr>
          <w:rFonts w:ascii="Times New Roman" w:hAnsi="Times New Roman" w:cs="Times New Roman"/>
          <w:sz w:val="24"/>
          <w:szCs w:val="24"/>
        </w:rPr>
        <w:t>ir izraisījis būtiskas izmaiņas 2020.</w:t>
      </w:r>
      <w:r w:rsidR="00A25179">
        <w:rPr>
          <w:rFonts w:ascii="Times New Roman" w:hAnsi="Times New Roman" w:cs="Times New Roman"/>
          <w:sz w:val="24"/>
          <w:szCs w:val="24"/>
        </w:rPr>
        <w:t xml:space="preserve"> un 2021.</w:t>
      </w:r>
      <w:r>
        <w:rPr>
          <w:rFonts w:ascii="Times New Roman" w:hAnsi="Times New Roman" w:cs="Times New Roman"/>
          <w:sz w:val="24"/>
          <w:szCs w:val="24"/>
        </w:rPr>
        <w:t>gada fiskālajā</w:t>
      </w:r>
      <w:r w:rsidR="007F402C">
        <w:rPr>
          <w:rFonts w:ascii="Times New Roman" w:hAnsi="Times New Roman" w:cs="Times New Roman"/>
          <w:sz w:val="24"/>
          <w:szCs w:val="24"/>
        </w:rPr>
        <w:t>s</w:t>
      </w:r>
      <w:r>
        <w:rPr>
          <w:rFonts w:ascii="Times New Roman" w:hAnsi="Times New Roman" w:cs="Times New Roman"/>
          <w:sz w:val="24"/>
          <w:szCs w:val="24"/>
        </w:rPr>
        <w:t xml:space="preserve"> prognozēs un negatīvi ietekmēs  vispārējās valdības budžeta bilanci un valsts parādu</w:t>
      </w:r>
      <w:r w:rsidR="00A25179">
        <w:rPr>
          <w:rFonts w:ascii="Times New Roman" w:hAnsi="Times New Roman" w:cs="Times New Roman"/>
          <w:sz w:val="24"/>
          <w:szCs w:val="24"/>
        </w:rPr>
        <w:t xml:space="preserve"> </w:t>
      </w:r>
      <w:r w:rsidR="00B077AC">
        <w:rPr>
          <w:rFonts w:ascii="Times New Roman" w:hAnsi="Times New Roman" w:cs="Times New Roman"/>
          <w:sz w:val="24"/>
          <w:szCs w:val="24"/>
        </w:rPr>
        <w:t xml:space="preserve">vismaz </w:t>
      </w:r>
      <w:r w:rsidR="00A25179">
        <w:rPr>
          <w:rFonts w:ascii="Times New Roman" w:hAnsi="Times New Roman" w:cs="Times New Roman"/>
          <w:sz w:val="24"/>
          <w:szCs w:val="24"/>
        </w:rPr>
        <w:t>vidējā termiņā</w:t>
      </w:r>
      <w:r>
        <w:rPr>
          <w:rFonts w:ascii="Times New Roman" w:hAnsi="Times New Roman" w:cs="Times New Roman"/>
          <w:sz w:val="24"/>
          <w:szCs w:val="24"/>
        </w:rPr>
        <w:t xml:space="preserve">. </w:t>
      </w:r>
      <w:r w:rsidRPr="00835CFD">
        <w:rPr>
          <w:rFonts w:ascii="Times New Roman" w:hAnsi="Times New Roman" w:cs="Times New Roman"/>
          <w:color w:val="000000"/>
          <w:sz w:val="24"/>
          <w:szCs w:val="24"/>
        </w:rPr>
        <w:t xml:space="preserve">Fiskālo risku </w:t>
      </w:r>
      <w:r w:rsidR="0004429B">
        <w:rPr>
          <w:rFonts w:ascii="Times New Roman" w:hAnsi="Times New Roman" w:cs="Times New Roman"/>
          <w:color w:val="000000"/>
          <w:sz w:val="24"/>
          <w:szCs w:val="24"/>
        </w:rPr>
        <w:t>vadības mehānisms</w:t>
      </w:r>
      <w:r w:rsidRPr="00835CFD">
        <w:rPr>
          <w:rFonts w:ascii="Times New Roman" w:hAnsi="Times New Roman" w:cs="Times New Roman"/>
          <w:color w:val="000000"/>
          <w:sz w:val="24"/>
          <w:szCs w:val="24"/>
        </w:rPr>
        <w:t xml:space="preserve"> </w:t>
      </w:r>
      <w:r>
        <w:rPr>
          <w:rFonts w:ascii="Times New Roman" w:hAnsi="Times New Roman" w:cs="Times New Roman"/>
          <w:sz w:val="24"/>
          <w:szCs w:val="24"/>
        </w:rPr>
        <w:t>šādu</w:t>
      </w:r>
      <w:r w:rsidR="00085A25">
        <w:rPr>
          <w:rFonts w:ascii="Times New Roman" w:hAnsi="Times New Roman" w:cs="Times New Roman"/>
          <w:sz w:val="24"/>
          <w:szCs w:val="24"/>
        </w:rPr>
        <w:t xml:space="preserve"> visaptverošu un lielu makroekonomisko šoku neaptver</w:t>
      </w:r>
      <w:r>
        <w:rPr>
          <w:rFonts w:ascii="Times New Roman" w:hAnsi="Times New Roman" w:cs="Times New Roman"/>
          <w:sz w:val="24"/>
          <w:szCs w:val="24"/>
        </w:rPr>
        <w:t xml:space="preserve">. </w:t>
      </w:r>
      <w:r w:rsidR="00085A25">
        <w:rPr>
          <w:rFonts w:ascii="Times New Roman" w:hAnsi="Times New Roman" w:cs="Times New Roman"/>
          <w:color w:val="000000"/>
          <w:sz w:val="24"/>
          <w:szCs w:val="24"/>
        </w:rPr>
        <w:t>Informatīvais</w:t>
      </w:r>
      <w:r w:rsidR="0004429B">
        <w:rPr>
          <w:rFonts w:ascii="Times New Roman" w:hAnsi="Times New Roman" w:cs="Times New Roman"/>
          <w:color w:val="000000"/>
          <w:sz w:val="24"/>
          <w:szCs w:val="24"/>
        </w:rPr>
        <w:t xml:space="preserve"> ziņojums</w:t>
      </w:r>
      <w:r w:rsidR="0004429B" w:rsidRPr="00835CFD">
        <w:rPr>
          <w:rFonts w:ascii="Times New Roman" w:hAnsi="Times New Roman" w:cs="Times New Roman"/>
          <w:color w:val="000000"/>
          <w:sz w:val="24"/>
          <w:szCs w:val="24"/>
        </w:rPr>
        <w:t xml:space="preserve"> “Fiskālo risku deklarācija” (turpmāk –</w:t>
      </w:r>
      <w:r w:rsidR="0004429B">
        <w:rPr>
          <w:rFonts w:ascii="Times New Roman" w:hAnsi="Times New Roman" w:cs="Times New Roman"/>
          <w:color w:val="000000"/>
          <w:sz w:val="24"/>
          <w:szCs w:val="24"/>
        </w:rPr>
        <w:t xml:space="preserve"> </w:t>
      </w:r>
      <w:r w:rsidR="0004429B" w:rsidRPr="00BB69DC">
        <w:rPr>
          <w:rFonts w:ascii="Times New Roman" w:hAnsi="Times New Roman" w:cs="Times New Roman"/>
          <w:color w:val="000000"/>
          <w:sz w:val="24"/>
          <w:szCs w:val="24"/>
        </w:rPr>
        <w:t>deklarācija</w:t>
      </w:r>
      <w:r w:rsidR="0004429B" w:rsidRPr="00835CFD">
        <w:rPr>
          <w:rFonts w:ascii="Times New Roman" w:hAnsi="Times New Roman" w:cs="Times New Roman"/>
          <w:color w:val="000000"/>
          <w:sz w:val="24"/>
          <w:szCs w:val="24"/>
        </w:rPr>
        <w:t>)</w:t>
      </w:r>
      <w:r w:rsidR="0004429B">
        <w:rPr>
          <w:rFonts w:ascii="Times New Roman" w:hAnsi="Times New Roman" w:cs="Times New Roman"/>
          <w:sz w:val="24"/>
          <w:szCs w:val="24"/>
        </w:rPr>
        <w:t xml:space="preserve"> </w:t>
      </w:r>
      <w:r>
        <w:rPr>
          <w:rFonts w:ascii="Times New Roman" w:hAnsi="Times New Roman" w:cs="Times New Roman"/>
          <w:sz w:val="24"/>
          <w:szCs w:val="24"/>
        </w:rPr>
        <w:t>ir paredzēt</w:t>
      </w:r>
      <w:r w:rsidR="004A130B">
        <w:rPr>
          <w:rFonts w:ascii="Times New Roman" w:hAnsi="Times New Roman" w:cs="Times New Roman"/>
          <w:sz w:val="24"/>
          <w:szCs w:val="24"/>
        </w:rPr>
        <w:t>s</w:t>
      </w:r>
      <w:r>
        <w:rPr>
          <w:rFonts w:ascii="Times New Roman" w:hAnsi="Times New Roman" w:cs="Times New Roman"/>
          <w:sz w:val="24"/>
          <w:szCs w:val="24"/>
        </w:rPr>
        <w:t xml:space="preserve"> fiskālo risku identificēšan</w:t>
      </w:r>
      <w:r w:rsidR="004A130B">
        <w:rPr>
          <w:rFonts w:ascii="Times New Roman" w:hAnsi="Times New Roman" w:cs="Times New Roman"/>
          <w:sz w:val="24"/>
          <w:szCs w:val="24"/>
        </w:rPr>
        <w:t>ai</w:t>
      </w:r>
      <w:r>
        <w:rPr>
          <w:rFonts w:ascii="Times New Roman" w:hAnsi="Times New Roman" w:cs="Times New Roman"/>
          <w:sz w:val="24"/>
          <w:szCs w:val="24"/>
        </w:rPr>
        <w:t xml:space="preserve">, kas iestājas standarta situācijās. </w:t>
      </w:r>
      <w:r w:rsidRPr="001660EC">
        <w:rPr>
          <w:rFonts w:ascii="Times New Roman" w:hAnsi="Times New Roman" w:cs="Times New Roman"/>
          <w:sz w:val="24"/>
          <w:szCs w:val="24"/>
        </w:rPr>
        <w:t>C</w:t>
      </w:r>
      <w:r>
        <w:rPr>
          <w:rFonts w:ascii="Times New Roman" w:hAnsi="Times New Roman" w:cs="Times New Roman"/>
          <w:sz w:val="24"/>
          <w:szCs w:val="24"/>
        </w:rPr>
        <w:t>ovid</w:t>
      </w:r>
      <w:r w:rsidRPr="00552573">
        <w:rPr>
          <w:rFonts w:ascii="Times New Roman" w:eastAsia="Calibri" w:hAnsi="Times New Roman"/>
          <w:sz w:val="24"/>
          <w:szCs w:val="24"/>
        </w:rPr>
        <w:t>–</w:t>
      </w:r>
      <w:r w:rsidRPr="001660EC">
        <w:rPr>
          <w:rFonts w:ascii="Times New Roman" w:hAnsi="Times New Roman" w:cs="Times New Roman"/>
          <w:sz w:val="24"/>
          <w:szCs w:val="24"/>
        </w:rPr>
        <w:t xml:space="preserve">19 </w:t>
      </w:r>
      <w:r>
        <w:rPr>
          <w:rFonts w:ascii="Times New Roman" w:hAnsi="Times New Roman" w:cs="Times New Roman"/>
          <w:sz w:val="24"/>
          <w:szCs w:val="24"/>
        </w:rPr>
        <w:t>nav uzskatāma par standarta situāciju un fiskālo rīcību šādos apstākļos nav iespējams un nav nepieciešams formalizēt. Tāpat, nebūtu pamata katru gadu veidot fiskālā nodrošinājuma rezervi, lai ilgtermiņā amortizētu šādu ārkārtas situācijas izraisītu fiskālo šoku. Šāda mēroga šoku amortizācija ir pēc</w:t>
      </w:r>
      <w:r w:rsidR="00795217">
        <w:rPr>
          <w:rFonts w:ascii="Times New Roman" w:hAnsi="Times New Roman" w:cs="Times New Roman"/>
          <w:sz w:val="24"/>
          <w:szCs w:val="24"/>
        </w:rPr>
        <w:t xml:space="preserve"> </w:t>
      </w:r>
      <w:r>
        <w:rPr>
          <w:rFonts w:ascii="Times New Roman" w:hAnsi="Times New Roman" w:cs="Times New Roman"/>
          <w:sz w:val="24"/>
          <w:szCs w:val="24"/>
        </w:rPr>
        <w:t xml:space="preserve">krīzes atbildīgas fiskālās politikas jautājums un to ņem vērā izvēloties deficīta un valsts parāda samazināšanas trajektorijas. Deklarācijas mērķis ir mazināt negatīvās novirzes no fiskālajiem rādītājiem pēc tam, kad attiecīgā gada fiskālie rādītāji ir noteikti </w:t>
      </w:r>
      <w:r w:rsidR="00A25179">
        <w:rPr>
          <w:rFonts w:ascii="Times New Roman" w:hAnsi="Times New Roman" w:cs="Times New Roman"/>
          <w:color w:val="000000"/>
          <w:sz w:val="24"/>
          <w:szCs w:val="24"/>
        </w:rPr>
        <w:t>v</w:t>
      </w:r>
      <w:r w:rsidRPr="00835CFD">
        <w:rPr>
          <w:rFonts w:ascii="Times New Roman" w:hAnsi="Times New Roman" w:cs="Times New Roman"/>
          <w:color w:val="000000"/>
          <w:sz w:val="24"/>
          <w:szCs w:val="24"/>
        </w:rPr>
        <w:t xml:space="preserve">idēja termiņa budžeta ietvara likumā (turpmāk – </w:t>
      </w:r>
      <w:r w:rsidRPr="00AC0F45">
        <w:rPr>
          <w:rFonts w:ascii="Times New Roman" w:hAnsi="Times New Roman" w:cs="Times New Roman"/>
          <w:color w:val="000000"/>
          <w:sz w:val="24"/>
          <w:szCs w:val="24"/>
        </w:rPr>
        <w:t>VTBIL</w:t>
      </w:r>
      <w:r w:rsidRPr="00835CFD">
        <w:rPr>
          <w:rFonts w:ascii="Times New Roman" w:hAnsi="Times New Roman" w:cs="Times New Roman"/>
          <w:color w:val="000000"/>
          <w:sz w:val="24"/>
          <w:szCs w:val="24"/>
        </w:rPr>
        <w:t>)</w:t>
      </w:r>
      <w:r>
        <w:rPr>
          <w:rFonts w:ascii="Times New Roman" w:hAnsi="Times New Roman" w:cs="Times New Roman"/>
          <w:sz w:val="24"/>
          <w:szCs w:val="24"/>
        </w:rPr>
        <w:t xml:space="preserve">, tāpēc </w:t>
      </w:r>
      <w:r w:rsidRPr="001660EC">
        <w:rPr>
          <w:rFonts w:ascii="Times New Roman" w:hAnsi="Times New Roman" w:cs="Times New Roman"/>
          <w:sz w:val="24"/>
          <w:szCs w:val="24"/>
        </w:rPr>
        <w:t>C</w:t>
      </w:r>
      <w:r>
        <w:rPr>
          <w:rFonts w:ascii="Times New Roman" w:hAnsi="Times New Roman" w:cs="Times New Roman"/>
          <w:sz w:val="24"/>
          <w:szCs w:val="24"/>
        </w:rPr>
        <w:t>ovid</w:t>
      </w:r>
      <w:r w:rsidRPr="00552573">
        <w:rPr>
          <w:rFonts w:ascii="Times New Roman" w:eastAsia="Calibri" w:hAnsi="Times New Roman"/>
          <w:sz w:val="24"/>
          <w:szCs w:val="24"/>
        </w:rPr>
        <w:t>–</w:t>
      </w:r>
      <w:r w:rsidRPr="001660EC">
        <w:rPr>
          <w:rFonts w:ascii="Times New Roman" w:hAnsi="Times New Roman" w:cs="Times New Roman"/>
          <w:sz w:val="24"/>
          <w:szCs w:val="24"/>
        </w:rPr>
        <w:t xml:space="preserve">19 </w:t>
      </w:r>
      <w:r>
        <w:rPr>
          <w:rFonts w:ascii="Times New Roman" w:hAnsi="Times New Roman" w:cs="Times New Roman"/>
          <w:sz w:val="24"/>
          <w:szCs w:val="24"/>
        </w:rPr>
        <w:t xml:space="preserve">pandēmijas izraisītā ietekme nav tieši skarta šajā deklarācijā. Netieši </w:t>
      </w:r>
      <w:r w:rsidRPr="001660EC">
        <w:rPr>
          <w:rFonts w:ascii="Times New Roman" w:hAnsi="Times New Roman" w:cs="Times New Roman"/>
          <w:sz w:val="24"/>
          <w:szCs w:val="24"/>
        </w:rPr>
        <w:t>C</w:t>
      </w:r>
      <w:r>
        <w:rPr>
          <w:rFonts w:ascii="Times New Roman" w:hAnsi="Times New Roman" w:cs="Times New Roman"/>
          <w:sz w:val="24"/>
          <w:szCs w:val="24"/>
        </w:rPr>
        <w:t>ovid</w:t>
      </w:r>
      <w:r w:rsidRPr="00552573">
        <w:rPr>
          <w:rFonts w:ascii="Times New Roman" w:eastAsia="Calibri" w:hAnsi="Times New Roman"/>
          <w:sz w:val="24"/>
          <w:szCs w:val="24"/>
        </w:rPr>
        <w:t>–</w:t>
      </w:r>
      <w:r w:rsidRPr="001660EC">
        <w:rPr>
          <w:rFonts w:ascii="Times New Roman" w:hAnsi="Times New Roman" w:cs="Times New Roman"/>
          <w:sz w:val="24"/>
          <w:szCs w:val="24"/>
        </w:rPr>
        <w:t xml:space="preserve">19 </w:t>
      </w:r>
      <w:r>
        <w:rPr>
          <w:rFonts w:ascii="Times New Roman" w:hAnsi="Times New Roman" w:cs="Times New Roman"/>
          <w:sz w:val="24"/>
          <w:szCs w:val="24"/>
        </w:rPr>
        <w:t>ir skarta tik lielā mērā, cik tā ietekmē citu fiskālo risku vadības jautājumus.</w:t>
      </w:r>
    </w:p>
    <w:p w14:paraId="7F4B7B2A" w14:textId="6A06FFD3" w:rsidR="00B205AA" w:rsidRPr="00835CFD" w:rsidRDefault="00B205AA" w:rsidP="00B205AA">
      <w:pPr>
        <w:spacing w:after="0" w:line="240" w:lineRule="auto"/>
        <w:ind w:firstLine="720"/>
        <w:jc w:val="both"/>
        <w:rPr>
          <w:rFonts w:ascii="Times New Roman" w:hAnsi="Times New Roman" w:cs="Times New Roman"/>
          <w:color w:val="000000"/>
          <w:sz w:val="24"/>
          <w:szCs w:val="24"/>
        </w:rPr>
      </w:pPr>
      <w:r w:rsidRPr="00835CFD">
        <w:rPr>
          <w:rFonts w:ascii="Times New Roman" w:hAnsi="Times New Roman" w:cs="Times New Roman"/>
          <w:sz w:val="24"/>
          <w:szCs w:val="24"/>
        </w:rPr>
        <w:t xml:space="preserve">Fiskālos riskus var definēt kā varbūtību, ka fiskālie </w:t>
      </w:r>
      <w:r w:rsidR="005232A4" w:rsidRPr="00835CFD">
        <w:rPr>
          <w:rFonts w:ascii="Times New Roman" w:hAnsi="Times New Roman" w:cs="Times New Roman"/>
          <w:sz w:val="24"/>
          <w:szCs w:val="24"/>
        </w:rPr>
        <w:t xml:space="preserve">rādītāji </w:t>
      </w:r>
      <w:r w:rsidRPr="00835CFD">
        <w:rPr>
          <w:rFonts w:ascii="Times New Roman" w:hAnsi="Times New Roman" w:cs="Times New Roman"/>
          <w:sz w:val="24"/>
          <w:szCs w:val="24"/>
        </w:rPr>
        <w:t>novirzās no prognozētaj</w:t>
      </w:r>
      <w:r w:rsidR="005232A4" w:rsidRPr="00835CFD">
        <w:rPr>
          <w:rFonts w:ascii="Times New Roman" w:hAnsi="Times New Roman" w:cs="Times New Roman"/>
          <w:sz w:val="24"/>
          <w:szCs w:val="24"/>
        </w:rPr>
        <w:t>ām</w:t>
      </w:r>
      <w:r w:rsidRPr="00835CFD">
        <w:rPr>
          <w:rFonts w:ascii="Times New Roman" w:hAnsi="Times New Roman" w:cs="Times New Roman"/>
          <w:sz w:val="24"/>
          <w:szCs w:val="24"/>
        </w:rPr>
        <w:t xml:space="preserve"> </w:t>
      </w:r>
      <w:r w:rsidR="005232A4" w:rsidRPr="00835CFD">
        <w:rPr>
          <w:rFonts w:ascii="Times New Roman" w:hAnsi="Times New Roman" w:cs="Times New Roman"/>
          <w:sz w:val="24"/>
          <w:szCs w:val="24"/>
        </w:rPr>
        <w:t>vērtībām</w:t>
      </w:r>
      <w:r w:rsidRPr="00835CFD">
        <w:rPr>
          <w:rFonts w:ascii="Times New Roman" w:hAnsi="Times New Roman" w:cs="Times New Roman"/>
          <w:sz w:val="24"/>
          <w:szCs w:val="24"/>
        </w:rPr>
        <w:t xml:space="preserve">. </w:t>
      </w:r>
      <w:r w:rsidRPr="00835CFD">
        <w:rPr>
          <w:rFonts w:ascii="Times New Roman" w:hAnsi="Times New Roman" w:cs="Times New Roman"/>
          <w:color w:val="000000"/>
          <w:sz w:val="24"/>
          <w:szCs w:val="24"/>
        </w:rPr>
        <w:t xml:space="preserve">Fiskālo risku laicīga apzināšana ļauj valsts pārvaldei īstenot tādu budžeta politiku un pasākumus, lai ierobežotu finanšu problēmu veidošanos, jo nesavlaicīga fiskālo risku apzināšana un to novēršanas plāna neesamība var izraisīt papildu valdības finansiālas saistības, finansēšanas nepieciešamības pieaugumu, valsts parāda būtisku pieaugumu, valsts parāda pārfinansēšanas risku un pat finanšu krīzi. </w:t>
      </w:r>
    </w:p>
    <w:p w14:paraId="0DC10315" w14:textId="77777777" w:rsidR="00B205AA" w:rsidRPr="00835CFD" w:rsidRDefault="00B205AA" w:rsidP="00B205AA">
      <w:pPr>
        <w:spacing w:after="0" w:line="240" w:lineRule="auto"/>
        <w:ind w:firstLine="720"/>
        <w:jc w:val="both"/>
        <w:rPr>
          <w:rFonts w:ascii="Times New Roman" w:hAnsi="Times New Roman" w:cs="Times New Roman"/>
          <w:color w:val="000000"/>
          <w:sz w:val="24"/>
          <w:szCs w:val="24"/>
        </w:rPr>
      </w:pPr>
      <w:r w:rsidRPr="00835CFD">
        <w:rPr>
          <w:rFonts w:ascii="Times New Roman" w:hAnsi="Times New Roman" w:cs="Times New Roman"/>
          <w:color w:val="000000"/>
          <w:sz w:val="24"/>
          <w:szCs w:val="24"/>
        </w:rPr>
        <w:t xml:space="preserve">Fiskālo risku vadība tika izveidota ar mērķi nodrošināt fiskālo rādītāju (prognozētais iekšzemes kopprodukts (turpmāk – </w:t>
      </w:r>
      <w:r w:rsidRPr="00AC0F45">
        <w:rPr>
          <w:rFonts w:ascii="Times New Roman" w:hAnsi="Times New Roman" w:cs="Times New Roman"/>
          <w:color w:val="000000"/>
          <w:sz w:val="24"/>
          <w:szCs w:val="24"/>
        </w:rPr>
        <w:t>IKP</w:t>
      </w:r>
      <w:r w:rsidRPr="00835CFD">
        <w:rPr>
          <w:rFonts w:ascii="Times New Roman" w:hAnsi="Times New Roman" w:cs="Times New Roman"/>
          <w:color w:val="000000"/>
          <w:sz w:val="24"/>
          <w:szCs w:val="24"/>
        </w:rPr>
        <w:t>), plānotā vispārējās valdības budžeta strukturālā bilance, plānotā vispārējās valdības budžeta bilance, prognozētie valsts budžeta ieņēmumi un koriģētie maksimāli pieļaujamie valsts budžeta izdevu</w:t>
      </w:r>
      <w:r w:rsidR="00974C98" w:rsidRPr="00835CFD">
        <w:rPr>
          <w:rFonts w:ascii="Times New Roman" w:hAnsi="Times New Roman" w:cs="Times New Roman"/>
          <w:color w:val="000000"/>
          <w:sz w:val="24"/>
          <w:szCs w:val="24"/>
        </w:rPr>
        <w:t>mi) stabilitāti vidējā termiņā.</w:t>
      </w:r>
      <w:r w:rsidRPr="00835CFD">
        <w:rPr>
          <w:rFonts w:ascii="Times New Roman" w:hAnsi="Times New Roman" w:cs="Times New Roman"/>
          <w:color w:val="000000"/>
          <w:sz w:val="24"/>
          <w:szCs w:val="24"/>
        </w:rPr>
        <w:t xml:space="preserve"> </w:t>
      </w:r>
      <w:r w:rsidR="005232A4" w:rsidRPr="00835CFD">
        <w:rPr>
          <w:rFonts w:ascii="Times New Roman" w:hAnsi="Times New Roman" w:cs="Times New Roman"/>
          <w:color w:val="000000"/>
          <w:sz w:val="24"/>
          <w:szCs w:val="24"/>
        </w:rPr>
        <w:t>F</w:t>
      </w:r>
      <w:r w:rsidRPr="00835CFD">
        <w:rPr>
          <w:rFonts w:ascii="Times New Roman" w:hAnsi="Times New Roman" w:cs="Times New Roman"/>
          <w:color w:val="000000"/>
          <w:sz w:val="24"/>
          <w:szCs w:val="24"/>
        </w:rPr>
        <w:t>iskālo risku vispārējās vadības mehānisms ir procedūru kopums, kas ietver ikgadēju fiskālo risku identificēšanu, to iestāšanās varbūtības un fiskālās ietekmes novērtēšanu, kā arī fiskālo risku novēršanai vai mazināšanai nepieciešamo pasākumu izstrādi (detalizētāk skatīt 1.sadaļu “Fiskālo risku vispārējā vadība”).</w:t>
      </w:r>
    </w:p>
    <w:p w14:paraId="409FE3D1" w14:textId="77777777" w:rsidR="00B205AA" w:rsidRPr="00835CFD" w:rsidRDefault="00B205AA" w:rsidP="00B205AA">
      <w:pPr>
        <w:spacing w:after="0" w:line="240" w:lineRule="auto"/>
        <w:ind w:firstLine="720"/>
        <w:jc w:val="both"/>
        <w:rPr>
          <w:rFonts w:ascii="Times New Roman" w:hAnsi="Times New Roman" w:cs="Times New Roman"/>
          <w:color w:val="000000"/>
          <w:sz w:val="24"/>
          <w:szCs w:val="24"/>
        </w:rPr>
      </w:pPr>
      <w:r w:rsidRPr="00835CFD">
        <w:rPr>
          <w:rFonts w:ascii="Times New Roman" w:hAnsi="Times New Roman" w:cs="Times New Roman"/>
          <w:color w:val="000000"/>
          <w:sz w:val="24"/>
          <w:szCs w:val="24"/>
        </w:rPr>
        <w:t xml:space="preserve">Atbilstoši fiskālo risku klasifikācijai (detalizētāk skatīt 1.sadaļu “Fiskālo risku vispārējā vadība”) fiskālie riski tiek iedalīti divās grupās – kvantificējamie fiskālie riski un nekvantificējamie fiskālie riski – un attiecīgi to izklāsts ir iekļauts 2. un 3.sadaļā. Fiskālie riski tiek vērtēti kvalitatīvi, un, kur tas iespējams, arī kvantitatīvi. </w:t>
      </w:r>
    </w:p>
    <w:p w14:paraId="50F3A2B0" w14:textId="77777777" w:rsidR="00B205AA" w:rsidRPr="00835CFD" w:rsidRDefault="00B205AA" w:rsidP="00B205AA">
      <w:pPr>
        <w:spacing w:after="0" w:line="240" w:lineRule="auto"/>
        <w:ind w:firstLine="720"/>
        <w:jc w:val="both"/>
        <w:rPr>
          <w:rFonts w:ascii="Times New Roman" w:hAnsi="Times New Roman" w:cs="Times New Roman"/>
          <w:color w:val="000000"/>
          <w:sz w:val="24"/>
          <w:szCs w:val="24"/>
        </w:rPr>
      </w:pPr>
      <w:r w:rsidRPr="00835CFD">
        <w:rPr>
          <w:rFonts w:ascii="Times New Roman" w:hAnsi="Times New Roman" w:cs="Times New Roman"/>
          <w:bCs/>
          <w:sz w:val="24"/>
          <w:szCs w:val="24"/>
        </w:rPr>
        <w:t xml:space="preserve">Lai vērtētu fiskālo risku vadības sistēmas efektivitāti, </w:t>
      </w:r>
      <w:r w:rsidRPr="00835CFD">
        <w:rPr>
          <w:rFonts w:ascii="Times New Roman" w:hAnsi="Times New Roman" w:cs="Times New Roman"/>
          <w:color w:val="000000"/>
          <w:sz w:val="24"/>
          <w:szCs w:val="24"/>
        </w:rPr>
        <w:t xml:space="preserve">4.sadaļā tiek aplūkots </w:t>
      </w:r>
      <w:r w:rsidRPr="00835CFD">
        <w:rPr>
          <w:rFonts w:ascii="Times New Roman" w:hAnsi="Times New Roman" w:cs="Times New Roman"/>
          <w:bCs/>
          <w:sz w:val="24"/>
          <w:szCs w:val="24"/>
        </w:rPr>
        <w:t xml:space="preserve">fiskālo rādītāju (vispārējās valdības budžeta strukturālā bilance un vispārējās valdības budžeta bilance) </w:t>
      </w:r>
      <w:r w:rsidR="00974C98" w:rsidRPr="00835CFD">
        <w:rPr>
          <w:rFonts w:ascii="Times New Roman" w:hAnsi="Times New Roman" w:cs="Times New Roman"/>
          <w:bCs/>
          <w:sz w:val="24"/>
          <w:szCs w:val="24"/>
        </w:rPr>
        <w:t>faktiskās izpildes</w:t>
      </w:r>
      <w:r w:rsidRPr="00835CFD">
        <w:rPr>
          <w:rFonts w:ascii="Times New Roman" w:hAnsi="Times New Roman" w:cs="Times New Roman"/>
          <w:bCs/>
          <w:sz w:val="24"/>
          <w:szCs w:val="24"/>
        </w:rPr>
        <w:t xml:space="preserve"> un prognožu salīdzinājums. </w:t>
      </w:r>
    </w:p>
    <w:p w14:paraId="2DB52B01" w14:textId="199394D7" w:rsidR="00B205AA" w:rsidRPr="00835CFD" w:rsidRDefault="00B205AA" w:rsidP="00B205AA">
      <w:pPr>
        <w:spacing w:after="0" w:line="240" w:lineRule="auto"/>
        <w:ind w:firstLine="720"/>
        <w:jc w:val="both"/>
        <w:rPr>
          <w:rFonts w:ascii="Times New Roman" w:hAnsi="Times New Roman" w:cs="Times New Roman"/>
          <w:color w:val="000000"/>
          <w:sz w:val="24"/>
          <w:szCs w:val="24"/>
        </w:rPr>
      </w:pPr>
      <w:r w:rsidRPr="00835CFD">
        <w:rPr>
          <w:rFonts w:ascii="Times New Roman" w:hAnsi="Times New Roman" w:cs="Times New Roman"/>
          <w:color w:val="000000"/>
          <w:sz w:val="24"/>
          <w:szCs w:val="24"/>
        </w:rPr>
        <w:t xml:space="preserve">Fiskālo risku vispārējās vadības kvantitatīvais rezultāts ir fiskālā nodrošinājuma rezerve (detalizētāk skatīt 5.sadaļu “Fiskālā nodrošinājuma rezerves aprēķins”), kuras mērķis ir nodrošināt </w:t>
      </w:r>
      <w:r w:rsidR="00630E31">
        <w:rPr>
          <w:rFonts w:ascii="Times New Roman" w:hAnsi="Times New Roman" w:cs="Times New Roman"/>
          <w:color w:val="000000"/>
          <w:sz w:val="24"/>
          <w:szCs w:val="24"/>
        </w:rPr>
        <w:t>VTBIL</w:t>
      </w:r>
      <w:r w:rsidRPr="00835CFD">
        <w:rPr>
          <w:rFonts w:ascii="Times New Roman" w:hAnsi="Times New Roman" w:cs="Times New Roman"/>
          <w:color w:val="000000"/>
          <w:sz w:val="24"/>
          <w:szCs w:val="24"/>
        </w:rPr>
        <w:t xml:space="preserve"> attiecīgajam gadam noteikto vispārējās valdības budžeta bilances plānoto līmeni nelielu makroekonomisko svārstību gadījumā un fiskālo risku izraisīto izdevumu segšanas gadījumā.</w:t>
      </w:r>
    </w:p>
    <w:p w14:paraId="1A3FA2E0" w14:textId="5A53550F" w:rsidR="00B205AA" w:rsidRPr="00835CFD" w:rsidDel="001D2FBC" w:rsidRDefault="00B205AA" w:rsidP="00B205AA">
      <w:pPr>
        <w:spacing w:after="0" w:line="240" w:lineRule="auto"/>
        <w:ind w:firstLine="720"/>
        <w:jc w:val="both"/>
        <w:rPr>
          <w:rFonts w:ascii="Times New Roman" w:hAnsi="Times New Roman" w:cs="Times New Roman"/>
          <w:color w:val="000000"/>
          <w:sz w:val="24"/>
          <w:szCs w:val="24"/>
        </w:rPr>
      </w:pPr>
      <w:r w:rsidRPr="00835CFD" w:rsidDel="001D2FBC">
        <w:rPr>
          <w:rFonts w:ascii="Times New Roman" w:hAnsi="Times New Roman" w:cs="Times New Roman"/>
          <w:color w:val="000000"/>
          <w:sz w:val="24"/>
          <w:szCs w:val="24"/>
        </w:rPr>
        <w:t xml:space="preserve">Atbilstoši </w:t>
      </w:r>
      <w:r w:rsidRPr="00835CFD">
        <w:rPr>
          <w:rFonts w:ascii="Times New Roman" w:hAnsi="Times New Roman" w:cs="Times New Roman"/>
          <w:color w:val="000000"/>
          <w:sz w:val="24"/>
          <w:szCs w:val="24"/>
        </w:rPr>
        <w:t xml:space="preserve">Fiskālās disciplīnas likuma (turpmāk – </w:t>
      </w:r>
      <w:r w:rsidRPr="001C3B62" w:rsidDel="001D2FBC">
        <w:rPr>
          <w:rFonts w:ascii="Times New Roman" w:hAnsi="Times New Roman" w:cs="Times New Roman"/>
          <w:color w:val="000000"/>
          <w:sz w:val="24"/>
          <w:szCs w:val="24"/>
        </w:rPr>
        <w:t>FDL</w:t>
      </w:r>
      <w:r w:rsidRPr="00835CFD">
        <w:rPr>
          <w:rFonts w:ascii="Times New Roman" w:hAnsi="Times New Roman" w:cs="Times New Roman"/>
          <w:color w:val="000000"/>
          <w:sz w:val="24"/>
          <w:szCs w:val="24"/>
        </w:rPr>
        <w:t>)</w:t>
      </w:r>
      <w:r w:rsidRPr="00835CFD" w:rsidDel="001D2FBC">
        <w:rPr>
          <w:rFonts w:ascii="Times New Roman" w:hAnsi="Times New Roman" w:cs="Times New Roman"/>
          <w:color w:val="000000"/>
          <w:sz w:val="24"/>
          <w:szCs w:val="24"/>
        </w:rPr>
        <w:t xml:space="preserve"> regulējumam, sagatavojot </w:t>
      </w:r>
      <w:r w:rsidR="00E950D6">
        <w:rPr>
          <w:rFonts w:ascii="Times New Roman" w:hAnsi="Times New Roman" w:cs="Times New Roman"/>
          <w:color w:val="000000"/>
          <w:sz w:val="24"/>
          <w:szCs w:val="24"/>
        </w:rPr>
        <w:t>VTBIL</w:t>
      </w:r>
      <w:r w:rsidRPr="00835CFD" w:rsidDel="001D2FBC">
        <w:rPr>
          <w:rFonts w:ascii="Times New Roman" w:hAnsi="Times New Roman" w:cs="Times New Roman"/>
          <w:color w:val="000000"/>
          <w:sz w:val="24"/>
          <w:szCs w:val="24"/>
        </w:rPr>
        <w:t xml:space="preserve"> projektu, tiek aprēķināti koriģētie maksimāli pieļaujamie valsts budžeta izdevumi, kas savukārt tiek samazināti par fiskālā nodrošinājuma rezerves apmēru, kad tiek noteikts maksimāli pieļaujamais</w:t>
      </w:r>
      <w:r w:rsidR="006551E7" w:rsidRPr="00835CFD">
        <w:rPr>
          <w:rFonts w:ascii="Times New Roman" w:hAnsi="Times New Roman" w:cs="Times New Roman"/>
          <w:color w:val="000000"/>
          <w:sz w:val="24"/>
          <w:szCs w:val="24"/>
        </w:rPr>
        <w:t xml:space="preserve"> centrālās valdības budžeta</w:t>
      </w:r>
      <w:r w:rsidRPr="00835CFD" w:rsidDel="001D2FBC">
        <w:rPr>
          <w:rFonts w:ascii="Times New Roman" w:hAnsi="Times New Roman" w:cs="Times New Roman"/>
          <w:color w:val="000000"/>
          <w:sz w:val="24"/>
          <w:szCs w:val="24"/>
        </w:rPr>
        <w:t xml:space="preserve"> izdevumu līmenis, kuru izmanto, sagatavojot gadskārtējo valsts budžeta likumprojektu. Tādā veidā tiek nodrošināts </w:t>
      </w:r>
      <w:r w:rsidRPr="00835CFD">
        <w:rPr>
          <w:rFonts w:ascii="Times New Roman" w:hAnsi="Times New Roman" w:cs="Times New Roman"/>
          <w:color w:val="000000"/>
          <w:sz w:val="24"/>
          <w:szCs w:val="24"/>
        </w:rPr>
        <w:t>“drošības spilvens”</w:t>
      </w:r>
      <w:r w:rsidRPr="00835CFD" w:rsidDel="001D2FBC">
        <w:rPr>
          <w:rFonts w:ascii="Times New Roman" w:hAnsi="Times New Roman" w:cs="Times New Roman"/>
          <w:color w:val="000000"/>
          <w:sz w:val="24"/>
          <w:szCs w:val="24"/>
        </w:rPr>
        <w:t xml:space="preserve">, ja makroekonomiskie un fiskālie rādītāji </w:t>
      </w:r>
      <w:r w:rsidRPr="00835CFD">
        <w:rPr>
          <w:rFonts w:ascii="Times New Roman" w:hAnsi="Times New Roman" w:cs="Times New Roman"/>
          <w:color w:val="000000"/>
          <w:sz w:val="24"/>
          <w:szCs w:val="24"/>
        </w:rPr>
        <w:t>novirzās</w:t>
      </w:r>
      <w:r w:rsidRPr="00835CFD" w:rsidDel="001D2FBC">
        <w:rPr>
          <w:rFonts w:ascii="Times New Roman" w:hAnsi="Times New Roman" w:cs="Times New Roman"/>
          <w:color w:val="000000"/>
          <w:sz w:val="24"/>
          <w:szCs w:val="24"/>
        </w:rPr>
        <w:t xml:space="preserve"> no to plānotajām vērtībām.</w:t>
      </w:r>
    </w:p>
    <w:p w14:paraId="1658393A" w14:textId="248858CA" w:rsidR="00B205AA" w:rsidRDefault="00E950D6" w:rsidP="00B205AA">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VTBIL</w:t>
      </w:r>
      <w:r w:rsidR="00B205AA" w:rsidRPr="00835CFD">
        <w:rPr>
          <w:rFonts w:ascii="Times New Roman" w:hAnsi="Times New Roman" w:cs="Times New Roman"/>
          <w:color w:val="000000"/>
          <w:sz w:val="24"/>
          <w:szCs w:val="24"/>
        </w:rPr>
        <w:t xml:space="preserve"> projektā noteikto fiskālo rādītāju stabilitātes nodrošināšanai nepieciešamie pasākumi tiek noteikti </w:t>
      </w:r>
      <w:r w:rsidR="00556D1F">
        <w:rPr>
          <w:rFonts w:ascii="Times New Roman" w:hAnsi="Times New Roman" w:cs="Times New Roman"/>
          <w:color w:val="000000"/>
          <w:sz w:val="24"/>
          <w:szCs w:val="24"/>
        </w:rPr>
        <w:t>deklarācijā</w:t>
      </w:r>
      <w:r w:rsidR="00852E10" w:rsidRPr="00835CFD">
        <w:rPr>
          <w:rFonts w:ascii="Times New Roman" w:hAnsi="Times New Roman" w:cs="Times New Roman"/>
          <w:color w:val="000000"/>
          <w:sz w:val="24"/>
          <w:szCs w:val="24"/>
        </w:rPr>
        <w:t>.</w:t>
      </w:r>
    </w:p>
    <w:p w14:paraId="00A92D86" w14:textId="6818725B" w:rsidR="005325D9" w:rsidRPr="00835CFD" w:rsidRDefault="003D61FC" w:rsidP="00B205AA">
      <w:pPr>
        <w:spacing w:after="0" w:line="240" w:lineRule="auto"/>
        <w:ind w:firstLine="720"/>
        <w:jc w:val="both"/>
        <w:rPr>
          <w:rFonts w:ascii="Times New Roman" w:hAnsi="Times New Roman"/>
          <w:strike/>
          <w:sz w:val="24"/>
          <w:szCs w:val="24"/>
        </w:rPr>
      </w:pPr>
      <w:r>
        <w:rPr>
          <w:rFonts w:ascii="Times New Roman" w:hAnsi="Times New Roman" w:cs="Times New Roman"/>
          <w:color w:val="000000"/>
          <w:sz w:val="24"/>
          <w:szCs w:val="24"/>
        </w:rPr>
        <w:t xml:space="preserve">Izstrādājot </w:t>
      </w:r>
      <w:r w:rsidR="005325D9" w:rsidRPr="00835CFD">
        <w:rPr>
          <w:rFonts w:ascii="Times New Roman" w:hAnsi="Times New Roman" w:cs="Times New Roman"/>
          <w:color w:val="000000"/>
          <w:sz w:val="24"/>
          <w:szCs w:val="24"/>
        </w:rPr>
        <w:t>deklarācij</w:t>
      </w:r>
      <w:r>
        <w:rPr>
          <w:rFonts w:ascii="Times New Roman" w:hAnsi="Times New Roman" w:cs="Times New Roman"/>
          <w:color w:val="000000"/>
          <w:sz w:val="24"/>
          <w:szCs w:val="24"/>
        </w:rPr>
        <w:t xml:space="preserve">u, </w:t>
      </w:r>
      <w:r w:rsidR="005325D9">
        <w:rPr>
          <w:rFonts w:ascii="Times New Roman" w:hAnsi="Times New Roman" w:cs="Times New Roman"/>
          <w:color w:val="000000"/>
          <w:sz w:val="24"/>
          <w:szCs w:val="24"/>
        </w:rPr>
        <w:t xml:space="preserve">tiek </w:t>
      </w:r>
      <w:r w:rsidR="005325D9" w:rsidRPr="00D75116">
        <w:rPr>
          <w:rFonts w:ascii="Times New Roman" w:hAnsi="Times New Roman" w:cs="Times New Roman"/>
          <w:color w:val="000000"/>
          <w:sz w:val="24"/>
          <w:szCs w:val="24"/>
        </w:rPr>
        <w:t>ņemtas vērā un i</w:t>
      </w:r>
      <w:r w:rsidRPr="00D75116">
        <w:rPr>
          <w:rFonts w:ascii="Times New Roman" w:hAnsi="Times New Roman" w:cs="Times New Roman"/>
          <w:color w:val="000000"/>
          <w:sz w:val="24"/>
          <w:szCs w:val="24"/>
        </w:rPr>
        <w:t>ntegrētas</w:t>
      </w:r>
      <w:r w:rsidR="005325D9" w:rsidRPr="00D75116">
        <w:rPr>
          <w:rFonts w:ascii="Times New Roman" w:hAnsi="Times New Roman" w:cs="Times New Roman"/>
          <w:color w:val="000000"/>
          <w:sz w:val="24"/>
          <w:szCs w:val="24"/>
        </w:rPr>
        <w:t xml:space="preserve"> Fiskālās disciplīnas padomes rekomendācijas attiecībā uz fiskālo risku ietvaru.</w:t>
      </w:r>
    </w:p>
    <w:p w14:paraId="51983558" w14:textId="77777777" w:rsidR="00B95E92" w:rsidRPr="002467D7" w:rsidRDefault="00B95E92" w:rsidP="00191E2E">
      <w:pPr>
        <w:pStyle w:val="Heading1"/>
        <w:spacing w:before="0" w:after="0" w:line="240" w:lineRule="auto"/>
        <w:ind w:left="0" w:hanging="6"/>
        <w:jc w:val="center"/>
        <w:rPr>
          <w:rFonts w:ascii="Times New Roman" w:hAnsi="Times New Roman"/>
          <w:b w:val="0"/>
          <w:sz w:val="28"/>
          <w:szCs w:val="28"/>
        </w:rPr>
      </w:pPr>
      <w:r w:rsidRPr="00835CFD">
        <w:rPr>
          <w:rFonts w:ascii="Times New Roman" w:hAnsi="Times New Roman" w:cs="Times New Roman"/>
          <w:sz w:val="32"/>
        </w:rPr>
        <w:br w:type="page"/>
      </w:r>
      <w:bookmarkStart w:id="3" w:name="_Toc405371070"/>
      <w:bookmarkStart w:id="4" w:name="_Toc536779055"/>
      <w:bookmarkStart w:id="5" w:name="_Toc80111845"/>
      <w:r w:rsidRPr="002467D7">
        <w:rPr>
          <w:rFonts w:ascii="Times New Roman" w:hAnsi="Times New Roman" w:cs="Times New Roman"/>
          <w:sz w:val="32"/>
        </w:rPr>
        <w:lastRenderedPageBreak/>
        <w:t>Fiskālo risku vispārējā vadība</w:t>
      </w:r>
      <w:bookmarkEnd w:id="3"/>
      <w:bookmarkEnd w:id="4"/>
      <w:bookmarkEnd w:id="5"/>
    </w:p>
    <w:p w14:paraId="5743518D" w14:textId="77777777" w:rsidR="00B95E92" w:rsidRPr="002467D7" w:rsidRDefault="00B95E92" w:rsidP="00191E2E">
      <w:pPr>
        <w:pStyle w:val="Heading2"/>
        <w:numPr>
          <w:ilvl w:val="1"/>
          <w:numId w:val="3"/>
        </w:numPr>
        <w:spacing w:before="120" w:after="120" w:line="240" w:lineRule="auto"/>
        <w:ind w:left="0" w:hanging="6"/>
        <w:jc w:val="center"/>
        <w:rPr>
          <w:rFonts w:ascii="Times New Roman" w:hAnsi="Times New Roman" w:cs="Times New Roman"/>
          <w:color w:val="auto"/>
          <w:sz w:val="24"/>
          <w:szCs w:val="24"/>
        </w:rPr>
      </w:pPr>
      <w:bookmarkStart w:id="6" w:name="_Toc405371071"/>
      <w:bookmarkStart w:id="7" w:name="_Toc536779056"/>
      <w:bookmarkStart w:id="8" w:name="_Toc80111846"/>
      <w:r w:rsidRPr="002467D7">
        <w:rPr>
          <w:rFonts w:ascii="Times New Roman" w:hAnsi="Times New Roman" w:cs="Times New Roman"/>
          <w:color w:val="auto"/>
          <w:sz w:val="24"/>
          <w:szCs w:val="24"/>
        </w:rPr>
        <w:t>Fiskālo risku vispārējās vadības mehānisms</w:t>
      </w:r>
      <w:bookmarkEnd w:id="6"/>
      <w:bookmarkEnd w:id="7"/>
      <w:bookmarkEnd w:id="8"/>
    </w:p>
    <w:p w14:paraId="4C9C6D3B" w14:textId="44814144" w:rsidR="00481389" w:rsidRPr="002467D7" w:rsidRDefault="00481389" w:rsidP="00E3792D">
      <w:pPr>
        <w:spacing w:after="0" w:line="240" w:lineRule="auto"/>
        <w:ind w:firstLine="720"/>
        <w:jc w:val="both"/>
        <w:rPr>
          <w:rFonts w:ascii="Times New Roman" w:hAnsi="Times New Roman" w:cs="Times New Roman"/>
          <w:iCs/>
          <w:sz w:val="24"/>
          <w:szCs w:val="24"/>
        </w:rPr>
      </w:pPr>
      <w:r w:rsidRPr="002467D7">
        <w:rPr>
          <w:rFonts w:ascii="Times New Roman" w:hAnsi="Times New Roman" w:cs="Times New Roman"/>
          <w:color w:val="000000"/>
          <w:sz w:val="24"/>
          <w:szCs w:val="24"/>
        </w:rPr>
        <w:t xml:space="preserve">FDL paredz fiskālo risku vispārējo vadību. Fiskālo risku vispārējās vadības metodoloģiskais regulējums tika izveidots 2014.gadā līdz ar </w:t>
      </w:r>
      <w:r w:rsidR="00852E10" w:rsidRPr="002467D7">
        <w:rPr>
          <w:rFonts w:ascii="Times New Roman" w:hAnsi="Times New Roman" w:cs="Times New Roman"/>
          <w:color w:val="000000"/>
          <w:sz w:val="24"/>
          <w:szCs w:val="24"/>
        </w:rPr>
        <w:t>Ministru kabinet</w:t>
      </w:r>
      <w:r w:rsidR="003B08C3">
        <w:rPr>
          <w:rFonts w:ascii="Times New Roman" w:hAnsi="Times New Roman" w:cs="Times New Roman"/>
          <w:color w:val="000000"/>
          <w:sz w:val="24"/>
          <w:szCs w:val="24"/>
        </w:rPr>
        <w:t>a</w:t>
      </w:r>
      <w:r w:rsidR="00852E10" w:rsidRPr="002467D7">
        <w:rPr>
          <w:rFonts w:ascii="Times New Roman" w:hAnsi="Times New Roman" w:cs="Times New Roman"/>
          <w:color w:val="000000"/>
          <w:sz w:val="24"/>
          <w:szCs w:val="24"/>
        </w:rPr>
        <w:t xml:space="preserve"> (turpmāk – </w:t>
      </w:r>
      <w:r w:rsidR="00852E10" w:rsidRPr="00BD3B79">
        <w:rPr>
          <w:rFonts w:ascii="Times New Roman" w:hAnsi="Times New Roman" w:cs="Times New Roman"/>
          <w:color w:val="000000"/>
          <w:sz w:val="24"/>
          <w:szCs w:val="24"/>
        </w:rPr>
        <w:t>MK</w:t>
      </w:r>
      <w:r w:rsidR="00852E10" w:rsidRPr="002467D7">
        <w:rPr>
          <w:rFonts w:ascii="Times New Roman" w:hAnsi="Times New Roman" w:cs="Times New Roman"/>
          <w:color w:val="000000"/>
          <w:sz w:val="24"/>
          <w:szCs w:val="24"/>
        </w:rPr>
        <w:t>)</w:t>
      </w:r>
      <w:r w:rsidRPr="002467D7">
        <w:rPr>
          <w:rFonts w:ascii="Times New Roman" w:hAnsi="Times New Roman" w:cs="Times New Roman"/>
          <w:color w:val="000000"/>
          <w:sz w:val="24"/>
          <w:szCs w:val="24"/>
        </w:rPr>
        <w:t xml:space="preserve"> noteikumu</w:t>
      </w:r>
      <w:r w:rsidRPr="002467D7">
        <w:t xml:space="preserve"> </w:t>
      </w:r>
      <w:r w:rsidRPr="002467D7">
        <w:rPr>
          <w:rFonts w:ascii="Times New Roman" w:hAnsi="Times New Roman" w:cs="Times New Roman"/>
          <w:color w:val="000000"/>
          <w:sz w:val="24"/>
          <w:szCs w:val="24"/>
        </w:rPr>
        <w:t xml:space="preserve">Nr.229 „Noteikumi par fiskālo risku vispārējo vadību un par fiskālās nodrošinājuma rezerves apjoma noteikšanas </w:t>
      </w:r>
      <w:r w:rsidRPr="002467D7">
        <w:rPr>
          <w:rFonts w:ascii="Times New Roman" w:hAnsi="Times New Roman" w:cs="Times New Roman"/>
          <w:iCs/>
          <w:sz w:val="24"/>
          <w:szCs w:val="24"/>
        </w:rPr>
        <w:t>metodoloģiju” (turpmāk</w:t>
      </w:r>
      <w:r w:rsidRPr="002467D7">
        <w:t xml:space="preserve"> </w:t>
      </w:r>
      <w:r w:rsidRPr="002467D7">
        <w:rPr>
          <w:rFonts w:ascii="Times New Roman" w:hAnsi="Times New Roman" w:cs="Times New Roman"/>
          <w:iCs/>
          <w:sz w:val="24"/>
          <w:szCs w:val="24"/>
        </w:rPr>
        <w:t xml:space="preserve">– MK noteikumi Nr.229) apstiprināšanu. Fiskālo risku vispārējās vadības sistēma paredz, ka valstiskā līmenī tiek nodrošināta sistemātiska fiskālo risku identificēšana, fiskālo risku iespējamās ietekmes uz </w:t>
      </w:r>
      <w:r w:rsidR="00D272B7">
        <w:rPr>
          <w:rFonts w:ascii="Times New Roman" w:hAnsi="Times New Roman" w:cs="Times New Roman"/>
          <w:iCs/>
          <w:sz w:val="24"/>
          <w:szCs w:val="24"/>
        </w:rPr>
        <w:t>vispārējās valdības</w:t>
      </w:r>
      <w:r w:rsidR="00D272B7" w:rsidRPr="002467D7">
        <w:rPr>
          <w:rFonts w:ascii="Times New Roman" w:hAnsi="Times New Roman" w:cs="Times New Roman"/>
          <w:iCs/>
          <w:sz w:val="24"/>
          <w:szCs w:val="24"/>
        </w:rPr>
        <w:t xml:space="preserve"> </w:t>
      </w:r>
      <w:r w:rsidRPr="002467D7">
        <w:rPr>
          <w:rFonts w:ascii="Times New Roman" w:hAnsi="Times New Roman" w:cs="Times New Roman"/>
          <w:iCs/>
          <w:sz w:val="24"/>
          <w:szCs w:val="24"/>
        </w:rPr>
        <w:t>budžetu un parādu izvērtēšana, attiecīgā riska vadības instrumenta izvēle un piemērošana.</w:t>
      </w:r>
    </w:p>
    <w:p w14:paraId="28175690" w14:textId="77777777" w:rsidR="00481389" w:rsidRPr="002467D7" w:rsidRDefault="00481389" w:rsidP="00E3792D">
      <w:pPr>
        <w:spacing w:after="0" w:line="240" w:lineRule="auto"/>
        <w:ind w:firstLine="720"/>
        <w:jc w:val="both"/>
        <w:rPr>
          <w:rFonts w:ascii="Times New Roman" w:eastAsia="Times New Roman" w:hAnsi="Times New Roman" w:cs="Times New Roman"/>
          <w:sz w:val="24"/>
          <w:szCs w:val="24"/>
          <w:lang w:eastAsia="lv-LV"/>
        </w:rPr>
      </w:pPr>
      <w:r w:rsidRPr="002467D7">
        <w:rPr>
          <w:rFonts w:ascii="Times New Roman" w:hAnsi="Times New Roman" w:cs="Times New Roman"/>
          <w:sz w:val="24"/>
          <w:szCs w:val="24"/>
        </w:rPr>
        <w:t>Fiskālo risku identificēšana un mērīšana ir nepieciešama ar mērķi:</w:t>
      </w:r>
    </w:p>
    <w:p w14:paraId="22609BE5" w14:textId="77777777" w:rsidR="00481389" w:rsidRPr="002467D7" w:rsidRDefault="00481389" w:rsidP="00E3792D">
      <w:pPr>
        <w:pStyle w:val="ListParagraph"/>
        <w:numPr>
          <w:ilvl w:val="0"/>
          <w:numId w:val="8"/>
        </w:numPr>
        <w:ind w:left="1418"/>
        <w:contextualSpacing w:val="0"/>
        <w:rPr>
          <w:rFonts w:ascii="Times New Roman" w:hAnsi="Times New Roman"/>
          <w:sz w:val="24"/>
          <w:szCs w:val="24"/>
        </w:rPr>
      </w:pPr>
      <w:r w:rsidRPr="002467D7">
        <w:rPr>
          <w:rFonts w:ascii="Times New Roman" w:hAnsi="Times New Roman"/>
          <w:sz w:val="24"/>
          <w:szCs w:val="24"/>
        </w:rPr>
        <w:t>nodrošināt fiskālo risku novērtēšanu un vadīšanu;</w:t>
      </w:r>
    </w:p>
    <w:p w14:paraId="6F4961E7" w14:textId="77777777" w:rsidR="00481389" w:rsidRPr="002467D7" w:rsidRDefault="00481389" w:rsidP="00E3792D">
      <w:pPr>
        <w:pStyle w:val="ListParagraph"/>
        <w:numPr>
          <w:ilvl w:val="0"/>
          <w:numId w:val="8"/>
        </w:numPr>
        <w:ind w:left="1418"/>
        <w:rPr>
          <w:rFonts w:ascii="Times New Roman" w:hAnsi="Times New Roman"/>
          <w:sz w:val="24"/>
          <w:szCs w:val="24"/>
        </w:rPr>
      </w:pPr>
      <w:r w:rsidRPr="002467D7">
        <w:rPr>
          <w:rFonts w:ascii="Times New Roman" w:hAnsi="Times New Roman"/>
          <w:sz w:val="24"/>
          <w:szCs w:val="24"/>
        </w:rPr>
        <w:t>izstrādāt efektīvu fiskālo risku vadības stratēģiju, apzinot risku mazināšanas vai novēršanas instrumentus un pasākumus;</w:t>
      </w:r>
    </w:p>
    <w:p w14:paraId="6D3DC038" w14:textId="77777777" w:rsidR="00481389" w:rsidRPr="002467D7" w:rsidRDefault="00481389" w:rsidP="00E3792D">
      <w:pPr>
        <w:pStyle w:val="ListParagraph"/>
        <w:numPr>
          <w:ilvl w:val="0"/>
          <w:numId w:val="8"/>
        </w:numPr>
        <w:ind w:left="1418"/>
        <w:rPr>
          <w:rFonts w:ascii="Times New Roman" w:hAnsi="Times New Roman"/>
          <w:sz w:val="24"/>
          <w:szCs w:val="24"/>
        </w:rPr>
      </w:pPr>
      <w:r w:rsidRPr="002467D7">
        <w:rPr>
          <w:rFonts w:ascii="Times New Roman" w:hAnsi="Times New Roman"/>
          <w:sz w:val="24"/>
          <w:szCs w:val="24"/>
        </w:rPr>
        <w:t>uzlabot fiskālās politikas ietvaros pieņemto lēmumu kvalitāti un ilgtspēju;</w:t>
      </w:r>
    </w:p>
    <w:p w14:paraId="7504145C" w14:textId="2DB1A1B3" w:rsidR="00481389" w:rsidRPr="002467D7" w:rsidRDefault="00481389" w:rsidP="00E3792D">
      <w:pPr>
        <w:pStyle w:val="ListParagraph"/>
        <w:numPr>
          <w:ilvl w:val="0"/>
          <w:numId w:val="8"/>
        </w:numPr>
        <w:ind w:left="1418"/>
        <w:rPr>
          <w:rFonts w:ascii="Times New Roman" w:hAnsi="Times New Roman"/>
          <w:sz w:val="24"/>
          <w:szCs w:val="24"/>
        </w:rPr>
      </w:pPr>
      <w:r w:rsidRPr="002467D7">
        <w:rPr>
          <w:rFonts w:ascii="Times New Roman" w:hAnsi="Times New Roman"/>
          <w:sz w:val="24"/>
          <w:szCs w:val="24"/>
        </w:rPr>
        <w:t xml:space="preserve">veicināt valsts kredītreitinga </w:t>
      </w:r>
      <w:r w:rsidR="00D272B7">
        <w:rPr>
          <w:rFonts w:ascii="Times New Roman" w:hAnsi="Times New Roman"/>
          <w:sz w:val="24"/>
          <w:szCs w:val="24"/>
        </w:rPr>
        <w:t>uzlabošanos</w:t>
      </w:r>
      <w:r w:rsidR="00D272B7" w:rsidRPr="002467D7">
        <w:rPr>
          <w:rFonts w:ascii="Times New Roman" w:hAnsi="Times New Roman"/>
          <w:sz w:val="24"/>
          <w:szCs w:val="24"/>
        </w:rPr>
        <w:t xml:space="preserve"> </w:t>
      </w:r>
      <w:r w:rsidRPr="002467D7">
        <w:rPr>
          <w:rFonts w:ascii="Times New Roman" w:hAnsi="Times New Roman"/>
          <w:sz w:val="24"/>
          <w:szCs w:val="24"/>
        </w:rPr>
        <w:t xml:space="preserve">un investoru uzticību. </w:t>
      </w:r>
    </w:p>
    <w:p w14:paraId="388DFC8B" w14:textId="4872F4C7" w:rsidR="00481389" w:rsidRPr="002467D7" w:rsidRDefault="00481389" w:rsidP="00E3792D">
      <w:pPr>
        <w:spacing w:after="0" w:line="240" w:lineRule="auto"/>
        <w:jc w:val="both"/>
        <w:rPr>
          <w:rFonts w:ascii="Times New Roman" w:hAnsi="Times New Roman" w:cs="Times New Roman"/>
          <w:iCs/>
          <w:sz w:val="24"/>
          <w:szCs w:val="24"/>
        </w:rPr>
      </w:pPr>
      <w:r w:rsidRPr="002467D7">
        <w:rPr>
          <w:rFonts w:ascii="Times New Roman" w:hAnsi="Times New Roman" w:cs="Times New Roman"/>
          <w:iCs/>
          <w:sz w:val="24"/>
          <w:szCs w:val="24"/>
        </w:rPr>
        <w:tab/>
        <w:t xml:space="preserve">Finanšu ministrija (turpmāk – </w:t>
      </w:r>
      <w:r w:rsidRPr="00BD3B79">
        <w:rPr>
          <w:rFonts w:ascii="Times New Roman" w:hAnsi="Times New Roman" w:cs="Times New Roman"/>
          <w:iCs/>
          <w:sz w:val="24"/>
          <w:szCs w:val="24"/>
        </w:rPr>
        <w:t>FM</w:t>
      </w:r>
      <w:r w:rsidRPr="002467D7">
        <w:rPr>
          <w:rFonts w:ascii="Times New Roman" w:hAnsi="Times New Roman" w:cs="Times New Roman"/>
          <w:iCs/>
          <w:sz w:val="24"/>
          <w:szCs w:val="24"/>
        </w:rPr>
        <w:t xml:space="preserve">) ir atbildīga par fiskālo risku vispārējo vadību, uzkrāj </w:t>
      </w:r>
      <w:r w:rsidRPr="002467D7">
        <w:rPr>
          <w:rFonts w:ascii="Times New Roman" w:hAnsi="Times New Roman" w:cs="Times New Roman"/>
          <w:sz w:val="24"/>
        </w:rPr>
        <w:t>nepieciešamo informāciju par fiskālajiem riskiem, lai uzturētu fiskālo risku reģistru, kas ir v</w:t>
      </w:r>
      <w:r w:rsidRPr="002467D7">
        <w:rPr>
          <w:rFonts w:ascii="Times New Roman" w:hAnsi="Times New Roman" w:cs="Times New Roman"/>
          <w:iCs/>
          <w:sz w:val="24"/>
          <w:szCs w:val="24"/>
        </w:rPr>
        <w:t>iens no fiskālo risku vispārējās vadības galvenajiem instrumentiem. Savukārt, centrālās valsts iestādes ir atbildīgas par savas kompetences fiskālajiem riskiem, to uzraudzību, novēršanu un fiskālo risku seku samazināšanu. Lai FM varētu uzturēt aktuālu fiskālo risku reģistru un izstrādāt deklarāciju, nepieciešamo informāciju par fiskālajiem riskiem sniedz centrālās valsts iestādes, kas izstrādā fiskālo risku vadības ziņojumus.</w:t>
      </w:r>
    </w:p>
    <w:p w14:paraId="3A1E225C" w14:textId="77777777" w:rsidR="00AC7FAC" w:rsidRPr="002467D7" w:rsidRDefault="00AC7FAC" w:rsidP="00953696">
      <w:pPr>
        <w:pStyle w:val="liknoteik"/>
        <w:shd w:val="clear" w:color="auto" w:fill="FFFFFF"/>
        <w:spacing w:before="0" w:beforeAutospacing="0" w:after="0" w:afterAutospacing="0"/>
        <w:jc w:val="both"/>
        <w:rPr>
          <w:rFonts w:eastAsiaTheme="majorEastAsia"/>
          <w:b/>
          <w:bCs/>
          <w:smallCaps/>
        </w:rPr>
      </w:pPr>
      <w:bookmarkStart w:id="9" w:name="_Toc405371072"/>
    </w:p>
    <w:p w14:paraId="3118F04D" w14:textId="77777777" w:rsidR="00B95E92" w:rsidRPr="002467D7" w:rsidRDefault="00B95E92" w:rsidP="002467D7">
      <w:pPr>
        <w:pStyle w:val="Heading2"/>
        <w:numPr>
          <w:ilvl w:val="1"/>
          <w:numId w:val="3"/>
        </w:numPr>
        <w:spacing w:before="120" w:after="120" w:line="240" w:lineRule="auto"/>
        <w:ind w:left="1560" w:hanging="483"/>
        <w:jc w:val="center"/>
        <w:rPr>
          <w:rFonts w:ascii="Times New Roman" w:hAnsi="Times New Roman" w:cs="Times New Roman"/>
          <w:color w:val="auto"/>
          <w:sz w:val="24"/>
          <w:szCs w:val="24"/>
        </w:rPr>
      </w:pPr>
      <w:bookmarkStart w:id="10" w:name="_Toc536779057"/>
      <w:bookmarkStart w:id="11" w:name="_Toc80111847"/>
      <w:r w:rsidRPr="002467D7">
        <w:rPr>
          <w:rFonts w:ascii="Times New Roman" w:hAnsi="Times New Roman" w:cs="Times New Roman"/>
          <w:color w:val="auto"/>
          <w:sz w:val="24"/>
          <w:szCs w:val="24"/>
        </w:rPr>
        <w:t>Fiskālo risku klasifikācija</w:t>
      </w:r>
      <w:bookmarkEnd w:id="9"/>
      <w:bookmarkEnd w:id="10"/>
      <w:bookmarkEnd w:id="11"/>
    </w:p>
    <w:p w14:paraId="24C77B63" w14:textId="12951B42" w:rsidR="00481389" w:rsidRPr="002467D7" w:rsidRDefault="00481389" w:rsidP="002467D7">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Fiskālo risku klasifikācijas jomā plaši tiek izmantota Pasaules Bankas ekspertes Hanas Polackovas Briksi </w:t>
      </w:r>
      <w:r w:rsidRPr="002467D7">
        <w:rPr>
          <w:rFonts w:ascii="Times New Roman" w:hAnsi="Times New Roman" w:cs="Times New Roman"/>
          <w:i/>
          <w:sz w:val="24"/>
          <w:szCs w:val="24"/>
        </w:rPr>
        <w:t>(Hana Polackova Brixi)</w:t>
      </w:r>
      <w:r w:rsidRPr="002467D7">
        <w:rPr>
          <w:rFonts w:ascii="Times New Roman" w:hAnsi="Times New Roman" w:cs="Times New Roman"/>
          <w:sz w:val="24"/>
          <w:szCs w:val="24"/>
        </w:rPr>
        <w:t xml:space="preserve"> izstrādātā fiskālo risku avotu klasifikācija (skat. tabula Nr.</w:t>
      </w:r>
      <w:r w:rsidR="005603AD" w:rsidRPr="002467D7">
        <w:rPr>
          <w:rFonts w:ascii="Times New Roman" w:hAnsi="Times New Roman" w:cs="Times New Roman"/>
          <w:sz w:val="24"/>
          <w:szCs w:val="24"/>
        </w:rPr>
        <w:t>1</w:t>
      </w:r>
      <w:r w:rsidRPr="002467D7">
        <w:rPr>
          <w:rFonts w:ascii="Times New Roman" w:hAnsi="Times New Roman" w:cs="Times New Roman"/>
          <w:sz w:val="24"/>
          <w:szCs w:val="24"/>
        </w:rPr>
        <w:t>), kas tiek iedalīta četrās grupās un pielāgotā versijā tiek pielietota arī Latvijas fiskālo risku avotu klasifikācijai:</w:t>
      </w:r>
    </w:p>
    <w:p w14:paraId="13D54E66" w14:textId="77777777" w:rsidR="00481389" w:rsidRPr="002467D7" w:rsidRDefault="00481389" w:rsidP="002467D7">
      <w:pPr>
        <w:pStyle w:val="ListParagraph"/>
        <w:numPr>
          <w:ilvl w:val="0"/>
          <w:numId w:val="10"/>
        </w:numPr>
        <w:ind w:left="709"/>
        <w:contextualSpacing w:val="0"/>
        <w:textAlignment w:val="top"/>
        <w:rPr>
          <w:rFonts w:ascii="Times New Roman" w:hAnsi="Times New Roman"/>
          <w:color w:val="000000"/>
          <w:sz w:val="24"/>
          <w:szCs w:val="24"/>
        </w:rPr>
      </w:pPr>
      <w:r w:rsidRPr="002467D7">
        <w:rPr>
          <w:rFonts w:ascii="Times New Roman" w:hAnsi="Times New Roman"/>
          <w:b/>
          <w:i/>
          <w:color w:val="000000"/>
          <w:sz w:val="24"/>
          <w:szCs w:val="24"/>
        </w:rPr>
        <w:t>Tiešās saistības</w:t>
      </w:r>
      <w:r w:rsidRPr="002467D7">
        <w:rPr>
          <w:rFonts w:ascii="Times New Roman" w:hAnsi="Times New Roman"/>
          <w:color w:val="000000"/>
          <w:sz w:val="24"/>
          <w:szCs w:val="24"/>
        </w:rPr>
        <w:t xml:space="preserve"> ir iepriekš nosakāmās saistības, kuras iestāsies jebkurā gadījumā. Fiskālais risks šajā gadījumā ir saistīts ar nenoteiktību izdevumu apjomā.</w:t>
      </w:r>
    </w:p>
    <w:p w14:paraId="792D52D4" w14:textId="1FDAA980" w:rsidR="00481389" w:rsidRPr="002467D7" w:rsidRDefault="00481389" w:rsidP="002467D7">
      <w:pPr>
        <w:pStyle w:val="ListParagraph"/>
        <w:numPr>
          <w:ilvl w:val="0"/>
          <w:numId w:val="10"/>
        </w:numPr>
        <w:ind w:left="709"/>
        <w:contextualSpacing w:val="0"/>
        <w:textAlignment w:val="top"/>
        <w:rPr>
          <w:rFonts w:ascii="Times New Roman" w:hAnsi="Times New Roman"/>
          <w:color w:val="000000"/>
          <w:sz w:val="24"/>
          <w:szCs w:val="24"/>
        </w:rPr>
      </w:pPr>
      <w:r w:rsidRPr="002467D7">
        <w:rPr>
          <w:rFonts w:ascii="Times New Roman" w:hAnsi="Times New Roman"/>
          <w:b/>
          <w:i/>
          <w:color w:val="000000"/>
          <w:sz w:val="24"/>
          <w:szCs w:val="24"/>
        </w:rPr>
        <w:t>Iespējamās saistības</w:t>
      </w:r>
      <w:r w:rsidRPr="002467D7">
        <w:rPr>
          <w:rFonts w:ascii="Times New Roman" w:hAnsi="Times New Roman"/>
          <w:color w:val="000000"/>
          <w:sz w:val="24"/>
          <w:szCs w:val="24"/>
        </w:rPr>
        <w:t xml:space="preserve"> ir tādas saistības, kuras var izraisīt iespējami notikumi nākotnē. Fiskālais risks šajā gadījumā primāri ir tajā apstāklī, ka ir nezināms, vai riska notikums iestāsies vai nē. Papildus tam, nenoteiktība var būt </w:t>
      </w:r>
      <w:r w:rsidR="00FA06DA">
        <w:rPr>
          <w:rFonts w:ascii="Times New Roman" w:hAnsi="Times New Roman"/>
          <w:color w:val="000000"/>
          <w:sz w:val="24"/>
          <w:szCs w:val="24"/>
        </w:rPr>
        <w:t xml:space="preserve">vērojama </w:t>
      </w:r>
      <w:r w:rsidRPr="002467D7">
        <w:rPr>
          <w:rFonts w:ascii="Times New Roman" w:hAnsi="Times New Roman"/>
          <w:color w:val="000000"/>
          <w:sz w:val="24"/>
          <w:szCs w:val="24"/>
        </w:rPr>
        <w:t xml:space="preserve">arī </w:t>
      </w:r>
      <w:r w:rsidR="00FA06DA">
        <w:rPr>
          <w:rFonts w:ascii="Times New Roman" w:hAnsi="Times New Roman"/>
          <w:color w:val="000000"/>
          <w:sz w:val="24"/>
          <w:szCs w:val="24"/>
        </w:rPr>
        <w:t>riska notikuma</w:t>
      </w:r>
      <w:r w:rsidR="00FA06DA" w:rsidRPr="002467D7">
        <w:rPr>
          <w:rFonts w:ascii="Times New Roman" w:hAnsi="Times New Roman"/>
          <w:color w:val="000000"/>
          <w:sz w:val="24"/>
          <w:szCs w:val="24"/>
        </w:rPr>
        <w:t xml:space="preserve"> </w:t>
      </w:r>
      <w:r w:rsidR="00FA06DA">
        <w:rPr>
          <w:rFonts w:ascii="Times New Roman" w:hAnsi="Times New Roman"/>
          <w:color w:val="000000"/>
          <w:sz w:val="24"/>
          <w:szCs w:val="24"/>
        </w:rPr>
        <w:t>ietekmes apmērā</w:t>
      </w:r>
      <w:r w:rsidRPr="002467D7">
        <w:rPr>
          <w:rFonts w:ascii="Times New Roman" w:hAnsi="Times New Roman"/>
          <w:color w:val="000000"/>
          <w:sz w:val="24"/>
          <w:szCs w:val="24"/>
        </w:rPr>
        <w:t>.</w:t>
      </w:r>
    </w:p>
    <w:p w14:paraId="5ACF7C8F" w14:textId="77777777" w:rsidR="00481389" w:rsidRPr="002467D7" w:rsidRDefault="00481389" w:rsidP="002467D7">
      <w:pPr>
        <w:spacing w:after="0" w:line="240" w:lineRule="auto"/>
        <w:jc w:val="both"/>
        <w:textAlignment w:val="top"/>
        <w:rPr>
          <w:rFonts w:ascii="Times New Roman" w:hAnsi="Times New Roman"/>
          <w:color w:val="000000"/>
          <w:sz w:val="24"/>
          <w:szCs w:val="24"/>
        </w:rPr>
      </w:pPr>
    </w:p>
    <w:p w14:paraId="64EA695E" w14:textId="77777777" w:rsidR="00481389" w:rsidRPr="002467D7" w:rsidRDefault="00481389" w:rsidP="002467D7">
      <w:pPr>
        <w:spacing w:after="0" w:line="240" w:lineRule="auto"/>
        <w:ind w:firstLine="709"/>
        <w:jc w:val="both"/>
        <w:textAlignment w:val="top"/>
        <w:rPr>
          <w:rFonts w:ascii="Times New Roman" w:hAnsi="Times New Roman"/>
          <w:color w:val="000000"/>
          <w:sz w:val="24"/>
          <w:szCs w:val="24"/>
        </w:rPr>
      </w:pPr>
      <w:r w:rsidRPr="002467D7">
        <w:rPr>
          <w:rFonts w:ascii="Times New Roman" w:hAnsi="Times New Roman"/>
          <w:color w:val="000000"/>
          <w:sz w:val="24"/>
          <w:szCs w:val="24"/>
        </w:rPr>
        <w:t xml:space="preserve">Katru no augstāk minētajiem fiskālo risku avotiem var iedalīt divās apakškategorijās: </w:t>
      </w:r>
    </w:p>
    <w:p w14:paraId="0FD918D0" w14:textId="22A5658C" w:rsidR="00481389" w:rsidRPr="002467D7" w:rsidRDefault="00481389" w:rsidP="002467D7">
      <w:pPr>
        <w:pStyle w:val="ListParagraph"/>
        <w:numPr>
          <w:ilvl w:val="0"/>
          <w:numId w:val="10"/>
        </w:numPr>
        <w:ind w:left="709"/>
        <w:contextualSpacing w:val="0"/>
        <w:textAlignment w:val="top"/>
        <w:rPr>
          <w:rFonts w:ascii="Times New Roman" w:hAnsi="Times New Roman"/>
          <w:color w:val="000000"/>
          <w:sz w:val="24"/>
          <w:szCs w:val="24"/>
        </w:rPr>
      </w:pPr>
      <w:r w:rsidRPr="002467D7">
        <w:rPr>
          <w:rFonts w:ascii="Times New Roman" w:hAnsi="Times New Roman"/>
          <w:b/>
          <w:i/>
          <w:color w:val="000000"/>
          <w:sz w:val="24"/>
          <w:szCs w:val="24"/>
        </w:rPr>
        <w:t>Precīzi noteiktās saistības</w:t>
      </w:r>
      <w:r w:rsidRPr="002467D7">
        <w:rPr>
          <w:rFonts w:ascii="Times New Roman" w:hAnsi="Times New Roman"/>
          <w:color w:val="000000"/>
          <w:sz w:val="24"/>
          <w:szCs w:val="24"/>
        </w:rPr>
        <w:t xml:space="preserve"> ir valdības saistības, kuras ir noteiktas </w:t>
      </w:r>
      <w:r w:rsidR="00FA06DA">
        <w:rPr>
          <w:rFonts w:ascii="Times New Roman" w:hAnsi="Times New Roman"/>
          <w:color w:val="000000"/>
          <w:sz w:val="24"/>
          <w:szCs w:val="24"/>
        </w:rPr>
        <w:t>tiesību aktos</w:t>
      </w:r>
      <w:r w:rsidR="00FA06DA" w:rsidRPr="002467D7">
        <w:rPr>
          <w:rFonts w:ascii="Times New Roman" w:hAnsi="Times New Roman"/>
          <w:color w:val="000000"/>
          <w:sz w:val="24"/>
          <w:szCs w:val="24"/>
        </w:rPr>
        <w:t xml:space="preserve"> </w:t>
      </w:r>
      <w:r w:rsidRPr="002467D7">
        <w:rPr>
          <w:rFonts w:ascii="Times New Roman" w:hAnsi="Times New Roman"/>
          <w:color w:val="000000"/>
          <w:sz w:val="24"/>
          <w:szCs w:val="24"/>
        </w:rPr>
        <w:t>vai līgumos.</w:t>
      </w:r>
    </w:p>
    <w:p w14:paraId="169998FD" w14:textId="77777777" w:rsidR="00481389" w:rsidRPr="002467D7" w:rsidRDefault="00481389" w:rsidP="002467D7">
      <w:pPr>
        <w:pStyle w:val="ListParagraph"/>
        <w:numPr>
          <w:ilvl w:val="0"/>
          <w:numId w:val="10"/>
        </w:numPr>
        <w:ind w:left="709"/>
        <w:contextualSpacing w:val="0"/>
        <w:textAlignment w:val="top"/>
        <w:rPr>
          <w:rFonts w:ascii="Times New Roman" w:hAnsi="Times New Roman"/>
          <w:color w:val="000000"/>
          <w:sz w:val="24"/>
          <w:szCs w:val="24"/>
        </w:rPr>
      </w:pPr>
      <w:r w:rsidRPr="002467D7">
        <w:rPr>
          <w:rFonts w:ascii="Times New Roman" w:hAnsi="Times New Roman"/>
          <w:b/>
          <w:i/>
          <w:color w:val="000000"/>
          <w:sz w:val="24"/>
          <w:szCs w:val="24"/>
        </w:rPr>
        <w:t>Netiešās (nosacītās) saistības</w:t>
      </w:r>
      <w:r w:rsidRPr="002467D7">
        <w:rPr>
          <w:rFonts w:ascii="Times New Roman" w:hAnsi="Times New Roman"/>
          <w:color w:val="000000"/>
          <w:sz w:val="24"/>
          <w:szCs w:val="24"/>
        </w:rPr>
        <w:t xml:space="preserve"> ir valdības politisks/morāls pienākums vai sagaidāms slogs, kam nav juridiska seguma, bet kuru izraisa sabiedrības gaidas un politisks spiediens. Tās ir raksturīgas krīžu gadījumos.</w:t>
      </w:r>
    </w:p>
    <w:p w14:paraId="1D8EE8F2" w14:textId="77777777" w:rsidR="00953696" w:rsidRPr="002467D7" w:rsidRDefault="00953696" w:rsidP="002467D7">
      <w:pPr>
        <w:ind w:firstLine="720"/>
        <w:jc w:val="right"/>
        <w:rPr>
          <w:rFonts w:ascii="Times New Roman" w:hAnsi="Times New Roman" w:cs="Times New Roman"/>
          <w:b/>
          <w:sz w:val="24"/>
          <w:szCs w:val="24"/>
        </w:rPr>
      </w:pPr>
    </w:p>
    <w:p w14:paraId="0E8B46E3" w14:textId="7D255BE4" w:rsidR="00953696" w:rsidRPr="002467D7" w:rsidRDefault="00953696" w:rsidP="002467D7">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Fiskālie riski deklarācijā tiek iedalīti divās grupās: </w:t>
      </w:r>
    </w:p>
    <w:p w14:paraId="102B2412" w14:textId="77777777" w:rsidR="00953696" w:rsidRPr="002467D7" w:rsidRDefault="00953696" w:rsidP="002467D7">
      <w:pPr>
        <w:pStyle w:val="ListParagraph"/>
        <w:numPr>
          <w:ilvl w:val="0"/>
          <w:numId w:val="11"/>
        </w:numPr>
        <w:contextualSpacing w:val="0"/>
        <w:rPr>
          <w:rFonts w:ascii="Times New Roman" w:hAnsi="Times New Roman"/>
          <w:sz w:val="24"/>
          <w:szCs w:val="24"/>
        </w:rPr>
      </w:pPr>
      <w:r w:rsidRPr="002467D7">
        <w:rPr>
          <w:rFonts w:ascii="Times New Roman" w:hAnsi="Times New Roman"/>
          <w:sz w:val="24"/>
          <w:szCs w:val="24"/>
        </w:rPr>
        <w:t>kvantificējamie fiskālie riski – fiskālie riski, kuriem ir novērtēta iestāšanās varbūtība un ietekme uz vispārējās valdības budžeta bilanci;</w:t>
      </w:r>
    </w:p>
    <w:p w14:paraId="62138374" w14:textId="77777777" w:rsidR="00953696" w:rsidRPr="002467D7" w:rsidRDefault="00953696" w:rsidP="002467D7">
      <w:pPr>
        <w:pStyle w:val="ListParagraph"/>
        <w:numPr>
          <w:ilvl w:val="0"/>
          <w:numId w:val="11"/>
        </w:numPr>
        <w:contextualSpacing w:val="0"/>
        <w:rPr>
          <w:rFonts w:ascii="Times New Roman" w:hAnsi="Times New Roman"/>
          <w:sz w:val="24"/>
        </w:rPr>
      </w:pPr>
      <w:r w:rsidRPr="002467D7">
        <w:rPr>
          <w:rFonts w:ascii="Times New Roman" w:hAnsi="Times New Roman"/>
          <w:sz w:val="24"/>
          <w:szCs w:val="24"/>
        </w:rPr>
        <w:t>nekvantificējamie fiskālie riski – fiskālie riski, kuriem iestāšanās varbūtība un fiskālā ietekme nav novērtēta.</w:t>
      </w:r>
      <w:r w:rsidRPr="002467D7">
        <w:rPr>
          <w:rFonts w:ascii="Times New Roman" w:hAnsi="Times New Roman"/>
          <w:sz w:val="24"/>
        </w:rPr>
        <w:t xml:space="preserve"> </w:t>
      </w:r>
    </w:p>
    <w:p w14:paraId="21A6ECD5" w14:textId="77777777" w:rsidR="00953696" w:rsidRPr="002467D7" w:rsidRDefault="00953696" w:rsidP="002467D7">
      <w:pPr>
        <w:ind w:firstLine="720"/>
        <w:jc w:val="right"/>
        <w:rPr>
          <w:rFonts w:ascii="Times New Roman" w:hAnsi="Times New Roman" w:cs="Times New Roman"/>
          <w:b/>
          <w:sz w:val="24"/>
          <w:szCs w:val="24"/>
        </w:rPr>
      </w:pPr>
    </w:p>
    <w:p w14:paraId="1BD86C3E" w14:textId="77777777" w:rsidR="00953696" w:rsidRPr="002467D7" w:rsidRDefault="00953696" w:rsidP="002467D7">
      <w:pPr>
        <w:ind w:firstLine="720"/>
        <w:jc w:val="right"/>
        <w:rPr>
          <w:rFonts w:ascii="Times New Roman" w:hAnsi="Times New Roman" w:cs="Times New Roman"/>
          <w:b/>
          <w:sz w:val="24"/>
          <w:szCs w:val="24"/>
        </w:rPr>
      </w:pPr>
    </w:p>
    <w:p w14:paraId="180BA019" w14:textId="77777777" w:rsidR="00A703FB" w:rsidRDefault="00A703FB" w:rsidP="002467D7">
      <w:pPr>
        <w:ind w:firstLine="720"/>
        <w:jc w:val="right"/>
        <w:rPr>
          <w:rFonts w:ascii="Times New Roman" w:hAnsi="Times New Roman" w:cs="Times New Roman"/>
          <w:b/>
          <w:sz w:val="24"/>
          <w:szCs w:val="24"/>
        </w:rPr>
      </w:pPr>
    </w:p>
    <w:p w14:paraId="58BD373A" w14:textId="4260D657" w:rsidR="00481389" w:rsidRPr="002467D7" w:rsidRDefault="00481389" w:rsidP="002467D7">
      <w:pPr>
        <w:ind w:firstLine="720"/>
        <w:jc w:val="right"/>
        <w:rPr>
          <w:rFonts w:ascii="Times New Roman" w:hAnsi="Times New Roman" w:cs="Times New Roman"/>
          <w:b/>
          <w:sz w:val="24"/>
          <w:szCs w:val="24"/>
        </w:rPr>
      </w:pPr>
      <w:r w:rsidRPr="002467D7">
        <w:rPr>
          <w:rFonts w:ascii="Times New Roman" w:hAnsi="Times New Roman" w:cs="Times New Roman"/>
          <w:b/>
          <w:sz w:val="24"/>
          <w:szCs w:val="24"/>
        </w:rPr>
        <w:t>Tabula Nr.</w:t>
      </w:r>
      <w:r w:rsidR="00786453" w:rsidRPr="002467D7">
        <w:rPr>
          <w:rFonts w:ascii="Times New Roman" w:hAnsi="Times New Roman" w:cs="Times New Roman"/>
          <w:b/>
          <w:sz w:val="24"/>
          <w:szCs w:val="24"/>
        </w:rPr>
        <w:t>1</w:t>
      </w:r>
      <w:r w:rsidRPr="002467D7">
        <w:rPr>
          <w:rFonts w:ascii="Times New Roman" w:hAnsi="Times New Roman" w:cs="Times New Roman"/>
          <w:b/>
          <w:sz w:val="24"/>
          <w:szCs w:val="24"/>
        </w:rPr>
        <w:t xml:space="preserve"> Fiskālo risku avotu klasifikācija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26"/>
        <w:gridCol w:w="4394"/>
      </w:tblGrid>
      <w:tr w:rsidR="00481389" w:rsidRPr="002467D7" w14:paraId="7FE7880B" w14:textId="77777777" w:rsidTr="00953696">
        <w:tc>
          <w:tcPr>
            <w:tcW w:w="3114" w:type="dxa"/>
            <w:shd w:val="clear" w:color="auto" w:fill="9CC2E5" w:themeFill="accent1" w:themeFillTint="99"/>
            <w:vAlign w:val="center"/>
          </w:tcPr>
          <w:p w14:paraId="6DFC8874" w14:textId="77777777" w:rsidR="00481389" w:rsidRPr="002467D7" w:rsidRDefault="00481389" w:rsidP="002467D7">
            <w:pPr>
              <w:jc w:val="center"/>
              <w:textAlignment w:val="top"/>
              <w:rPr>
                <w:rFonts w:ascii="Times New Roman" w:hAnsi="Times New Roman" w:cs="Times New Roman"/>
                <w:b/>
                <w:i/>
              </w:rPr>
            </w:pPr>
            <w:r w:rsidRPr="002467D7">
              <w:rPr>
                <w:rFonts w:ascii="Times New Roman" w:hAnsi="Times New Roman" w:cs="Times New Roman"/>
                <w:b/>
                <w:i/>
              </w:rPr>
              <w:t>Saistību avoti</w:t>
            </w:r>
          </w:p>
        </w:tc>
        <w:tc>
          <w:tcPr>
            <w:tcW w:w="2126" w:type="dxa"/>
            <w:shd w:val="clear" w:color="auto" w:fill="9CC2E5" w:themeFill="accent1" w:themeFillTint="99"/>
            <w:vAlign w:val="center"/>
          </w:tcPr>
          <w:p w14:paraId="0C0BC8EC" w14:textId="77777777" w:rsidR="00481389" w:rsidRPr="002467D7" w:rsidRDefault="00481389" w:rsidP="002467D7">
            <w:pPr>
              <w:jc w:val="center"/>
              <w:textAlignment w:val="top"/>
              <w:rPr>
                <w:rFonts w:ascii="Times New Roman" w:hAnsi="Times New Roman" w:cs="Times New Roman"/>
                <w:i/>
              </w:rPr>
            </w:pPr>
            <w:r w:rsidRPr="002467D7">
              <w:rPr>
                <w:rFonts w:ascii="Times New Roman" w:hAnsi="Times New Roman" w:cs="Times New Roman"/>
                <w:b/>
                <w:i/>
              </w:rPr>
              <w:t>Tiešās (direct) saistības</w:t>
            </w:r>
            <w:r w:rsidRPr="002467D7">
              <w:rPr>
                <w:rFonts w:ascii="Times New Roman" w:hAnsi="Times New Roman" w:cs="Times New Roman"/>
                <w:i/>
              </w:rPr>
              <w:t xml:space="preserve"> (iestājās jebkurā gadījumā)</w:t>
            </w:r>
          </w:p>
        </w:tc>
        <w:tc>
          <w:tcPr>
            <w:tcW w:w="4394" w:type="dxa"/>
            <w:shd w:val="clear" w:color="auto" w:fill="9CC2E5" w:themeFill="accent1" w:themeFillTint="99"/>
            <w:vAlign w:val="center"/>
          </w:tcPr>
          <w:p w14:paraId="3B27C619" w14:textId="77777777" w:rsidR="00481389" w:rsidRPr="002467D7" w:rsidRDefault="00481389" w:rsidP="002467D7">
            <w:pPr>
              <w:jc w:val="center"/>
              <w:textAlignment w:val="top"/>
              <w:rPr>
                <w:rFonts w:ascii="Times New Roman" w:hAnsi="Times New Roman" w:cs="Times New Roman"/>
                <w:i/>
              </w:rPr>
            </w:pPr>
            <w:r w:rsidRPr="002467D7">
              <w:rPr>
                <w:rFonts w:ascii="Times New Roman" w:hAnsi="Times New Roman" w:cs="Times New Roman"/>
                <w:b/>
                <w:i/>
              </w:rPr>
              <w:t>Iespējamās (contingent) saistības</w:t>
            </w:r>
            <w:r w:rsidRPr="002467D7">
              <w:rPr>
                <w:rFonts w:ascii="Times New Roman" w:hAnsi="Times New Roman" w:cs="Times New Roman"/>
                <w:i/>
              </w:rPr>
              <w:t xml:space="preserve"> (iestājās īpašu nākotnes notikumu rezultātā)</w:t>
            </w:r>
          </w:p>
        </w:tc>
      </w:tr>
      <w:tr w:rsidR="00481389" w:rsidRPr="002467D7" w14:paraId="1E15C913" w14:textId="77777777" w:rsidTr="00953696">
        <w:tc>
          <w:tcPr>
            <w:tcW w:w="3114" w:type="dxa"/>
            <w:shd w:val="clear" w:color="auto" w:fill="9CC2E5" w:themeFill="accent1" w:themeFillTint="99"/>
          </w:tcPr>
          <w:p w14:paraId="705AFB77" w14:textId="3E3581BA" w:rsidR="00481389" w:rsidRPr="002467D7" w:rsidRDefault="00481389" w:rsidP="00FA06DA">
            <w:pPr>
              <w:spacing w:after="60"/>
              <w:textAlignment w:val="top"/>
              <w:rPr>
                <w:rFonts w:ascii="Times New Roman" w:hAnsi="Times New Roman" w:cs="Times New Roman"/>
              </w:rPr>
            </w:pPr>
            <w:r w:rsidRPr="002467D7">
              <w:rPr>
                <w:rFonts w:ascii="Times New Roman" w:hAnsi="Times New Roman" w:cs="Times New Roman"/>
                <w:b/>
                <w:i/>
              </w:rPr>
              <w:t>Precīzi noteiktas</w:t>
            </w:r>
            <w:r w:rsidRPr="002467D7">
              <w:rPr>
                <w:rFonts w:ascii="Times New Roman" w:hAnsi="Times New Roman" w:cs="Times New Roman"/>
              </w:rPr>
              <w:t xml:space="preserve"> (</w:t>
            </w:r>
            <w:r w:rsidRPr="002467D7">
              <w:rPr>
                <w:rFonts w:ascii="Times New Roman" w:hAnsi="Times New Roman" w:cs="Times New Roman"/>
                <w:i/>
              </w:rPr>
              <w:t>explicit</w:t>
            </w:r>
            <w:r w:rsidRPr="002467D7">
              <w:rPr>
                <w:rFonts w:ascii="Times New Roman" w:hAnsi="Times New Roman" w:cs="Times New Roman"/>
              </w:rPr>
              <w:t xml:space="preserve">) </w:t>
            </w:r>
            <w:r w:rsidRPr="002467D7">
              <w:rPr>
                <w:rFonts w:ascii="Times New Roman" w:hAnsi="Times New Roman" w:cs="Times New Roman"/>
                <w:b/>
                <w:i/>
              </w:rPr>
              <w:t>saistības</w:t>
            </w:r>
            <w:r w:rsidRPr="002467D7">
              <w:rPr>
                <w:rFonts w:ascii="Times New Roman" w:hAnsi="Times New Roman" w:cs="Times New Roman"/>
              </w:rPr>
              <w:t xml:space="preserve">, kas izriet no </w:t>
            </w:r>
            <w:r w:rsidR="00FA06DA">
              <w:rPr>
                <w:rFonts w:ascii="Times New Roman" w:hAnsi="Times New Roman" w:cs="Times New Roman"/>
              </w:rPr>
              <w:t>tiesību aktiem</w:t>
            </w:r>
            <w:r w:rsidR="00FA06DA" w:rsidRPr="002467D7">
              <w:rPr>
                <w:rFonts w:ascii="Times New Roman" w:hAnsi="Times New Roman" w:cs="Times New Roman"/>
              </w:rPr>
              <w:t xml:space="preserve"> </w:t>
            </w:r>
            <w:r w:rsidRPr="002467D7">
              <w:rPr>
                <w:rFonts w:ascii="Times New Roman" w:hAnsi="Times New Roman" w:cs="Times New Roman"/>
              </w:rPr>
              <w:t>vai līgumiem</w:t>
            </w:r>
          </w:p>
        </w:tc>
        <w:tc>
          <w:tcPr>
            <w:tcW w:w="2126" w:type="dxa"/>
          </w:tcPr>
          <w:p w14:paraId="6D6DEC9A" w14:textId="77777777" w:rsidR="00481389" w:rsidRPr="002467D7" w:rsidRDefault="00481389" w:rsidP="002467D7">
            <w:pPr>
              <w:numPr>
                <w:ilvl w:val="0"/>
                <w:numId w:val="9"/>
              </w:numPr>
              <w:tabs>
                <w:tab w:val="clear" w:pos="720"/>
                <w:tab w:val="num" w:pos="230"/>
              </w:tabs>
              <w:spacing w:after="0" w:line="240" w:lineRule="auto"/>
              <w:ind w:left="230" w:hanging="230"/>
              <w:jc w:val="both"/>
              <w:textAlignment w:val="top"/>
              <w:rPr>
                <w:rFonts w:ascii="Times New Roman" w:hAnsi="Times New Roman" w:cs="Times New Roman"/>
              </w:rPr>
            </w:pPr>
            <w:r w:rsidRPr="002467D7">
              <w:rPr>
                <w:rFonts w:ascii="Times New Roman" w:hAnsi="Times New Roman" w:cs="Times New Roman"/>
              </w:rPr>
              <w:t>valsts parādsaistības;</w:t>
            </w:r>
          </w:p>
          <w:p w14:paraId="2D1AD133" w14:textId="77777777" w:rsidR="00481389" w:rsidRPr="002467D7" w:rsidRDefault="00481389" w:rsidP="002467D7">
            <w:pPr>
              <w:numPr>
                <w:ilvl w:val="0"/>
                <w:numId w:val="9"/>
              </w:numPr>
              <w:tabs>
                <w:tab w:val="clear" w:pos="720"/>
                <w:tab w:val="num" w:pos="230"/>
              </w:tabs>
              <w:spacing w:after="0" w:line="240" w:lineRule="auto"/>
              <w:ind w:left="230" w:hanging="230"/>
              <w:jc w:val="both"/>
              <w:textAlignment w:val="top"/>
              <w:rPr>
                <w:rFonts w:ascii="Times New Roman" w:hAnsi="Times New Roman" w:cs="Times New Roman"/>
              </w:rPr>
            </w:pPr>
            <w:r w:rsidRPr="002467D7">
              <w:rPr>
                <w:rFonts w:ascii="Times New Roman" w:hAnsi="Times New Roman" w:cs="Times New Roman"/>
              </w:rPr>
              <w:t>ilgtermiņa saistības (pensijas un citi sociālās apdrošināšanas maksājumi u.c.).</w:t>
            </w:r>
          </w:p>
        </w:tc>
        <w:tc>
          <w:tcPr>
            <w:tcW w:w="4394" w:type="dxa"/>
          </w:tcPr>
          <w:p w14:paraId="78D851BD" w14:textId="77777777" w:rsidR="00481389" w:rsidRPr="002467D7" w:rsidRDefault="00481389" w:rsidP="002467D7">
            <w:pPr>
              <w:numPr>
                <w:ilvl w:val="0"/>
                <w:numId w:val="9"/>
              </w:numPr>
              <w:tabs>
                <w:tab w:val="clear" w:pos="720"/>
                <w:tab w:val="num" w:pos="252"/>
              </w:tabs>
              <w:spacing w:after="0" w:line="240" w:lineRule="auto"/>
              <w:ind w:left="252" w:hanging="252"/>
              <w:jc w:val="both"/>
              <w:textAlignment w:val="top"/>
              <w:rPr>
                <w:rFonts w:ascii="Times New Roman" w:hAnsi="Times New Roman" w:cs="Times New Roman"/>
              </w:rPr>
            </w:pPr>
            <w:r w:rsidRPr="002467D7">
              <w:rPr>
                <w:rFonts w:ascii="Times New Roman" w:hAnsi="Times New Roman" w:cs="Times New Roman"/>
              </w:rPr>
              <w:t>valsts galvojumi, t.sk. privāto investīciju galvojumi;</w:t>
            </w:r>
          </w:p>
          <w:p w14:paraId="1DC4B30D" w14:textId="77777777" w:rsidR="00481389" w:rsidRPr="002467D7" w:rsidRDefault="00481389" w:rsidP="002467D7">
            <w:pPr>
              <w:numPr>
                <w:ilvl w:val="0"/>
                <w:numId w:val="9"/>
              </w:numPr>
              <w:tabs>
                <w:tab w:val="clear" w:pos="720"/>
                <w:tab w:val="num" w:pos="252"/>
              </w:tabs>
              <w:spacing w:after="0" w:line="240" w:lineRule="auto"/>
              <w:ind w:left="252" w:hanging="252"/>
              <w:jc w:val="both"/>
              <w:textAlignment w:val="top"/>
              <w:rPr>
                <w:rFonts w:ascii="Times New Roman" w:hAnsi="Times New Roman" w:cs="Times New Roman"/>
              </w:rPr>
            </w:pPr>
            <w:r w:rsidRPr="002467D7">
              <w:rPr>
                <w:rFonts w:ascii="Times New Roman" w:hAnsi="Times New Roman" w:cs="Times New Roman"/>
              </w:rPr>
              <w:t>„jumta” valsts galvojumi par dažādu veidu aizdevumiem (hipotekārie aizdevumi, studējošo kreditēšana, aizdevumi lauksaimniekiem, maziem un vidējiem uzņēmējiem).</w:t>
            </w:r>
          </w:p>
        </w:tc>
      </w:tr>
      <w:tr w:rsidR="00481389" w:rsidRPr="002467D7" w14:paraId="02E1FA6B" w14:textId="77777777" w:rsidTr="00953696">
        <w:trPr>
          <w:trHeight w:val="1370"/>
        </w:trPr>
        <w:tc>
          <w:tcPr>
            <w:tcW w:w="3114" w:type="dxa"/>
            <w:shd w:val="clear" w:color="auto" w:fill="9CC2E5" w:themeFill="accent1" w:themeFillTint="99"/>
          </w:tcPr>
          <w:p w14:paraId="44CF9F17" w14:textId="77777777" w:rsidR="00481389" w:rsidRPr="002467D7" w:rsidRDefault="00481389" w:rsidP="002467D7">
            <w:pPr>
              <w:spacing w:after="60"/>
              <w:textAlignment w:val="top"/>
              <w:rPr>
                <w:rFonts w:ascii="Times New Roman" w:hAnsi="Times New Roman" w:cs="Times New Roman"/>
              </w:rPr>
            </w:pPr>
            <w:r w:rsidRPr="002467D7">
              <w:rPr>
                <w:rFonts w:ascii="Times New Roman" w:hAnsi="Times New Roman" w:cs="Times New Roman"/>
                <w:b/>
                <w:i/>
              </w:rPr>
              <w:t>Nosacītās (netiešas) saistības</w:t>
            </w:r>
            <w:r w:rsidRPr="002467D7">
              <w:rPr>
                <w:rFonts w:ascii="Times New Roman" w:hAnsi="Times New Roman" w:cs="Times New Roman"/>
              </w:rPr>
              <w:t xml:space="preserve">  (</w:t>
            </w:r>
            <w:r w:rsidRPr="002467D7">
              <w:rPr>
                <w:rFonts w:ascii="Times New Roman" w:hAnsi="Times New Roman" w:cs="Times New Roman"/>
                <w:i/>
              </w:rPr>
              <w:t>implicit</w:t>
            </w:r>
            <w:r w:rsidRPr="002467D7">
              <w:rPr>
                <w:rFonts w:ascii="Times New Roman" w:hAnsi="Times New Roman" w:cs="Times New Roman"/>
              </w:rPr>
              <w:t>) (valdības morālās saistī</w:t>
            </w:r>
            <w:r w:rsidR="00953696" w:rsidRPr="002467D7">
              <w:rPr>
                <w:rFonts w:ascii="Times New Roman" w:hAnsi="Times New Roman" w:cs="Times New Roman"/>
              </w:rPr>
              <w:t>bas, kuru pamatā ir sabiedrības</w:t>
            </w:r>
            <w:r w:rsidRPr="002467D7">
              <w:rPr>
                <w:rFonts w:ascii="Times New Roman" w:hAnsi="Times New Roman" w:cs="Times New Roman"/>
              </w:rPr>
              <w:t xml:space="preserve"> un interešu grupu gaidas vai spiedienu)</w:t>
            </w:r>
          </w:p>
        </w:tc>
        <w:tc>
          <w:tcPr>
            <w:tcW w:w="2126" w:type="dxa"/>
          </w:tcPr>
          <w:p w14:paraId="6C17103E" w14:textId="77777777" w:rsidR="00481389" w:rsidRPr="002467D7" w:rsidRDefault="00481389" w:rsidP="002467D7">
            <w:pPr>
              <w:ind w:left="230"/>
              <w:jc w:val="both"/>
              <w:textAlignment w:val="top"/>
              <w:rPr>
                <w:rFonts w:ascii="Times New Roman" w:hAnsi="Times New Roman" w:cs="Times New Roman"/>
              </w:rPr>
            </w:pPr>
          </w:p>
        </w:tc>
        <w:tc>
          <w:tcPr>
            <w:tcW w:w="4394" w:type="dxa"/>
          </w:tcPr>
          <w:p w14:paraId="4BD70106" w14:textId="77777777" w:rsidR="00481389" w:rsidRPr="002467D7" w:rsidRDefault="00481389" w:rsidP="002467D7">
            <w:pPr>
              <w:numPr>
                <w:ilvl w:val="0"/>
                <w:numId w:val="9"/>
              </w:numPr>
              <w:tabs>
                <w:tab w:val="clear" w:pos="720"/>
                <w:tab w:val="num" w:pos="252"/>
              </w:tabs>
              <w:spacing w:after="0" w:line="240" w:lineRule="auto"/>
              <w:ind w:left="252" w:hanging="252"/>
              <w:jc w:val="both"/>
              <w:textAlignment w:val="top"/>
              <w:rPr>
                <w:rFonts w:ascii="Times New Roman" w:hAnsi="Times New Roman" w:cs="Times New Roman"/>
              </w:rPr>
            </w:pPr>
            <w:r w:rsidRPr="002467D7">
              <w:rPr>
                <w:rFonts w:ascii="Times New Roman" w:hAnsi="Times New Roman" w:cs="Times New Roman"/>
              </w:rPr>
              <w:t>nodarbinātības fondu, sociālās aizsardzības fondu un citu fondu maksātnespēja;</w:t>
            </w:r>
          </w:p>
          <w:p w14:paraId="124F2F9B" w14:textId="77777777" w:rsidR="00481389" w:rsidRPr="002467D7" w:rsidRDefault="00481389" w:rsidP="002467D7">
            <w:pPr>
              <w:numPr>
                <w:ilvl w:val="0"/>
                <w:numId w:val="9"/>
              </w:numPr>
              <w:tabs>
                <w:tab w:val="clear" w:pos="720"/>
                <w:tab w:val="num" w:pos="230"/>
              </w:tabs>
              <w:spacing w:after="0" w:line="240" w:lineRule="auto"/>
              <w:ind w:left="252" w:hanging="252"/>
              <w:jc w:val="both"/>
              <w:textAlignment w:val="top"/>
              <w:rPr>
                <w:rFonts w:ascii="Times New Roman" w:hAnsi="Times New Roman" w:cs="Times New Roman"/>
              </w:rPr>
            </w:pPr>
            <w:r w:rsidRPr="002467D7">
              <w:rPr>
                <w:rFonts w:ascii="Times New Roman" w:hAnsi="Times New Roman" w:cs="Times New Roman"/>
              </w:rPr>
              <w:t>pašvaldību, valsts uzņēmumu, lielo privāto uzņēmumu, valsts un ārpusbudžeta aģentūru zaudējumu kompensēšana, saistību pārņemšana.</w:t>
            </w:r>
          </w:p>
        </w:tc>
      </w:tr>
    </w:tbl>
    <w:p w14:paraId="32509BAF" w14:textId="77777777" w:rsidR="00481389" w:rsidRPr="002467D7" w:rsidRDefault="00481389" w:rsidP="002467D7">
      <w:pPr>
        <w:rPr>
          <w:rFonts w:ascii="Times New Roman" w:hAnsi="Times New Roman" w:cs="Times New Roman"/>
          <w:szCs w:val="24"/>
        </w:rPr>
      </w:pPr>
      <w:r w:rsidRPr="002467D7">
        <w:rPr>
          <w:rFonts w:ascii="Times New Roman" w:hAnsi="Times New Roman" w:cs="Times New Roman"/>
          <w:i/>
          <w:sz w:val="20"/>
        </w:rPr>
        <w:t>Avots: Hana Polackova Brixi, (1998).</w:t>
      </w:r>
    </w:p>
    <w:p w14:paraId="597166FC" w14:textId="77777777" w:rsidR="00481389" w:rsidRPr="002467D7" w:rsidRDefault="00481389" w:rsidP="002467D7">
      <w:pPr>
        <w:spacing w:after="0" w:line="240" w:lineRule="auto"/>
      </w:pPr>
    </w:p>
    <w:p w14:paraId="6E88BD4B" w14:textId="77777777" w:rsidR="00B95E92" w:rsidRPr="002467D7" w:rsidRDefault="00B95E92" w:rsidP="002467D7">
      <w:pPr>
        <w:pStyle w:val="Heading2"/>
        <w:numPr>
          <w:ilvl w:val="1"/>
          <w:numId w:val="3"/>
        </w:numPr>
        <w:spacing w:before="120" w:after="120" w:line="240" w:lineRule="auto"/>
        <w:ind w:left="1560" w:hanging="483"/>
        <w:jc w:val="center"/>
        <w:rPr>
          <w:rFonts w:ascii="Times New Roman" w:hAnsi="Times New Roman" w:cs="Times New Roman"/>
          <w:color w:val="auto"/>
          <w:sz w:val="24"/>
          <w:szCs w:val="24"/>
        </w:rPr>
      </w:pPr>
      <w:bookmarkStart w:id="12" w:name="_Toc405371073"/>
      <w:bookmarkStart w:id="13" w:name="_Toc536779058"/>
      <w:bookmarkStart w:id="14" w:name="_Toc80111848"/>
      <w:r w:rsidRPr="002467D7">
        <w:rPr>
          <w:rFonts w:ascii="Times New Roman" w:hAnsi="Times New Roman" w:cs="Times New Roman"/>
          <w:color w:val="auto"/>
          <w:sz w:val="24"/>
          <w:szCs w:val="24"/>
        </w:rPr>
        <w:t>Fiskālo risku ietekmes un iestāšanās varbūtības novērtēšanas metodes</w:t>
      </w:r>
      <w:bookmarkEnd w:id="12"/>
      <w:bookmarkEnd w:id="13"/>
      <w:bookmarkEnd w:id="14"/>
    </w:p>
    <w:p w14:paraId="0ED2C7BB" w14:textId="77777777" w:rsidR="00481389" w:rsidRPr="002467D7" w:rsidRDefault="00481389" w:rsidP="002467D7">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MK noteikumi Nr.229 nosaka fiskālo risku ietekmes un iestāšanās varbūtības noteikšanas metodes. Fiskālā ietekme fiskālo risku iestāšanās gadījumā uz vispārējās valdības budžeta bilanci, ja iespējams, tiek vērtēta kvalitatīvi. Kvalitatīvais novērtējums paredz fiskālo ietekmi novērtēt kā būtisku, vidēju vai zemu:</w:t>
      </w:r>
    </w:p>
    <w:p w14:paraId="4745108C" w14:textId="77777777" w:rsidR="00481389" w:rsidRPr="002467D7" w:rsidRDefault="00481389" w:rsidP="002467D7">
      <w:pPr>
        <w:pStyle w:val="ListParagraph"/>
        <w:numPr>
          <w:ilvl w:val="0"/>
          <w:numId w:val="13"/>
        </w:numPr>
        <w:contextualSpacing w:val="0"/>
        <w:rPr>
          <w:rFonts w:ascii="Times New Roman" w:hAnsi="Times New Roman"/>
          <w:sz w:val="24"/>
          <w:szCs w:val="24"/>
        </w:rPr>
      </w:pPr>
      <w:r w:rsidRPr="002467D7">
        <w:rPr>
          <w:rFonts w:ascii="Times New Roman" w:hAnsi="Times New Roman"/>
          <w:sz w:val="24"/>
          <w:szCs w:val="24"/>
        </w:rPr>
        <w:t>būtiska fiskālā ietekme tiek paredzēta tādā gadījumā, ja ietekme uz vispārējās valdības budžeta bilanci pārsniedz 0,5% no IKP;</w:t>
      </w:r>
    </w:p>
    <w:p w14:paraId="3F98ACDE" w14:textId="77777777" w:rsidR="00481389" w:rsidRPr="002467D7" w:rsidRDefault="00481389" w:rsidP="002467D7">
      <w:pPr>
        <w:pStyle w:val="ListParagraph"/>
        <w:numPr>
          <w:ilvl w:val="0"/>
          <w:numId w:val="13"/>
        </w:numPr>
        <w:contextualSpacing w:val="0"/>
        <w:rPr>
          <w:rFonts w:ascii="Times New Roman" w:hAnsi="Times New Roman"/>
          <w:sz w:val="24"/>
          <w:szCs w:val="24"/>
        </w:rPr>
      </w:pPr>
      <w:r w:rsidRPr="002467D7">
        <w:rPr>
          <w:rFonts w:ascii="Times New Roman" w:hAnsi="Times New Roman"/>
          <w:sz w:val="24"/>
          <w:szCs w:val="24"/>
        </w:rPr>
        <w:t>vidēja fiskālā ietekme – ja ietekme uz vispārējās valdības budžeta bilanci ir robežās no 0,01 līdz 0,5% no IKP;</w:t>
      </w:r>
    </w:p>
    <w:p w14:paraId="5F2C8A9A" w14:textId="77777777" w:rsidR="00481389" w:rsidRPr="002467D7" w:rsidRDefault="00481389" w:rsidP="002467D7">
      <w:pPr>
        <w:pStyle w:val="ListParagraph"/>
        <w:numPr>
          <w:ilvl w:val="0"/>
          <w:numId w:val="13"/>
        </w:numPr>
        <w:contextualSpacing w:val="0"/>
        <w:rPr>
          <w:rFonts w:ascii="Times New Roman" w:hAnsi="Times New Roman"/>
          <w:sz w:val="24"/>
          <w:szCs w:val="24"/>
        </w:rPr>
      </w:pPr>
      <w:r w:rsidRPr="002467D7">
        <w:rPr>
          <w:rFonts w:ascii="Times New Roman" w:hAnsi="Times New Roman"/>
          <w:sz w:val="24"/>
          <w:szCs w:val="24"/>
        </w:rPr>
        <w:t>zema fiskālā ietekme – ja ietekme uz vispārējās valdības budžeta bilanci nepārsniedz 0,01% no IKP.</w:t>
      </w:r>
    </w:p>
    <w:p w14:paraId="4ACE1A80" w14:textId="77777777" w:rsidR="00481389" w:rsidRPr="002467D7" w:rsidRDefault="00481389" w:rsidP="002467D7">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Vienlaikus, ja iespējams, tad fiskālā ietekme tiek vērtēta kvantitatīvi procentos no IKP, izvērtējot specifisko fiskālo risku vadības iestāžu sagatavotos fiskālo risku vadības ziņojumus. Fiskālās ietekmes kvantitatīvais novērtējums tiek veikts, ja novērtējumu var veikt ar šādu precizitāti: </w:t>
      </w:r>
    </w:p>
    <w:p w14:paraId="5FDB7132" w14:textId="77777777" w:rsidR="00481389" w:rsidRPr="002467D7" w:rsidRDefault="00481389" w:rsidP="002467D7">
      <w:pPr>
        <w:pStyle w:val="ListParagraph"/>
        <w:numPr>
          <w:ilvl w:val="0"/>
          <w:numId w:val="12"/>
        </w:numPr>
        <w:contextualSpacing w:val="0"/>
        <w:rPr>
          <w:rFonts w:ascii="Times New Roman" w:hAnsi="Times New Roman"/>
          <w:sz w:val="24"/>
          <w:szCs w:val="24"/>
        </w:rPr>
      </w:pPr>
      <w:r w:rsidRPr="002467D7">
        <w:rPr>
          <w:rFonts w:ascii="Times New Roman" w:eastAsiaTheme="minorHAnsi" w:hAnsi="Times New Roman"/>
          <w:sz w:val="24"/>
          <w:szCs w:val="24"/>
        </w:rPr>
        <w:t>fiskāliem riskiem ar fiskālo ietekmi zem 0,1% no IKP, ja novērtējuma kļūda nepārsniedz 0,01 procentpunktu;</w:t>
      </w:r>
    </w:p>
    <w:p w14:paraId="00927D0F" w14:textId="77777777" w:rsidR="00481389" w:rsidRPr="002467D7" w:rsidRDefault="00481389" w:rsidP="002467D7">
      <w:pPr>
        <w:pStyle w:val="ListParagraph"/>
        <w:numPr>
          <w:ilvl w:val="0"/>
          <w:numId w:val="12"/>
        </w:numPr>
        <w:contextualSpacing w:val="0"/>
        <w:rPr>
          <w:rFonts w:ascii="Times New Roman" w:hAnsi="Times New Roman"/>
          <w:sz w:val="24"/>
          <w:szCs w:val="24"/>
        </w:rPr>
      </w:pPr>
      <w:r w:rsidRPr="002467D7">
        <w:rPr>
          <w:rFonts w:ascii="Times New Roman" w:hAnsi="Times New Roman"/>
          <w:sz w:val="24"/>
          <w:szCs w:val="24"/>
        </w:rPr>
        <w:t xml:space="preserve">fiskāliem riskiem ar fiskālo ietekmi robežās no 0,1% līdz 1% no IKP, </w:t>
      </w:r>
      <w:r w:rsidRPr="002467D7">
        <w:rPr>
          <w:rFonts w:ascii="Times New Roman" w:eastAsiaTheme="minorHAnsi" w:hAnsi="Times New Roman"/>
          <w:sz w:val="24"/>
          <w:szCs w:val="24"/>
        </w:rPr>
        <w:t>ja novērtējuma kļūda nepārsniedz 0,1 procentpunktu</w:t>
      </w:r>
      <w:r w:rsidRPr="002467D7">
        <w:rPr>
          <w:rFonts w:ascii="Times New Roman" w:hAnsi="Times New Roman"/>
          <w:sz w:val="24"/>
          <w:szCs w:val="24"/>
        </w:rPr>
        <w:t>;</w:t>
      </w:r>
    </w:p>
    <w:p w14:paraId="0ED45F86" w14:textId="77777777" w:rsidR="00481389" w:rsidRPr="002467D7" w:rsidRDefault="00481389" w:rsidP="002467D7">
      <w:pPr>
        <w:pStyle w:val="ListParagraph"/>
        <w:numPr>
          <w:ilvl w:val="0"/>
          <w:numId w:val="12"/>
        </w:numPr>
        <w:contextualSpacing w:val="0"/>
        <w:rPr>
          <w:rFonts w:ascii="Times New Roman" w:hAnsi="Times New Roman"/>
          <w:sz w:val="24"/>
          <w:szCs w:val="24"/>
        </w:rPr>
      </w:pPr>
      <w:r w:rsidRPr="002467D7">
        <w:rPr>
          <w:rFonts w:ascii="Times New Roman" w:hAnsi="Times New Roman"/>
          <w:sz w:val="24"/>
          <w:szCs w:val="24"/>
        </w:rPr>
        <w:t xml:space="preserve">fiskāliem riskiem ar fiskālo ietekmi 1% no IKP un vairāk, </w:t>
      </w:r>
      <w:r w:rsidRPr="002467D7">
        <w:rPr>
          <w:rFonts w:ascii="Times New Roman" w:eastAsiaTheme="minorHAnsi" w:hAnsi="Times New Roman"/>
          <w:sz w:val="24"/>
          <w:szCs w:val="24"/>
        </w:rPr>
        <w:t>ja novērtējuma kļūda nepārsniedz 1 procentpunktu</w:t>
      </w:r>
      <w:r w:rsidRPr="002467D7">
        <w:rPr>
          <w:rFonts w:ascii="Times New Roman" w:hAnsi="Times New Roman"/>
          <w:sz w:val="24"/>
          <w:szCs w:val="24"/>
        </w:rPr>
        <w:t>.</w:t>
      </w:r>
    </w:p>
    <w:p w14:paraId="04615E91" w14:textId="77777777" w:rsidR="00481389" w:rsidRPr="002467D7" w:rsidRDefault="00481389" w:rsidP="002467D7">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Fiskālā riska iestāšanās varbūtība tiek novērtēta 5 punktu skalā. Iestāšanās varbūtību nosaka paliekošajam riskam, tas ir, ņemot vērā jau pastāvošos fiskālo risku mazināšanas pasākumus.</w:t>
      </w:r>
    </w:p>
    <w:p w14:paraId="26759936" w14:textId="77777777" w:rsidR="00481389" w:rsidRPr="002467D7" w:rsidRDefault="00481389" w:rsidP="002467D7">
      <w:pPr>
        <w:spacing w:before="240"/>
        <w:ind w:firstLine="720"/>
        <w:jc w:val="right"/>
        <w:rPr>
          <w:rFonts w:ascii="Times New Roman" w:hAnsi="Times New Roman" w:cs="Times New Roman"/>
          <w:b/>
          <w:sz w:val="24"/>
          <w:szCs w:val="24"/>
        </w:rPr>
      </w:pPr>
      <w:r w:rsidRPr="002467D7">
        <w:rPr>
          <w:rFonts w:ascii="Times New Roman" w:hAnsi="Times New Roman" w:cs="Times New Roman"/>
          <w:b/>
          <w:sz w:val="24"/>
          <w:szCs w:val="24"/>
        </w:rPr>
        <w:t>Tabula Nr.</w:t>
      </w:r>
      <w:r w:rsidR="00786453" w:rsidRPr="002467D7">
        <w:rPr>
          <w:rFonts w:ascii="Times New Roman" w:hAnsi="Times New Roman" w:cs="Times New Roman"/>
          <w:b/>
          <w:sz w:val="24"/>
          <w:szCs w:val="24"/>
        </w:rPr>
        <w:t>2</w:t>
      </w:r>
      <w:r w:rsidRPr="002467D7">
        <w:rPr>
          <w:rFonts w:ascii="Times New Roman" w:hAnsi="Times New Roman" w:cs="Times New Roman"/>
          <w:b/>
          <w:sz w:val="24"/>
          <w:szCs w:val="24"/>
        </w:rPr>
        <w:t xml:space="preserve"> Iestāšanās varbūtības novērtēšanas metodoloģija</w:t>
      </w:r>
    </w:p>
    <w:tbl>
      <w:tblPr>
        <w:tblStyle w:val="TableGrid"/>
        <w:tblW w:w="0" w:type="auto"/>
        <w:jc w:val="center"/>
        <w:tblLook w:val="04A0" w:firstRow="1" w:lastRow="0" w:firstColumn="1" w:lastColumn="0" w:noHBand="0" w:noVBand="1"/>
      </w:tblPr>
      <w:tblGrid>
        <w:gridCol w:w="4248"/>
        <w:gridCol w:w="4678"/>
      </w:tblGrid>
      <w:tr w:rsidR="00481389" w:rsidRPr="002467D7" w14:paraId="00FBBE0E" w14:textId="77777777" w:rsidTr="00F60E00">
        <w:trPr>
          <w:jc w:val="center"/>
        </w:trPr>
        <w:tc>
          <w:tcPr>
            <w:tcW w:w="4248" w:type="dxa"/>
            <w:shd w:val="clear" w:color="auto" w:fill="9CC2E5" w:themeFill="accent1" w:themeFillTint="99"/>
          </w:tcPr>
          <w:p w14:paraId="0883751D" w14:textId="77777777" w:rsidR="00481389" w:rsidRPr="002467D7" w:rsidRDefault="00481389" w:rsidP="002467D7">
            <w:pPr>
              <w:jc w:val="center"/>
              <w:rPr>
                <w:b/>
                <w:sz w:val="22"/>
              </w:rPr>
            </w:pPr>
            <w:r w:rsidRPr="002467D7">
              <w:rPr>
                <w:b/>
                <w:sz w:val="22"/>
              </w:rPr>
              <w:t>Iestāšanās varbūtības novērtējums</w:t>
            </w:r>
          </w:p>
        </w:tc>
        <w:tc>
          <w:tcPr>
            <w:tcW w:w="4678" w:type="dxa"/>
            <w:shd w:val="clear" w:color="auto" w:fill="9CC2E5" w:themeFill="accent1" w:themeFillTint="99"/>
          </w:tcPr>
          <w:p w14:paraId="3630961E" w14:textId="77777777" w:rsidR="00481389" w:rsidRPr="002467D7" w:rsidRDefault="00481389" w:rsidP="002467D7">
            <w:pPr>
              <w:jc w:val="center"/>
              <w:rPr>
                <w:b/>
                <w:sz w:val="22"/>
              </w:rPr>
            </w:pPr>
            <w:r w:rsidRPr="002467D7">
              <w:rPr>
                <w:b/>
                <w:sz w:val="22"/>
              </w:rPr>
              <w:t>Iestāšanās varbūtība</w:t>
            </w:r>
          </w:p>
        </w:tc>
      </w:tr>
      <w:tr w:rsidR="00481389" w:rsidRPr="002467D7" w14:paraId="3EC6B100" w14:textId="77777777" w:rsidTr="00F60E00">
        <w:trPr>
          <w:jc w:val="center"/>
        </w:trPr>
        <w:tc>
          <w:tcPr>
            <w:tcW w:w="4248" w:type="dxa"/>
          </w:tcPr>
          <w:p w14:paraId="54B6BCE8" w14:textId="77777777" w:rsidR="00481389" w:rsidRPr="002467D7" w:rsidRDefault="00481389" w:rsidP="002467D7">
            <w:pPr>
              <w:jc w:val="center"/>
              <w:rPr>
                <w:sz w:val="22"/>
              </w:rPr>
            </w:pPr>
            <w:r w:rsidRPr="002467D7">
              <w:rPr>
                <w:sz w:val="22"/>
              </w:rPr>
              <w:t>1</w:t>
            </w:r>
          </w:p>
        </w:tc>
        <w:tc>
          <w:tcPr>
            <w:tcW w:w="4678" w:type="dxa"/>
          </w:tcPr>
          <w:p w14:paraId="0179F55D" w14:textId="77777777" w:rsidR="00481389" w:rsidRPr="002467D7" w:rsidRDefault="00481389" w:rsidP="002467D7">
            <w:pPr>
              <w:jc w:val="center"/>
              <w:rPr>
                <w:sz w:val="22"/>
              </w:rPr>
            </w:pPr>
            <w:r w:rsidRPr="002467D7">
              <w:rPr>
                <w:sz w:val="22"/>
              </w:rPr>
              <w:t>ir tuvāka 0%</w:t>
            </w:r>
          </w:p>
        </w:tc>
      </w:tr>
      <w:tr w:rsidR="00481389" w:rsidRPr="002467D7" w14:paraId="7A00D797" w14:textId="77777777" w:rsidTr="00F60E00">
        <w:trPr>
          <w:jc w:val="center"/>
        </w:trPr>
        <w:tc>
          <w:tcPr>
            <w:tcW w:w="4248" w:type="dxa"/>
          </w:tcPr>
          <w:p w14:paraId="67811A06" w14:textId="77777777" w:rsidR="00481389" w:rsidRPr="002467D7" w:rsidRDefault="00481389" w:rsidP="002467D7">
            <w:pPr>
              <w:jc w:val="center"/>
              <w:rPr>
                <w:sz w:val="22"/>
              </w:rPr>
            </w:pPr>
            <w:r w:rsidRPr="002467D7">
              <w:rPr>
                <w:sz w:val="22"/>
              </w:rPr>
              <w:t>2</w:t>
            </w:r>
          </w:p>
        </w:tc>
        <w:tc>
          <w:tcPr>
            <w:tcW w:w="4678" w:type="dxa"/>
          </w:tcPr>
          <w:p w14:paraId="5ED0595B" w14:textId="77777777" w:rsidR="00481389" w:rsidRPr="002467D7" w:rsidRDefault="00481389" w:rsidP="002467D7">
            <w:pPr>
              <w:jc w:val="center"/>
              <w:rPr>
                <w:sz w:val="22"/>
              </w:rPr>
            </w:pPr>
            <w:r w:rsidRPr="002467D7">
              <w:rPr>
                <w:sz w:val="22"/>
              </w:rPr>
              <w:t>ir tuvāka 10%</w:t>
            </w:r>
          </w:p>
        </w:tc>
      </w:tr>
      <w:tr w:rsidR="00481389" w:rsidRPr="002467D7" w14:paraId="1F6C943F" w14:textId="77777777" w:rsidTr="00F60E00">
        <w:trPr>
          <w:jc w:val="center"/>
        </w:trPr>
        <w:tc>
          <w:tcPr>
            <w:tcW w:w="4248" w:type="dxa"/>
          </w:tcPr>
          <w:p w14:paraId="0D5BAC67" w14:textId="77777777" w:rsidR="00481389" w:rsidRPr="002467D7" w:rsidRDefault="00481389" w:rsidP="002467D7">
            <w:pPr>
              <w:jc w:val="center"/>
              <w:rPr>
                <w:sz w:val="22"/>
              </w:rPr>
            </w:pPr>
            <w:r w:rsidRPr="002467D7">
              <w:rPr>
                <w:sz w:val="22"/>
              </w:rPr>
              <w:t>3</w:t>
            </w:r>
          </w:p>
        </w:tc>
        <w:tc>
          <w:tcPr>
            <w:tcW w:w="4678" w:type="dxa"/>
          </w:tcPr>
          <w:p w14:paraId="10F1984E" w14:textId="77777777" w:rsidR="00481389" w:rsidRPr="002467D7" w:rsidRDefault="00481389" w:rsidP="002467D7">
            <w:pPr>
              <w:jc w:val="center"/>
              <w:rPr>
                <w:sz w:val="22"/>
              </w:rPr>
            </w:pPr>
            <w:r w:rsidRPr="002467D7">
              <w:rPr>
                <w:sz w:val="22"/>
              </w:rPr>
              <w:t>ir tuvāka 30%</w:t>
            </w:r>
          </w:p>
        </w:tc>
      </w:tr>
      <w:tr w:rsidR="00481389" w:rsidRPr="002467D7" w14:paraId="2C5B222F" w14:textId="77777777" w:rsidTr="00F60E00">
        <w:trPr>
          <w:jc w:val="center"/>
        </w:trPr>
        <w:tc>
          <w:tcPr>
            <w:tcW w:w="4248" w:type="dxa"/>
          </w:tcPr>
          <w:p w14:paraId="237FF94C" w14:textId="77777777" w:rsidR="00481389" w:rsidRPr="002467D7" w:rsidRDefault="00481389" w:rsidP="002467D7">
            <w:pPr>
              <w:jc w:val="center"/>
              <w:rPr>
                <w:sz w:val="22"/>
              </w:rPr>
            </w:pPr>
            <w:r w:rsidRPr="002467D7">
              <w:rPr>
                <w:sz w:val="22"/>
              </w:rPr>
              <w:lastRenderedPageBreak/>
              <w:t>4</w:t>
            </w:r>
          </w:p>
        </w:tc>
        <w:tc>
          <w:tcPr>
            <w:tcW w:w="4678" w:type="dxa"/>
          </w:tcPr>
          <w:p w14:paraId="7F8BAC3A" w14:textId="77777777" w:rsidR="00481389" w:rsidRPr="002467D7" w:rsidRDefault="00481389" w:rsidP="002467D7">
            <w:pPr>
              <w:jc w:val="center"/>
              <w:rPr>
                <w:sz w:val="22"/>
              </w:rPr>
            </w:pPr>
            <w:r w:rsidRPr="002467D7">
              <w:rPr>
                <w:sz w:val="22"/>
              </w:rPr>
              <w:t>ir tuvāka 60%</w:t>
            </w:r>
          </w:p>
        </w:tc>
      </w:tr>
      <w:tr w:rsidR="00481389" w:rsidRPr="002467D7" w14:paraId="0E2DD9DA" w14:textId="77777777" w:rsidTr="00F60E00">
        <w:trPr>
          <w:jc w:val="center"/>
        </w:trPr>
        <w:tc>
          <w:tcPr>
            <w:tcW w:w="4248" w:type="dxa"/>
          </w:tcPr>
          <w:p w14:paraId="3F3B3B51" w14:textId="77777777" w:rsidR="00481389" w:rsidRPr="002467D7" w:rsidRDefault="00481389" w:rsidP="002467D7">
            <w:pPr>
              <w:jc w:val="center"/>
              <w:rPr>
                <w:sz w:val="22"/>
              </w:rPr>
            </w:pPr>
            <w:r w:rsidRPr="002467D7">
              <w:rPr>
                <w:sz w:val="22"/>
              </w:rPr>
              <w:t>5</w:t>
            </w:r>
          </w:p>
        </w:tc>
        <w:tc>
          <w:tcPr>
            <w:tcW w:w="4678" w:type="dxa"/>
          </w:tcPr>
          <w:p w14:paraId="5E5F6EE3" w14:textId="77777777" w:rsidR="00481389" w:rsidRPr="002467D7" w:rsidRDefault="00481389" w:rsidP="002467D7">
            <w:pPr>
              <w:jc w:val="center"/>
              <w:rPr>
                <w:sz w:val="22"/>
              </w:rPr>
            </w:pPr>
            <w:r w:rsidRPr="002467D7">
              <w:rPr>
                <w:sz w:val="22"/>
              </w:rPr>
              <w:t>ir tuvāka 100%</w:t>
            </w:r>
          </w:p>
        </w:tc>
      </w:tr>
    </w:tbl>
    <w:p w14:paraId="100B3C71" w14:textId="1D4345B9" w:rsidR="00481389" w:rsidRPr="002467D7" w:rsidRDefault="00481389" w:rsidP="000D02B5">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Fiskālos riskus, kuru iestāšanās varbūtība ir tuva 100% un tiek novērtēta ar koeficientu 5, iekļauj </w:t>
      </w:r>
      <w:r w:rsidR="00E950D6">
        <w:rPr>
          <w:rFonts w:ascii="Times New Roman" w:hAnsi="Times New Roman" w:cs="Times New Roman"/>
          <w:sz w:val="24"/>
          <w:szCs w:val="24"/>
        </w:rPr>
        <w:t>VTBIL</w:t>
      </w:r>
      <w:r w:rsidRPr="002467D7">
        <w:rPr>
          <w:rFonts w:ascii="Times New Roman" w:hAnsi="Times New Roman" w:cs="Times New Roman"/>
          <w:sz w:val="24"/>
          <w:szCs w:val="24"/>
        </w:rPr>
        <w:t xml:space="preserve"> kā plānojamus (paredzamus) pasākumus un, attiecīgi, tie netiek</w:t>
      </w:r>
      <w:r w:rsidR="00974C98" w:rsidRPr="002467D7">
        <w:rPr>
          <w:rFonts w:ascii="Times New Roman" w:hAnsi="Times New Roman" w:cs="Times New Roman"/>
          <w:sz w:val="24"/>
          <w:szCs w:val="24"/>
        </w:rPr>
        <w:t xml:space="preserve"> atspoguļoti šajā deklarācijā.</w:t>
      </w:r>
    </w:p>
    <w:p w14:paraId="59DB61B6" w14:textId="77777777" w:rsidR="008E31F7" w:rsidRDefault="00481389" w:rsidP="000D02B5">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Novērtējot fiskālos riskus pēc to būtības, FM fiskālo risku vadībā ir ieviesusi terminu „simetrisks fiskālais risks”. Tas nozīmē, ka pastāv vienāda varbūtība, ka konkrētā fiskālā rādītāja faktiskais rezultāts var būt gan lielāks, gan mazāks nekā tika iepriekš prognozēts un novirzes amplitūda abos virz</w:t>
      </w:r>
      <w:r w:rsidR="00974C98" w:rsidRPr="002467D7">
        <w:rPr>
          <w:rFonts w:ascii="Times New Roman" w:hAnsi="Times New Roman" w:cs="Times New Roman"/>
          <w:sz w:val="24"/>
          <w:szCs w:val="24"/>
        </w:rPr>
        <w:t xml:space="preserve">ienos ir līdzīga. </w:t>
      </w:r>
      <w:r w:rsidRPr="002467D7">
        <w:rPr>
          <w:rFonts w:ascii="Times New Roman" w:hAnsi="Times New Roman" w:cs="Times New Roman"/>
          <w:sz w:val="24"/>
          <w:szCs w:val="24"/>
        </w:rPr>
        <w:t xml:space="preserve">Simetriskajam riskam varbūtība, </w:t>
      </w:r>
      <w:r w:rsidR="008E31F7" w:rsidRPr="002467D7">
        <w:rPr>
          <w:rFonts w:ascii="Times New Roman" w:hAnsi="Times New Roman" w:cs="Times New Roman"/>
          <w:sz w:val="24"/>
          <w:szCs w:val="24"/>
        </w:rPr>
        <w:t>ka fiskālais rādītājs ietekmēs budžeta deficītu</w:t>
      </w:r>
      <w:r w:rsidR="008E31F7">
        <w:rPr>
          <w:rFonts w:ascii="Times New Roman" w:hAnsi="Times New Roman" w:cs="Times New Roman"/>
          <w:sz w:val="24"/>
          <w:szCs w:val="24"/>
        </w:rPr>
        <w:t>, to palielinot,</w:t>
      </w:r>
      <w:r w:rsidR="008E31F7" w:rsidRPr="002467D7">
        <w:rPr>
          <w:rFonts w:ascii="Times New Roman" w:hAnsi="Times New Roman" w:cs="Times New Roman"/>
          <w:sz w:val="24"/>
          <w:szCs w:val="24"/>
        </w:rPr>
        <w:t xml:space="preserve"> ir 50%</w:t>
      </w:r>
      <w:r w:rsidR="008E31F7">
        <w:rPr>
          <w:rFonts w:ascii="Times New Roman" w:hAnsi="Times New Roman" w:cs="Times New Roman"/>
          <w:sz w:val="24"/>
          <w:szCs w:val="24"/>
        </w:rPr>
        <w:t xml:space="preserve"> un varbūtība, ka fiskālais rādītājs ietekmēs budžeta deficītu, to samazinot, arī ir 50%</w:t>
      </w:r>
      <w:r w:rsidR="008E31F7" w:rsidRPr="002467D7">
        <w:rPr>
          <w:rFonts w:ascii="Times New Roman" w:hAnsi="Times New Roman" w:cs="Times New Roman"/>
          <w:sz w:val="24"/>
          <w:szCs w:val="24"/>
        </w:rPr>
        <w:t xml:space="preserve">. </w:t>
      </w:r>
      <w:r w:rsidR="008E31F7">
        <w:rPr>
          <w:rFonts w:ascii="Times New Roman" w:hAnsi="Times New Roman" w:cs="Times New Roman"/>
          <w:sz w:val="24"/>
          <w:szCs w:val="24"/>
        </w:rPr>
        <w:t>Tas nozīmē, ka simetriskajam</w:t>
      </w:r>
      <w:r w:rsidR="008E31F7" w:rsidRPr="002467D7">
        <w:rPr>
          <w:rFonts w:ascii="Times New Roman" w:hAnsi="Times New Roman" w:cs="Times New Roman"/>
          <w:sz w:val="24"/>
          <w:szCs w:val="24"/>
        </w:rPr>
        <w:t xml:space="preserve"> fiskāl</w:t>
      </w:r>
      <w:r w:rsidR="008E31F7">
        <w:rPr>
          <w:rFonts w:ascii="Times New Roman" w:hAnsi="Times New Roman" w:cs="Times New Roman"/>
          <w:sz w:val="24"/>
          <w:szCs w:val="24"/>
        </w:rPr>
        <w:t>ajam riskam</w:t>
      </w:r>
      <w:r w:rsidR="008E31F7" w:rsidRPr="002467D7">
        <w:rPr>
          <w:rFonts w:ascii="Times New Roman" w:hAnsi="Times New Roman" w:cs="Times New Roman"/>
          <w:sz w:val="24"/>
          <w:szCs w:val="24"/>
        </w:rPr>
        <w:t xml:space="preserve"> ietekme ilgtermiņā ir tuva nullei, jo novirzes ilgāk</w:t>
      </w:r>
      <w:r w:rsidR="008E31F7">
        <w:rPr>
          <w:rFonts w:ascii="Times New Roman" w:hAnsi="Times New Roman" w:cs="Times New Roman"/>
          <w:sz w:val="24"/>
          <w:szCs w:val="24"/>
        </w:rPr>
        <w:t>ā periodā kompensēs viena otru.</w:t>
      </w:r>
    </w:p>
    <w:p w14:paraId="03488022" w14:textId="189655AE" w:rsidR="00481389" w:rsidRPr="002467D7" w:rsidRDefault="00481389" w:rsidP="000D02B5">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Simetrisko fiskālo risku īpatnība ir tā, ka tie vienmēr iestājas, jo fiskālā rādītāja rezultāts nekad precīzi nesakrīt ar tā prognozēto vērtību. Tomēr, tā kā ilgākā laika periodā novirzes kompensē viena otru, tie </w:t>
      </w:r>
      <w:r w:rsidR="00214D26">
        <w:rPr>
          <w:rFonts w:ascii="Times New Roman" w:hAnsi="Times New Roman" w:cs="Times New Roman"/>
          <w:sz w:val="24"/>
          <w:szCs w:val="24"/>
        </w:rPr>
        <w:t>neapdraud</w:t>
      </w:r>
      <w:r w:rsidRPr="002467D7">
        <w:rPr>
          <w:rFonts w:ascii="Times New Roman" w:hAnsi="Times New Roman" w:cs="Times New Roman"/>
          <w:sz w:val="24"/>
          <w:szCs w:val="24"/>
        </w:rPr>
        <w:t xml:space="preserve"> publisko finanšu ilgtspēj</w:t>
      </w:r>
      <w:r w:rsidR="00214D26">
        <w:rPr>
          <w:rFonts w:ascii="Times New Roman" w:hAnsi="Times New Roman" w:cs="Times New Roman"/>
          <w:sz w:val="24"/>
          <w:szCs w:val="24"/>
        </w:rPr>
        <w:t>u</w:t>
      </w:r>
      <w:r w:rsidRPr="002467D7">
        <w:rPr>
          <w:rFonts w:ascii="Times New Roman" w:hAnsi="Times New Roman" w:cs="Times New Roman"/>
          <w:sz w:val="24"/>
          <w:szCs w:val="24"/>
        </w:rPr>
        <w:t xml:space="preserve"> un fiskālā nodrošinājuma rezervi šiem riskiem neveido.</w:t>
      </w:r>
    </w:p>
    <w:p w14:paraId="0F6845B0" w14:textId="73DAF621" w:rsidR="002F17DB" w:rsidRPr="002467D7" w:rsidRDefault="00590A19" w:rsidP="002F17DB">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Šajā gadījumā būtisks jautājums ir par to, kā konstatēt riska simetriskumu. Viens variants ir analizēt pagātnes datus. Kopumā fiskālo risku vadības sistēma ir relatīvi jauna un nav uzkrāta pietiekama informācija par novirzēm no fiskālajiem rādītājiem iepriekšējos gados, lai šo metodi pilnvērtīgi izmantotu. Tajā pašā laikā par atsevišķiem fiskālajiem riskiem – valsts kapitālsabiedrību </w:t>
      </w:r>
      <w:r w:rsidR="002F17DB" w:rsidRPr="002467D7">
        <w:rPr>
          <w:rFonts w:ascii="Times New Roman" w:hAnsi="Times New Roman" w:cs="Times New Roman"/>
          <w:sz w:val="24"/>
          <w:szCs w:val="24"/>
        </w:rPr>
        <w:t>radītajiem riskiem</w:t>
      </w:r>
      <w:r w:rsidRPr="002467D7">
        <w:rPr>
          <w:rFonts w:ascii="Times New Roman" w:hAnsi="Times New Roman" w:cs="Times New Roman"/>
          <w:sz w:val="24"/>
          <w:szCs w:val="24"/>
        </w:rPr>
        <w:t>, kvantificējamajiem riskiem l</w:t>
      </w:r>
      <w:r w:rsidR="007A32E2" w:rsidRPr="002467D7">
        <w:rPr>
          <w:rFonts w:ascii="Times New Roman" w:hAnsi="Times New Roman" w:cs="Times New Roman"/>
          <w:sz w:val="24"/>
          <w:szCs w:val="24"/>
        </w:rPr>
        <w:t xml:space="preserve">abklājības nozarē un iemaksām </w:t>
      </w:r>
      <w:r w:rsidR="00AE19D7" w:rsidRPr="002467D7">
        <w:rPr>
          <w:rFonts w:ascii="Times New Roman" w:hAnsi="Times New Roman" w:cs="Times New Roman"/>
          <w:sz w:val="24"/>
          <w:szCs w:val="24"/>
        </w:rPr>
        <w:t>Eiropas Savienības (turpmāk - ES)</w:t>
      </w:r>
      <w:r w:rsidR="007A32E2" w:rsidRPr="002467D7">
        <w:rPr>
          <w:rFonts w:ascii="Times New Roman" w:hAnsi="Times New Roman" w:cs="Times New Roman"/>
          <w:sz w:val="24"/>
          <w:szCs w:val="24"/>
        </w:rPr>
        <w:t xml:space="preserve"> </w:t>
      </w:r>
      <w:r w:rsidRPr="002467D7">
        <w:rPr>
          <w:rFonts w:ascii="Times New Roman" w:hAnsi="Times New Roman" w:cs="Times New Roman"/>
          <w:sz w:val="24"/>
          <w:szCs w:val="24"/>
        </w:rPr>
        <w:t>budžetā – uzkrātais datu apjoms ļauj secināt, ka periods, kurā jāvērtē simetriskuma principa piemērošana, ir atšķirīgs, tomēr tam ir jābūt tik garam, lai būtu iespējams veikt pilnu izdevumu cikla novērtējumu t.i. novērot gadījumus, kad faktiskie izdevumi gan pārsniedz plānoto apmēru, gan ir mazāki nekā plānots. Fiskālos riskus var ietekmēt tādi faktori kā ekonomikas cikliskā attīstība,</w:t>
      </w:r>
      <w:r w:rsidR="00682D5F" w:rsidRPr="002467D7">
        <w:rPr>
          <w:rFonts w:ascii="Times New Roman" w:hAnsi="Times New Roman" w:cs="Times New Roman"/>
          <w:sz w:val="24"/>
          <w:szCs w:val="24"/>
        </w:rPr>
        <w:t xml:space="preserve"> normatīvā regulējuma izmaiņas</w:t>
      </w:r>
      <w:r w:rsidRPr="002467D7">
        <w:rPr>
          <w:rFonts w:ascii="Times New Roman" w:hAnsi="Times New Roman" w:cs="Times New Roman"/>
          <w:sz w:val="24"/>
          <w:szCs w:val="24"/>
        </w:rPr>
        <w:t xml:space="preserve">, un savukārt šo faktoru ietekme uz fiskālo risku var būt atšķirīga. </w:t>
      </w:r>
    </w:p>
    <w:p w14:paraId="2E46204C" w14:textId="77777777" w:rsidR="002F17DB" w:rsidRPr="002467D7" w:rsidRDefault="002F17DB" w:rsidP="002F17DB">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Otra metode ir analizēt riska avotu. Ja riska avots ir process, kas, teorētiski ņemot, ģenerē simetriskas novirzes, šajā deklarācijā risks tiek atzīts par simetrisku risku. Tomēr, pastāv iespēja, ka, lai arī teorētiski novirzēm būtu jābūt simetriskām, praksē tas tā nav, jo procesu ietekmē neidentificēti faktori, piemēram, sabiedrības uzvedības maiņa, kas prognozēs netiek pienācīgi ņemtas vērā.</w:t>
      </w:r>
    </w:p>
    <w:p w14:paraId="5351C64B" w14:textId="4EB8E24A" w:rsidR="008C07FB" w:rsidRPr="002467D7" w:rsidRDefault="002F17DB" w:rsidP="008C0513">
      <w:pPr>
        <w:spacing w:after="0" w:line="240" w:lineRule="auto"/>
        <w:ind w:firstLine="720"/>
        <w:jc w:val="both"/>
        <w:rPr>
          <w:rFonts w:ascii="Times New Roman" w:hAnsi="Times New Roman" w:cs="Times New Roman"/>
          <w:sz w:val="24"/>
          <w:szCs w:val="24"/>
        </w:rPr>
      </w:pPr>
      <w:r w:rsidRPr="002467D7">
        <w:rPr>
          <w:rFonts w:ascii="Times New Roman" w:hAnsi="Times New Roman" w:cs="Times New Roman"/>
          <w:sz w:val="24"/>
          <w:szCs w:val="24"/>
        </w:rPr>
        <w:t xml:space="preserve">Līdz ar to periodam, kurā būtu nepieciešams vērtēt fiskālā riska simetriskumu ir jābūt vismaz vidējam termiņam (3 </w:t>
      </w:r>
      <w:r w:rsidR="00711C13" w:rsidRPr="002467D7">
        <w:rPr>
          <w:rFonts w:ascii="Times New Roman" w:hAnsi="Times New Roman" w:cs="Times New Roman"/>
          <w:color w:val="000000"/>
          <w:sz w:val="24"/>
          <w:szCs w:val="24"/>
        </w:rPr>
        <w:t>–</w:t>
      </w:r>
      <w:r w:rsidRPr="002467D7">
        <w:rPr>
          <w:rFonts w:ascii="Times New Roman" w:hAnsi="Times New Roman" w:cs="Times New Roman"/>
          <w:sz w:val="24"/>
          <w:szCs w:val="24"/>
        </w:rPr>
        <w:t xml:space="preserve"> 5 gadi), savukārt</w:t>
      </w:r>
      <w:r w:rsidR="00A3208D">
        <w:rPr>
          <w:rFonts w:ascii="Times New Roman" w:hAnsi="Times New Roman" w:cs="Times New Roman"/>
          <w:sz w:val="24"/>
          <w:szCs w:val="24"/>
        </w:rPr>
        <w:t>,</w:t>
      </w:r>
      <w:r w:rsidRPr="002467D7">
        <w:rPr>
          <w:rFonts w:ascii="Times New Roman" w:hAnsi="Times New Roman" w:cs="Times New Roman"/>
          <w:sz w:val="24"/>
          <w:szCs w:val="24"/>
        </w:rPr>
        <w:t xml:space="preserve"> ja attiecīgajā periodā nav iespējams praktiski konstatēt simetriska fiskālā riska pazīmes, tad</w:t>
      </w:r>
      <w:r w:rsidR="00953696" w:rsidRPr="002467D7">
        <w:rPr>
          <w:rFonts w:ascii="Times New Roman" w:hAnsi="Times New Roman" w:cs="Times New Roman"/>
          <w:sz w:val="24"/>
          <w:szCs w:val="24"/>
        </w:rPr>
        <w:t xml:space="preserve"> novērojumu periods jāpagarina </w:t>
      </w:r>
      <w:r w:rsidRPr="002467D7">
        <w:rPr>
          <w:rFonts w:ascii="Times New Roman" w:hAnsi="Times New Roman" w:cs="Times New Roman"/>
          <w:sz w:val="24"/>
          <w:szCs w:val="24"/>
        </w:rPr>
        <w:t xml:space="preserve">līdz 7 gadiem, ko varētu vērtēt kā ilgtermiņu (angliski: </w:t>
      </w:r>
      <w:r w:rsidRPr="002467D7">
        <w:rPr>
          <w:rFonts w:ascii="Times New Roman" w:hAnsi="Times New Roman" w:cs="Times New Roman"/>
          <w:i/>
          <w:sz w:val="24"/>
          <w:szCs w:val="24"/>
        </w:rPr>
        <w:t>long</w:t>
      </w:r>
      <w:r w:rsidR="00711C13" w:rsidRPr="002467D7">
        <w:rPr>
          <w:rFonts w:ascii="Times New Roman" w:hAnsi="Times New Roman" w:cs="Times New Roman"/>
          <w:color w:val="000000"/>
          <w:sz w:val="24"/>
          <w:szCs w:val="24"/>
        </w:rPr>
        <w:t>–</w:t>
      </w:r>
      <w:r w:rsidRPr="002467D7">
        <w:rPr>
          <w:rFonts w:ascii="Times New Roman" w:hAnsi="Times New Roman" w:cs="Times New Roman"/>
          <w:i/>
          <w:sz w:val="24"/>
          <w:szCs w:val="24"/>
        </w:rPr>
        <w:t>term</w:t>
      </w:r>
      <w:r w:rsidRPr="002467D7">
        <w:rPr>
          <w:rFonts w:ascii="Times New Roman" w:hAnsi="Times New Roman" w:cs="Times New Roman"/>
          <w:sz w:val="24"/>
          <w:szCs w:val="24"/>
        </w:rPr>
        <w:t xml:space="preserve">).  </w:t>
      </w:r>
    </w:p>
    <w:p w14:paraId="03311E6A" w14:textId="77777777" w:rsidR="00953696" w:rsidRPr="002467D7" w:rsidRDefault="00953696">
      <w:pPr>
        <w:rPr>
          <w:rFonts w:ascii="Times New Roman" w:hAnsi="Times New Roman" w:cs="Times New Roman"/>
          <w:sz w:val="24"/>
          <w:szCs w:val="24"/>
        </w:rPr>
      </w:pPr>
      <w:r w:rsidRPr="002467D7">
        <w:rPr>
          <w:rFonts w:ascii="Times New Roman" w:hAnsi="Times New Roman" w:cs="Times New Roman"/>
          <w:sz w:val="24"/>
          <w:szCs w:val="24"/>
        </w:rPr>
        <w:br w:type="page"/>
      </w:r>
    </w:p>
    <w:p w14:paraId="0E6882F5" w14:textId="77777777" w:rsidR="008F58C9" w:rsidRPr="00821D16" w:rsidRDefault="008F58C9" w:rsidP="002467D7">
      <w:pPr>
        <w:pStyle w:val="Heading1"/>
        <w:ind w:left="426"/>
        <w:jc w:val="center"/>
        <w:rPr>
          <w:rFonts w:ascii="Times New Roman" w:hAnsi="Times New Roman" w:cs="Times New Roman"/>
          <w:sz w:val="32"/>
        </w:rPr>
      </w:pPr>
      <w:bookmarkStart w:id="15" w:name="_Toc536779059"/>
      <w:bookmarkStart w:id="16" w:name="_Toc80111849"/>
      <w:r w:rsidRPr="00821D16">
        <w:rPr>
          <w:rFonts w:ascii="Times New Roman" w:hAnsi="Times New Roman" w:cs="Times New Roman"/>
          <w:sz w:val="32"/>
        </w:rPr>
        <w:lastRenderedPageBreak/>
        <w:t>Kvantificējamie fiskālie riski</w:t>
      </w:r>
      <w:bookmarkEnd w:id="15"/>
      <w:bookmarkEnd w:id="16"/>
    </w:p>
    <w:p w14:paraId="5A749831" w14:textId="77777777" w:rsidR="00822D84" w:rsidRPr="00821D16" w:rsidRDefault="00822D84" w:rsidP="009A521C">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17" w:name="_Toc405371076"/>
      <w:bookmarkStart w:id="18" w:name="_Toc536779060"/>
      <w:bookmarkStart w:id="19" w:name="_Toc80111850"/>
      <w:r w:rsidRPr="00821D16">
        <w:rPr>
          <w:rFonts w:ascii="Times New Roman" w:hAnsi="Times New Roman" w:cs="Times New Roman"/>
          <w:color w:val="auto"/>
          <w:sz w:val="24"/>
          <w:szCs w:val="24"/>
        </w:rPr>
        <w:t xml:space="preserve">Valsts </w:t>
      </w:r>
      <w:r w:rsidR="00393298" w:rsidRPr="00821D16">
        <w:rPr>
          <w:rFonts w:ascii="Times New Roman" w:hAnsi="Times New Roman" w:cs="Times New Roman"/>
          <w:color w:val="auto"/>
          <w:sz w:val="24"/>
          <w:szCs w:val="24"/>
        </w:rPr>
        <w:t xml:space="preserve">un pašvaldību </w:t>
      </w:r>
      <w:r w:rsidRPr="00821D16">
        <w:rPr>
          <w:rFonts w:ascii="Times New Roman" w:hAnsi="Times New Roman" w:cs="Times New Roman"/>
          <w:color w:val="auto"/>
          <w:sz w:val="24"/>
          <w:szCs w:val="24"/>
        </w:rPr>
        <w:t>galvojumi</w:t>
      </w:r>
      <w:bookmarkEnd w:id="17"/>
      <w:bookmarkEnd w:id="18"/>
      <w:bookmarkEnd w:id="19"/>
    </w:p>
    <w:p w14:paraId="0FFB1AC1" w14:textId="5A61BE9D" w:rsidR="00821D16" w:rsidRPr="00821D16" w:rsidRDefault="00821D16" w:rsidP="00821D16">
      <w:pPr>
        <w:spacing w:after="0" w:line="240" w:lineRule="auto"/>
        <w:ind w:firstLine="709"/>
        <w:jc w:val="both"/>
        <w:rPr>
          <w:rFonts w:ascii="Times New Roman" w:eastAsia="Calibri" w:hAnsi="Times New Roman"/>
          <w:sz w:val="24"/>
          <w:szCs w:val="24"/>
        </w:rPr>
      </w:pPr>
      <w:r w:rsidRPr="00821D16">
        <w:rPr>
          <w:rFonts w:ascii="Times New Roman" w:eastAsia="Calibri" w:hAnsi="Times New Roman"/>
          <w:sz w:val="24"/>
          <w:szCs w:val="24"/>
        </w:rPr>
        <w:t xml:space="preserve">Valsts galvojumi saskaņā ar fiskālo risku avotu klasifikāciju ir iespējamās saistības, kas izriet no </w:t>
      </w:r>
      <w:r w:rsidR="00A3208D">
        <w:rPr>
          <w:rFonts w:ascii="Times New Roman" w:eastAsia="Calibri" w:hAnsi="Times New Roman"/>
          <w:sz w:val="24"/>
          <w:szCs w:val="24"/>
        </w:rPr>
        <w:t>tiesību aktiem</w:t>
      </w:r>
      <w:r w:rsidR="00A3208D" w:rsidRPr="00821D16">
        <w:rPr>
          <w:rFonts w:ascii="Times New Roman" w:eastAsia="Calibri" w:hAnsi="Times New Roman"/>
          <w:sz w:val="24"/>
          <w:szCs w:val="24"/>
        </w:rPr>
        <w:t xml:space="preserve"> </w:t>
      </w:r>
      <w:r w:rsidRPr="00821D16">
        <w:rPr>
          <w:rFonts w:ascii="Times New Roman" w:eastAsia="Calibri" w:hAnsi="Times New Roman"/>
          <w:sz w:val="24"/>
          <w:szCs w:val="24"/>
        </w:rPr>
        <w:t xml:space="preserve">vai līgumiem. Valsts galvojumu fiskālais risks (turpmāk – galvojumu risks) ir nenoteiktības ietekme uz valsts galvoto aizdevumu saņēmēju (turpmāk – galvojumu saņēmēju) spēju segt savas saistības savlaicīgi un pilnā </w:t>
      </w:r>
      <w:r w:rsidRPr="00103B4E">
        <w:rPr>
          <w:rFonts w:ascii="Times New Roman" w:eastAsia="Calibri" w:hAnsi="Times New Roman"/>
          <w:sz w:val="24"/>
          <w:szCs w:val="24"/>
        </w:rPr>
        <w:t>apmērā</w:t>
      </w:r>
      <w:r>
        <w:rPr>
          <w:rStyle w:val="FootnoteReference"/>
          <w:rFonts w:ascii="Times New Roman" w:eastAsia="Calibri" w:hAnsi="Times New Roman" w:cs="Times New Roman"/>
          <w:sz w:val="24"/>
          <w:szCs w:val="24"/>
        </w:rPr>
        <w:footnoteReference w:id="2"/>
      </w:r>
      <w:r w:rsidRPr="00821D16">
        <w:rPr>
          <w:rFonts w:ascii="Times New Roman" w:eastAsia="Calibri" w:hAnsi="Times New Roman"/>
          <w:sz w:val="24"/>
          <w:szCs w:val="24"/>
        </w:rPr>
        <w:t>, kā rezultātā valstij var rasties pienākums segt saistības pret attiecīgo banku galvojuma saņēmēja vietā. Saskaņā ar MK noteikumiem Nr.229 galvojumu riska fiskālo ietekmi katrā gadā aprēķina kā katra valsts galvotā aizdevuma ārpus vispārējās valdības sektora klasificētām iestādēm attiecīgajā gadā saskaņā ar aizdevuma līguma grafiku plānoto maksājumu kopsummu. Savukārt fiskālā nodrošinājuma rezervi valsts galvojumiem aprēķina, reizinot galvojumu risku fiskālās ietekmes vērtības ar galvojumu risku iestāšanās varbūtībām.</w:t>
      </w:r>
    </w:p>
    <w:p w14:paraId="7AA5E5FE" w14:textId="77A2B567" w:rsidR="00821D16" w:rsidRPr="00821D16" w:rsidRDefault="00A3208D" w:rsidP="00821D16">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V</w:t>
      </w:r>
      <w:r w:rsidRPr="00103B4E">
        <w:rPr>
          <w:rFonts w:ascii="Times New Roman" w:eastAsia="Calibri" w:hAnsi="Times New Roman"/>
          <w:sz w:val="24"/>
          <w:szCs w:val="24"/>
        </w:rPr>
        <w:t>alsts izsniegto galvojumu atlikums 20</w:t>
      </w:r>
      <w:r>
        <w:rPr>
          <w:rFonts w:ascii="Times New Roman" w:eastAsia="Calibri" w:hAnsi="Times New Roman"/>
          <w:sz w:val="24"/>
          <w:szCs w:val="24"/>
        </w:rPr>
        <w:t>20</w:t>
      </w:r>
      <w:r w:rsidRPr="00103B4E">
        <w:rPr>
          <w:rFonts w:ascii="Times New Roman" w:eastAsia="Calibri" w:hAnsi="Times New Roman"/>
          <w:sz w:val="24"/>
          <w:szCs w:val="24"/>
        </w:rPr>
        <w:t>.</w:t>
      </w:r>
      <w:r>
        <w:rPr>
          <w:rFonts w:ascii="Times New Roman" w:eastAsia="Calibri" w:hAnsi="Times New Roman"/>
          <w:sz w:val="24"/>
          <w:szCs w:val="24"/>
        </w:rPr>
        <w:t> </w:t>
      </w:r>
      <w:r w:rsidRPr="00103B4E">
        <w:rPr>
          <w:rFonts w:ascii="Times New Roman" w:eastAsia="Calibri" w:hAnsi="Times New Roman"/>
          <w:sz w:val="24"/>
          <w:szCs w:val="24"/>
        </w:rPr>
        <w:t xml:space="preserve">gada </w:t>
      </w:r>
      <w:r>
        <w:rPr>
          <w:rFonts w:ascii="Times New Roman" w:eastAsia="Calibri" w:hAnsi="Times New Roman"/>
          <w:sz w:val="24"/>
          <w:szCs w:val="24"/>
        </w:rPr>
        <w:t>31. decembrī</w:t>
      </w:r>
      <w:r w:rsidRPr="00103B4E">
        <w:rPr>
          <w:rFonts w:ascii="Times New Roman" w:eastAsia="Calibri" w:hAnsi="Times New Roman"/>
          <w:sz w:val="24"/>
          <w:szCs w:val="24"/>
        </w:rPr>
        <w:t xml:space="preserve"> bija</w:t>
      </w:r>
      <w:r>
        <w:rPr>
          <w:rFonts w:ascii="Times New Roman" w:eastAsia="Calibri" w:hAnsi="Times New Roman"/>
          <w:sz w:val="24"/>
          <w:szCs w:val="24"/>
        </w:rPr>
        <w:t xml:space="preserve"> -541,6</w:t>
      </w:r>
      <w:r w:rsidRPr="00103B4E">
        <w:rPr>
          <w:rFonts w:ascii="Times New Roman" w:eastAsia="Calibri" w:hAnsi="Times New Roman"/>
          <w:sz w:val="24"/>
          <w:szCs w:val="24"/>
        </w:rPr>
        <w:t xml:space="preserve"> milj. </w:t>
      </w:r>
      <w:r w:rsidRPr="00103B4E">
        <w:rPr>
          <w:rFonts w:ascii="Times New Roman" w:eastAsia="Calibri" w:hAnsi="Times New Roman"/>
          <w:i/>
          <w:sz w:val="24"/>
          <w:szCs w:val="24"/>
        </w:rPr>
        <w:t>euro</w:t>
      </w:r>
      <w:r>
        <w:rPr>
          <w:rStyle w:val="FootnoteReference"/>
          <w:rFonts w:ascii="Times New Roman" w:eastAsia="Calibri" w:hAnsi="Times New Roman"/>
          <w:i/>
          <w:sz w:val="24"/>
          <w:szCs w:val="24"/>
        </w:rPr>
        <w:footnoteReference w:id="3"/>
      </w:r>
      <w:r w:rsidRPr="00103B4E">
        <w:rPr>
          <w:rFonts w:ascii="Times New Roman" w:eastAsia="Calibri" w:hAnsi="Times New Roman"/>
          <w:sz w:val="24"/>
          <w:szCs w:val="24"/>
        </w:rPr>
        <w:t>.</w:t>
      </w:r>
      <w:r w:rsidR="008A36F7">
        <w:rPr>
          <w:rFonts w:ascii="Times New Roman" w:eastAsia="Calibri" w:hAnsi="Times New Roman"/>
          <w:sz w:val="24"/>
          <w:szCs w:val="24"/>
        </w:rPr>
        <w:t xml:space="preserve"> Atbilstoši Valsts kases novērtējumam (turpmāk – </w:t>
      </w:r>
      <w:r w:rsidR="008A36F7" w:rsidRPr="00BB69DC">
        <w:rPr>
          <w:rFonts w:ascii="Times New Roman" w:eastAsia="Calibri" w:hAnsi="Times New Roman"/>
          <w:sz w:val="24"/>
          <w:szCs w:val="24"/>
        </w:rPr>
        <w:t>VK</w:t>
      </w:r>
      <w:r w:rsidR="008A36F7">
        <w:rPr>
          <w:rFonts w:ascii="Times New Roman" w:eastAsia="Calibri" w:hAnsi="Times New Roman"/>
          <w:sz w:val="24"/>
          <w:szCs w:val="24"/>
        </w:rPr>
        <w:t>)</w:t>
      </w:r>
      <w:r w:rsidRPr="00103B4E">
        <w:rPr>
          <w:rFonts w:ascii="Times New Roman" w:eastAsia="Calibri" w:hAnsi="Times New Roman"/>
          <w:sz w:val="24"/>
          <w:szCs w:val="24"/>
        </w:rPr>
        <w:t xml:space="preserve"> 20</w:t>
      </w:r>
      <w:r>
        <w:rPr>
          <w:rFonts w:ascii="Times New Roman" w:eastAsia="Calibri" w:hAnsi="Times New Roman"/>
          <w:sz w:val="24"/>
          <w:szCs w:val="24"/>
        </w:rPr>
        <w:t>21</w:t>
      </w:r>
      <w:r w:rsidRPr="00103B4E">
        <w:rPr>
          <w:rFonts w:ascii="Times New Roman" w:eastAsia="Calibri" w:hAnsi="Times New Roman"/>
          <w:sz w:val="24"/>
          <w:szCs w:val="24"/>
        </w:rPr>
        <w:t>.</w:t>
      </w:r>
      <w:r w:rsidR="00512067">
        <w:rPr>
          <w:rFonts w:ascii="Times New Roman" w:eastAsia="Calibri" w:hAnsi="Times New Roman"/>
          <w:sz w:val="24"/>
          <w:szCs w:val="24"/>
        </w:rPr>
        <w:t>-2024.</w:t>
      </w:r>
      <w:r w:rsidRPr="00103B4E">
        <w:rPr>
          <w:rFonts w:ascii="Times New Roman" w:eastAsia="Calibri" w:hAnsi="Times New Roman"/>
          <w:sz w:val="24"/>
          <w:szCs w:val="24"/>
        </w:rPr>
        <w:t xml:space="preserve">gadā </w:t>
      </w:r>
      <w:r>
        <w:rPr>
          <w:rFonts w:ascii="Times New Roman" w:eastAsia="Calibri" w:hAnsi="Times New Roman"/>
          <w:sz w:val="24"/>
          <w:szCs w:val="24"/>
        </w:rPr>
        <w:t xml:space="preserve">nav sagaidāma </w:t>
      </w:r>
      <w:r w:rsidRPr="00103B4E">
        <w:rPr>
          <w:rFonts w:ascii="Times New Roman" w:eastAsia="Calibri" w:hAnsi="Times New Roman"/>
          <w:sz w:val="24"/>
          <w:szCs w:val="24"/>
        </w:rPr>
        <w:t>fiskālā</w:t>
      </w:r>
      <w:r>
        <w:rPr>
          <w:rFonts w:ascii="Times New Roman" w:eastAsia="Calibri" w:hAnsi="Times New Roman"/>
          <w:sz w:val="24"/>
          <w:szCs w:val="24"/>
        </w:rPr>
        <w:t xml:space="preserve"> riska </w:t>
      </w:r>
      <w:r w:rsidRPr="00103B4E">
        <w:rPr>
          <w:rFonts w:ascii="Times New Roman" w:eastAsia="Calibri" w:hAnsi="Times New Roman"/>
          <w:sz w:val="24"/>
          <w:szCs w:val="24"/>
        </w:rPr>
        <w:t>ietekme</w:t>
      </w:r>
      <w:r>
        <w:rPr>
          <w:rStyle w:val="FootnoteReference"/>
          <w:rFonts w:ascii="Times New Roman" w:eastAsia="Calibri" w:hAnsi="Times New Roman"/>
          <w:sz w:val="24"/>
          <w:szCs w:val="24"/>
        </w:rPr>
        <w:footnoteReference w:id="4"/>
      </w:r>
      <w:r w:rsidRPr="00103B4E">
        <w:rPr>
          <w:rFonts w:ascii="Times New Roman" w:eastAsia="Calibri" w:hAnsi="Times New Roman"/>
          <w:sz w:val="24"/>
          <w:szCs w:val="24"/>
        </w:rPr>
        <w:t xml:space="preserve"> </w:t>
      </w:r>
      <w:r w:rsidRPr="003F743C">
        <w:rPr>
          <w:rFonts w:ascii="Times New Roman" w:eastAsia="Calibri" w:hAnsi="Times New Roman"/>
          <w:sz w:val="24"/>
          <w:szCs w:val="24"/>
        </w:rPr>
        <w:t>uz vispārējās valdības budžeta bilanci</w:t>
      </w:r>
      <w:r>
        <w:rPr>
          <w:rFonts w:ascii="Times New Roman" w:eastAsia="Calibri" w:hAnsi="Times New Roman"/>
          <w:sz w:val="24"/>
          <w:szCs w:val="24"/>
        </w:rPr>
        <w:t xml:space="preserve"> no valsts </w:t>
      </w:r>
      <w:r w:rsidRPr="00103B4E">
        <w:rPr>
          <w:rFonts w:ascii="Times New Roman" w:eastAsia="Calibri" w:hAnsi="Times New Roman"/>
          <w:sz w:val="24"/>
          <w:szCs w:val="24"/>
        </w:rPr>
        <w:t>galvojumu portfe</w:t>
      </w:r>
      <w:r>
        <w:rPr>
          <w:rFonts w:ascii="Times New Roman" w:eastAsia="Calibri" w:hAnsi="Times New Roman"/>
          <w:sz w:val="24"/>
          <w:szCs w:val="24"/>
        </w:rPr>
        <w:t>ļa</w:t>
      </w:r>
      <w:r>
        <w:rPr>
          <w:rStyle w:val="FootnoteReference"/>
          <w:rFonts w:ascii="Times New Roman" w:eastAsia="Calibri" w:hAnsi="Times New Roman"/>
          <w:sz w:val="24"/>
          <w:szCs w:val="24"/>
        </w:rPr>
        <w:footnoteReference w:id="5"/>
      </w:r>
      <w:r>
        <w:rPr>
          <w:rFonts w:ascii="Times New Roman" w:eastAsia="Calibri" w:hAnsi="Times New Roman"/>
          <w:sz w:val="24"/>
          <w:szCs w:val="24"/>
        </w:rPr>
        <w:t>.</w:t>
      </w:r>
      <w:r w:rsidR="00821D16" w:rsidRPr="00821D16">
        <w:rPr>
          <w:rFonts w:ascii="Times New Roman" w:eastAsia="Calibri" w:hAnsi="Times New Roman"/>
          <w:sz w:val="24"/>
          <w:szCs w:val="24"/>
        </w:rPr>
        <w:t xml:space="preserve">Galvojumu risks tiek vadīts, regulāri uzraugot galvojumu saņēmēju finanšu stāvokli (vienu reizi ceturksnī tiek saņemti operatīvie finanšu pārskati par trim, sešiem, deviņiem un divpadsmit mēnešiem, tai skaitā bilance, peļņas vai zaudējumu aprēķins un naudas plūsmas pārskats, un vienu reizi gadā tiek saņemti revidēti gada pārskati, uz kuru pamata tiek izvērtēta galvojumu saņēmēju pelnītspēja, apgrozāmo līdzekļu pietiekamība īstermiņa saistību segšanai un kapitāla struktūra), kredītvēsturi un nodrošinājuma likviditāti un pietiekamību. Situācijās, kad galvojumu risks ir paaugstināts, tiek veikti papildu uzraudzības pasākumi, tai skaitā ikmēneša finanšu pārskatu un atjaunotu biznesa plānu pieprasīšana, tikšanās ar galvojuma saņēmēja vadību. </w:t>
      </w:r>
    </w:p>
    <w:p w14:paraId="497528E6" w14:textId="7C057CAA" w:rsidR="00821D16" w:rsidRPr="00821D16" w:rsidRDefault="00821D16" w:rsidP="00821D16">
      <w:pPr>
        <w:spacing w:after="0" w:line="240" w:lineRule="auto"/>
        <w:ind w:firstLine="709"/>
        <w:jc w:val="both"/>
        <w:rPr>
          <w:rFonts w:ascii="Times New Roman" w:eastAsia="Calibri" w:hAnsi="Times New Roman"/>
          <w:sz w:val="24"/>
          <w:szCs w:val="24"/>
        </w:rPr>
      </w:pPr>
      <w:r w:rsidRPr="00821D16">
        <w:rPr>
          <w:rFonts w:ascii="Times New Roman" w:eastAsia="Calibri" w:hAnsi="Times New Roman"/>
          <w:sz w:val="24"/>
          <w:szCs w:val="24"/>
        </w:rPr>
        <w:t xml:space="preserve">Likumā par budžetu un finanšu vadību ir noteikts potenciālo valsts galvojuma saņēmēju loks un mērķi, kā arī nosacījumi, kuriem īstenojoties valsts galvojumu nesniedz. Valsts galvojumu sniegšanas un uzraudzības kārtību nosaka 2014.gada 8.jūlija MK noteikumi Nr.391 „Kārtība, kādā gadskārtējā valsts budžeta likumprojektā iekļauj pieprasījumus valsts vārdā sniedzamajiem galvojumiem, un galvojumu sniegšanas un uzraudzības kārtība”, kas paredz paaugstināta aizdevuma atmaksas riska noteikšanas kritērijus, kas ir viens no nosacījumiem, kuram īstenojoties valsts galvojumu nesniedz, pienākumus nozares ministrijai, </w:t>
      </w:r>
      <w:r w:rsidR="00D11383" w:rsidRPr="00176E95">
        <w:rPr>
          <w:rFonts w:ascii="Times New Roman" w:eastAsia="Calibri" w:hAnsi="Times New Roman"/>
          <w:sz w:val="24"/>
          <w:szCs w:val="24"/>
        </w:rPr>
        <w:t>VK</w:t>
      </w:r>
      <w:r w:rsidRPr="00821D16">
        <w:rPr>
          <w:rFonts w:ascii="Times New Roman" w:eastAsia="Calibri" w:hAnsi="Times New Roman"/>
          <w:sz w:val="24"/>
          <w:szCs w:val="24"/>
        </w:rPr>
        <w:t xml:space="preserve"> un galvojuma saņēmējam valsts galvoto saistību uzraudzības procesā un rīcību galvojuma saņēmēja finanšu rādītāju vai nodrošinājuma vērtības samazināšanās gadījumā (iespēja pārskatīt riska procentu likmi, pieprasīt zvērināta revidenta atzinumu par finansiālo stāvokli, kā arī tiesības piekļūt galvojuma saņēmēja informācijai, kas attiecas uz tā saimniecisko darbību un valsts galvotā aizdevuma izlietošanu), lai tiktu nodrošināta valsts interešu aizsardzība. </w:t>
      </w:r>
    </w:p>
    <w:p w14:paraId="060D3B66" w14:textId="31C1767A" w:rsidR="00821D16" w:rsidRDefault="00821D16" w:rsidP="00821D16">
      <w:pPr>
        <w:spacing w:after="0" w:line="240" w:lineRule="auto"/>
        <w:ind w:firstLine="709"/>
        <w:jc w:val="both"/>
        <w:rPr>
          <w:rFonts w:ascii="Times New Roman" w:eastAsia="Calibri" w:hAnsi="Times New Roman"/>
          <w:sz w:val="24"/>
          <w:szCs w:val="24"/>
        </w:rPr>
      </w:pPr>
      <w:r w:rsidRPr="00821D16">
        <w:rPr>
          <w:rFonts w:ascii="Times New Roman" w:eastAsia="Calibri" w:hAnsi="Times New Roman"/>
          <w:sz w:val="24"/>
          <w:szCs w:val="24"/>
        </w:rPr>
        <w:t>Valsts galvoto aizdevumu portfeļa uzraudzības procesa ietvaros galvojumu saņēmējiem, kuru kredītspēja atbilstoši V</w:t>
      </w:r>
      <w:r w:rsidR="00D11383">
        <w:rPr>
          <w:rFonts w:ascii="Times New Roman" w:eastAsia="Calibri" w:hAnsi="Times New Roman"/>
          <w:sz w:val="24"/>
          <w:szCs w:val="24"/>
        </w:rPr>
        <w:t xml:space="preserve">K </w:t>
      </w:r>
      <w:r w:rsidRPr="00821D16">
        <w:rPr>
          <w:rFonts w:ascii="Times New Roman" w:eastAsia="Calibri" w:hAnsi="Times New Roman"/>
          <w:sz w:val="24"/>
          <w:szCs w:val="24"/>
        </w:rPr>
        <w:t xml:space="preserve">iekšējiem noteikumiem tiek vērtēta kā „vāja” vai „slikta”, divas reizes gadā finanšu ministram tiek sagatavots ziņojums ar priekšlikumiem par nepieciešamo rīcību valsts interešu ievērošanai. </w:t>
      </w:r>
      <w:r w:rsidR="00E752AC">
        <w:rPr>
          <w:rFonts w:ascii="Times New Roman" w:eastAsia="Calibri" w:hAnsi="Times New Roman"/>
          <w:sz w:val="24"/>
          <w:szCs w:val="24"/>
        </w:rPr>
        <w:t>V</w:t>
      </w:r>
      <w:r w:rsidR="00E752AC" w:rsidRPr="00821D16">
        <w:rPr>
          <w:rFonts w:ascii="Times New Roman" w:eastAsia="Calibri" w:hAnsi="Times New Roman"/>
          <w:sz w:val="24"/>
          <w:szCs w:val="24"/>
        </w:rPr>
        <w:t xml:space="preserve">ienu </w:t>
      </w:r>
      <w:r w:rsidRPr="00821D16">
        <w:rPr>
          <w:rFonts w:ascii="Times New Roman" w:eastAsia="Calibri" w:hAnsi="Times New Roman"/>
          <w:sz w:val="24"/>
          <w:szCs w:val="24"/>
        </w:rPr>
        <w:t>reizi gadā finanšu ministrs iesniedz MK informatīvo ziņojumu par valsts galvoto aizdevumu portfeļa kvalitāti.</w:t>
      </w:r>
      <w:r w:rsidR="00E752AC" w:rsidRPr="00821D16">
        <w:rPr>
          <w:rFonts w:ascii="Times New Roman" w:eastAsia="Calibri" w:hAnsi="Times New Roman"/>
          <w:sz w:val="24"/>
          <w:szCs w:val="24"/>
        </w:rPr>
        <w:t xml:space="preserve">Savukārt </w:t>
      </w:r>
      <w:r>
        <w:rPr>
          <w:rFonts w:ascii="Times New Roman" w:eastAsia="Calibri" w:hAnsi="Times New Roman"/>
          <w:sz w:val="24"/>
          <w:szCs w:val="24"/>
        </w:rPr>
        <w:t>20</w:t>
      </w:r>
      <w:r w:rsidR="002D3ED9">
        <w:rPr>
          <w:rFonts w:ascii="Times New Roman" w:eastAsia="Calibri" w:hAnsi="Times New Roman"/>
          <w:sz w:val="24"/>
          <w:szCs w:val="24"/>
        </w:rPr>
        <w:t>20</w:t>
      </w:r>
      <w:r w:rsidRPr="00821D16">
        <w:rPr>
          <w:rFonts w:ascii="Times New Roman" w:eastAsia="Calibri" w:hAnsi="Times New Roman"/>
          <w:sz w:val="24"/>
          <w:szCs w:val="24"/>
        </w:rPr>
        <w:t>.gada kopējais pieļaujamais pašvaldību galvojumu saistību palielinājums 20</w:t>
      </w:r>
      <w:r w:rsidR="002D3ED9">
        <w:rPr>
          <w:rFonts w:ascii="Times New Roman" w:eastAsia="Calibri" w:hAnsi="Times New Roman"/>
          <w:sz w:val="24"/>
          <w:szCs w:val="24"/>
        </w:rPr>
        <w:t>20</w:t>
      </w:r>
      <w:r w:rsidRPr="00821D16">
        <w:rPr>
          <w:rFonts w:ascii="Times New Roman" w:eastAsia="Calibri" w:hAnsi="Times New Roman"/>
          <w:sz w:val="24"/>
          <w:szCs w:val="24"/>
        </w:rPr>
        <w:t xml:space="preserve">.gada valsts budžeta likumā </w:t>
      </w:r>
      <w:r w:rsidR="00D60390">
        <w:rPr>
          <w:rFonts w:ascii="Times New Roman" w:eastAsia="Calibri" w:hAnsi="Times New Roman"/>
          <w:sz w:val="24"/>
          <w:szCs w:val="24"/>
        </w:rPr>
        <w:t>bija</w:t>
      </w:r>
      <w:r w:rsidR="00D60390" w:rsidRPr="00821D16">
        <w:rPr>
          <w:rFonts w:ascii="Times New Roman" w:eastAsia="Calibri" w:hAnsi="Times New Roman"/>
          <w:sz w:val="24"/>
          <w:szCs w:val="24"/>
        </w:rPr>
        <w:t xml:space="preserve"> </w:t>
      </w:r>
      <w:r w:rsidRPr="00821D16">
        <w:rPr>
          <w:rFonts w:ascii="Times New Roman" w:eastAsia="Calibri" w:hAnsi="Times New Roman"/>
          <w:sz w:val="24"/>
          <w:szCs w:val="24"/>
        </w:rPr>
        <w:t xml:space="preserve">56 914 872 </w:t>
      </w:r>
      <w:r w:rsidRPr="00E752AC">
        <w:rPr>
          <w:rFonts w:ascii="Times New Roman" w:eastAsia="Calibri" w:hAnsi="Times New Roman"/>
          <w:i/>
          <w:sz w:val="24"/>
          <w:szCs w:val="24"/>
        </w:rPr>
        <w:t>euro</w:t>
      </w:r>
      <w:r w:rsidR="002D3ED9">
        <w:rPr>
          <w:rFonts w:ascii="Times New Roman" w:eastAsia="Calibri" w:hAnsi="Times New Roman"/>
          <w:i/>
          <w:sz w:val="24"/>
          <w:szCs w:val="24"/>
        </w:rPr>
        <w:t xml:space="preserve"> </w:t>
      </w:r>
      <w:r w:rsidR="002D3ED9">
        <w:rPr>
          <w:rFonts w:ascii="Times New Roman" w:eastAsia="Calibri" w:hAnsi="Times New Roman"/>
          <w:sz w:val="24"/>
          <w:szCs w:val="24"/>
        </w:rPr>
        <w:t xml:space="preserve">par </w:t>
      </w:r>
      <w:r w:rsidR="002D3ED9" w:rsidRPr="00817006">
        <w:rPr>
          <w:rFonts w:ascii="Times New Roman" w:eastAsia="Calibri" w:hAnsi="Times New Roman"/>
          <w:sz w:val="24"/>
          <w:szCs w:val="24"/>
        </w:rPr>
        <w:t>tām parāda saistībām, kuras uzņemas pašvaldības kapitālsabiedrības investīciju projektu īstenošanai</w:t>
      </w:r>
      <w:r w:rsidR="002D3ED9">
        <w:rPr>
          <w:rFonts w:ascii="Times New Roman" w:eastAsia="Calibri" w:hAnsi="Times New Roman"/>
          <w:sz w:val="24"/>
          <w:szCs w:val="24"/>
        </w:rPr>
        <w:t xml:space="preserve"> vai </w:t>
      </w:r>
      <w:r w:rsidR="002D3ED9" w:rsidRPr="00817006">
        <w:rPr>
          <w:rFonts w:ascii="Times New Roman" w:eastAsia="Calibri" w:hAnsi="Times New Roman"/>
          <w:sz w:val="24"/>
          <w:szCs w:val="24"/>
        </w:rPr>
        <w:t xml:space="preserve">kuras </w:t>
      </w:r>
      <w:r w:rsidR="002D3ED9" w:rsidRPr="00817006">
        <w:rPr>
          <w:rFonts w:ascii="Times New Roman" w:eastAsia="Calibri" w:hAnsi="Times New Roman"/>
          <w:sz w:val="24"/>
          <w:szCs w:val="24"/>
        </w:rPr>
        <w:lastRenderedPageBreak/>
        <w:t>uzņemas studējošie studiju kredīta un studējošo kredīta saņemšanai no kredītiestādes</w:t>
      </w:r>
      <w:r w:rsidR="002D3ED9">
        <w:rPr>
          <w:rFonts w:ascii="Times New Roman" w:eastAsia="Calibri" w:hAnsi="Times New Roman"/>
          <w:sz w:val="24"/>
          <w:szCs w:val="24"/>
        </w:rPr>
        <w:t>.</w:t>
      </w:r>
      <w:r w:rsidR="00214D26">
        <w:rPr>
          <w:rFonts w:ascii="Times New Roman" w:eastAsia="Calibri" w:hAnsi="Times New Roman"/>
          <w:sz w:val="24"/>
          <w:szCs w:val="24"/>
        </w:rPr>
        <w:t xml:space="preserve"> </w:t>
      </w:r>
      <w:r w:rsidRPr="00821D16">
        <w:rPr>
          <w:rFonts w:ascii="Times New Roman" w:eastAsia="Calibri" w:hAnsi="Times New Roman"/>
          <w:sz w:val="24"/>
          <w:szCs w:val="24"/>
        </w:rPr>
        <w:t xml:space="preserve">Vērtējot pašvaldības galvojuma pieprasījumu, tiek vērtēta pašvaldības esošo saistību (aizņēmumu saistību izpilde noteiktajos termiņos un apmēros) un pašvaldības spēja uzņemties jaunas galvojumu saistības. Pašvaldībām saistību apmēru vērtē procentos, t.i., attiecīgajā gadā atmaksājamās summas pret pamatbudžeta plānotajiem ieņēmumiem bez valsts budžeta transfertiem noteiktam mērķim un iemaksām Pašvaldību finanšu izlīdzināšanas fondā. Minētais rādītājs tiek vērtēts, jo pašvaldību finanšu stabilizācijas riska iespēja var iestāties, ja pašvaldības parāda saistības, kurām iestājies atmaksāšanas termiņš kārtējā saimnieciskajā gadā, kopā ar iepriekšējo gadu parāda saistībām, kurām iestājies atmaksāšanas termiņš, pārsniedz 20% no pašvaldības kārtējā saimnieciskā gada budžeta kopapjoma. </w:t>
      </w:r>
    </w:p>
    <w:p w14:paraId="1964F9C0" w14:textId="065A1737" w:rsidR="009B7B4F" w:rsidRPr="006E72FB" w:rsidRDefault="009B7B4F" w:rsidP="009B7B4F">
      <w:pPr>
        <w:pStyle w:val="NormalWeb"/>
        <w:spacing w:before="0" w:beforeAutospacing="0" w:after="0" w:afterAutospacing="0"/>
        <w:ind w:firstLine="720"/>
        <w:jc w:val="both"/>
        <w:textAlignment w:val="baseline"/>
      </w:pPr>
      <w:r>
        <w:t>Kopējais pašva</w:t>
      </w:r>
      <w:r w:rsidR="00B11F61">
        <w:t>ldību galvojuma portfelis 20</w:t>
      </w:r>
      <w:r w:rsidR="002D3ED9">
        <w:t>20</w:t>
      </w:r>
      <w:r w:rsidR="00B11F61">
        <w:t>.gada 31.</w:t>
      </w:r>
      <w:r>
        <w:t xml:space="preserve">decembrī bija </w:t>
      </w:r>
      <w:r w:rsidR="002D3ED9">
        <w:t>106 503</w:t>
      </w:r>
      <w:r w:rsidR="00612DE3">
        <w:t> </w:t>
      </w:r>
      <w:r w:rsidR="002D3ED9">
        <w:t>412</w:t>
      </w:r>
      <w:r w:rsidR="00612DE3">
        <w:t xml:space="preserve"> </w:t>
      </w:r>
      <w:r>
        <w:rPr>
          <w:i/>
        </w:rPr>
        <w:t>euro</w:t>
      </w:r>
      <w:r>
        <w:t xml:space="preserve">, t.sk. </w:t>
      </w:r>
      <w:r w:rsidR="00612DE3" w:rsidRPr="00BB69DC">
        <w:t>89 016 027</w:t>
      </w:r>
      <w:r w:rsidR="00612DE3">
        <w:rPr>
          <w:color w:val="1F497D"/>
        </w:rPr>
        <w:t xml:space="preserve"> </w:t>
      </w:r>
      <w:r>
        <w:rPr>
          <w:i/>
        </w:rPr>
        <w:t>euro</w:t>
      </w:r>
      <w:r>
        <w:t>, kurus pašvaldības snieguša</w:t>
      </w:r>
      <w:r w:rsidR="00B11F61">
        <w:t>s par valsts aizdevumiem. 20</w:t>
      </w:r>
      <w:r w:rsidR="00612DE3">
        <w:t>20</w:t>
      </w:r>
      <w:r w:rsidR="00B11F61">
        <w:t>.</w:t>
      </w:r>
      <w:r>
        <w:t xml:space="preserve">gadā pašvaldības izsniegušas galvojumus tikai </w:t>
      </w:r>
      <w:r w:rsidR="00612DE3">
        <w:t xml:space="preserve">20 028 382 </w:t>
      </w:r>
      <w:r>
        <w:rPr>
          <w:i/>
        </w:rPr>
        <w:t>euro</w:t>
      </w:r>
      <w:r>
        <w:t xml:space="preserve"> apmērā, kas ir </w:t>
      </w:r>
      <w:r w:rsidR="00612DE3">
        <w:t>35</w:t>
      </w:r>
      <w:r>
        <w:t>% no maksimāli pieļaujamā no jauna izsniedzamo galvojumu apmēra.</w:t>
      </w:r>
    </w:p>
    <w:p w14:paraId="642D7942" w14:textId="49395C4E" w:rsidR="009B7B4F" w:rsidRDefault="009B7B4F" w:rsidP="009B7B4F">
      <w:pPr>
        <w:spacing w:before="240"/>
        <w:ind w:firstLine="720"/>
        <w:jc w:val="right"/>
        <w:rPr>
          <w:rFonts w:ascii="Times New Roman" w:hAnsi="Times New Roman" w:cs="Times New Roman"/>
          <w:b/>
          <w:i/>
          <w:sz w:val="24"/>
          <w:szCs w:val="24"/>
        </w:rPr>
      </w:pPr>
      <w:r w:rsidRPr="00167534">
        <w:rPr>
          <w:rFonts w:ascii="Times New Roman" w:hAnsi="Times New Roman" w:cs="Times New Roman"/>
          <w:b/>
          <w:sz w:val="24"/>
          <w:szCs w:val="24"/>
        </w:rPr>
        <w:t>Tabula Nr.</w:t>
      </w:r>
      <w:r>
        <w:rPr>
          <w:rFonts w:ascii="Times New Roman" w:hAnsi="Times New Roman" w:cs="Times New Roman"/>
          <w:b/>
          <w:sz w:val="24"/>
          <w:szCs w:val="24"/>
        </w:rPr>
        <w:t>3</w:t>
      </w:r>
      <w:r w:rsidRPr="00167534">
        <w:rPr>
          <w:rFonts w:ascii="Times New Roman" w:hAnsi="Times New Roman" w:cs="Times New Roman"/>
          <w:b/>
          <w:sz w:val="24"/>
          <w:szCs w:val="24"/>
        </w:rPr>
        <w:t xml:space="preserve"> </w:t>
      </w:r>
      <w:r>
        <w:rPr>
          <w:rFonts w:ascii="Times New Roman" w:hAnsi="Times New Roman" w:cs="Times New Roman"/>
          <w:b/>
          <w:sz w:val="24"/>
          <w:szCs w:val="24"/>
        </w:rPr>
        <w:t>TOP 10 Pašvaldību galvojumu apjoms</w:t>
      </w:r>
      <w:r w:rsidR="00FF319D">
        <w:rPr>
          <w:rFonts w:ascii="Times New Roman" w:hAnsi="Times New Roman" w:cs="Times New Roman"/>
          <w:b/>
          <w:sz w:val="24"/>
          <w:szCs w:val="24"/>
        </w:rPr>
        <w:t xml:space="preserve"> 20</w:t>
      </w:r>
      <w:r w:rsidR="00330B7C">
        <w:rPr>
          <w:rFonts w:ascii="Times New Roman" w:hAnsi="Times New Roman" w:cs="Times New Roman"/>
          <w:b/>
          <w:sz w:val="24"/>
          <w:szCs w:val="24"/>
        </w:rPr>
        <w:t>20</w:t>
      </w:r>
      <w:r w:rsidR="00FF319D">
        <w:rPr>
          <w:rFonts w:ascii="Times New Roman" w:hAnsi="Times New Roman" w:cs="Times New Roman"/>
          <w:b/>
          <w:sz w:val="24"/>
          <w:szCs w:val="24"/>
        </w:rPr>
        <w:t>.gada 31.decembrī</w:t>
      </w:r>
      <w:r>
        <w:rPr>
          <w:rFonts w:ascii="Times New Roman" w:hAnsi="Times New Roman" w:cs="Times New Roman"/>
          <w:b/>
          <w:sz w:val="24"/>
          <w:szCs w:val="24"/>
        </w:rPr>
        <w:t xml:space="preserve">, </w:t>
      </w:r>
      <w:r>
        <w:rPr>
          <w:rFonts w:ascii="Times New Roman" w:hAnsi="Times New Roman" w:cs="Times New Roman"/>
          <w:b/>
          <w:i/>
          <w:sz w:val="24"/>
          <w:szCs w:val="24"/>
        </w:rPr>
        <w:t>euro</w:t>
      </w:r>
    </w:p>
    <w:p w14:paraId="4E6B701E" w14:textId="3C781E8A" w:rsidR="00330B7C" w:rsidRPr="00CE2550" w:rsidRDefault="00330B7C" w:rsidP="00BB69DC">
      <w:pPr>
        <w:spacing w:before="240"/>
        <w:ind w:firstLine="720"/>
        <w:jc w:val="center"/>
        <w:rPr>
          <w:rFonts w:ascii="Times New Roman" w:hAnsi="Times New Roman" w:cs="Times New Roman"/>
          <w:b/>
          <w:i/>
          <w:sz w:val="24"/>
          <w:szCs w:val="24"/>
        </w:rPr>
      </w:pPr>
      <w:r w:rsidRPr="00127305">
        <w:rPr>
          <w:noProof/>
          <w:lang w:eastAsia="lv-LV"/>
        </w:rPr>
        <w:drawing>
          <wp:inline distT="0" distB="0" distL="0" distR="0" wp14:anchorId="67385A1D" wp14:editId="77E5FD66">
            <wp:extent cx="4095750" cy="272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724150"/>
                    </a:xfrm>
                    <a:prstGeom prst="rect">
                      <a:avLst/>
                    </a:prstGeom>
                    <a:noFill/>
                    <a:ln>
                      <a:noFill/>
                    </a:ln>
                  </pic:spPr>
                </pic:pic>
              </a:graphicData>
            </a:graphic>
          </wp:inline>
        </w:drawing>
      </w:r>
    </w:p>
    <w:p w14:paraId="0D031E92" w14:textId="77777777" w:rsidR="009B7B4F" w:rsidRPr="00821D16" w:rsidRDefault="009B7B4F" w:rsidP="00821D16">
      <w:pPr>
        <w:spacing w:after="0" w:line="240" w:lineRule="auto"/>
        <w:ind w:firstLine="709"/>
        <w:jc w:val="both"/>
        <w:rPr>
          <w:rFonts w:ascii="Times New Roman" w:eastAsia="Calibri" w:hAnsi="Times New Roman"/>
          <w:sz w:val="24"/>
          <w:szCs w:val="24"/>
        </w:rPr>
      </w:pPr>
    </w:p>
    <w:p w14:paraId="1C522B22" w14:textId="52BB48B4" w:rsidR="00330B7C" w:rsidRPr="00AE19D7" w:rsidRDefault="00821D16" w:rsidP="00330B7C">
      <w:pPr>
        <w:pStyle w:val="NormalWeb"/>
        <w:spacing w:before="0" w:beforeAutospacing="0" w:after="0" w:afterAutospacing="0"/>
        <w:ind w:firstLine="709"/>
        <w:jc w:val="both"/>
        <w:textAlignment w:val="baseline"/>
      </w:pPr>
      <w:bookmarkStart w:id="20" w:name="_Toc405371081"/>
      <w:bookmarkStart w:id="21" w:name="_Toc536779061"/>
      <w:bookmarkStart w:id="22" w:name="_Toc405371077"/>
      <w:r w:rsidRPr="00D824B9">
        <w:t>20</w:t>
      </w:r>
      <w:r w:rsidR="00330B7C">
        <w:t>20</w:t>
      </w:r>
      <w:r w:rsidRPr="00D824B9">
        <w:t>.gadā ir nodrošināts stingrs un fiskāli atbildīgs aizņēmumu un galvojumu saistību uzņemšanās un izpildes process</w:t>
      </w:r>
      <w:r w:rsidR="00330B7C" w:rsidRPr="00330B7C">
        <w:t xml:space="preserve"> </w:t>
      </w:r>
      <w:r w:rsidR="00330B7C">
        <w:t>Š.g. 1.jūlijā, stājoties</w:t>
      </w:r>
      <w:r w:rsidR="00330B7C" w:rsidRPr="00E20212">
        <w:t xml:space="preserve"> spēkā jauna</w:t>
      </w:r>
      <w:r w:rsidR="00330B7C">
        <w:t>jam</w:t>
      </w:r>
      <w:r w:rsidR="00330B7C" w:rsidRPr="00E20985">
        <w:t xml:space="preserve"> Latvi</w:t>
      </w:r>
      <w:r w:rsidR="00330B7C">
        <w:t>jas administratīvi teritoriālajam</w:t>
      </w:r>
      <w:r w:rsidR="00330B7C" w:rsidRPr="00E20212">
        <w:t xml:space="preserve"> iedalījum</w:t>
      </w:r>
      <w:r w:rsidR="00330B7C">
        <w:t>am</w:t>
      </w:r>
      <w:r w:rsidR="00330B7C" w:rsidRPr="00E20985">
        <w:t xml:space="preserve">, </w:t>
      </w:r>
      <w:r w:rsidR="00330B7C">
        <w:t xml:space="preserve">tikai četrām pašvaldībām saistību (aizņēmumu, galvojumu, citu ilgtermiņa saistību) apmērs </w:t>
      </w:r>
      <w:r w:rsidR="00330B7C" w:rsidRPr="00E20985">
        <w:t>no pašvaldības kārtējā saimnieciskā gada budžeta kopapjom</w:t>
      </w:r>
      <w:r w:rsidR="00330B7C">
        <w:rPr>
          <w:rFonts w:ascii="Arial" w:hAnsi="Arial" w:cs="Arial"/>
          <w:color w:val="414142"/>
          <w:sz w:val="20"/>
          <w:szCs w:val="20"/>
          <w:shd w:val="clear" w:color="auto" w:fill="FFFFFF"/>
        </w:rPr>
        <w:t xml:space="preserve">a </w:t>
      </w:r>
      <w:r w:rsidR="00330B7C">
        <w:t>ir intervālā no 11% līdz 14%. Pārējo pašvaldību saistību apmērs nepārsniedz 10%.</w:t>
      </w:r>
    </w:p>
    <w:p w14:paraId="2E26367A" w14:textId="5298428C" w:rsidR="00FA0A99" w:rsidRDefault="00FA0A99" w:rsidP="00330B7C">
      <w:pPr>
        <w:pStyle w:val="NormalWeb"/>
        <w:spacing w:before="0" w:beforeAutospacing="0" w:after="0" w:afterAutospacing="0"/>
        <w:ind w:firstLine="720"/>
        <w:jc w:val="both"/>
        <w:textAlignment w:val="baseline"/>
      </w:pPr>
      <w:r w:rsidRPr="009D5D6C">
        <w:t>20</w:t>
      </w:r>
      <w:r>
        <w:t>2</w:t>
      </w:r>
      <w:r w:rsidR="00330B7C">
        <w:t>1</w:t>
      </w:r>
      <w:r>
        <w:t>.gadā</w:t>
      </w:r>
      <w:r w:rsidRPr="009D5D6C">
        <w:t xml:space="preserve"> kopējais pieļaujamais pašvaldību galvojumu saistību palielinājums 20</w:t>
      </w:r>
      <w:r>
        <w:t>2</w:t>
      </w:r>
      <w:r w:rsidR="00330B7C">
        <w:t>1</w:t>
      </w:r>
      <w:r w:rsidRPr="009D5D6C">
        <w:t xml:space="preserve">.gada valsts budžeta likumā </w:t>
      </w:r>
      <w:r w:rsidRPr="00191E2E">
        <w:t xml:space="preserve">ir </w:t>
      </w:r>
      <w:r>
        <w:t xml:space="preserve">noteikts </w:t>
      </w:r>
      <w:r w:rsidRPr="00191E2E">
        <w:t xml:space="preserve">56 914 872  </w:t>
      </w:r>
      <w:r w:rsidRPr="00191E2E">
        <w:rPr>
          <w:i/>
        </w:rPr>
        <w:t>euro</w:t>
      </w:r>
      <w:r>
        <w:t xml:space="preserve"> apmērā</w:t>
      </w:r>
      <w:r w:rsidR="00330B7C">
        <w:t xml:space="preserve"> </w:t>
      </w:r>
      <w:r w:rsidR="00330B7C" w:rsidRPr="00E20985">
        <w:t>par tām parāda saistībām, kuras uzņemas pašvaldības kapitālsabiedrības investīciju projektu īstenošanai</w:t>
      </w:r>
      <w:r w:rsidR="00330B7C" w:rsidRPr="00191E2E">
        <w:t>.</w:t>
      </w:r>
    </w:p>
    <w:p w14:paraId="0B04A3B1" w14:textId="363DE0E8" w:rsidR="00FA0A99" w:rsidRPr="00AE19D7" w:rsidRDefault="00FA0A99" w:rsidP="00FA0A99">
      <w:pPr>
        <w:pStyle w:val="NormalWeb"/>
        <w:spacing w:before="0" w:beforeAutospacing="0" w:after="0" w:afterAutospacing="0"/>
        <w:ind w:firstLine="720"/>
        <w:jc w:val="both"/>
        <w:textAlignment w:val="baseline"/>
      </w:pPr>
      <w:r>
        <w:t>20</w:t>
      </w:r>
      <w:r w:rsidR="00330B7C">
        <w:t>20</w:t>
      </w:r>
      <w:r>
        <w:t>.gadā pašvaldību galvoto valsts aizdevumu atmaksa ir veikta atbilstoši to atmaksu grafikiem un nav bijusi nepieciešamība pieprasīt pašvaldību galvojumu izpildi.</w:t>
      </w:r>
    </w:p>
    <w:p w14:paraId="566B2D22" w14:textId="06A6F8CB" w:rsidR="00FA0A99" w:rsidRDefault="00FA0A99" w:rsidP="00FA0A99">
      <w:pPr>
        <w:pStyle w:val="NormalWeb"/>
        <w:spacing w:before="0" w:beforeAutospacing="0" w:after="0" w:afterAutospacing="0"/>
        <w:ind w:firstLine="567"/>
        <w:jc w:val="both"/>
        <w:textAlignment w:val="baseline"/>
        <w:rPr>
          <w:rFonts w:eastAsia="Calibri"/>
        </w:rPr>
      </w:pPr>
      <w:r w:rsidRPr="00D36E2C">
        <w:rPr>
          <w:rFonts w:eastAsia="Calibri"/>
        </w:rPr>
        <w:t>Šobrīd pasaules un Latvijas ekonomiku ir sk</w:t>
      </w:r>
      <w:r>
        <w:rPr>
          <w:rFonts w:eastAsia="Calibri"/>
        </w:rPr>
        <w:t>ā</w:t>
      </w:r>
      <w:r w:rsidRPr="00D36E2C">
        <w:rPr>
          <w:rFonts w:eastAsia="Calibri"/>
        </w:rPr>
        <w:t>ris satricinājums, ko izraisīj</w:t>
      </w:r>
      <w:r>
        <w:rPr>
          <w:rFonts w:eastAsia="Calibri"/>
        </w:rPr>
        <w:t>is</w:t>
      </w:r>
      <w:r w:rsidRPr="00D36E2C">
        <w:rPr>
          <w:rFonts w:eastAsia="Calibri"/>
        </w:rPr>
        <w:t xml:space="preserve"> Covid</w:t>
      </w:r>
      <w:r w:rsidR="00CC1367" w:rsidRPr="00835CFD">
        <w:rPr>
          <w:color w:val="000000"/>
        </w:rPr>
        <w:t>–</w:t>
      </w:r>
      <w:r w:rsidRPr="00D36E2C">
        <w:rPr>
          <w:rFonts w:eastAsia="Calibri"/>
        </w:rPr>
        <w:t xml:space="preserve">19. </w:t>
      </w:r>
      <w:r w:rsidR="00CC1367">
        <w:rPr>
          <w:rFonts w:eastAsia="Calibri"/>
        </w:rPr>
        <w:br/>
      </w:r>
      <w:r w:rsidRPr="00D36E2C">
        <w:rPr>
          <w:rFonts w:eastAsia="Calibri"/>
        </w:rPr>
        <w:t>Covid</w:t>
      </w:r>
      <w:r w:rsidR="00CC1367" w:rsidRPr="00835CFD">
        <w:rPr>
          <w:color w:val="000000"/>
        </w:rPr>
        <w:t>–</w:t>
      </w:r>
      <w:r w:rsidRPr="00D36E2C">
        <w:rPr>
          <w:rFonts w:eastAsia="Calibri"/>
        </w:rPr>
        <w:t xml:space="preserve">19 ietekmē Pasaules Veselības organizācija 2020.gada 11.martā izsludināja pandēmiju, kā rezultātā daudzās pasaules valstīs, t.sk. Latvijā, tika noteikta virkne dažādu ierobežojumu, kas būtiski atsauksies gan uz pasaules, gan Latvijas ekonomiku. Saskaņā ar pasaules vadošo finanšu institūciju prognozēm ietekme uz globālo ekonomiku varētu būt nopietnāka nekā pēc pasaules finanšu krīzes </w:t>
      </w:r>
      <w:r w:rsidR="00CC1367">
        <w:rPr>
          <w:rFonts w:eastAsia="Calibri"/>
        </w:rPr>
        <w:t>2009.</w:t>
      </w:r>
      <w:r w:rsidRPr="00D36E2C">
        <w:rPr>
          <w:rFonts w:eastAsia="Calibri"/>
        </w:rPr>
        <w:t>gadā, un tā ietekmēs lielāko daļu nozaru.</w:t>
      </w:r>
      <w:r>
        <w:rPr>
          <w:rFonts w:eastAsia="Calibri"/>
        </w:rPr>
        <w:t xml:space="preserve"> Ņemot vērā minēto, </w:t>
      </w:r>
      <w:r w:rsidRPr="00F864F8">
        <w:rPr>
          <w:rFonts w:eastAsia="Calibri"/>
        </w:rPr>
        <w:t>iespējama nelabvēlīga ietekme uz aizņē</w:t>
      </w:r>
      <w:r>
        <w:rPr>
          <w:rFonts w:eastAsia="Calibri"/>
        </w:rPr>
        <w:t xml:space="preserve">mēju finanšu rādītājiem un to spēju segt savas saistības. </w:t>
      </w:r>
    </w:p>
    <w:p w14:paraId="2097715B" w14:textId="7EE9FB45" w:rsidR="00B6062F" w:rsidRPr="005F6D70" w:rsidRDefault="00B6062F" w:rsidP="00B6062F">
      <w:pPr>
        <w:pStyle w:val="NormalWeb"/>
        <w:spacing w:before="0" w:beforeAutospacing="0" w:after="0" w:afterAutospacing="0"/>
        <w:ind w:firstLine="567"/>
        <w:jc w:val="both"/>
        <w:textAlignment w:val="baseline"/>
        <w:rPr>
          <w:rFonts w:eastAsia="Calibri"/>
        </w:rPr>
      </w:pPr>
      <w:r w:rsidRPr="005F6D70">
        <w:rPr>
          <w:rFonts w:eastAsia="Calibri"/>
        </w:rPr>
        <w:lastRenderedPageBreak/>
        <w:t xml:space="preserve">Tomēr pašlaik nav pietiekamas informācijas, lai ar pašvaldību izsniegto galvojumu risku </w:t>
      </w:r>
      <w:r w:rsidRPr="00D36E2C">
        <w:rPr>
          <w:rFonts w:eastAsia="Calibri"/>
        </w:rPr>
        <w:t>Covid</w:t>
      </w:r>
      <w:r w:rsidRPr="005F6D70">
        <w:rPr>
          <w:rFonts w:eastAsia="Calibri"/>
        </w:rPr>
        <w:t>–</w:t>
      </w:r>
      <w:r w:rsidRPr="00D36E2C">
        <w:rPr>
          <w:rFonts w:eastAsia="Calibri"/>
        </w:rPr>
        <w:t xml:space="preserve">19 </w:t>
      </w:r>
      <w:r w:rsidRPr="005F6D70">
        <w:rPr>
          <w:rFonts w:eastAsia="Calibri"/>
        </w:rPr>
        <w:t xml:space="preserve">kontekstā varētu noteikt kvantitatīvi un arī šajā deklarācijā saglabājas pieeja, ka, ņemot vērā, ka līdz šim risks nav iestājies, tas tiek vērtēts kā tuvs nullei un netiek ietverts fiskālā nodrošinājuma </w:t>
      </w:r>
      <w:r w:rsidR="00572B37" w:rsidRPr="005F6D70">
        <w:rPr>
          <w:rFonts w:eastAsia="Calibri"/>
        </w:rPr>
        <w:t>rezerves aprēķinā.</w:t>
      </w:r>
    </w:p>
    <w:p w14:paraId="571EA4A5" w14:textId="3A2B400C" w:rsidR="0085639F" w:rsidRPr="009D5D6C" w:rsidRDefault="0085639F" w:rsidP="00821D16">
      <w:pPr>
        <w:pStyle w:val="NormalWeb"/>
        <w:spacing w:before="0" w:beforeAutospacing="0" w:after="0" w:afterAutospacing="0"/>
        <w:ind w:firstLine="567"/>
        <w:jc w:val="both"/>
        <w:textAlignment w:val="baseline"/>
      </w:pPr>
    </w:p>
    <w:p w14:paraId="770AFD1D" w14:textId="616EBFB6" w:rsidR="006B5E3D" w:rsidRPr="00247DE9" w:rsidRDefault="006B5E3D" w:rsidP="006B5E3D">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23" w:name="_Toc80111851"/>
      <w:r w:rsidRPr="00247DE9">
        <w:rPr>
          <w:rFonts w:ascii="Times New Roman" w:hAnsi="Times New Roman" w:cs="Times New Roman"/>
          <w:color w:val="auto"/>
          <w:sz w:val="24"/>
          <w:szCs w:val="24"/>
        </w:rPr>
        <w:t>Valsts galvojums studiju un studējošo kreditēšanai</w:t>
      </w:r>
      <w:bookmarkEnd w:id="20"/>
      <w:bookmarkEnd w:id="21"/>
      <w:bookmarkEnd w:id="23"/>
    </w:p>
    <w:p w14:paraId="3CFF00BD" w14:textId="77777777" w:rsidR="00247DE9" w:rsidRDefault="00247DE9" w:rsidP="00247DE9">
      <w:pPr>
        <w:spacing w:after="0" w:line="240" w:lineRule="auto"/>
        <w:ind w:firstLine="720"/>
        <w:jc w:val="both"/>
        <w:rPr>
          <w:rFonts w:ascii="Times New Roman" w:eastAsiaTheme="minorHAnsi" w:hAnsi="Times New Roman" w:cs="Times New Roman"/>
          <w:sz w:val="24"/>
        </w:rPr>
      </w:pPr>
      <w:bookmarkStart w:id="24" w:name="_Toc536779062"/>
      <w:r w:rsidRPr="0089209F">
        <w:rPr>
          <w:rFonts w:ascii="Times New Roman" w:eastAsiaTheme="minorHAnsi" w:hAnsi="Times New Roman" w:cs="Times New Roman"/>
          <w:sz w:val="24"/>
        </w:rPr>
        <w:t>Fiskālais risks var iestāties, ja valstij vienlaicīgi ir jāveic liels skaits maksājumu attiecībā pret sniegtaj</w:t>
      </w:r>
      <w:r>
        <w:rPr>
          <w:rFonts w:ascii="Times New Roman" w:eastAsiaTheme="minorHAnsi" w:hAnsi="Times New Roman" w:cs="Times New Roman"/>
          <w:sz w:val="24"/>
        </w:rPr>
        <w:t>iem</w:t>
      </w:r>
      <w:r w:rsidRPr="0089209F">
        <w:rPr>
          <w:rFonts w:ascii="Times New Roman" w:eastAsiaTheme="minorHAnsi" w:hAnsi="Times New Roman" w:cs="Times New Roman"/>
          <w:sz w:val="24"/>
        </w:rPr>
        <w:t xml:space="preserve"> </w:t>
      </w:r>
      <w:r>
        <w:rPr>
          <w:rFonts w:ascii="Times New Roman" w:eastAsiaTheme="minorHAnsi" w:hAnsi="Times New Roman" w:cs="Times New Roman"/>
          <w:sz w:val="24"/>
        </w:rPr>
        <w:t>galvojumiem</w:t>
      </w:r>
      <w:r w:rsidRPr="0089209F">
        <w:rPr>
          <w:rFonts w:ascii="Times New Roman" w:eastAsiaTheme="minorHAnsi" w:hAnsi="Times New Roman" w:cs="Times New Roman"/>
          <w:sz w:val="24"/>
        </w:rPr>
        <w:t xml:space="preserve">, kas var palielināt vispārējās valdības budžeta </w:t>
      </w:r>
      <w:r>
        <w:rPr>
          <w:rFonts w:ascii="Times New Roman" w:eastAsiaTheme="minorHAnsi" w:hAnsi="Times New Roman" w:cs="Times New Roman"/>
          <w:sz w:val="24"/>
        </w:rPr>
        <w:t>deficītu</w:t>
      </w:r>
      <w:r w:rsidRPr="0089209F">
        <w:rPr>
          <w:rFonts w:ascii="Times New Roman" w:eastAsiaTheme="minorHAnsi" w:hAnsi="Times New Roman" w:cs="Times New Roman"/>
          <w:sz w:val="24"/>
        </w:rPr>
        <w:t xml:space="preserve">. </w:t>
      </w:r>
      <w:r>
        <w:rPr>
          <w:rFonts w:ascii="Times New Roman" w:eastAsiaTheme="minorHAnsi" w:hAnsi="Times New Roman" w:cs="Times New Roman"/>
          <w:sz w:val="24"/>
        </w:rPr>
        <w:t>J</w:t>
      </w:r>
      <w:r w:rsidRPr="0089209F">
        <w:rPr>
          <w:rFonts w:ascii="Times New Roman" w:eastAsiaTheme="minorHAnsi" w:hAnsi="Times New Roman" w:cs="Times New Roman"/>
          <w:sz w:val="24"/>
        </w:rPr>
        <w:t>āatzīmē, ka valsts galvojumu sistēma paredz, ka papildus valsts galvojumam tiek saņemti arī trešo personu galvojumi, kas iestājas pirms valsts galvojuma.</w:t>
      </w:r>
    </w:p>
    <w:p w14:paraId="1DCC2D40" w14:textId="32B7999D" w:rsidR="00247DE9" w:rsidRDefault="00247DE9" w:rsidP="00247DE9">
      <w:pPr>
        <w:spacing w:after="0" w:line="240" w:lineRule="auto"/>
        <w:ind w:firstLine="720"/>
        <w:jc w:val="both"/>
        <w:rPr>
          <w:rFonts w:ascii="Times New Roman" w:eastAsiaTheme="minorHAnsi" w:hAnsi="Times New Roman" w:cs="Times New Roman"/>
          <w:sz w:val="24"/>
        </w:rPr>
      </w:pPr>
      <w:r>
        <w:rPr>
          <w:rFonts w:ascii="Times New Roman" w:eastAsiaTheme="minorHAnsi" w:hAnsi="Times New Roman" w:cs="Times New Roman"/>
          <w:sz w:val="24"/>
        </w:rPr>
        <w:t>20</w:t>
      </w:r>
      <w:r w:rsidR="00DC21BD">
        <w:rPr>
          <w:rFonts w:ascii="Times New Roman" w:eastAsiaTheme="minorHAnsi" w:hAnsi="Times New Roman" w:cs="Times New Roman"/>
          <w:sz w:val="24"/>
        </w:rPr>
        <w:t>20</w:t>
      </w:r>
      <w:r>
        <w:rPr>
          <w:rFonts w:ascii="Times New Roman" w:eastAsiaTheme="minorHAnsi" w:hAnsi="Times New Roman" w:cs="Times New Roman"/>
          <w:sz w:val="24"/>
        </w:rPr>
        <w:t>.gad</w:t>
      </w:r>
      <w:r w:rsidR="00DC21BD">
        <w:rPr>
          <w:rFonts w:ascii="Times New Roman" w:eastAsiaTheme="minorHAnsi" w:hAnsi="Times New Roman" w:cs="Times New Roman"/>
          <w:sz w:val="24"/>
        </w:rPr>
        <w:t>ā</w:t>
      </w:r>
      <w:r>
        <w:rPr>
          <w:rFonts w:ascii="Times New Roman" w:eastAsiaTheme="minorHAnsi" w:hAnsi="Times New Roman" w:cs="Times New Roman"/>
          <w:sz w:val="24"/>
        </w:rPr>
        <w:t xml:space="preserve"> </w:t>
      </w:r>
      <w:r w:rsidRPr="00EA3337">
        <w:rPr>
          <w:rFonts w:ascii="Times New Roman" w:eastAsiaTheme="minorHAnsi" w:hAnsi="Times New Roman" w:cs="Times New Roman"/>
          <w:sz w:val="24"/>
        </w:rPr>
        <w:t xml:space="preserve">valsts ir veikusi galvojumu saistību izpildi </w:t>
      </w:r>
      <w:r w:rsidR="00DC21BD">
        <w:rPr>
          <w:rFonts w:ascii="Times New Roman" w:eastAsiaTheme="minorHAnsi" w:hAnsi="Times New Roman" w:cs="Times New Roman"/>
          <w:sz w:val="24"/>
        </w:rPr>
        <w:t xml:space="preserve">114 618,37 </w:t>
      </w:r>
      <w:r w:rsidRPr="00EA3337">
        <w:rPr>
          <w:rFonts w:ascii="Times New Roman" w:eastAsiaTheme="minorHAnsi" w:hAnsi="Times New Roman" w:cs="Times New Roman"/>
          <w:i/>
          <w:sz w:val="24"/>
        </w:rPr>
        <w:t>euro</w:t>
      </w:r>
      <w:r w:rsidRPr="00EA3337">
        <w:rPr>
          <w:rFonts w:ascii="Times New Roman" w:eastAsiaTheme="minorHAnsi" w:hAnsi="Times New Roman" w:cs="Times New Roman"/>
          <w:sz w:val="24"/>
        </w:rPr>
        <w:t xml:space="preserve"> apmērā, </w:t>
      </w:r>
      <w:r>
        <w:rPr>
          <w:rFonts w:ascii="Times New Roman" w:eastAsiaTheme="minorHAnsi" w:hAnsi="Times New Roman" w:cs="Times New Roman"/>
          <w:sz w:val="24"/>
        </w:rPr>
        <w:t xml:space="preserve">kas sastāda </w:t>
      </w:r>
      <w:r w:rsidRPr="00EA3337">
        <w:rPr>
          <w:rFonts w:ascii="Times New Roman" w:eastAsiaTheme="minorHAnsi" w:hAnsi="Times New Roman" w:cs="Times New Roman"/>
          <w:sz w:val="24"/>
        </w:rPr>
        <w:t>0,</w:t>
      </w:r>
      <w:r>
        <w:rPr>
          <w:rFonts w:ascii="Times New Roman" w:eastAsiaTheme="minorHAnsi" w:hAnsi="Times New Roman" w:cs="Times New Roman"/>
          <w:sz w:val="24"/>
        </w:rPr>
        <w:t>1</w:t>
      </w:r>
      <w:r w:rsidR="00DC21BD">
        <w:rPr>
          <w:rFonts w:ascii="Times New Roman" w:eastAsiaTheme="minorHAnsi" w:hAnsi="Times New Roman" w:cs="Times New Roman"/>
          <w:sz w:val="24"/>
        </w:rPr>
        <w:t>7</w:t>
      </w:r>
      <w:r w:rsidRPr="00EA3337">
        <w:rPr>
          <w:rFonts w:ascii="Times New Roman" w:eastAsiaTheme="minorHAnsi" w:hAnsi="Times New Roman" w:cs="Times New Roman"/>
          <w:sz w:val="24"/>
        </w:rPr>
        <w:t>% no izsniegtā valsts galvojuma apmēra st</w:t>
      </w:r>
      <w:r>
        <w:rPr>
          <w:rFonts w:ascii="Times New Roman" w:eastAsiaTheme="minorHAnsi" w:hAnsi="Times New Roman" w:cs="Times New Roman"/>
          <w:sz w:val="24"/>
        </w:rPr>
        <w:t>udiju un studējošo kreditēšanai</w:t>
      </w:r>
      <w:r w:rsidR="00DC21BD">
        <w:rPr>
          <w:rFonts w:ascii="Times New Roman" w:eastAsiaTheme="minorHAnsi" w:hAnsi="Times New Roman" w:cs="Times New Roman"/>
          <w:sz w:val="24"/>
        </w:rPr>
        <w:t>, t.sk.</w:t>
      </w:r>
      <w:r w:rsidRPr="00EA3337">
        <w:rPr>
          <w:rFonts w:ascii="Times New Roman" w:eastAsiaTheme="minorHAnsi" w:hAnsi="Times New Roman" w:cs="Times New Roman"/>
          <w:sz w:val="24"/>
        </w:rPr>
        <w:t xml:space="preserve"> </w:t>
      </w:r>
      <w:r>
        <w:rPr>
          <w:rFonts w:ascii="Times New Roman" w:eastAsiaTheme="minorHAnsi" w:hAnsi="Times New Roman" w:cs="Times New Roman"/>
          <w:sz w:val="24"/>
        </w:rPr>
        <w:t xml:space="preserve">tika veikti pārskaitījumi: </w:t>
      </w:r>
    </w:p>
    <w:p w14:paraId="3CF0BAE1" w14:textId="488CF281" w:rsidR="00247DE9" w:rsidRPr="00436799" w:rsidRDefault="00DC21BD" w:rsidP="00247DE9">
      <w:pPr>
        <w:pStyle w:val="ListParagraph"/>
        <w:numPr>
          <w:ilvl w:val="0"/>
          <w:numId w:val="16"/>
        </w:numPr>
        <w:ind w:left="709"/>
        <w:rPr>
          <w:rFonts w:ascii="Times New Roman" w:eastAsiaTheme="minorHAnsi" w:hAnsi="Times New Roman"/>
          <w:sz w:val="24"/>
        </w:rPr>
      </w:pPr>
      <w:r>
        <w:rPr>
          <w:rFonts w:ascii="Times New Roman" w:eastAsiaTheme="minorHAnsi" w:hAnsi="Times New Roman"/>
          <w:sz w:val="24"/>
        </w:rPr>
        <w:t>84 756,86</w:t>
      </w:r>
      <w:r w:rsidR="00A97608">
        <w:rPr>
          <w:rFonts w:ascii="Times New Roman" w:eastAsiaTheme="minorHAnsi" w:hAnsi="Times New Roman"/>
          <w:sz w:val="24"/>
        </w:rPr>
        <w:t xml:space="preserve"> </w:t>
      </w:r>
      <w:r w:rsidR="00247DE9" w:rsidRPr="00F7750E">
        <w:rPr>
          <w:rFonts w:ascii="Times New Roman" w:eastAsiaTheme="minorHAnsi" w:hAnsi="Times New Roman"/>
          <w:i/>
          <w:sz w:val="24"/>
        </w:rPr>
        <w:t xml:space="preserve">euro </w:t>
      </w:r>
      <w:r w:rsidR="00247DE9" w:rsidRPr="00436799">
        <w:rPr>
          <w:rFonts w:ascii="Times New Roman" w:eastAsiaTheme="minorHAnsi" w:hAnsi="Times New Roman"/>
          <w:sz w:val="24"/>
        </w:rPr>
        <w:t xml:space="preserve">noslēgtajiem kredīta līgumiem un kuros atbilstoši MK noteikumu tiesību normām  kredītiestāde pēc valsts galvojuma saistību izpildes turpina veikt neatmaksātā kredīta piedziņu, </w:t>
      </w:r>
    </w:p>
    <w:p w14:paraId="7A3E2047" w14:textId="4DC75CAB" w:rsidR="00247DE9" w:rsidRPr="00436799" w:rsidRDefault="00DC21BD" w:rsidP="00247DE9">
      <w:pPr>
        <w:pStyle w:val="ListParagraph"/>
        <w:numPr>
          <w:ilvl w:val="0"/>
          <w:numId w:val="16"/>
        </w:numPr>
        <w:ind w:left="709"/>
        <w:rPr>
          <w:rFonts w:ascii="Times New Roman" w:eastAsiaTheme="minorHAnsi" w:hAnsi="Times New Roman"/>
          <w:sz w:val="24"/>
        </w:rPr>
      </w:pPr>
      <w:r>
        <w:rPr>
          <w:rFonts w:ascii="Times New Roman" w:eastAsiaTheme="minorHAnsi" w:hAnsi="Times New Roman"/>
          <w:sz w:val="24"/>
        </w:rPr>
        <w:t>29 650,02</w:t>
      </w:r>
      <w:r w:rsidR="00A97608">
        <w:rPr>
          <w:rFonts w:ascii="Times New Roman" w:eastAsiaTheme="minorHAnsi" w:hAnsi="Times New Roman"/>
          <w:sz w:val="24"/>
        </w:rPr>
        <w:t xml:space="preserve"> </w:t>
      </w:r>
      <w:r w:rsidR="00247DE9" w:rsidRPr="00436799">
        <w:rPr>
          <w:rFonts w:ascii="Times New Roman" w:eastAsiaTheme="minorHAnsi" w:hAnsi="Times New Roman"/>
          <w:i/>
          <w:sz w:val="24"/>
        </w:rPr>
        <w:t>euro</w:t>
      </w:r>
      <w:r w:rsidR="00247DE9" w:rsidRPr="00436799">
        <w:rPr>
          <w:rFonts w:ascii="Times New Roman" w:eastAsiaTheme="minorHAnsi" w:hAnsi="Times New Roman"/>
          <w:sz w:val="24"/>
        </w:rPr>
        <w:t xml:space="preserve"> apmērā, kad maksātnespējas procesā ar tiesas lēmumu studējošo un to galvinieku (fizisku personu) saistības ir dzēstas un nav pret ko vērst savu regresa prasību. </w:t>
      </w:r>
    </w:p>
    <w:p w14:paraId="3C693C21" w14:textId="6BE59F06" w:rsidR="00247DE9" w:rsidRDefault="00247DE9" w:rsidP="00247DE9">
      <w:pPr>
        <w:spacing w:after="0" w:line="240" w:lineRule="auto"/>
        <w:ind w:firstLine="720"/>
        <w:jc w:val="both"/>
        <w:rPr>
          <w:rFonts w:ascii="Times New Roman" w:eastAsiaTheme="minorHAnsi" w:hAnsi="Times New Roman" w:cs="Times New Roman"/>
          <w:sz w:val="24"/>
        </w:rPr>
      </w:pPr>
      <w:r>
        <w:rPr>
          <w:rFonts w:ascii="Times New Roman" w:eastAsiaTheme="minorHAnsi" w:hAnsi="Times New Roman" w:cs="Times New Roman"/>
          <w:sz w:val="24"/>
        </w:rPr>
        <w:t>F</w:t>
      </w:r>
      <w:r w:rsidRPr="00EA3337">
        <w:rPr>
          <w:rFonts w:ascii="Times New Roman" w:eastAsiaTheme="minorHAnsi" w:hAnsi="Times New Roman" w:cs="Times New Roman"/>
          <w:sz w:val="24"/>
        </w:rPr>
        <w:t xml:space="preserve">iskālā ietekme un iestāšanās varbūtība šim specifiskajam fiskālajam riskam tiek novērtēta tuvu nullei, jo vēsturiskā pieredze neliecina par būtisku ietekmi uz valsts budžetu. Ņemot vērā minēto, </w:t>
      </w:r>
      <w:r w:rsidRPr="003110A2">
        <w:rPr>
          <w:rFonts w:ascii="Times New Roman" w:hAnsi="Times New Roman"/>
          <w:sz w:val="24"/>
        </w:rPr>
        <w:t>fiskālā nodrošinājuma rezerve šim riskam netiek veidota</w:t>
      </w:r>
      <w:r w:rsidRPr="003110A2">
        <w:rPr>
          <w:rFonts w:ascii="Times New Roman" w:eastAsiaTheme="minorHAnsi" w:hAnsi="Times New Roman" w:cs="Times New Roman"/>
          <w:sz w:val="24"/>
        </w:rPr>
        <w:t>.</w:t>
      </w:r>
    </w:p>
    <w:p w14:paraId="46427F3E" w14:textId="743AEFD9" w:rsidR="005325D9" w:rsidRDefault="009115A5" w:rsidP="005325D9">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sz w:val="24"/>
        </w:rPr>
        <w:t>S</w:t>
      </w:r>
      <w:r w:rsidR="004373E5">
        <w:rPr>
          <w:rFonts w:ascii="Times New Roman" w:eastAsia="Times New Roman" w:hAnsi="Times New Roman" w:cs="Times New Roman"/>
          <w:sz w:val="24"/>
          <w:szCs w:val="24"/>
          <w:lang w:eastAsia="lv-LV"/>
        </w:rPr>
        <w:t>tājoties spēkā 2020.gada 21.</w:t>
      </w:r>
      <w:r w:rsidR="005325D9" w:rsidRPr="00921451">
        <w:rPr>
          <w:rFonts w:ascii="Times New Roman" w:eastAsia="Times New Roman" w:hAnsi="Times New Roman" w:cs="Times New Roman"/>
          <w:sz w:val="24"/>
          <w:szCs w:val="24"/>
          <w:lang w:eastAsia="lv-LV"/>
        </w:rPr>
        <w:t xml:space="preserve">aprīļa </w:t>
      </w:r>
      <w:r w:rsidR="00F96C1A">
        <w:rPr>
          <w:rFonts w:ascii="Times New Roman" w:eastAsia="Times New Roman" w:hAnsi="Times New Roman" w:cs="Times New Roman"/>
          <w:sz w:val="24"/>
          <w:szCs w:val="24"/>
          <w:lang w:eastAsia="lv-LV"/>
        </w:rPr>
        <w:t xml:space="preserve">MK </w:t>
      </w:r>
      <w:r w:rsidR="004373E5">
        <w:rPr>
          <w:rFonts w:ascii="Times New Roman" w:eastAsia="Times New Roman" w:hAnsi="Times New Roman" w:cs="Times New Roman"/>
          <w:sz w:val="24"/>
          <w:szCs w:val="24"/>
          <w:lang w:eastAsia="lv-LV"/>
        </w:rPr>
        <w:t>noteikumiem Nr.</w:t>
      </w:r>
      <w:r w:rsidR="005325D9" w:rsidRPr="00921451">
        <w:rPr>
          <w:rFonts w:ascii="Times New Roman" w:eastAsia="Times New Roman" w:hAnsi="Times New Roman" w:cs="Times New Roman"/>
          <w:sz w:val="24"/>
          <w:szCs w:val="24"/>
          <w:lang w:eastAsia="lv-LV"/>
        </w:rPr>
        <w:t xml:space="preserve">231 </w:t>
      </w:r>
      <w:r w:rsidR="005325D9">
        <w:rPr>
          <w:rFonts w:ascii="Times New Roman" w:eastAsia="Times New Roman" w:hAnsi="Times New Roman" w:cs="Times New Roman"/>
          <w:sz w:val="24"/>
          <w:szCs w:val="24"/>
          <w:lang w:eastAsia="lv-LV"/>
        </w:rPr>
        <w:t>“</w:t>
      </w:r>
      <w:hyperlink r:id="rId9" w:history="1">
        <w:r w:rsidR="005325D9" w:rsidRPr="00921451">
          <w:rPr>
            <w:rFonts w:ascii="Times New Roman" w:eastAsia="Times New Roman" w:hAnsi="Times New Roman" w:cs="Times New Roman"/>
            <w:sz w:val="24"/>
            <w:szCs w:val="24"/>
            <w:lang w:eastAsia="lv-LV"/>
          </w:rPr>
          <w:t>Noteikumi par studiju un studējošo kreditēšanu studijām Latvijā no kredītiestāžu līdzekļiem, kas ir garantēti no valsts budžeta līdzekļiem</w:t>
        </w:r>
      </w:hyperlink>
      <w:r w:rsidR="005325D9">
        <w:rPr>
          <w:rFonts w:ascii="Times New Roman" w:eastAsia="Times New Roman" w:hAnsi="Times New Roman" w:cs="Times New Roman"/>
          <w:sz w:val="24"/>
          <w:szCs w:val="24"/>
          <w:lang w:eastAsia="lv-LV"/>
        </w:rPr>
        <w:t>”,</w:t>
      </w:r>
      <w:r w:rsidR="005325D9" w:rsidRPr="00921451">
        <w:rPr>
          <w:rFonts w:ascii="Times New Roman" w:eastAsia="Times New Roman" w:hAnsi="Times New Roman" w:cs="Times New Roman"/>
          <w:sz w:val="24"/>
          <w:szCs w:val="24"/>
          <w:lang w:eastAsia="lv-LV"/>
        </w:rPr>
        <w:t xml:space="preserve"> </w:t>
      </w:r>
      <w:r w:rsidR="005325D9" w:rsidRPr="00A713D3">
        <w:rPr>
          <w:rFonts w:ascii="Times New Roman" w:eastAsia="Times New Roman" w:hAnsi="Times New Roman" w:cs="Times New Roman"/>
          <w:sz w:val="24"/>
          <w:szCs w:val="24"/>
          <w:lang w:eastAsia="lv-LV"/>
        </w:rPr>
        <w:t>tik</w:t>
      </w:r>
      <w:r w:rsidR="005325D9">
        <w:rPr>
          <w:rFonts w:ascii="Times New Roman" w:eastAsia="Times New Roman" w:hAnsi="Times New Roman" w:cs="Times New Roman"/>
          <w:sz w:val="24"/>
          <w:szCs w:val="24"/>
          <w:lang w:eastAsia="lv-LV"/>
        </w:rPr>
        <w:t>a</w:t>
      </w:r>
      <w:r w:rsidR="005325D9" w:rsidRPr="00A713D3">
        <w:rPr>
          <w:rFonts w:ascii="Times New Roman" w:eastAsia="Times New Roman" w:hAnsi="Times New Roman" w:cs="Times New Roman"/>
          <w:sz w:val="24"/>
          <w:szCs w:val="24"/>
          <w:lang w:eastAsia="lv-LV"/>
        </w:rPr>
        <w:t xml:space="preserve"> ieviesta jauna valsts galvoto studiju un studējošo kredītu sistēma</w:t>
      </w:r>
      <w:r w:rsidR="005325D9" w:rsidRPr="00921451">
        <w:rPr>
          <w:rFonts w:ascii="Times New Roman" w:eastAsia="Times New Roman" w:hAnsi="Times New Roman" w:cs="Times New Roman"/>
          <w:sz w:val="24"/>
          <w:szCs w:val="24"/>
          <w:lang w:eastAsia="lv-LV"/>
        </w:rPr>
        <w:t>, kur galvojumu sniedz akciju sabiedrība “Attīstības finanšu institūcija Altum”</w:t>
      </w:r>
      <w:r w:rsidR="003040D7">
        <w:rPr>
          <w:rFonts w:ascii="Times New Roman" w:eastAsia="Times New Roman" w:hAnsi="Times New Roman" w:cs="Times New Roman"/>
          <w:sz w:val="24"/>
          <w:szCs w:val="24"/>
          <w:lang w:eastAsia="lv-LV"/>
        </w:rPr>
        <w:t xml:space="preserve"> (turpmāk – </w:t>
      </w:r>
      <w:r w:rsidR="003040D7" w:rsidRPr="00CA7612">
        <w:rPr>
          <w:rFonts w:ascii="Times New Roman" w:eastAsia="Times New Roman" w:hAnsi="Times New Roman" w:cs="Times New Roman"/>
          <w:sz w:val="24"/>
          <w:szCs w:val="24"/>
          <w:lang w:eastAsia="lv-LV"/>
        </w:rPr>
        <w:t>Altum</w:t>
      </w:r>
      <w:r w:rsidR="003040D7">
        <w:rPr>
          <w:rFonts w:ascii="Times New Roman" w:eastAsia="Times New Roman" w:hAnsi="Times New Roman" w:cs="Times New Roman"/>
          <w:sz w:val="24"/>
          <w:szCs w:val="24"/>
          <w:lang w:eastAsia="lv-LV"/>
        </w:rPr>
        <w:t>)</w:t>
      </w:r>
      <w:r w:rsidR="005325D9" w:rsidRPr="00921451">
        <w:rPr>
          <w:rFonts w:ascii="Times New Roman" w:eastAsia="Times New Roman" w:hAnsi="Times New Roman" w:cs="Times New Roman"/>
          <w:sz w:val="24"/>
          <w:szCs w:val="24"/>
          <w:lang w:eastAsia="lv-LV"/>
        </w:rPr>
        <w:t xml:space="preserve"> portfeļa garantijas instrumenta veidā</w:t>
      </w:r>
      <w:r w:rsidR="005325D9">
        <w:rPr>
          <w:rFonts w:ascii="Times New Roman" w:eastAsia="Times New Roman" w:hAnsi="Times New Roman" w:cs="Times New Roman"/>
          <w:sz w:val="24"/>
          <w:szCs w:val="24"/>
          <w:lang w:eastAsia="lv-LV"/>
        </w:rPr>
        <w:t>.</w:t>
      </w:r>
    </w:p>
    <w:p w14:paraId="23C51C13" w14:textId="77777777" w:rsidR="005542E8" w:rsidRPr="00191E2E" w:rsidRDefault="005542E8" w:rsidP="005325D9">
      <w:pPr>
        <w:spacing w:after="0" w:line="240" w:lineRule="auto"/>
        <w:ind w:firstLine="720"/>
        <w:jc w:val="both"/>
        <w:rPr>
          <w:rFonts w:ascii="Times New Roman" w:hAnsi="Times New Roman"/>
          <w:sz w:val="24"/>
        </w:rPr>
      </w:pPr>
    </w:p>
    <w:p w14:paraId="0EF08545" w14:textId="5B613A21" w:rsidR="00822D84" w:rsidRPr="00552573" w:rsidRDefault="00822D84" w:rsidP="009A521C">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25" w:name="_Toc80111852"/>
      <w:r w:rsidRPr="00552573">
        <w:rPr>
          <w:rFonts w:ascii="Times New Roman" w:hAnsi="Times New Roman" w:cs="Times New Roman"/>
          <w:color w:val="auto"/>
          <w:sz w:val="24"/>
          <w:szCs w:val="24"/>
        </w:rPr>
        <w:t>Valsts aizdevumi</w:t>
      </w:r>
      <w:bookmarkEnd w:id="22"/>
      <w:bookmarkEnd w:id="24"/>
      <w:bookmarkEnd w:id="25"/>
    </w:p>
    <w:p w14:paraId="3C355878" w14:textId="77777777" w:rsidR="005C32F2" w:rsidRPr="00552573" w:rsidRDefault="005C32F2" w:rsidP="005C32F2">
      <w:pPr>
        <w:spacing w:after="0" w:line="240" w:lineRule="auto"/>
        <w:ind w:firstLine="709"/>
        <w:jc w:val="both"/>
        <w:rPr>
          <w:rFonts w:ascii="Times New Roman" w:hAnsi="Times New Roman"/>
          <w:sz w:val="24"/>
        </w:rPr>
      </w:pPr>
      <w:r w:rsidRPr="00552573">
        <w:rPr>
          <w:rFonts w:ascii="Times New Roman" w:eastAsia="Calibri" w:hAnsi="Times New Roman"/>
          <w:sz w:val="24"/>
        </w:rPr>
        <w:t xml:space="preserve">Valsts aizdevumu fiskālais risks </w:t>
      </w:r>
      <w:r w:rsidRPr="00552573">
        <w:rPr>
          <w:rFonts w:ascii="Times New Roman" w:eastAsia="Calibri" w:hAnsi="Times New Roman"/>
          <w:sz w:val="24"/>
          <w:szCs w:val="24"/>
        </w:rPr>
        <w:t>saskaņā ar fiskālo risku avotu klasifikāciju ir iespējamās saistības (izdevumi), kas izriet no līgumiem.</w:t>
      </w:r>
      <w:r w:rsidRPr="00552573">
        <w:rPr>
          <w:rFonts w:ascii="Times New Roman" w:eastAsia="Calibri" w:hAnsi="Times New Roman"/>
          <w:sz w:val="24"/>
        </w:rPr>
        <w:t xml:space="preserve"> </w:t>
      </w:r>
      <w:r w:rsidRPr="00552573">
        <w:rPr>
          <w:rFonts w:ascii="Times New Roman" w:eastAsia="Calibri" w:hAnsi="Times New Roman"/>
          <w:sz w:val="24"/>
          <w:szCs w:val="24"/>
        </w:rPr>
        <w:t xml:space="preserve">Valsts aizdevumu </w:t>
      </w:r>
      <w:r w:rsidRPr="00552573">
        <w:rPr>
          <w:rFonts w:ascii="Times New Roman" w:eastAsia="Calibri" w:hAnsi="Times New Roman"/>
          <w:b/>
          <w:sz w:val="24"/>
          <w:szCs w:val="24"/>
        </w:rPr>
        <w:t>fiskālais risks</w:t>
      </w:r>
      <w:r w:rsidRPr="00552573">
        <w:rPr>
          <w:rFonts w:ascii="Times New Roman" w:eastAsia="Calibri" w:hAnsi="Times New Roman"/>
          <w:sz w:val="24"/>
          <w:szCs w:val="24"/>
        </w:rPr>
        <w:t xml:space="preserve"> (turpmāk – aizdevumu risks) ir nenoteiktības ietekme uz valsts aizdevumu saņēmēju (turpmāk – aizdevumu saņēmēju) spēju segt savas saistības savlaicīgi un pilnā apmērā, kā rezultātā valsts var nesaņemt plānotos valsts aizdevumu pamatsummu un procentu maksājumus. </w:t>
      </w:r>
      <w:r w:rsidRPr="00552573">
        <w:rPr>
          <w:rFonts w:ascii="Times New Roman" w:eastAsia="Calibri" w:hAnsi="Times New Roman"/>
          <w:sz w:val="24"/>
        </w:rPr>
        <w:t xml:space="preserve">Saskaņā ar MK noteikumiem Nr.229 aizdevumu riska </w:t>
      </w:r>
      <w:r w:rsidRPr="00552573">
        <w:rPr>
          <w:rFonts w:ascii="Times New Roman" w:eastAsia="Calibri" w:hAnsi="Times New Roman"/>
          <w:b/>
          <w:sz w:val="24"/>
        </w:rPr>
        <w:t>fiskālo ietekmi</w:t>
      </w:r>
      <w:r w:rsidRPr="00552573">
        <w:rPr>
          <w:rFonts w:ascii="Times New Roman" w:eastAsia="Calibri" w:hAnsi="Times New Roman"/>
          <w:sz w:val="24"/>
        </w:rPr>
        <w:t xml:space="preserve"> katrā gadā aprēķina kā katra </w:t>
      </w:r>
      <w:r w:rsidRPr="00BB69DC">
        <w:rPr>
          <w:rFonts w:ascii="Times New Roman" w:eastAsia="Calibri" w:hAnsi="Times New Roman"/>
          <w:b/>
          <w:sz w:val="24"/>
        </w:rPr>
        <w:t xml:space="preserve">valsts aizdevuma </w:t>
      </w:r>
      <w:r w:rsidRPr="00BB69DC">
        <w:rPr>
          <w:rFonts w:ascii="Times New Roman" w:eastAsia="Calibri" w:hAnsi="Times New Roman"/>
          <w:b/>
          <w:sz w:val="24"/>
          <w:szCs w:val="24"/>
        </w:rPr>
        <w:t>ārpus vispārējās valdības sektora klasificētām iestādēm</w:t>
      </w:r>
      <w:r w:rsidRPr="00552573">
        <w:rPr>
          <w:rFonts w:ascii="Times New Roman" w:eastAsia="Calibri" w:hAnsi="Times New Roman"/>
          <w:sz w:val="24"/>
        </w:rPr>
        <w:t xml:space="preserve"> attiecīgajā gadā saskaņā ar aizdevuma līguma grafiku plānoto maksājumu kopsummu. Savukārt </w:t>
      </w:r>
      <w:r w:rsidRPr="00552573">
        <w:rPr>
          <w:rFonts w:ascii="Times New Roman" w:eastAsia="Calibri" w:hAnsi="Times New Roman"/>
          <w:b/>
          <w:sz w:val="24"/>
        </w:rPr>
        <w:t>fiskālā nodrošinājuma rezervi</w:t>
      </w:r>
      <w:r w:rsidRPr="00552573">
        <w:rPr>
          <w:rFonts w:ascii="Times New Roman" w:eastAsia="Calibri" w:hAnsi="Times New Roman"/>
          <w:sz w:val="24"/>
        </w:rPr>
        <w:t xml:space="preserve"> valsts aizdevumiem aprēķina, reizinot aizdevumu risku fiskālās ietekmes vērtības ar aizdevumu risku iestāšanās varbūtībām.</w:t>
      </w:r>
    </w:p>
    <w:p w14:paraId="05FBF2FD" w14:textId="269933E5" w:rsidR="00552573" w:rsidRDefault="008A497A" w:rsidP="00552573">
      <w:pPr>
        <w:spacing w:after="0" w:line="240" w:lineRule="auto"/>
        <w:ind w:firstLine="709"/>
        <w:jc w:val="both"/>
        <w:rPr>
          <w:rFonts w:ascii="Times New Roman" w:hAnsi="Times New Roman"/>
          <w:sz w:val="24"/>
        </w:rPr>
      </w:pPr>
      <w:r w:rsidRPr="00C04236">
        <w:rPr>
          <w:rFonts w:ascii="Times New Roman" w:hAnsi="Times New Roman"/>
          <w:sz w:val="24"/>
        </w:rPr>
        <w:t>Valsts atbalsta pasāku</w:t>
      </w:r>
      <w:r>
        <w:rPr>
          <w:rFonts w:ascii="Times New Roman" w:hAnsi="Times New Roman"/>
          <w:sz w:val="24"/>
        </w:rPr>
        <w:t xml:space="preserve">mu rezultātā </w:t>
      </w:r>
      <w:r w:rsidRPr="00C04236">
        <w:rPr>
          <w:rFonts w:ascii="Times New Roman" w:hAnsi="Times New Roman"/>
          <w:sz w:val="24"/>
        </w:rPr>
        <w:t>Covid-19 pandēmij</w:t>
      </w:r>
      <w:r>
        <w:rPr>
          <w:rFonts w:ascii="Times New Roman" w:hAnsi="Times New Roman"/>
          <w:sz w:val="24"/>
        </w:rPr>
        <w:t xml:space="preserve">as ietekme uz valsts aizdevumu kvalitāti </w:t>
      </w:r>
      <w:r w:rsidRPr="00C04236">
        <w:rPr>
          <w:rFonts w:ascii="Times New Roman" w:hAnsi="Times New Roman"/>
          <w:sz w:val="24"/>
        </w:rPr>
        <w:t>pagaidām ir bijusi ierobežota</w:t>
      </w:r>
      <w:r>
        <w:rPr>
          <w:rFonts w:ascii="Times New Roman" w:hAnsi="Times New Roman"/>
          <w:sz w:val="24"/>
        </w:rPr>
        <w:t xml:space="preserve"> un</w:t>
      </w:r>
      <w:r w:rsidRPr="00C04236">
        <w:rPr>
          <w:rFonts w:ascii="Times New Roman" w:hAnsi="Times New Roman"/>
          <w:sz w:val="24"/>
        </w:rPr>
        <w:t xml:space="preserve"> </w:t>
      </w:r>
      <w:r w:rsidR="00552573" w:rsidRPr="0078099F">
        <w:rPr>
          <w:rFonts w:ascii="Times New Roman" w:hAnsi="Times New Roman"/>
          <w:sz w:val="24"/>
        </w:rPr>
        <w:t>20</w:t>
      </w:r>
      <w:r>
        <w:rPr>
          <w:rFonts w:ascii="Times New Roman" w:hAnsi="Times New Roman"/>
          <w:sz w:val="24"/>
        </w:rPr>
        <w:t>20</w:t>
      </w:r>
      <w:r w:rsidR="00552573" w:rsidRPr="0078099F">
        <w:rPr>
          <w:rFonts w:ascii="Times New Roman" w:hAnsi="Times New Roman"/>
          <w:sz w:val="24"/>
        </w:rPr>
        <w:t>.gadā valsts aizdevum</w:t>
      </w:r>
      <w:r>
        <w:rPr>
          <w:rFonts w:ascii="Times New Roman" w:hAnsi="Times New Roman"/>
          <w:sz w:val="24"/>
        </w:rPr>
        <w:t>u</w:t>
      </w:r>
      <w:r w:rsidR="00552573" w:rsidRPr="0078099F">
        <w:rPr>
          <w:rFonts w:ascii="Times New Roman" w:hAnsi="Times New Roman"/>
          <w:sz w:val="24"/>
        </w:rPr>
        <w:t xml:space="preserve"> fiskālie riski nav iestājušies. </w:t>
      </w:r>
      <w:r>
        <w:rPr>
          <w:rFonts w:ascii="Times New Roman" w:hAnsi="Times New Roman"/>
          <w:sz w:val="24"/>
        </w:rPr>
        <w:t>V</w:t>
      </w:r>
      <w:r w:rsidRPr="0078099F">
        <w:rPr>
          <w:rFonts w:ascii="Times New Roman" w:hAnsi="Times New Roman"/>
          <w:sz w:val="24"/>
        </w:rPr>
        <w:t xml:space="preserve">alsts aizdevumu atlikums </w:t>
      </w:r>
      <w:r w:rsidR="00552573" w:rsidRPr="0078099F">
        <w:rPr>
          <w:rFonts w:ascii="Times New Roman" w:hAnsi="Times New Roman"/>
          <w:sz w:val="24"/>
        </w:rPr>
        <w:t>20</w:t>
      </w:r>
      <w:r>
        <w:rPr>
          <w:rFonts w:ascii="Times New Roman" w:hAnsi="Times New Roman"/>
          <w:sz w:val="24"/>
        </w:rPr>
        <w:t>20</w:t>
      </w:r>
      <w:r w:rsidR="00552573" w:rsidRPr="0078099F">
        <w:rPr>
          <w:rFonts w:ascii="Times New Roman" w:hAnsi="Times New Roman"/>
          <w:sz w:val="24"/>
        </w:rPr>
        <w:t>.gada 31.decembr</w:t>
      </w:r>
      <w:r>
        <w:rPr>
          <w:rFonts w:ascii="Times New Roman" w:hAnsi="Times New Roman"/>
          <w:sz w:val="24"/>
        </w:rPr>
        <w:t>ī</w:t>
      </w:r>
      <w:r w:rsidR="00552573" w:rsidRPr="0078099F">
        <w:rPr>
          <w:rFonts w:ascii="Times New Roman" w:hAnsi="Times New Roman"/>
          <w:sz w:val="24"/>
        </w:rPr>
        <w:t xml:space="preserve"> bija </w:t>
      </w:r>
      <w:r w:rsidRPr="0059709E">
        <w:rPr>
          <w:rFonts w:ascii="Times New Roman" w:hAnsi="Times New Roman"/>
          <w:sz w:val="24"/>
        </w:rPr>
        <w:t>1</w:t>
      </w:r>
      <w:r w:rsidRPr="00E20985">
        <w:rPr>
          <w:rFonts w:ascii="Times New Roman" w:hAnsi="Times New Roman"/>
          <w:sz w:val="24"/>
        </w:rPr>
        <w:t xml:space="preserve"> 759,7 </w:t>
      </w:r>
      <w:r w:rsidR="00552573" w:rsidRPr="0078099F">
        <w:rPr>
          <w:rFonts w:ascii="Times New Roman" w:hAnsi="Times New Roman"/>
          <w:sz w:val="24"/>
        </w:rPr>
        <w:t xml:space="preserve">milj. </w:t>
      </w:r>
      <w:r w:rsidR="00552573" w:rsidRPr="0078099F">
        <w:rPr>
          <w:rFonts w:ascii="Times New Roman" w:hAnsi="Times New Roman"/>
          <w:i/>
          <w:sz w:val="24"/>
        </w:rPr>
        <w:t>euro</w:t>
      </w:r>
      <w:r w:rsidR="00552573" w:rsidRPr="0078099F">
        <w:rPr>
          <w:rFonts w:ascii="Times New Roman" w:hAnsi="Times New Roman"/>
          <w:sz w:val="24"/>
        </w:rPr>
        <w:t>.</w:t>
      </w:r>
      <w:r>
        <w:rPr>
          <w:rFonts w:ascii="Times New Roman" w:hAnsi="Times New Roman"/>
          <w:sz w:val="24"/>
        </w:rPr>
        <w:t xml:space="preserve">, </w:t>
      </w:r>
      <w:r w:rsidR="00552573" w:rsidRPr="0078099F">
        <w:rPr>
          <w:rFonts w:ascii="Times New Roman" w:hAnsi="Times New Roman"/>
          <w:sz w:val="24"/>
        </w:rPr>
        <w:t>20</w:t>
      </w:r>
      <w:r w:rsidR="00552573">
        <w:rPr>
          <w:rFonts w:ascii="Times New Roman" w:hAnsi="Times New Roman"/>
          <w:sz w:val="24"/>
        </w:rPr>
        <w:t>2</w:t>
      </w:r>
      <w:r w:rsidR="008E31F7">
        <w:rPr>
          <w:rFonts w:ascii="Times New Roman" w:hAnsi="Times New Roman"/>
          <w:sz w:val="24"/>
        </w:rPr>
        <w:t>1</w:t>
      </w:r>
      <w:r w:rsidR="00552573" w:rsidRPr="0078099F">
        <w:rPr>
          <w:rFonts w:ascii="Times New Roman" w:hAnsi="Times New Roman"/>
          <w:sz w:val="24"/>
        </w:rPr>
        <w:t>.gadā</w:t>
      </w:r>
      <w:r w:rsidR="00552573" w:rsidRPr="00191E2E">
        <w:rPr>
          <w:rStyle w:val="FootnoteReference"/>
          <w:rFonts w:ascii="Times New Roman" w:eastAsia="Calibri" w:hAnsi="Times New Roman"/>
          <w:sz w:val="24"/>
        </w:rPr>
        <w:footnoteReference w:id="6"/>
      </w:r>
      <w:r w:rsidR="00552573" w:rsidRPr="0078099F">
        <w:rPr>
          <w:rFonts w:ascii="Times New Roman" w:hAnsi="Times New Roman"/>
          <w:sz w:val="24"/>
        </w:rPr>
        <w:t xml:space="preserve"> ir aprēķināta aizdevumu riska fiskālā ietekme</w:t>
      </w:r>
      <w:r w:rsidR="00552573" w:rsidRPr="0078099F">
        <w:rPr>
          <w:rStyle w:val="FootnoteReference"/>
          <w:rFonts w:ascii="Times New Roman" w:hAnsi="Times New Roman"/>
          <w:sz w:val="24"/>
        </w:rPr>
        <w:footnoteReference w:id="7"/>
      </w:r>
      <w:r w:rsidR="00552573" w:rsidRPr="0078099F">
        <w:rPr>
          <w:rFonts w:ascii="Times New Roman" w:hAnsi="Times New Roman"/>
          <w:sz w:val="24"/>
        </w:rPr>
        <w:t xml:space="preserve"> </w:t>
      </w:r>
      <w:r w:rsidRPr="00191E2E">
        <w:rPr>
          <w:rFonts w:ascii="Times New Roman" w:eastAsia="Calibri" w:hAnsi="Times New Roman"/>
          <w:sz w:val="24"/>
        </w:rPr>
        <w:t>1</w:t>
      </w:r>
      <w:r w:rsidRPr="0078099F">
        <w:rPr>
          <w:rFonts w:ascii="Times New Roman" w:hAnsi="Times New Roman"/>
          <w:sz w:val="24"/>
        </w:rPr>
        <w:t>,</w:t>
      </w:r>
      <w:r>
        <w:rPr>
          <w:rFonts w:ascii="Times New Roman" w:hAnsi="Times New Roman"/>
          <w:sz w:val="24"/>
        </w:rPr>
        <w:t>2</w:t>
      </w:r>
      <w:r w:rsidRPr="0078099F">
        <w:rPr>
          <w:rFonts w:ascii="Times New Roman" w:hAnsi="Times New Roman"/>
          <w:sz w:val="24"/>
        </w:rPr>
        <w:t xml:space="preserve"> milj. </w:t>
      </w:r>
      <w:r w:rsidRPr="0078099F">
        <w:rPr>
          <w:rFonts w:ascii="Times New Roman" w:hAnsi="Times New Roman"/>
          <w:i/>
          <w:sz w:val="24"/>
        </w:rPr>
        <w:t>euro</w:t>
      </w:r>
      <w:r w:rsidRPr="0078099F">
        <w:rPr>
          <w:rFonts w:ascii="Times New Roman" w:hAnsi="Times New Roman"/>
          <w:sz w:val="24"/>
        </w:rPr>
        <w:t xml:space="preserve"> apmērā, 202</w:t>
      </w:r>
      <w:r>
        <w:rPr>
          <w:rFonts w:ascii="Times New Roman" w:hAnsi="Times New Roman"/>
          <w:sz w:val="24"/>
        </w:rPr>
        <w:t>2</w:t>
      </w:r>
      <w:r w:rsidRPr="0078099F">
        <w:rPr>
          <w:rFonts w:ascii="Times New Roman" w:hAnsi="Times New Roman"/>
          <w:sz w:val="24"/>
        </w:rPr>
        <w:t>.gad</w:t>
      </w:r>
      <w:r>
        <w:rPr>
          <w:rFonts w:ascii="Times New Roman" w:hAnsi="Times New Roman"/>
          <w:sz w:val="24"/>
        </w:rPr>
        <w:t>am</w:t>
      </w:r>
      <w:r w:rsidRPr="0078099F">
        <w:rPr>
          <w:rFonts w:ascii="Times New Roman" w:hAnsi="Times New Roman"/>
          <w:sz w:val="24"/>
        </w:rPr>
        <w:t xml:space="preserve"> – </w:t>
      </w:r>
      <w:r>
        <w:rPr>
          <w:rFonts w:ascii="Times New Roman" w:hAnsi="Times New Roman"/>
          <w:sz w:val="24"/>
        </w:rPr>
        <w:t>4,9</w:t>
      </w:r>
      <w:r w:rsidRPr="0078099F">
        <w:rPr>
          <w:rFonts w:ascii="Times New Roman" w:hAnsi="Times New Roman"/>
          <w:sz w:val="24"/>
        </w:rPr>
        <w:t xml:space="preserve"> milj. </w:t>
      </w:r>
      <w:r w:rsidRPr="0078099F">
        <w:rPr>
          <w:rFonts w:ascii="Times New Roman" w:hAnsi="Times New Roman"/>
          <w:i/>
          <w:sz w:val="24"/>
        </w:rPr>
        <w:t>euro,</w:t>
      </w:r>
      <w:r w:rsidRPr="0078099F">
        <w:rPr>
          <w:rFonts w:ascii="Times New Roman" w:hAnsi="Times New Roman"/>
          <w:sz w:val="24"/>
        </w:rPr>
        <w:t xml:space="preserve"> 202</w:t>
      </w:r>
      <w:r>
        <w:rPr>
          <w:rFonts w:ascii="Times New Roman" w:hAnsi="Times New Roman"/>
          <w:sz w:val="24"/>
        </w:rPr>
        <w:t>3</w:t>
      </w:r>
      <w:r w:rsidRPr="0078099F">
        <w:rPr>
          <w:rFonts w:ascii="Times New Roman" w:hAnsi="Times New Roman"/>
          <w:sz w:val="24"/>
        </w:rPr>
        <w:t>.gad</w:t>
      </w:r>
      <w:r>
        <w:rPr>
          <w:rFonts w:ascii="Times New Roman" w:hAnsi="Times New Roman"/>
          <w:sz w:val="24"/>
        </w:rPr>
        <w:t>am</w:t>
      </w:r>
      <w:r w:rsidRPr="0078099F">
        <w:rPr>
          <w:rFonts w:ascii="Times New Roman" w:hAnsi="Times New Roman"/>
          <w:sz w:val="24"/>
        </w:rPr>
        <w:t xml:space="preserve"> – </w:t>
      </w:r>
      <w:r>
        <w:rPr>
          <w:rFonts w:ascii="Times New Roman" w:hAnsi="Times New Roman"/>
          <w:sz w:val="24"/>
        </w:rPr>
        <w:t>4,8</w:t>
      </w:r>
      <w:r w:rsidRPr="0078099F">
        <w:rPr>
          <w:rFonts w:ascii="Times New Roman" w:hAnsi="Times New Roman"/>
          <w:sz w:val="24"/>
        </w:rPr>
        <w:t xml:space="preserve"> milj. </w:t>
      </w:r>
      <w:r w:rsidRPr="0078099F">
        <w:rPr>
          <w:rFonts w:ascii="Times New Roman" w:hAnsi="Times New Roman"/>
          <w:i/>
          <w:sz w:val="24"/>
        </w:rPr>
        <w:t>euro</w:t>
      </w:r>
      <w:r w:rsidRPr="0078099F">
        <w:rPr>
          <w:rFonts w:ascii="Times New Roman" w:hAnsi="Times New Roman"/>
          <w:sz w:val="24"/>
        </w:rPr>
        <w:t xml:space="preserve"> un 202</w:t>
      </w:r>
      <w:r>
        <w:rPr>
          <w:rFonts w:ascii="Times New Roman" w:hAnsi="Times New Roman"/>
          <w:sz w:val="24"/>
        </w:rPr>
        <w:t>4</w:t>
      </w:r>
      <w:r w:rsidRPr="0078099F">
        <w:rPr>
          <w:rFonts w:ascii="Times New Roman" w:hAnsi="Times New Roman"/>
          <w:sz w:val="24"/>
        </w:rPr>
        <w:t>.gad</w:t>
      </w:r>
      <w:r>
        <w:rPr>
          <w:rFonts w:ascii="Times New Roman" w:hAnsi="Times New Roman"/>
          <w:sz w:val="24"/>
        </w:rPr>
        <w:t>am</w:t>
      </w:r>
      <w:r w:rsidRPr="0078099F">
        <w:rPr>
          <w:rFonts w:ascii="Times New Roman" w:hAnsi="Times New Roman"/>
          <w:sz w:val="24"/>
        </w:rPr>
        <w:t xml:space="preserve"> – </w:t>
      </w:r>
      <w:r w:rsidRPr="00191E2E">
        <w:rPr>
          <w:rFonts w:ascii="Times New Roman" w:eastAsia="Calibri" w:hAnsi="Times New Roman"/>
          <w:sz w:val="24"/>
        </w:rPr>
        <w:t>3,</w:t>
      </w:r>
      <w:r>
        <w:rPr>
          <w:rFonts w:ascii="Times New Roman" w:eastAsia="Calibri" w:hAnsi="Times New Roman"/>
          <w:sz w:val="24"/>
        </w:rPr>
        <w:t>8</w:t>
      </w:r>
      <w:r w:rsidRPr="0078099F">
        <w:rPr>
          <w:rFonts w:ascii="Times New Roman" w:hAnsi="Times New Roman"/>
          <w:sz w:val="24"/>
        </w:rPr>
        <w:t xml:space="preserve"> milj. </w:t>
      </w:r>
      <w:r w:rsidRPr="0078099F">
        <w:rPr>
          <w:rFonts w:ascii="Times New Roman" w:hAnsi="Times New Roman"/>
          <w:i/>
          <w:sz w:val="24"/>
        </w:rPr>
        <w:t>euro.</w:t>
      </w:r>
      <w:r w:rsidRPr="0078099F">
        <w:rPr>
          <w:rFonts w:ascii="Times New Roman" w:hAnsi="Times New Roman"/>
          <w:sz w:val="24"/>
        </w:rPr>
        <w:t xml:space="preserve"> Ņemot vērā MK noteikumos Nr.</w:t>
      </w:r>
      <w:r>
        <w:rPr>
          <w:rFonts w:ascii="Times New Roman" w:hAnsi="Times New Roman"/>
          <w:sz w:val="24"/>
        </w:rPr>
        <w:t> </w:t>
      </w:r>
      <w:r w:rsidRPr="0078099F">
        <w:rPr>
          <w:rFonts w:ascii="Times New Roman" w:hAnsi="Times New Roman"/>
          <w:sz w:val="24"/>
        </w:rPr>
        <w:t>229 noteikto fiskālā nodrošinājuma rezerves aprēķina metodoloģiju 20</w:t>
      </w:r>
      <w:r>
        <w:rPr>
          <w:rFonts w:ascii="Times New Roman" w:hAnsi="Times New Roman"/>
          <w:sz w:val="24"/>
        </w:rPr>
        <w:t>21</w:t>
      </w:r>
      <w:r w:rsidRPr="0078099F">
        <w:rPr>
          <w:rFonts w:ascii="Times New Roman" w:hAnsi="Times New Roman"/>
          <w:sz w:val="24"/>
        </w:rPr>
        <w:t>.</w:t>
      </w:r>
      <w:r>
        <w:rPr>
          <w:rFonts w:ascii="Times New Roman" w:hAnsi="Times New Roman"/>
          <w:sz w:val="24"/>
        </w:rPr>
        <w:t> </w:t>
      </w:r>
      <w:r w:rsidRPr="0078099F">
        <w:rPr>
          <w:rFonts w:ascii="Times New Roman" w:hAnsi="Times New Roman"/>
          <w:sz w:val="24"/>
        </w:rPr>
        <w:t>gadā valsts aizdevumiem fiskālā nodrošinājuma rezerve ir aprēķināta 0,</w:t>
      </w:r>
      <w:r w:rsidRPr="00191E2E">
        <w:rPr>
          <w:rFonts w:ascii="Times New Roman" w:eastAsia="Calibri" w:hAnsi="Times New Roman"/>
          <w:sz w:val="24"/>
          <w:szCs w:val="24"/>
        </w:rPr>
        <w:t>00</w:t>
      </w:r>
      <w:r>
        <w:rPr>
          <w:rFonts w:ascii="Times New Roman" w:eastAsia="Calibri" w:hAnsi="Times New Roman"/>
          <w:sz w:val="24"/>
          <w:szCs w:val="24"/>
        </w:rPr>
        <w:t>4</w:t>
      </w:r>
      <w:r w:rsidRPr="0078099F">
        <w:rPr>
          <w:rFonts w:ascii="Times New Roman" w:hAnsi="Times New Roman"/>
          <w:sz w:val="24"/>
        </w:rPr>
        <w:t>%, 202</w:t>
      </w:r>
      <w:r>
        <w:rPr>
          <w:rFonts w:ascii="Times New Roman" w:hAnsi="Times New Roman"/>
          <w:sz w:val="24"/>
        </w:rPr>
        <w:t>2</w:t>
      </w:r>
      <w:r w:rsidRPr="0078099F">
        <w:rPr>
          <w:rFonts w:ascii="Times New Roman" w:hAnsi="Times New Roman"/>
          <w:sz w:val="24"/>
        </w:rPr>
        <w:t>.</w:t>
      </w:r>
      <w:r>
        <w:rPr>
          <w:rFonts w:ascii="Times New Roman" w:hAnsi="Times New Roman"/>
          <w:sz w:val="24"/>
        </w:rPr>
        <w:t xml:space="preserve"> gadā 0,014%, 2023. gadā 0,013% un 2024. </w:t>
      </w:r>
      <w:r w:rsidRPr="0078099F">
        <w:rPr>
          <w:rFonts w:ascii="Times New Roman" w:hAnsi="Times New Roman"/>
          <w:sz w:val="24"/>
        </w:rPr>
        <w:t>gadā 0,0</w:t>
      </w:r>
      <w:r>
        <w:rPr>
          <w:rFonts w:ascii="Times New Roman" w:hAnsi="Times New Roman"/>
          <w:sz w:val="24"/>
        </w:rPr>
        <w:t>10</w:t>
      </w:r>
      <w:r w:rsidRPr="0078099F">
        <w:rPr>
          <w:rFonts w:ascii="Times New Roman" w:hAnsi="Times New Roman"/>
          <w:sz w:val="24"/>
        </w:rPr>
        <w:t xml:space="preserve">% apmērā no </w:t>
      </w:r>
      <w:r>
        <w:rPr>
          <w:rFonts w:ascii="Times New Roman" w:hAnsi="Times New Roman"/>
          <w:sz w:val="24"/>
        </w:rPr>
        <w:t xml:space="preserve">prognozētā </w:t>
      </w:r>
      <w:r w:rsidRPr="0078099F">
        <w:rPr>
          <w:rFonts w:ascii="Times New Roman" w:hAnsi="Times New Roman"/>
          <w:sz w:val="24"/>
        </w:rPr>
        <w:t>IKP</w:t>
      </w:r>
      <w:r>
        <w:rPr>
          <w:rFonts w:ascii="Times New Roman" w:hAnsi="Times New Roman"/>
          <w:sz w:val="24"/>
        </w:rPr>
        <w:t>.</w:t>
      </w:r>
    </w:p>
    <w:p w14:paraId="352CEDB9" w14:textId="69996358" w:rsidR="005E24F6" w:rsidRDefault="008A497A" w:rsidP="005E24F6">
      <w:pPr>
        <w:spacing w:after="0" w:line="240" w:lineRule="auto"/>
        <w:ind w:firstLine="709"/>
        <w:jc w:val="both"/>
        <w:rPr>
          <w:rFonts w:ascii="Times New Roman" w:hAnsi="Times New Roman" w:cs="Times New Roman"/>
          <w:sz w:val="24"/>
          <w:szCs w:val="24"/>
        </w:rPr>
      </w:pPr>
      <w:r>
        <w:rPr>
          <w:rFonts w:ascii="Times New Roman" w:eastAsia="Calibri" w:hAnsi="Times New Roman"/>
          <w:sz w:val="24"/>
        </w:rPr>
        <w:lastRenderedPageBreak/>
        <w:t xml:space="preserve">Turpinoties </w:t>
      </w:r>
      <w:r w:rsidRPr="00D36E2C">
        <w:rPr>
          <w:rFonts w:ascii="Times New Roman" w:eastAsia="Calibri" w:hAnsi="Times New Roman"/>
          <w:sz w:val="24"/>
        </w:rPr>
        <w:t>Covid</w:t>
      </w:r>
      <w:r w:rsidRPr="00835CFD">
        <w:rPr>
          <w:rFonts w:ascii="Times New Roman" w:hAnsi="Times New Roman" w:cs="Times New Roman"/>
          <w:color w:val="000000"/>
          <w:sz w:val="24"/>
          <w:szCs w:val="24"/>
        </w:rPr>
        <w:t>–</w:t>
      </w:r>
      <w:r w:rsidRPr="00D36E2C">
        <w:rPr>
          <w:rFonts w:ascii="Times New Roman" w:eastAsia="Calibri" w:hAnsi="Times New Roman"/>
          <w:sz w:val="24"/>
        </w:rPr>
        <w:t>19</w:t>
      </w:r>
      <w:r>
        <w:rPr>
          <w:rFonts w:ascii="Times New Roman" w:eastAsia="Calibri" w:hAnsi="Times New Roman"/>
          <w:sz w:val="24"/>
        </w:rPr>
        <w:t xml:space="preserve"> pandēmijas izraisītai ekonomiskai krīzei, </w:t>
      </w:r>
      <w:r w:rsidRPr="00485FC2">
        <w:rPr>
          <w:rFonts w:ascii="Times New Roman" w:eastAsia="Calibri" w:hAnsi="Times New Roman"/>
          <w:sz w:val="24"/>
        </w:rPr>
        <w:t>pakāpenisk</w:t>
      </w:r>
      <w:r>
        <w:rPr>
          <w:rFonts w:ascii="Times New Roman" w:eastAsia="Calibri" w:hAnsi="Times New Roman"/>
          <w:sz w:val="24"/>
        </w:rPr>
        <w:t xml:space="preserve">i sašaurinoties valsts atbalsta un pandēmijas pārvarēšanas pasākumiem, pieaugot riskiem pandēmijas tieši skartajās nozarēs un atkārtojoties negatīvajiem efektiem, palielinās </w:t>
      </w:r>
      <w:r w:rsidRPr="00F864F8">
        <w:rPr>
          <w:rFonts w:ascii="Times New Roman" w:eastAsia="Calibri" w:hAnsi="Times New Roman"/>
          <w:sz w:val="24"/>
        </w:rPr>
        <w:t>nelabvēlīga</w:t>
      </w:r>
      <w:r>
        <w:rPr>
          <w:rFonts w:ascii="Times New Roman" w:eastAsia="Calibri" w:hAnsi="Times New Roman"/>
          <w:sz w:val="24"/>
        </w:rPr>
        <w:t>s</w:t>
      </w:r>
      <w:r w:rsidRPr="00F864F8">
        <w:rPr>
          <w:rFonts w:ascii="Times New Roman" w:eastAsia="Calibri" w:hAnsi="Times New Roman"/>
          <w:sz w:val="24"/>
        </w:rPr>
        <w:t xml:space="preserve"> ietekme</w:t>
      </w:r>
      <w:r>
        <w:rPr>
          <w:rFonts w:ascii="Times New Roman" w:eastAsia="Calibri" w:hAnsi="Times New Roman"/>
          <w:sz w:val="24"/>
        </w:rPr>
        <w:t>s</w:t>
      </w:r>
      <w:r w:rsidRPr="00F864F8">
        <w:rPr>
          <w:rFonts w:ascii="Times New Roman" w:eastAsia="Calibri" w:hAnsi="Times New Roman"/>
          <w:sz w:val="24"/>
        </w:rPr>
        <w:t xml:space="preserve"> iespējam</w:t>
      </w:r>
      <w:r>
        <w:rPr>
          <w:rFonts w:ascii="Times New Roman" w:eastAsia="Calibri" w:hAnsi="Times New Roman"/>
          <w:sz w:val="24"/>
        </w:rPr>
        <w:t>ība</w:t>
      </w:r>
      <w:r w:rsidRPr="00F864F8">
        <w:rPr>
          <w:rFonts w:ascii="Times New Roman" w:eastAsia="Calibri" w:hAnsi="Times New Roman"/>
          <w:sz w:val="24"/>
        </w:rPr>
        <w:t xml:space="preserve"> </w:t>
      </w:r>
      <w:r>
        <w:rPr>
          <w:rFonts w:ascii="Times New Roman" w:eastAsia="Calibri" w:hAnsi="Times New Roman"/>
          <w:sz w:val="24"/>
        </w:rPr>
        <w:t xml:space="preserve">arī </w:t>
      </w:r>
      <w:r w:rsidRPr="00F864F8">
        <w:rPr>
          <w:rFonts w:ascii="Times New Roman" w:eastAsia="Calibri" w:hAnsi="Times New Roman"/>
          <w:sz w:val="24"/>
        </w:rPr>
        <w:t xml:space="preserve">uz </w:t>
      </w:r>
      <w:r>
        <w:rPr>
          <w:rFonts w:ascii="Times New Roman" w:eastAsia="Calibri" w:hAnsi="Times New Roman"/>
          <w:sz w:val="24"/>
        </w:rPr>
        <w:t>krīzes netieši skarto nozaru uzņēmumu finanšu rādītājiem un to spēju segt savas saistības.</w:t>
      </w:r>
      <w:r>
        <w:rPr>
          <w:rFonts w:ascii="Times New Roman" w:hAnsi="Times New Roman" w:cs="Times New Roman"/>
          <w:sz w:val="24"/>
          <w:szCs w:val="24"/>
        </w:rPr>
        <w:t xml:space="preserve"> </w:t>
      </w:r>
      <w:r w:rsidR="005E24F6" w:rsidRPr="001660EC">
        <w:rPr>
          <w:rFonts w:ascii="Times New Roman" w:hAnsi="Times New Roman" w:cs="Times New Roman"/>
          <w:sz w:val="24"/>
          <w:szCs w:val="24"/>
        </w:rPr>
        <w:t xml:space="preserve">Esošajā situācijā ir </w:t>
      </w:r>
      <w:r>
        <w:rPr>
          <w:rFonts w:ascii="Times New Roman" w:hAnsi="Times New Roman" w:cs="Times New Roman"/>
          <w:sz w:val="24"/>
          <w:szCs w:val="24"/>
        </w:rPr>
        <w:t>sarežģīti</w:t>
      </w:r>
      <w:r w:rsidR="005E24F6" w:rsidRPr="001660EC">
        <w:rPr>
          <w:rFonts w:ascii="Times New Roman" w:hAnsi="Times New Roman" w:cs="Times New Roman"/>
          <w:sz w:val="24"/>
          <w:szCs w:val="24"/>
        </w:rPr>
        <w:t xml:space="preserve"> prognozēt krīzes ietekmi uz aizņēmēju maksātspēju</w:t>
      </w:r>
      <w:r>
        <w:rPr>
          <w:rFonts w:ascii="Times New Roman" w:hAnsi="Times New Roman" w:cs="Times New Roman"/>
          <w:sz w:val="24"/>
          <w:szCs w:val="24"/>
        </w:rPr>
        <w:t xml:space="preserve"> tuvākā nākotnē</w:t>
      </w:r>
      <w:r w:rsidR="005E24F6" w:rsidRPr="001660EC">
        <w:rPr>
          <w:rFonts w:ascii="Times New Roman" w:hAnsi="Times New Roman" w:cs="Times New Roman"/>
          <w:sz w:val="24"/>
          <w:szCs w:val="24"/>
        </w:rPr>
        <w:t xml:space="preserve">. </w:t>
      </w:r>
      <w:r>
        <w:rPr>
          <w:rFonts w:ascii="Times New Roman" w:hAnsi="Times New Roman" w:cs="Times New Roman"/>
          <w:sz w:val="24"/>
          <w:szCs w:val="24"/>
        </w:rPr>
        <w:t>Tomēr</w:t>
      </w:r>
      <w:r w:rsidRPr="001660EC">
        <w:rPr>
          <w:rFonts w:ascii="Times New Roman" w:hAnsi="Times New Roman" w:cs="Times New Roman"/>
          <w:sz w:val="24"/>
          <w:szCs w:val="24"/>
        </w:rPr>
        <w:t xml:space="preserve"> </w:t>
      </w:r>
      <w:r w:rsidR="005E24F6" w:rsidRPr="001660EC">
        <w:rPr>
          <w:rFonts w:ascii="Times New Roman" w:hAnsi="Times New Roman" w:cs="Times New Roman"/>
          <w:sz w:val="24"/>
          <w:szCs w:val="24"/>
        </w:rPr>
        <w:t xml:space="preserve">Latvijas valdība ir norādījusi, ka krīzes laikā pēc iespējas labāk jāsaglabā biznesa vide un tās saglabāšanai valsts ir gatava ieguldīt līdzekļus tādā apmērā, kādā tas būs nepieciešams. </w:t>
      </w:r>
      <w:r>
        <w:rPr>
          <w:rFonts w:ascii="Times New Roman" w:hAnsi="Times New Roman" w:cs="Times New Roman"/>
          <w:sz w:val="24"/>
          <w:szCs w:val="24"/>
        </w:rPr>
        <w:t>Tādējādi</w:t>
      </w:r>
      <w:r w:rsidRPr="001660EC">
        <w:rPr>
          <w:rFonts w:ascii="Times New Roman" w:hAnsi="Times New Roman" w:cs="Times New Roman"/>
          <w:sz w:val="24"/>
          <w:szCs w:val="24"/>
        </w:rPr>
        <w:t xml:space="preserve"> </w:t>
      </w:r>
      <w:r w:rsidR="005E24F6" w:rsidRPr="001660EC">
        <w:rPr>
          <w:rFonts w:ascii="Times New Roman" w:hAnsi="Times New Roman" w:cs="Times New Roman"/>
          <w:sz w:val="24"/>
          <w:szCs w:val="24"/>
        </w:rPr>
        <w:t>tika pieņemts speciāls likums Covid</w:t>
      </w:r>
      <w:r w:rsidR="005E24F6" w:rsidRPr="00F737C0">
        <w:rPr>
          <w:rFonts w:ascii="Times New Roman" w:hAnsi="Times New Roman"/>
          <w:sz w:val="24"/>
          <w:szCs w:val="24"/>
        </w:rPr>
        <w:t>–</w:t>
      </w:r>
      <w:r w:rsidR="005E24F6" w:rsidRPr="001660EC">
        <w:rPr>
          <w:rFonts w:ascii="Times New Roman" w:hAnsi="Times New Roman" w:cs="Times New Roman"/>
          <w:sz w:val="24"/>
          <w:szCs w:val="24"/>
        </w:rPr>
        <w:t xml:space="preserve">19 </w:t>
      </w:r>
      <w:r w:rsidRPr="00030C95">
        <w:rPr>
          <w:rFonts w:ascii="Times New Roman" w:hAnsi="Times New Roman" w:cs="Times New Roman"/>
          <w:sz w:val="24"/>
          <w:szCs w:val="24"/>
        </w:rPr>
        <w:t>infekcijas izplatības seku pārvarēšana</w:t>
      </w:r>
      <w:r>
        <w:rPr>
          <w:rFonts w:ascii="Times New Roman" w:hAnsi="Times New Roman" w:cs="Times New Roman"/>
          <w:sz w:val="24"/>
          <w:szCs w:val="24"/>
        </w:rPr>
        <w:t>i</w:t>
      </w:r>
      <w:r w:rsidR="005E24F6" w:rsidRPr="001660EC">
        <w:rPr>
          <w:rFonts w:ascii="Times New Roman" w:hAnsi="Times New Roman" w:cs="Times New Roman"/>
          <w:sz w:val="24"/>
          <w:szCs w:val="24"/>
        </w:rPr>
        <w:t>, kurā paredzēta tieša valsts iesaiste krīzes seku mazināšanai un finanšu atbalsta sniegšanai.</w:t>
      </w:r>
    </w:p>
    <w:p w14:paraId="11492BF7" w14:textId="78702F69" w:rsidR="008A497A" w:rsidRPr="001660EC" w:rsidRDefault="008A497A" w:rsidP="008A497A">
      <w:pPr>
        <w:spacing w:after="0" w:line="240" w:lineRule="auto"/>
        <w:ind w:firstLine="720"/>
        <w:jc w:val="both"/>
        <w:rPr>
          <w:rFonts w:ascii="Times New Roman" w:hAnsi="Times New Roman" w:cs="Times New Roman"/>
          <w:sz w:val="24"/>
          <w:szCs w:val="24"/>
        </w:rPr>
      </w:pPr>
      <w:r w:rsidRPr="006F1E49">
        <w:rPr>
          <w:rFonts w:ascii="Times New Roman" w:eastAsia="Calibri" w:hAnsi="Times New Roman"/>
          <w:sz w:val="24"/>
        </w:rPr>
        <w:t xml:space="preserve">Covid-19 infekcijas izplatības seku pārvarēšanas likuma 29.panta </w:t>
      </w:r>
      <w:r>
        <w:rPr>
          <w:rFonts w:ascii="Times New Roman" w:eastAsia="Calibri" w:hAnsi="Times New Roman"/>
          <w:sz w:val="24"/>
        </w:rPr>
        <w:t>nosacījumus izmantojusi viena speciālā ekonomiskās</w:t>
      </w:r>
      <w:r w:rsidRPr="006F1E49">
        <w:rPr>
          <w:rFonts w:ascii="Times New Roman" w:eastAsia="Calibri" w:hAnsi="Times New Roman"/>
          <w:sz w:val="24"/>
        </w:rPr>
        <w:t xml:space="preserve"> zon</w:t>
      </w:r>
      <w:r>
        <w:rPr>
          <w:rFonts w:ascii="Times New Roman" w:eastAsia="Calibri" w:hAnsi="Times New Roman"/>
          <w:sz w:val="24"/>
        </w:rPr>
        <w:t>as pārvalde, saņemot jaunus valsts aizdevumus</w:t>
      </w:r>
      <w:r w:rsidRPr="006F1E49">
        <w:rPr>
          <w:rFonts w:ascii="Times New Roman" w:eastAsia="Calibri" w:hAnsi="Times New Roman"/>
          <w:sz w:val="24"/>
        </w:rPr>
        <w:t xml:space="preserve"> Covid-19 izraisītās krīzes seku mazināšanai, novēršanai un </w:t>
      </w:r>
      <w:r>
        <w:rPr>
          <w:rFonts w:ascii="Times New Roman" w:eastAsia="Calibri" w:hAnsi="Times New Roman"/>
          <w:sz w:val="24"/>
        </w:rPr>
        <w:t xml:space="preserve">finanšu vadības </w:t>
      </w:r>
      <w:r w:rsidRPr="006F1E49">
        <w:rPr>
          <w:rFonts w:ascii="Times New Roman" w:eastAsia="Calibri" w:hAnsi="Times New Roman"/>
          <w:sz w:val="24"/>
        </w:rPr>
        <w:t>atbalstam</w:t>
      </w:r>
      <w:r>
        <w:rPr>
          <w:rFonts w:ascii="Times New Roman" w:eastAsia="Calibri" w:hAnsi="Times New Roman"/>
          <w:sz w:val="24"/>
        </w:rPr>
        <w:t>, kā arī restrukturizējot spēkā esošo valsts aizdevumu atmaksas termiņus, tādējādi saglabājot tautsaimnieciskas nozīmes pārvaldes maksātspēju.</w:t>
      </w:r>
    </w:p>
    <w:p w14:paraId="35DDC05A" w14:textId="77777777" w:rsidR="00552573" w:rsidRPr="00103B4E" w:rsidRDefault="00552573" w:rsidP="00552573">
      <w:pPr>
        <w:spacing w:after="0" w:line="240" w:lineRule="auto"/>
        <w:ind w:firstLine="709"/>
        <w:jc w:val="both"/>
        <w:rPr>
          <w:rFonts w:ascii="Times New Roman" w:hAnsi="Times New Roman"/>
          <w:sz w:val="24"/>
          <w:szCs w:val="24"/>
        </w:rPr>
      </w:pPr>
      <w:r w:rsidRPr="00103B4E">
        <w:rPr>
          <w:rFonts w:ascii="Times New Roman" w:eastAsia="Calibri" w:hAnsi="Times New Roman"/>
          <w:sz w:val="24"/>
          <w:szCs w:val="24"/>
        </w:rPr>
        <w:t>Aizdevumu risks tiek vadīts, regulāri uzraugot aizdevumu saņēmēju finanšu stāvokli (vienu reizi ceturksnī tiek saņemti operatīvie finanšu pārskati par trim, sešiem, deviņiem un divpadsmit mēnešiem, tai skaitā bilance, peļņas vai zaudējumu aprēķins un naudas plūsmas pārskats, un vienu reizi gadā tiek saņemti revidēti gada pārskati, uz kuru pamata tiek izvērtēta aizdevumu saņēmēju pelnītspēja, apgrozāmo līdzekļu pietiekamība īstermiņa saistību segšanai un kapitāla struktūra), kredītvēsturi un nodrošinājuma likviditāti un pietiekamību. Situācijās, kad aizdevumu risks ir paaugstināts, tiek veikti papildus uzraudzības pasākumi, tai skaitā atjaunotu biznesa plānu pieprasīšana un tikšanās ar aizdevuma saņēmēja vadību.</w:t>
      </w:r>
    </w:p>
    <w:p w14:paraId="17290F92" w14:textId="77777777" w:rsidR="00552573" w:rsidRPr="00103B4E" w:rsidRDefault="00552573" w:rsidP="00552573">
      <w:pPr>
        <w:spacing w:after="0" w:line="240" w:lineRule="auto"/>
        <w:ind w:firstLine="709"/>
        <w:jc w:val="both"/>
        <w:rPr>
          <w:rFonts w:ascii="Times New Roman" w:hAnsi="Times New Roman"/>
          <w:sz w:val="24"/>
        </w:rPr>
      </w:pPr>
      <w:r w:rsidRPr="00103B4E">
        <w:rPr>
          <w:rFonts w:ascii="Times New Roman" w:eastAsia="Calibri" w:hAnsi="Times New Roman"/>
          <w:sz w:val="24"/>
          <w:szCs w:val="24"/>
        </w:rPr>
        <w:t>Likumā par budžetu un finanšu vadību ir noteikts potenciālo valsts aizdevuma saņēmēju loks un mērķi. Valsts aizdevumu izsniegšanas un apkalpošanas kārtību nosaka 20</w:t>
      </w:r>
      <w:r>
        <w:rPr>
          <w:rFonts w:ascii="Times New Roman" w:eastAsia="Calibri" w:hAnsi="Times New Roman"/>
          <w:sz w:val="24"/>
          <w:szCs w:val="24"/>
        </w:rPr>
        <w:t>19</w:t>
      </w:r>
      <w:r w:rsidRPr="00103B4E">
        <w:rPr>
          <w:rFonts w:ascii="Times New Roman" w:eastAsia="Calibri" w:hAnsi="Times New Roman"/>
          <w:sz w:val="24"/>
          <w:szCs w:val="24"/>
        </w:rPr>
        <w:t xml:space="preserve">.gada </w:t>
      </w:r>
      <w:r>
        <w:rPr>
          <w:rFonts w:ascii="Times New Roman" w:eastAsia="Calibri" w:hAnsi="Times New Roman"/>
          <w:sz w:val="24"/>
          <w:szCs w:val="24"/>
        </w:rPr>
        <w:t>13</w:t>
      </w:r>
      <w:r w:rsidRPr="00103B4E">
        <w:rPr>
          <w:rFonts w:ascii="Times New Roman" w:eastAsia="Calibri" w:hAnsi="Times New Roman"/>
          <w:sz w:val="24"/>
          <w:szCs w:val="24"/>
        </w:rPr>
        <w:t>.</w:t>
      </w:r>
      <w:r>
        <w:rPr>
          <w:rFonts w:ascii="Times New Roman" w:eastAsia="Calibri" w:hAnsi="Times New Roman"/>
          <w:sz w:val="24"/>
          <w:szCs w:val="24"/>
        </w:rPr>
        <w:t>augusta</w:t>
      </w:r>
      <w:r w:rsidRPr="00103B4E">
        <w:rPr>
          <w:rFonts w:ascii="Times New Roman" w:eastAsia="Calibri" w:hAnsi="Times New Roman"/>
          <w:sz w:val="24"/>
          <w:szCs w:val="24"/>
        </w:rPr>
        <w:t xml:space="preserve"> MK noteikumi</w:t>
      </w:r>
      <w:r w:rsidRPr="00103B4E">
        <w:rPr>
          <w:rFonts w:ascii="Times New Roman" w:eastAsia="Calibri" w:hAnsi="Times New Roman"/>
          <w:sz w:val="24"/>
        </w:rPr>
        <w:t xml:space="preserve"> Nr.36</w:t>
      </w:r>
      <w:r>
        <w:rPr>
          <w:rFonts w:ascii="Times New Roman" w:eastAsia="Calibri" w:hAnsi="Times New Roman"/>
          <w:sz w:val="24"/>
        </w:rPr>
        <w:t>2</w:t>
      </w:r>
      <w:r w:rsidRPr="00103B4E">
        <w:rPr>
          <w:rFonts w:ascii="Times New Roman" w:eastAsia="Calibri" w:hAnsi="Times New Roman"/>
          <w:sz w:val="24"/>
        </w:rPr>
        <w:t xml:space="preserve"> „Kārtība, kādā ministrijas un citas centrālās valsts iestādes iekļauj gadskārtējā valsts budžeta likumprojektā valsts aizdevumu pieprasījumus un valsts aizdevumu izsniegšanas un apkalpošanas kārtība”, kuros noteikts valsts aizdevuma saņemšanas process un tā saderība ar valsts atbalsta normām, iekļauti paaugstināta aizdevuma atmaksas riska noteikšanas kritēriji, noteikta rīcība gadījumos, kad pasliktinās aizdevuma saņēmēja finanšu rādītāji vai samazinās nodrošinājuma vērtība, tādējādi nodrošinot valsts interešu aizsardzību, kā arī noteikta nozares ministriju atbildība par projekta īstenošanu, nodrošinot projekta atbilstību attiecīgās nozares ministrijas politikas plānošanas dokumentos noteikto mērķu sasniegšanai. </w:t>
      </w:r>
    </w:p>
    <w:p w14:paraId="1D470379" w14:textId="77777777" w:rsidR="00552573" w:rsidRDefault="00552573" w:rsidP="00552573">
      <w:pPr>
        <w:spacing w:after="0" w:line="240" w:lineRule="auto"/>
        <w:ind w:firstLine="709"/>
        <w:jc w:val="both"/>
        <w:rPr>
          <w:rFonts w:ascii="Times New Roman" w:eastAsia="Calibri" w:hAnsi="Times New Roman"/>
          <w:sz w:val="24"/>
          <w:szCs w:val="24"/>
        </w:rPr>
      </w:pPr>
      <w:r w:rsidRPr="00103B4E">
        <w:rPr>
          <w:rFonts w:ascii="Times New Roman" w:eastAsia="Calibri" w:hAnsi="Times New Roman"/>
          <w:sz w:val="24"/>
        </w:rPr>
        <w:t xml:space="preserve">Valsts aizdevumu </w:t>
      </w:r>
      <w:r w:rsidRPr="00103B4E">
        <w:rPr>
          <w:rFonts w:ascii="Times New Roman" w:eastAsia="Calibri" w:hAnsi="Times New Roman"/>
          <w:sz w:val="24"/>
          <w:szCs w:val="24"/>
        </w:rPr>
        <w:t>portfeļa uzraudzības procesa ietvaros divas reizes gadā finanšu ministram tiek sagatavots ziņojums par valsts aizdevumu portfeli ar priekšlikumiem par nepieciešamo rīcību valsts interešu ievērošanai.</w:t>
      </w:r>
    </w:p>
    <w:p w14:paraId="35151186" w14:textId="77777777" w:rsidR="005C32F2" w:rsidRPr="001054F7" w:rsidRDefault="005C32F2" w:rsidP="005C32F2">
      <w:pPr>
        <w:rPr>
          <w:highlight w:val="yellow"/>
        </w:rPr>
      </w:pPr>
    </w:p>
    <w:p w14:paraId="044E2291" w14:textId="77777777" w:rsidR="00822D84" w:rsidRPr="00B97861" w:rsidRDefault="00822D84" w:rsidP="009A521C">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26" w:name="_Toc405371078"/>
      <w:bookmarkStart w:id="27" w:name="_Toc536779063"/>
      <w:bookmarkStart w:id="28" w:name="_Toc80111853"/>
      <w:r w:rsidRPr="00B97861">
        <w:rPr>
          <w:rFonts w:ascii="Times New Roman" w:hAnsi="Times New Roman" w:cs="Times New Roman"/>
          <w:color w:val="auto"/>
          <w:sz w:val="24"/>
          <w:szCs w:val="24"/>
        </w:rPr>
        <w:t>Kvantificējamie riski labklājības nozarē</w:t>
      </w:r>
      <w:bookmarkEnd w:id="26"/>
      <w:bookmarkEnd w:id="27"/>
      <w:bookmarkEnd w:id="28"/>
    </w:p>
    <w:p w14:paraId="4490C2D5" w14:textId="77777777" w:rsidR="00D535FD" w:rsidRPr="00E32E5E" w:rsidRDefault="00D535FD" w:rsidP="000D02B5">
      <w:pPr>
        <w:spacing w:after="0" w:line="240" w:lineRule="auto"/>
        <w:ind w:firstLine="720"/>
        <w:jc w:val="both"/>
        <w:rPr>
          <w:rFonts w:ascii="Times New Roman" w:eastAsiaTheme="minorHAnsi" w:hAnsi="Times New Roman"/>
          <w:sz w:val="24"/>
          <w:szCs w:val="20"/>
        </w:rPr>
      </w:pPr>
      <w:r w:rsidRPr="00E32E5E">
        <w:rPr>
          <w:rFonts w:ascii="Times New Roman" w:eastAsiaTheme="minorHAnsi" w:hAnsi="Times New Roman"/>
          <w:sz w:val="24"/>
          <w:szCs w:val="20"/>
        </w:rPr>
        <w:t xml:space="preserve">Labklājības ministrijas (turpmāk </w:t>
      </w:r>
      <w:r w:rsidR="00DD6ACA" w:rsidRPr="00E32E5E">
        <w:rPr>
          <w:rFonts w:ascii="Times New Roman" w:eastAsiaTheme="minorHAnsi" w:hAnsi="Times New Roman"/>
          <w:sz w:val="24"/>
          <w:szCs w:val="20"/>
        </w:rPr>
        <w:t>–</w:t>
      </w:r>
      <w:r w:rsidRPr="00E32E5E">
        <w:rPr>
          <w:rFonts w:ascii="Times New Roman" w:eastAsiaTheme="minorHAnsi" w:hAnsi="Times New Roman"/>
          <w:sz w:val="24"/>
          <w:szCs w:val="20"/>
        </w:rPr>
        <w:t xml:space="preserve"> </w:t>
      </w:r>
      <w:r w:rsidRPr="00CA7612">
        <w:rPr>
          <w:rFonts w:ascii="Times New Roman" w:eastAsiaTheme="minorHAnsi" w:hAnsi="Times New Roman"/>
          <w:sz w:val="24"/>
          <w:szCs w:val="20"/>
        </w:rPr>
        <w:t>LM</w:t>
      </w:r>
      <w:r w:rsidRPr="00E32E5E">
        <w:rPr>
          <w:rFonts w:ascii="Times New Roman" w:eastAsiaTheme="minorHAnsi" w:hAnsi="Times New Roman"/>
          <w:sz w:val="24"/>
          <w:szCs w:val="20"/>
        </w:rPr>
        <w:t>) pārziņā ir vairāki specifiskie fiskālie riski, kas ir saistīti gan ar valsts pamatbudžeta maksājumiem valsts sociālajiem pabalstiem un izdienas pensijām, gan ar valsts atbalsta sociālajai apdrošināšanai nodrošināšanu, gan ar speciālā valsts budžeta veidiem</w:t>
      </w:r>
      <w:r w:rsidR="00DD6ACA" w:rsidRPr="00E32E5E">
        <w:rPr>
          <w:rFonts w:ascii="Times New Roman" w:eastAsiaTheme="minorHAnsi" w:hAnsi="Times New Roman"/>
          <w:sz w:val="24"/>
          <w:szCs w:val="20"/>
        </w:rPr>
        <w:t xml:space="preserve"> </w:t>
      </w:r>
      <w:r w:rsidRPr="00E32E5E">
        <w:rPr>
          <w:rFonts w:ascii="Times New Roman" w:eastAsiaTheme="minorHAnsi" w:hAnsi="Times New Roman"/>
          <w:sz w:val="24"/>
          <w:szCs w:val="20"/>
        </w:rPr>
        <w:t>– pensiju, nodarbinātības, invaliditātes, maternitātes un slimības, darba negadījuma speciālo budžetu.</w:t>
      </w:r>
    </w:p>
    <w:p w14:paraId="008F3B07" w14:textId="77777777" w:rsidR="004A6489" w:rsidRPr="00E32E5E" w:rsidRDefault="004A6489" w:rsidP="000D02B5">
      <w:pPr>
        <w:spacing w:after="0" w:line="240" w:lineRule="auto"/>
        <w:ind w:firstLine="720"/>
        <w:jc w:val="both"/>
        <w:rPr>
          <w:rFonts w:ascii="Times New Roman" w:eastAsiaTheme="minorHAnsi" w:hAnsi="Times New Roman" w:cs="Times New Roman"/>
          <w:sz w:val="24"/>
          <w:szCs w:val="20"/>
        </w:rPr>
      </w:pPr>
      <w:r w:rsidRPr="00E32E5E">
        <w:rPr>
          <w:rFonts w:ascii="Times New Roman" w:eastAsiaTheme="minorHAnsi" w:hAnsi="Times New Roman" w:cs="Times New Roman"/>
          <w:sz w:val="24"/>
          <w:szCs w:val="20"/>
        </w:rPr>
        <w:t>Fiskālie riski šajā gadījumā ir saistīti ar augstāk minēto valsts pamatbudžeta un valsts speciālā budžeta rādītāju novirzīšanos no plānotajām vērtībām. Var izšķirt vairākas fiskālo risku grupas:</w:t>
      </w:r>
    </w:p>
    <w:p w14:paraId="11D82043" w14:textId="77777777" w:rsidR="004A6489" w:rsidRPr="00F951DB" w:rsidRDefault="004A6489" w:rsidP="000D02B5">
      <w:pPr>
        <w:numPr>
          <w:ilvl w:val="0"/>
          <w:numId w:val="2"/>
        </w:numPr>
        <w:spacing w:after="0" w:line="240" w:lineRule="auto"/>
        <w:ind w:left="709" w:hanging="357"/>
        <w:jc w:val="both"/>
        <w:rPr>
          <w:rFonts w:ascii="Calibri" w:eastAsia="Calibri" w:hAnsi="Calibri" w:cs="Times New Roman"/>
          <w:szCs w:val="24"/>
        </w:rPr>
      </w:pPr>
      <w:r w:rsidRPr="00F951DB">
        <w:rPr>
          <w:rFonts w:ascii="Times New Roman" w:eastAsia="Calibri" w:hAnsi="Times New Roman" w:cs="Times New Roman"/>
          <w:sz w:val="24"/>
          <w:szCs w:val="24"/>
          <w:u w:val="single"/>
        </w:rPr>
        <w:t>Valsts pamatbudžeta vai valsts speciālā budžeta izdevumi pieaug vairāk nekā iepriekš prognozēts, sakarā ar faktiskām izmaiņām sociālās apdrošināšanas pakalpojumu saņēmēju kontingentā un/vai pensiju un pabalstu vidējā apmērā.</w:t>
      </w:r>
    </w:p>
    <w:p w14:paraId="2B5A5DF8" w14:textId="7CD55C90" w:rsidR="004A6489" w:rsidRPr="00F951DB" w:rsidRDefault="004A6489" w:rsidP="000D02B5">
      <w:pPr>
        <w:spacing w:after="0" w:line="240" w:lineRule="auto"/>
        <w:ind w:left="709"/>
        <w:jc w:val="both"/>
        <w:rPr>
          <w:rFonts w:ascii="Calibri" w:eastAsia="Calibri" w:hAnsi="Calibri" w:cs="Times New Roman"/>
          <w:szCs w:val="24"/>
        </w:rPr>
      </w:pPr>
      <w:r w:rsidRPr="00F951DB">
        <w:rPr>
          <w:rFonts w:ascii="Times New Roman" w:eastAsia="Calibri" w:hAnsi="Times New Roman" w:cs="Times New Roman"/>
          <w:sz w:val="24"/>
          <w:szCs w:val="24"/>
        </w:rPr>
        <w:t xml:space="preserve">Attiecībā uz šiem LM pārziņā esošajiem fiskālajiem riskiem nav identificēti papildu nepieciešamie pasākumi fiskālo risku mazināšanai, jo FDL šādā gadījumā pieļauj koriģēto maksimāli pieļaujamo valsts budžeta izdevumu pārsniegumu. Riski ir simetriski, tas ir, pastāv vienāda varbūtība, ka izmaksas var būt gan lielākas, gan mazākas par prognozēto apjomu. </w:t>
      </w:r>
      <w:r w:rsidRPr="00F951DB">
        <w:rPr>
          <w:rFonts w:ascii="Times New Roman" w:eastAsia="Calibri" w:hAnsi="Times New Roman" w:cs="Times New Roman"/>
          <w:sz w:val="24"/>
          <w:szCs w:val="24"/>
        </w:rPr>
        <w:lastRenderedPageBreak/>
        <w:t>Līdz ar to arī varbūtība, ka budžeta deficīts pieaugs</w:t>
      </w:r>
      <w:r w:rsidR="008D62B8" w:rsidRPr="00F951DB">
        <w:rPr>
          <w:rFonts w:ascii="Times New Roman" w:eastAsia="Calibri" w:hAnsi="Times New Roman" w:cs="Times New Roman"/>
          <w:sz w:val="24"/>
          <w:szCs w:val="24"/>
        </w:rPr>
        <w:t>,</w:t>
      </w:r>
      <w:r w:rsidRPr="00F951DB">
        <w:rPr>
          <w:rFonts w:ascii="Times New Roman" w:eastAsia="Calibri" w:hAnsi="Times New Roman" w:cs="Times New Roman"/>
          <w:sz w:val="24"/>
          <w:szCs w:val="24"/>
        </w:rPr>
        <w:t xml:space="preserve"> ir 50%. Fiskālā ietekme konkrētajā gadā nav nosakāma, bet ilgtermiņa fiskālā ietekme ir tuva nullei, jo risks ir simetrisks. Līdz ar to fiskālā nodrošinājuma rezerve šim riskam netiek veidota. </w:t>
      </w:r>
    </w:p>
    <w:p w14:paraId="44D3B7D7" w14:textId="77777777" w:rsidR="004A6489" w:rsidRPr="00A8097C" w:rsidRDefault="004A6489" w:rsidP="00A8097C">
      <w:pPr>
        <w:pStyle w:val="ListParagraph"/>
        <w:numPr>
          <w:ilvl w:val="0"/>
          <w:numId w:val="39"/>
        </w:numPr>
        <w:ind w:left="709"/>
        <w:rPr>
          <w:rFonts w:ascii="Times New Roman" w:hAnsi="Times New Roman"/>
          <w:sz w:val="24"/>
        </w:rPr>
      </w:pPr>
      <w:r w:rsidRPr="00A8097C">
        <w:rPr>
          <w:rFonts w:ascii="Times New Roman" w:hAnsi="Times New Roman"/>
          <w:sz w:val="24"/>
          <w:szCs w:val="24"/>
          <w:u w:val="single"/>
        </w:rPr>
        <w:t xml:space="preserve">Valsts sociālās apdrošināšanas speciālā budžetā plānoto ieņēmumu neizpilde, salīdzinot ar valsts </w:t>
      </w:r>
      <w:r w:rsidRPr="00A8097C">
        <w:rPr>
          <w:rFonts w:ascii="Times New Roman" w:hAnsi="Times New Roman"/>
          <w:sz w:val="24"/>
        </w:rPr>
        <w:t>budžetā apstiprinātajiem ieņēmumiem.</w:t>
      </w:r>
    </w:p>
    <w:p w14:paraId="094092E8" w14:textId="54823B38" w:rsidR="004A6489" w:rsidRPr="00F951DB" w:rsidRDefault="004A6489" w:rsidP="00191E2E">
      <w:pPr>
        <w:spacing w:after="0" w:line="240" w:lineRule="auto"/>
        <w:ind w:firstLine="720"/>
        <w:jc w:val="both"/>
        <w:rPr>
          <w:rFonts w:ascii="Times New Roman" w:eastAsiaTheme="minorHAnsi" w:hAnsi="Times New Roman" w:cs="Times New Roman"/>
          <w:sz w:val="24"/>
          <w:szCs w:val="20"/>
        </w:rPr>
      </w:pPr>
      <w:r w:rsidRPr="00F951DB">
        <w:rPr>
          <w:rFonts w:ascii="Times New Roman" w:eastAsiaTheme="minorHAnsi" w:hAnsi="Times New Roman" w:cs="Times New Roman"/>
          <w:sz w:val="24"/>
          <w:szCs w:val="20"/>
        </w:rPr>
        <w:t xml:space="preserve">Faktiskie ieņēmumi valsts sociālās apdrošināšanas speciālajā budžetā </w:t>
      </w:r>
      <w:r w:rsidR="00F82A0D" w:rsidRPr="00F951DB">
        <w:rPr>
          <w:rFonts w:ascii="Times New Roman" w:eastAsiaTheme="minorHAnsi" w:hAnsi="Times New Roman" w:cs="Times New Roman"/>
          <w:sz w:val="24"/>
          <w:szCs w:val="20"/>
        </w:rPr>
        <w:t xml:space="preserve">var </w:t>
      </w:r>
      <w:r w:rsidRPr="00F951DB">
        <w:rPr>
          <w:rFonts w:ascii="Times New Roman" w:eastAsiaTheme="minorHAnsi" w:hAnsi="Times New Roman" w:cs="Times New Roman"/>
          <w:sz w:val="24"/>
          <w:szCs w:val="20"/>
        </w:rPr>
        <w:t>a</w:t>
      </w:r>
      <w:r w:rsidR="00F82A0D" w:rsidRPr="00F951DB">
        <w:rPr>
          <w:rFonts w:ascii="Times New Roman" w:eastAsiaTheme="minorHAnsi" w:hAnsi="Times New Roman" w:cs="Times New Roman"/>
          <w:sz w:val="24"/>
          <w:szCs w:val="20"/>
        </w:rPr>
        <w:t>tšķirt</w:t>
      </w:r>
      <w:r w:rsidRPr="00F951DB">
        <w:rPr>
          <w:rFonts w:ascii="Times New Roman" w:eastAsiaTheme="minorHAnsi" w:hAnsi="Times New Roman" w:cs="Times New Roman"/>
          <w:sz w:val="24"/>
          <w:szCs w:val="20"/>
        </w:rPr>
        <w:t>ies no plānotajiem. Risks ir saistīts ar ieņēmum</w:t>
      </w:r>
      <w:r w:rsidR="00214D26">
        <w:rPr>
          <w:rFonts w:ascii="Times New Roman" w:eastAsiaTheme="minorHAnsi" w:hAnsi="Times New Roman" w:cs="Times New Roman"/>
          <w:sz w:val="24"/>
          <w:szCs w:val="20"/>
        </w:rPr>
        <w:t>u</w:t>
      </w:r>
      <w:r w:rsidRPr="00F951DB">
        <w:rPr>
          <w:rFonts w:ascii="Times New Roman" w:eastAsiaTheme="minorHAnsi" w:hAnsi="Times New Roman" w:cs="Times New Roman"/>
          <w:sz w:val="24"/>
          <w:szCs w:val="20"/>
        </w:rPr>
        <w:t xml:space="preserve"> plāna faktisko izpildi, kas neizpildes gadījumā negatīvi ietekmē valsts budžeta bilanci, kā arī izmaiņām ieņēmumu prognozēs (ieņēmumu plāna samazinājums), kas lielākoties nav līdzvērtīgs un tieši saistīts ar attiecīgu izdevumu samazinājumu. Tā, kā novirzes ar vienādu varbūtību var būt gan bilances palielinājuma, gan samazinājuma virzienā, risks ir simetrisks un līdz ar to arī varbūtība, ka deficīts pieaugs</w:t>
      </w:r>
      <w:r w:rsidR="008D62B8" w:rsidRPr="00F951DB">
        <w:rPr>
          <w:rFonts w:ascii="Times New Roman" w:eastAsiaTheme="minorHAnsi" w:hAnsi="Times New Roman" w:cs="Times New Roman"/>
          <w:sz w:val="24"/>
          <w:szCs w:val="20"/>
        </w:rPr>
        <w:t>,</w:t>
      </w:r>
      <w:r w:rsidRPr="00F951DB">
        <w:rPr>
          <w:rFonts w:ascii="Times New Roman" w:eastAsiaTheme="minorHAnsi" w:hAnsi="Times New Roman" w:cs="Times New Roman"/>
          <w:sz w:val="24"/>
          <w:szCs w:val="20"/>
        </w:rPr>
        <w:t xml:space="preserve"> ir 50%. Fiskālā ietekme konkrētajā gadā nav prognozējama, bet ilgtermiņa fiskālā ietekme ir tuva nulle, jo risks ir simetrisks. Līdz ar to fiskālā nodrošinājuma rezerve šim riskam netiek veidota.</w:t>
      </w:r>
    </w:p>
    <w:p w14:paraId="73592964" w14:textId="0CE55101" w:rsidR="006259C6" w:rsidRPr="00F951DB" w:rsidRDefault="006259C6" w:rsidP="006259C6">
      <w:pPr>
        <w:spacing w:after="0" w:line="240" w:lineRule="auto"/>
        <w:ind w:firstLine="720"/>
        <w:jc w:val="both"/>
        <w:rPr>
          <w:rFonts w:ascii="Times New Roman" w:eastAsiaTheme="minorHAnsi" w:hAnsi="Times New Roman" w:cs="Times New Roman"/>
          <w:sz w:val="24"/>
          <w:szCs w:val="20"/>
        </w:rPr>
      </w:pPr>
      <w:r w:rsidRPr="00F951DB">
        <w:rPr>
          <w:rFonts w:ascii="Times New Roman" w:eastAsiaTheme="minorHAnsi" w:hAnsi="Times New Roman" w:cs="Times New Roman"/>
          <w:sz w:val="24"/>
          <w:szCs w:val="20"/>
        </w:rPr>
        <w:t>Tabulā Nr.</w:t>
      </w:r>
      <w:r w:rsidR="00893FEA">
        <w:rPr>
          <w:rFonts w:ascii="Times New Roman" w:eastAsiaTheme="minorHAnsi" w:hAnsi="Times New Roman" w:cs="Times New Roman"/>
          <w:sz w:val="24"/>
          <w:szCs w:val="20"/>
        </w:rPr>
        <w:t>4</w:t>
      </w:r>
      <w:r w:rsidR="00893FEA" w:rsidRPr="00F951DB">
        <w:rPr>
          <w:rFonts w:ascii="Times New Roman" w:hAnsi="Times New Roman"/>
          <w:sz w:val="24"/>
        </w:rPr>
        <w:t xml:space="preserve"> </w:t>
      </w:r>
      <w:r w:rsidRPr="00F951DB">
        <w:rPr>
          <w:rFonts w:ascii="Times New Roman" w:eastAsiaTheme="minorHAnsi" w:hAnsi="Times New Roman" w:cs="Times New Roman"/>
          <w:sz w:val="24"/>
          <w:szCs w:val="20"/>
        </w:rPr>
        <w:t>ir redzama valsts speciālā budžeta izdevumu sociālajiem pabalstiem dinamika apakšprogrammu griezumā no 200</w:t>
      </w:r>
      <w:r w:rsidR="006C78C4">
        <w:rPr>
          <w:rFonts w:ascii="Times New Roman" w:eastAsiaTheme="minorHAnsi" w:hAnsi="Times New Roman" w:cs="Times New Roman"/>
          <w:sz w:val="24"/>
          <w:szCs w:val="20"/>
        </w:rPr>
        <w:t>8</w:t>
      </w:r>
      <w:r w:rsidRPr="00F951DB">
        <w:rPr>
          <w:rFonts w:ascii="Times New Roman" w:eastAsiaTheme="minorHAnsi" w:hAnsi="Times New Roman" w:cs="Times New Roman"/>
          <w:sz w:val="24"/>
          <w:szCs w:val="20"/>
        </w:rPr>
        <w:t xml:space="preserve">.gada līdz </w:t>
      </w:r>
      <w:r w:rsidR="00B85B2A" w:rsidRPr="00F951DB">
        <w:rPr>
          <w:rFonts w:ascii="Times New Roman" w:eastAsiaTheme="minorHAnsi" w:hAnsi="Times New Roman" w:cs="Times New Roman"/>
          <w:sz w:val="24"/>
          <w:szCs w:val="20"/>
        </w:rPr>
        <w:t>20</w:t>
      </w:r>
      <w:r w:rsidR="000967DB">
        <w:rPr>
          <w:rFonts w:ascii="Times New Roman" w:eastAsiaTheme="minorHAnsi" w:hAnsi="Times New Roman" w:cs="Times New Roman"/>
          <w:sz w:val="24"/>
          <w:szCs w:val="20"/>
        </w:rPr>
        <w:t>20</w:t>
      </w:r>
      <w:r w:rsidRPr="00F951DB">
        <w:rPr>
          <w:rFonts w:ascii="Times New Roman" w:eastAsiaTheme="minorHAnsi" w:hAnsi="Times New Roman" w:cs="Times New Roman"/>
          <w:sz w:val="24"/>
          <w:szCs w:val="20"/>
        </w:rPr>
        <w:t>.gadam, kā rezultātā, simetriskuma princips tiek noteikts šim laika periodam. Teorētiski fiskālajam riskam ir jābūt simetriskam</w:t>
      </w:r>
      <w:r w:rsidR="002A15FA">
        <w:rPr>
          <w:rFonts w:ascii="Times New Roman" w:eastAsiaTheme="minorHAnsi" w:hAnsi="Times New Roman" w:cs="Times New Roman"/>
          <w:sz w:val="24"/>
          <w:szCs w:val="20"/>
        </w:rPr>
        <w:t xml:space="preserve">. </w:t>
      </w:r>
      <w:r w:rsidRPr="00F951DB">
        <w:rPr>
          <w:rFonts w:ascii="Times New Roman" w:eastAsiaTheme="minorHAnsi" w:hAnsi="Times New Roman" w:cs="Times New Roman"/>
          <w:sz w:val="24"/>
          <w:szCs w:val="20"/>
        </w:rPr>
        <w:t>No 200</w:t>
      </w:r>
      <w:r w:rsidR="00A72DF5">
        <w:rPr>
          <w:rFonts w:ascii="Times New Roman" w:eastAsiaTheme="minorHAnsi" w:hAnsi="Times New Roman" w:cs="Times New Roman"/>
          <w:sz w:val="24"/>
          <w:szCs w:val="20"/>
        </w:rPr>
        <w:t>9</w:t>
      </w:r>
      <w:r w:rsidRPr="00F951DB">
        <w:rPr>
          <w:rFonts w:ascii="Times New Roman" w:eastAsiaTheme="minorHAnsi" w:hAnsi="Times New Roman" w:cs="Times New Roman"/>
          <w:sz w:val="24"/>
          <w:szCs w:val="20"/>
        </w:rPr>
        <w:t xml:space="preserve">.gada līdz 2012.gadam novirze ir izdevumu samazinājuma virzienā, bet no 2013.gada līdz 2016.gadam tā ir izdevumu pieauguma virzienā. 2017. </w:t>
      </w:r>
      <w:r w:rsidR="002C717F" w:rsidRPr="00265D29">
        <w:rPr>
          <w:rFonts w:ascii="Times New Roman" w:eastAsiaTheme="minorHAnsi" w:hAnsi="Times New Roman" w:cs="Times New Roman"/>
          <w:sz w:val="24"/>
          <w:szCs w:val="20"/>
        </w:rPr>
        <w:t>–</w:t>
      </w:r>
      <w:r w:rsidR="00B85B2A" w:rsidRPr="00F951DB">
        <w:rPr>
          <w:rFonts w:ascii="Times New Roman" w:eastAsiaTheme="minorHAnsi" w:hAnsi="Times New Roman" w:cs="Times New Roman"/>
          <w:sz w:val="24"/>
          <w:szCs w:val="20"/>
        </w:rPr>
        <w:t xml:space="preserve"> 2019</w:t>
      </w:r>
      <w:r w:rsidRPr="00F951DB">
        <w:rPr>
          <w:rFonts w:ascii="Times New Roman" w:eastAsiaTheme="minorHAnsi" w:hAnsi="Times New Roman" w:cs="Times New Roman"/>
          <w:sz w:val="24"/>
          <w:szCs w:val="20"/>
        </w:rPr>
        <w:t>.</w:t>
      </w:r>
      <w:r w:rsidR="00B85B2A" w:rsidRPr="00F951DB">
        <w:rPr>
          <w:rFonts w:ascii="Times New Roman" w:eastAsiaTheme="minorHAnsi" w:hAnsi="Times New Roman" w:cs="Times New Roman"/>
          <w:sz w:val="24"/>
          <w:szCs w:val="20"/>
        </w:rPr>
        <w:t xml:space="preserve">gadam </w:t>
      </w:r>
      <w:r w:rsidRPr="00F951DB">
        <w:rPr>
          <w:rFonts w:ascii="Times New Roman" w:eastAsiaTheme="minorHAnsi" w:hAnsi="Times New Roman" w:cs="Times New Roman"/>
          <w:sz w:val="24"/>
          <w:szCs w:val="20"/>
        </w:rPr>
        <w:t>atkal ir vērojams samazinājums</w:t>
      </w:r>
      <w:r w:rsidR="00A72DF5">
        <w:rPr>
          <w:rFonts w:ascii="Times New Roman" w:eastAsiaTheme="minorHAnsi" w:hAnsi="Times New Roman" w:cs="Times New Roman"/>
          <w:sz w:val="24"/>
          <w:szCs w:val="20"/>
        </w:rPr>
        <w:t>, bet 2020.gadā palielinājums.</w:t>
      </w:r>
    </w:p>
    <w:p w14:paraId="1B9D492A" w14:textId="77777777" w:rsidR="0020533D" w:rsidRDefault="0020533D" w:rsidP="004A6489">
      <w:pPr>
        <w:spacing w:after="0" w:line="240" w:lineRule="auto"/>
        <w:jc w:val="right"/>
        <w:rPr>
          <w:rFonts w:ascii="Times New Roman" w:eastAsiaTheme="minorHAnsi" w:hAnsi="Times New Roman" w:cs="Times New Roman"/>
          <w:b/>
          <w:sz w:val="24"/>
          <w:szCs w:val="20"/>
        </w:rPr>
      </w:pPr>
    </w:p>
    <w:p w14:paraId="75EF16CA" w14:textId="587BACB4" w:rsidR="004A6489" w:rsidRPr="00E50B3E" w:rsidRDefault="004A6489" w:rsidP="004A6489">
      <w:pPr>
        <w:spacing w:after="0" w:line="240" w:lineRule="auto"/>
        <w:jc w:val="right"/>
        <w:rPr>
          <w:rFonts w:ascii="Times New Roman" w:eastAsiaTheme="minorHAnsi" w:hAnsi="Times New Roman" w:cs="Times New Roman"/>
          <w:b/>
          <w:sz w:val="24"/>
          <w:szCs w:val="20"/>
        </w:rPr>
      </w:pPr>
      <w:r w:rsidRPr="00E50B3E">
        <w:rPr>
          <w:rFonts w:ascii="Times New Roman" w:eastAsiaTheme="minorHAnsi" w:hAnsi="Times New Roman" w:cs="Times New Roman"/>
          <w:b/>
          <w:sz w:val="24"/>
          <w:szCs w:val="20"/>
        </w:rPr>
        <w:t>Tabula Nr.</w:t>
      </w:r>
      <w:r w:rsidR="00893FEA">
        <w:rPr>
          <w:rFonts w:ascii="Times New Roman" w:eastAsiaTheme="minorHAnsi" w:hAnsi="Times New Roman" w:cs="Times New Roman"/>
          <w:b/>
          <w:sz w:val="24"/>
          <w:szCs w:val="20"/>
        </w:rPr>
        <w:t>4</w:t>
      </w:r>
      <w:r w:rsidR="00893FEA" w:rsidRPr="00E50B3E">
        <w:rPr>
          <w:rFonts w:ascii="Times New Roman" w:eastAsiaTheme="minorHAnsi" w:hAnsi="Times New Roman" w:cs="Times New Roman"/>
          <w:b/>
          <w:sz w:val="24"/>
          <w:szCs w:val="20"/>
        </w:rPr>
        <w:t xml:space="preserve"> </w:t>
      </w:r>
      <w:r w:rsidRPr="00E50B3E">
        <w:rPr>
          <w:rFonts w:ascii="Times New Roman" w:eastAsiaTheme="minorHAnsi" w:hAnsi="Times New Roman" w:cs="Times New Roman"/>
          <w:b/>
          <w:sz w:val="24"/>
          <w:szCs w:val="20"/>
        </w:rPr>
        <w:t>Valsts speciālā</w:t>
      </w:r>
      <w:r w:rsidR="001E3D89" w:rsidRPr="00E50B3E">
        <w:rPr>
          <w:rFonts w:ascii="Times New Roman" w:eastAsiaTheme="minorHAnsi" w:hAnsi="Times New Roman" w:cs="Times New Roman"/>
          <w:b/>
          <w:sz w:val="24"/>
          <w:szCs w:val="20"/>
        </w:rPr>
        <w:t xml:space="preserve"> un pamata</w:t>
      </w:r>
      <w:r w:rsidRPr="00E50B3E">
        <w:rPr>
          <w:rFonts w:ascii="Times New Roman" w:eastAsiaTheme="minorHAnsi" w:hAnsi="Times New Roman" w:cs="Times New Roman"/>
          <w:b/>
          <w:sz w:val="24"/>
          <w:szCs w:val="20"/>
        </w:rPr>
        <w:t xml:space="preserve"> budžeta izdevumi sociālajiem pabalstiem</w:t>
      </w:r>
    </w:p>
    <w:p w14:paraId="704A4827" w14:textId="77777777" w:rsidR="004A6489" w:rsidRPr="00E50B3E" w:rsidRDefault="004A6489" w:rsidP="00507D6B">
      <w:pPr>
        <w:spacing w:line="240" w:lineRule="auto"/>
        <w:jc w:val="right"/>
        <w:rPr>
          <w:rFonts w:ascii="Times New Roman" w:eastAsiaTheme="minorHAnsi" w:hAnsi="Times New Roman" w:cs="Times New Roman"/>
          <w:b/>
          <w:sz w:val="24"/>
          <w:szCs w:val="20"/>
        </w:rPr>
      </w:pPr>
      <w:r w:rsidRPr="00E50B3E">
        <w:rPr>
          <w:rFonts w:ascii="Times New Roman" w:eastAsiaTheme="minorHAnsi" w:hAnsi="Times New Roman" w:cs="Times New Roman"/>
          <w:b/>
          <w:sz w:val="24"/>
          <w:szCs w:val="20"/>
        </w:rPr>
        <w:t xml:space="preserve">sadalījumā pa apakšprogrammām, milj. </w:t>
      </w:r>
      <w:r w:rsidRPr="00E50B3E">
        <w:rPr>
          <w:rFonts w:ascii="Times New Roman" w:eastAsiaTheme="minorHAnsi" w:hAnsi="Times New Roman" w:cs="Times New Roman"/>
          <w:b/>
          <w:i/>
          <w:sz w:val="24"/>
          <w:szCs w:val="20"/>
        </w:rPr>
        <w:t>euro</w:t>
      </w:r>
      <w:r w:rsidRPr="00E50B3E">
        <w:rPr>
          <w:rFonts w:ascii="Times New Roman" w:eastAsiaTheme="minorHAnsi" w:hAnsi="Times New Roman" w:cs="Times New Roman"/>
          <w:b/>
          <w:sz w:val="24"/>
          <w:szCs w:val="20"/>
        </w:rPr>
        <w:t xml:space="preserve"> </w:t>
      </w:r>
    </w:p>
    <w:tbl>
      <w:tblPr>
        <w:tblStyle w:val="GridTable6Colorful-Accent11"/>
        <w:tblW w:w="9493" w:type="dxa"/>
        <w:tblLayout w:type="fixed"/>
        <w:tblLook w:val="04A0" w:firstRow="1" w:lastRow="0" w:firstColumn="1" w:lastColumn="0" w:noHBand="0" w:noVBand="1"/>
      </w:tblPr>
      <w:tblGrid>
        <w:gridCol w:w="1016"/>
        <w:gridCol w:w="1327"/>
        <w:gridCol w:w="913"/>
        <w:gridCol w:w="992"/>
        <w:gridCol w:w="992"/>
        <w:gridCol w:w="992"/>
        <w:gridCol w:w="1134"/>
        <w:gridCol w:w="1276"/>
        <w:gridCol w:w="851"/>
      </w:tblGrid>
      <w:tr w:rsidR="006C78C4" w:rsidRPr="00E50B3E" w14:paraId="532C24E8" w14:textId="77777777" w:rsidTr="00BB69DC">
        <w:trPr>
          <w:cnfStyle w:val="100000000000" w:firstRow="1" w:lastRow="0" w:firstColumn="0" w:lastColumn="0" w:oddVBand="0" w:evenVBand="0" w:oddHBand="0"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2343" w:type="dxa"/>
            <w:gridSpan w:val="2"/>
            <w:noWrap/>
            <w:textDirection w:val="btLr"/>
            <w:hideMark/>
          </w:tcPr>
          <w:p w14:paraId="5A75E16E" w14:textId="77777777" w:rsidR="00CC3025" w:rsidRPr="00E50B3E" w:rsidRDefault="00CC3025" w:rsidP="00CC3025">
            <w:pPr>
              <w:ind w:left="113" w:right="113"/>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Gads/rādītājs</w:t>
            </w:r>
          </w:p>
        </w:tc>
        <w:tc>
          <w:tcPr>
            <w:tcW w:w="913" w:type="dxa"/>
            <w:textDirection w:val="btLr"/>
            <w:hideMark/>
          </w:tcPr>
          <w:p w14:paraId="77562E4C" w14:textId="32F46023"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Sociālie pabalsti</w:t>
            </w:r>
            <w:r w:rsidR="00A85DE5" w:rsidRPr="005F2D74">
              <w:rPr>
                <w:lang w:eastAsia="lv-LV"/>
              </w:rPr>
              <w:t>*</w:t>
            </w:r>
          </w:p>
        </w:tc>
        <w:tc>
          <w:tcPr>
            <w:tcW w:w="992" w:type="dxa"/>
            <w:textDirection w:val="btLr"/>
            <w:hideMark/>
          </w:tcPr>
          <w:p w14:paraId="403B04AF" w14:textId="77777777"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Sociālā apdrošināšana</w:t>
            </w:r>
          </w:p>
        </w:tc>
        <w:tc>
          <w:tcPr>
            <w:tcW w:w="992" w:type="dxa"/>
            <w:textDirection w:val="btLr"/>
            <w:hideMark/>
          </w:tcPr>
          <w:p w14:paraId="332F76C8" w14:textId="77777777"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Valsts pensiju speciālais budžets</w:t>
            </w:r>
          </w:p>
        </w:tc>
        <w:tc>
          <w:tcPr>
            <w:tcW w:w="992" w:type="dxa"/>
            <w:textDirection w:val="btLr"/>
            <w:hideMark/>
          </w:tcPr>
          <w:p w14:paraId="3EEC9BE4" w14:textId="77777777"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Nodarbinātības speciālais budžets</w:t>
            </w:r>
          </w:p>
        </w:tc>
        <w:tc>
          <w:tcPr>
            <w:tcW w:w="1134" w:type="dxa"/>
            <w:textDirection w:val="btLr"/>
            <w:hideMark/>
          </w:tcPr>
          <w:p w14:paraId="16254D60" w14:textId="77777777"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Darba negadījumu speciālais budžets</w:t>
            </w:r>
          </w:p>
        </w:tc>
        <w:tc>
          <w:tcPr>
            <w:tcW w:w="1276" w:type="dxa"/>
            <w:textDirection w:val="btLr"/>
            <w:hideMark/>
          </w:tcPr>
          <w:p w14:paraId="301623A8" w14:textId="77777777"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Invaliditātes, maternitātes un slimības speciālais budžets</w:t>
            </w:r>
          </w:p>
        </w:tc>
        <w:tc>
          <w:tcPr>
            <w:tcW w:w="851" w:type="dxa"/>
            <w:textDirection w:val="btLr"/>
            <w:hideMark/>
          </w:tcPr>
          <w:p w14:paraId="5C62BE52" w14:textId="77777777" w:rsidR="00CC3025" w:rsidRPr="00E50B3E" w:rsidRDefault="00CC3025" w:rsidP="00CC3025">
            <w:pPr>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color w:val="000000" w:themeColor="text1"/>
                <w:sz w:val="20"/>
                <w:szCs w:val="20"/>
                <w:lang w:eastAsia="lv-LV"/>
              </w:rPr>
            </w:pPr>
            <w:r w:rsidRPr="00E50B3E">
              <w:rPr>
                <w:rFonts w:eastAsia="Times New Roman" w:cs="Times New Roman"/>
                <w:b w:val="0"/>
                <w:bCs w:val="0"/>
                <w:i/>
                <w:iCs/>
                <w:color w:val="000000" w:themeColor="text1"/>
                <w:sz w:val="20"/>
                <w:szCs w:val="20"/>
                <w:lang w:eastAsia="lv-LV"/>
              </w:rPr>
              <w:t>Vidējā izpilde gadā</w:t>
            </w:r>
          </w:p>
        </w:tc>
      </w:tr>
      <w:tr w:rsidR="006C78C4" w:rsidRPr="00E50B3E" w14:paraId="011E6FA4" w14:textId="77777777" w:rsidTr="00BB69D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5F90BF4E" w14:textId="546142A4"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2008</w:t>
            </w:r>
          </w:p>
        </w:tc>
        <w:tc>
          <w:tcPr>
            <w:tcW w:w="1327" w:type="dxa"/>
            <w:noWrap/>
          </w:tcPr>
          <w:p w14:paraId="4F080A2C" w14:textId="32467F05"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027B16F9" w14:textId="5583BCC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143,8</w:t>
            </w:r>
          </w:p>
        </w:tc>
        <w:tc>
          <w:tcPr>
            <w:tcW w:w="992" w:type="dxa"/>
            <w:noWrap/>
          </w:tcPr>
          <w:p w14:paraId="472D11E4" w14:textId="39EF0A7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1713,1</w:t>
            </w:r>
          </w:p>
        </w:tc>
        <w:tc>
          <w:tcPr>
            <w:tcW w:w="992" w:type="dxa"/>
          </w:tcPr>
          <w:p w14:paraId="271443F4" w14:textId="2270889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1253,3</w:t>
            </w:r>
          </w:p>
        </w:tc>
        <w:tc>
          <w:tcPr>
            <w:tcW w:w="992" w:type="dxa"/>
          </w:tcPr>
          <w:p w14:paraId="4F7FB63D" w14:textId="5233CB4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80,4</w:t>
            </w:r>
          </w:p>
        </w:tc>
        <w:tc>
          <w:tcPr>
            <w:tcW w:w="1134" w:type="dxa"/>
          </w:tcPr>
          <w:p w14:paraId="717F30C0" w14:textId="280A9A9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12,3</w:t>
            </w:r>
          </w:p>
        </w:tc>
        <w:tc>
          <w:tcPr>
            <w:tcW w:w="1276" w:type="dxa"/>
          </w:tcPr>
          <w:p w14:paraId="377E39D9" w14:textId="39D9825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368</w:t>
            </w:r>
          </w:p>
        </w:tc>
        <w:tc>
          <w:tcPr>
            <w:tcW w:w="851" w:type="dxa"/>
            <w:vMerge w:val="restart"/>
            <w:noWrap/>
          </w:tcPr>
          <w:p w14:paraId="007E1CAB" w14:textId="686A74F5"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11EA6CD3"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noWrap/>
          </w:tcPr>
          <w:p w14:paraId="07AD9DCE" w14:textId="77777777" w:rsidR="000958D3" w:rsidRPr="00E50B3E" w:rsidRDefault="000958D3" w:rsidP="000958D3">
            <w:pPr>
              <w:rPr>
                <w:rFonts w:ascii="Calibri" w:eastAsia="Times New Roman" w:hAnsi="Calibri" w:cs="Calibri"/>
                <w:color w:val="000000" w:themeColor="text1"/>
                <w:lang w:eastAsia="lv-LV"/>
              </w:rPr>
            </w:pPr>
          </w:p>
        </w:tc>
        <w:tc>
          <w:tcPr>
            <w:tcW w:w="1327" w:type="dxa"/>
            <w:noWrap/>
          </w:tcPr>
          <w:p w14:paraId="2A8BA1CB" w14:textId="5715D908"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49CAAB8E" w14:textId="7C33F5A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205,7</w:t>
            </w:r>
          </w:p>
        </w:tc>
        <w:tc>
          <w:tcPr>
            <w:tcW w:w="992" w:type="dxa"/>
            <w:noWrap/>
          </w:tcPr>
          <w:p w14:paraId="7F2439E7" w14:textId="7064CBA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1696,4</w:t>
            </w:r>
          </w:p>
        </w:tc>
        <w:tc>
          <w:tcPr>
            <w:tcW w:w="992" w:type="dxa"/>
          </w:tcPr>
          <w:p w14:paraId="2BCE5286" w14:textId="65E5D5C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1235,8</w:t>
            </w:r>
          </w:p>
        </w:tc>
        <w:tc>
          <w:tcPr>
            <w:tcW w:w="992" w:type="dxa"/>
          </w:tcPr>
          <w:p w14:paraId="25409F0C" w14:textId="3D46325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80,4</w:t>
            </w:r>
          </w:p>
        </w:tc>
        <w:tc>
          <w:tcPr>
            <w:tcW w:w="1134" w:type="dxa"/>
          </w:tcPr>
          <w:p w14:paraId="3B2243F6" w14:textId="49061CA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12,3</w:t>
            </w:r>
          </w:p>
        </w:tc>
        <w:tc>
          <w:tcPr>
            <w:tcW w:w="1276" w:type="dxa"/>
          </w:tcPr>
          <w:p w14:paraId="2C95FB7A" w14:textId="0A8625D6"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367,9</w:t>
            </w:r>
          </w:p>
        </w:tc>
        <w:tc>
          <w:tcPr>
            <w:tcW w:w="851" w:type="dxa"/>
            <w:vMerge/>
          </w:tcPr>
          <w:p w14:paraId="10DD3943" w14:textId="7777777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13D4F512"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noWrap/>
          </w:tcPr>
          <w:p w14:paraId="695D97F1" w14:textId="77777777" w:rsidR="000958D3" w:rsidRPr="00E50B3E" w:rsidRDefault="000958D3" w:rsidP="000958D3">
            <w:pPr>
              <w:jc w:val="right"/>
              <w:rPr>
                <w:rFonts w:eastAsia="Times New Roman" w:cs="Times New Roman"/>
                <w:color w:val="000000" w:themeColor="text1"/>
                <w:sz w:val="20"/>
                <w:szCs w:val="20"/>
                <w:lang w:eastAsia="lv-LV"/>
              </w:rPr>
            </w:pPr>
          </w:p>
        </w:tc>
        <w:tc>
          <w:tcPr>
            <w:tcW w:w="1327" w:type="dxa"/>
            <w:noWrap/>
          </w:tcPr>
          <w:p w14:paraId="469AE8B8" w14:textId="57663D2F"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3FDEB176" w14:textId="084627F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43,03%</w:t>
            </w:r>
          </w:p>
        </w:tc>
        <w:tc>
          <w:tcPr>
            <w:tcW w:w="992" w:type="dxa"/>
          </w:tcPr>
          <w:p w14:paraId="5D4AD4CE" w14:textId="0678EEA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-0,97%</w:t>
            </w:r>
          </w:p>
        </w:tc>
        <w:tc>
          <w:tcPr>
            <w:tcW w:w="992" w:type="dxa"/>
          </w:tcPr>
          <w:p w14:paraId="1AD2D3FB" w14:textId="68692D8D"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-1,40%</w:t>
            </w:r>
          </w:p>
        </w:tc>
        <w:tc>
          <w:tcPr>
            <w:tcW w:w="992" w:type="dxa"/>
          </w:tcPr>
          <w:p w14:paraId="251B024D" w14:textId="260557B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0,00%</w:t>
            </w:r>
          </w:p>
        </w:tc>
        <w:tc>
          <w:tcPr>
            <w:tcW w:w="1134" w:type="dxa"/>
          </w:tcPr>
          <w:p w14:paraId="18340DB4" w14:textId="36039526"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0,00%</w:t>
            </w:r>
          </w:p>
        </w:tc>
        <w:tc>
          <w:tcPr>
            <w:tcW w:w="1276" w:type="dxa"/>
          </w:tcPr>
          <w:p w14:paraId="1FFE820B" w14:textId="427DA214"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-0,03%</w:t>
            </w:r>
          </w:p>
        </w:tc>
        <w:tc>
          <w:tcPr>
            <w:tcW w:w="851" w:type="dxa"/>
          </w:tcPr>
          <w:p w14:paraId="01CF96B3" w14:textId="68BFB9D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0,77%</w:t>
            </w:r>
          </w:p>
        </w:tc>
      </w:tr>
      <w:tr w:rsidR="006C78C4" w:rsidRPr="00E50B3E" w14:paraId="5815E543"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6BCA752D" w14:textId="1E4998D8"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2009</w:t>
            </w:r>
          </w:p>
        </w:tc>
        <w:tc>
          <w:tcPr>
            <w:tcW w:w="1327" w:type="dxa"/>
            <w:noWrap/>
          </w:tcPr>
          <w:p w14:paraId="50FE34AF" w14:textId="0879563D"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433808CC" w14:textId="31EE056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153,9</w:t>
            </w:r>
          </w:p>
        </w:tc>
        <w:tc>
          <w:tcPr>
            <w:tcW w:w="992" w:type="dxa"/>
          </w:tcPr>
          <w:p w14:paraId="57B6512D" w14:textId="13511BF4"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2102,10</w:t>
            </w:r>
          </w:p>
        </w:tc>
        <w:tc>
          <w:tcPr>
            <w:tcW w:w="992" w:type="dxa"/>
          </w:tcPr>
          <w:p w14:paraId="085507BD" w14:textId="29AA1E9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1390,4</w:t>
            </w:r>
          </w:p>
        </w:tc>
        <w:tc>
          <w:tcPr>
            <w:tcW w:w="992" w:type="dxa"/>
          </w:tcPr>
          <w:p w14:paraId="41168FB6" w14:textId="7E6403C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243,5</w:t>
            </w:r>
          </w:p>
        </w:tc>
        <w:tc>
          <w:tcPr>
            <w:tcW w:w="1134" w:type="dxa"/>
          </w:tcPr>
          <w:p w14:paraId="19941FD9" w14:textId="5DF1FEB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17,3</w:t>
            </w:r>
          </w:p>
        </w:tc>
        <w:tc>
          <w:tcPr>
            <w:tcW w:w="1276" w:type="dxa"/>
          </w:tcPr>
          <w:p w14:paraId="62967C6E" w14:textId="27C4FA5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450,9</w:t>
            </w:r>
          </w:p>
        </w:tc>
        <w:tc>
          <w:tcPr>
            <w:tcW w:w="851" w:type="dxa"/>
            <w:vMerge w:val="restart"/>
          </w:tcPr>
          <w:p w14:paraId="4230756E" w14:textId="4AC57363"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5AEB161A"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5B090F2F"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059861BC" w14:textId="13E8803F"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41EA0CBD" w14:textId="598CBE36"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188,4</w:t>
            </w:r>
          </w:p>
        </w:tc>
        <w:tc>
          <w:tcPr>
            <w:tcW w:w="992" w:type="dxa"/>
          </w:tcPr>
          <w:p w14:paraId="4AF78547" w14:textId="076A08D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2048,3</w:t>
            </w:r>
          </w:p>
        </w:tc>
        <w:tc>
          <w:tcPr>
            <w:tcW w:w="992" w:type="dxa"/>
          </w:tcPr>
          <w:p w14:paraId="14C0CDBC" w14:textId="09E1F72D"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1389,1</w:t>
            </w:r>
          </w:p>
        </w:tc>
        <w:tc>
          <w:tcPr>
            <w:tcW w:w="992" w:type="dxa"/>
          </w:tcPr>
          <w:p w14:paraId="43A17013" w14:textId="3CD42F5F"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195,5</w:t>
            </w:r>
          </w:p>
        </w:tc>
        <w:tc>
          <w:tcPr>
            <w:tcW w:w="1134" w:type="dxa"/>
          </w:tcPr>
          <w:p w14:paraId="23556D62" w14:textId="332A27E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17,3</w:t>
            </w:r>
          </w:p>
        </w:tc>
        <w:tc>
          <w:tcPr>
            <w:tcW w:w="1276" w:type="dxa"/>
          </w:tcPr>
          <w:p w14:paraId="1F521255" w14:textId="734A95D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446,5</w:t>
            </w:r>
          </w:p>
        </w:tc>
        <w:tc>
          <w:tcPr>
            <w:tcW w:w="851" w:type="dxa"/>
            <w:vMerge/>
          </w:tcPr>
          <w:p w14:paraId="2A961688" w14:textId="7777777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3497089C"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07BBD437"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4BC9039E" w14:textId="0F629A9E"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799CA2BB" w14:textId="54D266A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22,45%</w:t>
            </w:r>
          </w:p>
        </w:tc>
        <w:tc>
          <w:tcPr>
            <w:tcW w:w="992" w:type="dxa"/>
          </w:tcPr>
          <w:p w14:paraId="091BD413" w14:textId="26B90AE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-2,56%</w:t>
            </w:r>
          </w:p>
        </w:tc>
        <w:tc>
          <w:tcPr>
            <w:tcW w:w="992" w:type="dxa"/>
          </w:tcPr>
          <w:p w14:paraId="0BA3A55D" w14:textId="23E431E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-0,09%</w:t>
            </w:r>
          </w:p>
        </w:tc>
        <w:tc>
          <w:tcPr>
            <w:tcW w:w="992" w:type="dxa"/>
          </w:tcPr>
          <w:p w14:paraId="200B86B3" w14:textId="045A8F82"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-19,71%</w:t>
            </w:r>
          </w:p>
        </w:tc>
        <w:tc>
          <w:tcPr>
            <w:tcW w:w="1134" w:type="dxa"/>
          </w:tcPr>
          <w:p w14:paraId="753B576B" w14:textId="214030F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0,00%</w:t>
            </w:r>
          </w:p>
        </w:tc>
        <w:tc>
          <w:tcPr>
            <w:tcW w:w="1276" w:type="dxa"/>
          </w:tcPr>
          <w:p w14:paraId="00958E46" w14:textId="36A42DA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-0,98%</w:t>
            </w:r>
          </w:p>
        </w:tc>
        <w:tc>
          <w:tcPr>
            <w:tcW w:w="851" w:type="dxa"/>
          </w:tcPr>
          <w:p w14:paraId="047FC436" w14:textId="537948E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-1,67%</w:t>
            </w:r>
          </w:p>
        </w:tc>
      </w:tr>
      <w:tr w:rsidR="006C78C4" w:rsidRPr="00E50B3E" w14:paraId="491DF006"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21322877" w14:textId="6EEE6D7A"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2010</w:t>
            </w:r>
          </w:p>
        </w:tc>
        <w:tc>
          <w:tcPr>
            <w:tcW w:w="1327" w:type="dxa"/>
            <w:noWrap/>
          </w:tcPr>
          <w:p w14:paraId="1C4724FA" w14:textId="4BEADDED"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70624E71" w14:textId="0C50A9A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138,3</w:t>
            </w:r>
          </w:p>
        </w:tc>
        <w:tc>
          <w:tcPr>
            <w:tcW w:w="992" w:type="dxa"/>
            <w:noWrap/>
          </w:tcPr>
          <w:p w14:paraId="06682F6A" w14:textId="0D88923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2165,4</w:t>
            </w:r>
          </w:p>
        </w:tc>
        <w:tc>
          <w:tcPr>
            <w:tcW w:w="992" w:type="dxa"/>
            <w:noWrap/>
          </w:tcPr>
          <w:p w14:paraId="65EFB605" w14:textId="4B5DB36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1617</w:t>
            </w:r>
          </w:p>
        </w:tc>
        <w:tc>
          <w:tcPr>
            <w:tcW w:w="992" w:type="dxa"/>
            <w:noWrap/>
          </w:tcPr>
          <w:p w14:paraId="3826C6B8" w14:textId="64B74596"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158,2</w:t>
            </w:r>
          </w:p>
        </w:tc>
        <w:tc>
          <w:tcPr>
            <w:tcW w:w="1134" w:type="dxa"/>
            <w:noWrap/>
          </w:tcPr>
          <w:p w14:paraId="42A23FB5" w14:textId="65F571EB"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19,3</w:t>
            </w:r>
          </w:p>
        </w:tc>
        <w:tc>
          <w:tcPr>
            <w:tcW w:w="1276" w:type="dxa"/>
            <w:noWrap/>
          </w:tcPr>
          <w:p w14:paraId="6572EBCD" w14:textId="142029D4"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371</w:t>
            </w:r>
          </w:p>
        </w:tc>
        <w:tc>
          <w:tcPr>
            <w:tcW w:w="851" w:type="dxa"/>
            <w:vMerge w:val="restart"/>
            <w:noWrap/>
          </w:tcPr>
          <w:p w14:paraId="04CD0AA4" w14:textId="30F15B3F"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5E178126"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1C8DE3BC"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0A6656B4" w14:textId="36464053"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1318DBBC" w14:textId="401E921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135,9</w:t>
            </w:r>
          </w:p>
        </w:tc>
        <w:tc>
          <w:tcPr>
            <w:tcW w:w="992" w:type="dxa"/>
            <w:noWrap/>
          </w:tcPr>
          <w:p w14:paraId="3BB27272" w14:textId="6FD718FA"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2124</w:t>
            </w:r>
          </w:p>
        </w:tc>
        <w:tc>
          <w:tcPr>
            <w:tcW w:w="992" w:type="dxa"/>
            <w:noWrap/>
          </w:tcPr>
          <w:p w14:paraId="47DD4D44" w14:textId="29E6177F"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1616,2</w:t>
            </w:r>
          </w:p>
        </w:tc>
        <w:tc>
          <w:tcPr>
            <w:tcW w:w="992" w:type="dxa"/>
            <w:noWrap/>
          </w:tcPr>
          <w:p w14:paraId="0FE9F8FB" w14:textId="7B20338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126,5</w:t>
            </w:r>
          </w:p>
        </w:tc>
        <w:tc>
          <w:tcPr>
            <w:tcW w:w="1134" w:type="dxa"/>
            <w:noWrap/>
          </w:tcPr>
          <w:p w14:paraId="1E016F68" w14:textId="1D65E4CA"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19,1</w:t>
            </w:r>
          </w:p>
        </w:tc>
        <w:tc>
          <w:tcPr>
            <w:tcW w:w="1276" w:type="dxa"/>
            <w:noWrap/>
          </w:tcPr>
          <w:p w14:paraId="381BA16E" w14:textId="6906E0F0"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362,2</w:t>
            </w:r>
          </w:p>
        </w:tc>
        <w:tc>
          <w:tcPr>
            <w:tcW w:w="851" w:type="dxa"/>
            <w:vMerge/>
          </w:tcPr>
          <w:p w14:paraId="170CB8BA" w14:textId="7777777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7E262791"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46C276E1"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2D577B0B" w14:textId="47F042EF"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10181EA7" w14:textId="6744AC4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-1,78%</w:t>
            </w:r>
          </w:p>
        </w:tc>
        <w:tc>
          <w:tcPr>
            <w:tcW w:w="992" w:type="dxa"/>
          </w:tcPr>
          <w:p w14:paraId="085CB55A" w14:textId="5093123D"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-1,91%</w:t>
            </w:r>
          </w:p>
        </w:tc>
        <w:tc>
          <w:tcPr>
            <w:tcW w:w="992" w:type="dxa"/>
          </w:tcPr>
          <w:p w14:paraId="67A5F883" w14:textId="352F893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-0,05%</w:t>
            </w:r>
          </w:p>
        </w:tc>
        <w:tc>
          <w:tcPr>
            <w:tcW w:w="992" w:type="dxa"/>
          </w:tcPr>
          <w:p w14:paraId="653BA9FB" w14:textId="7BAF379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-20,04%</w:t>
            </w:r>
          </w:p>
        </w:tc>
        <w:tc>
          <w:tcPr>
            <w:tcW w:w="1134" w:type="dxa"/>
          </w:tcPr>
          <w:p w14:paraId="3CF4EDB5" w14:textId="0BF4F321"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-1,04%</w:t>
            </w:r>
          </w:p>
        </w:tc>
        <w:tc>
          <w:tcPr>
            <w:tcW w:w="1276" w:type="dxa"/>
          </w:tcPr>
          <w:p w14:paraId="1B500555" w14:textId="4F1FE6EB"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-2,37%</w:t>
            </w:r>
          </w:p>
        </w:tc>
        <w:tc>
          <w:tcPr>
            <w:tcW w:w="851" w:type="dxa"/>
            <w:noWrap/>
          </w:tcPr>
          <w:p w14:paraId="67E959C7" w14:textId="15EAAC7A"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-1,91%</w:t>
            </w:r>
          </w:p>
        </w:tc>
      </w:tr>
      <w:tr w:rsidR="006C78C4" w:rsidRPr="00E50B3E" w14:paraId="43E8CA0A"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18C8E4AF" w14:textId="66E77565"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2011</w:t>
            </w:r>
          </w:p>
        </w:tc>
        <w:tc>
          <w:tcPr>
            <w:tcW w:w="1327" w:type="dxa"/>
            <w:noWrap/>
          </w:tcPr>
          <w:p w14:paraId="6DF9BC8D" w14:textId="588FA2EB"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20C36928" w14:textId="1969FB8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141,0</w:t>
            </w:r>
          </w:p>
        </w:tc>
        <w:tc>
          <w:tcPr>
            <w:tcW w:w="992" w:type="dxa"/>
            <w:noWrap/>
          </w:tcPr>
          <w:p w14:paraId="03A5E7CC" w14:textId="11E3EC19"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2020,1</w:t>
            </w:r>
          </w:p>
        </w:tc>
        <w:tc>
          <w:tcPr>
            <w:tcW w:w="992" w:type="dxa"/>
            <w:noWrap/>
          </w:tcPr>
          <w:p w14:paraId="0EBA1C6F" w14:textId="6FE5446F"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1543</w:t>
            </w:r>
          </w:p>
        </w:tc>
        <w:tc>
          <w:tcPr>
            <w:tcW w:w="992" w:type="dxa"/>
            <w:noWrap/>
          </w:tcPr>
          <w:p w14:paraId="14E17EF5" w14:textId="497F4FD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124</w:t>
            </w:r>
          </w:p>
        </w:tc>
        <w:tc>
          <w:tcPr>
            <w:tcW w:w="1134" w:type="dxa"/>
            <w:noWrap/>
          </w:tcPr>
          <w:p w14:paraId="29D02C10" w14:textId="34277660"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w:t>
            </w:r>
          </w:p>
        </w:tc>
        <w:tc>
          <w:tcPr>
            <w:tcW w:w="1276" w:type="dxa"/>
            <w:noWrap/>
          </w:tcPr>
          <w:p w14:paraId="323717FD" w14:textId="68F5175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336,1</w:t>
            </w:r>
          </w:p>
        </w:tc>
        <w:tc>
          <w:tcPr>
            <w:tcW w:w="851" w:type="dxa"/>
            <w:vMerge w:val="restart"/>
            <w:noWrap/>
          </w:tcPr>
          <w:p w14:paraId="06A004E7" w14:textId="1D8D55F9"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060C2EF5"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549BBD58"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75BBBF65" w14:textId="5228047A"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3EAA6B25" w14:textId="6440A00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156,1</w:t>
            </w:r>
          </w:p>
        </w:tc>
        <w:tc>
          <w:tcPr>
            <w:tcW w:w="992" w:type="dxa"/>
            <w:noWrap/>
          </w:tcPr>
          <w:p w14:paraId="2ADD422F" w14:textId="1E48E37F"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1940,4</w:t>
            </w:r>
          </w:p>
        </w:tc>
        <w:tc>
          <w:tcPr>
            <w:tcW w:w="992" w:type="dxa"/>
            <w:noWrap/>
          </w:tcPr>
          <w:p w14:paraId="0540D374" w14:textId="6D4C51A1"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1555</w:t>
            </w:r>
          </w:p>
        </w:tc>
        <w:tc>
          <w:tcPr>
            <w:tcW w:w="992" w:type="dxa"/>
            <w:noWrap/>
          </w:tcPr>
          <w:p w14:paraId="22FCBC78" w14:textId="23E48D2B"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62,3</w:t>
            </w:r>
          </w:p>
        </w:tc>
        <w:tc>
          <w:tcPr>
            <w:tcW w:w="1134" w:type="dxa"/>
            <w:noWrap/>
          </w:tcPr>
          <w:p w14:paraId="54D70B54" w14:textId="120871E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20,8</w:t>
            </w:r>
          </w:p>
        </w:tc>
        <w:tc>
          <w:tcPr>
            <w:tcW w:w="1276" w:type="dxa"/>
            <w:noWrap/>
          </w:tcPr>
          <w:p w14:paraId="58DA7725" w14:textId="6905949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302,3</w:t>
            </w:r>
          </w:p>
        </w:tc>
        <w:tc>
          <w:tcPr>
            <w:tcW w:w="851" w:type="dxa"/>
            <w:vMerge/>
          </w:tcPr>
          <w:p w14:paraId="5019BA48" w14:textId="7777777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6273CED9"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1C721578"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5FAE535D" w14:textId="162316A4"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3DC10E85" w14:textId="5B284F9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10,64%</w:t>
            </w:r>
          </w:p>
        </w:tc>
        <w:tc>
          <w:tcPr>
            <w:tcW w:w="992" w:type="dxa"/>
          </w:tcPr>
          <w:p w14:paraId="3256E832" w14:textId="34834986"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-3,95%</w:t>
            </w:r>
          </w:p>
        </w:tc>
        <w:tc>
          <w:tcPr>
            <w:tcW w:w="992" w:type="dxa"/>
          </w:tcPr>
          <w:p w14:paraId="4B16A4E0" w14:textId="2BA86D7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0,78%</w:t>
            </w:r>
          </w:p>
        </w:tc>
        <w:tc>
          <w:tcPr>
            <w:tcW w:w="992" w:type="dxa"/>
          </w:tcPr>
          <w:p w14:paraId="3EBFEFA1" w14:textId="777BB176"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-49,76%</w:t>
            </w:r>
          </w:p>
        </w:tc>
        <w:tc>
          <w:tcPr>
            <w:tcW w:w="1134" w:type="dxa"/>
          </w:tcPr>
          <w:p w14:paraId="6458CD8D" w14:textId="5F53F02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22,35%</w:t>
            </w:r>
          </w:p>
        </w:tc>
        <w:tc>
          <w:tcPr>
            <w:tcW w:w="1276" w:type="dxa"/>
          </w:tcPr>
          <w:p w14:paraId="3DD280CD" w14:textId="323104C6"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-10,06%</w:t>
            </w:r>
          </w:p>
        </w:tc>
        <w:tc>
          <w:tcPr>
            <w:tcW w:w="851" w:type="dxa"/>
            <w:noWrap/>
          </w:tcPr>
          <w:p w14:paraId="4FA40580" w14:textId="1D90FC6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-3,45%</w:t>
            </w:r>
          </w:p>
        </w:tc>
      </w:tr>
      <w:tr w:rsidR="006C78C4" w:rsidRPr="00E50B3E" w14:paraId="0F4A0667"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0FD34263" w14:textId="5E2F67B6"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2012</w:t>
            </w:r>
          </w:p>
        </w:tc>
        <w:tc>
          <w:tcPr>
            <w:tcW w:w="1327" w:type="dxa"/>
            <w:noWrap/>
          </w:tcPr>
          <w:p w14:paraId="36A6847E" w14:textId="5BAA93B9"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2D3595EA" w14:textId="39F1FB8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158,0</w:t>
            </w:r>
          </w:p>
        </w:tc>
        <w:tc>
          <w:tcPr>
            <w:tcW w:w="992" w:type="dxa"/>
            <w:noWrap/>
          </w:tcPr>
          <w:p w14:paraId="7BC4F810" w14:textId="134BED7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1972,5</w:t>
            </w:r>
          </w:p>
        </w:tc>
        <w:tc>
          <w:tcPr>
            <w:tcW w:w="992" w:type="dxa"/>
            <w:noWrap/>
          </w:tcPr>
          <w:p w14:paraId="4E6D77A5" w14:textId="62E1021B"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1569,1</w:t>
            </w:r>
          </w:p>
        </w:tc>
        <w:tc>
          <w:tcPr>
            <w:tcW w:w="992" w:type="dxa"/>
            <w:noWrap/>
          </w:tcPr>
          <w:p w14:paraId="5893DC44" w14:textId="6D1AC1E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68,4</w:t>
            </w:r>
          </w:p>
        </w:tc>
        <w:tc>
          <w:tcPr>
            <w:tcW w:w="1134" w:type="dxa"/>
            <w:noWrap/>
          </w:tcPr>
          <w:p w14:paraId="3B76090D" w14:textId="368D19E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21,6</w:t>
            </w:r>
          </w:p>
        </w:tc>
        <w:tc>
          <w:tcPr>
            <w:tcW w:w="1276" w:type="dxa"/>
            <w:noWrap/>
          </w:tcPr>
          <w:p w14:paraId="3A46043A" w14:textId="5E267C51"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313,4</w:t>
            </w:r>
          </w:p>
        </w:tc>
        <w:tc>
          <w:tcPr>
            <w:tcW w:w="851" w:type="dxa"/>
            <w:vMerge w:val="restart"/>
            <w:noWrap/>
          </w:tcPr>
          <w:p w14:paraId="2B1CEA02" w14:textId="057C1662"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3897496A"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25E44F52"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42C3D594" w14:textId="047350BF"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6DE571F8" w14:textId="56ED6A2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160,4</w:t>
            </w:r>
          </w:p>
        </w:tc>
        <w:tc>
          <w:tcPr>
            <w:tcW w:w="992" w:type="dxa"/>
            <w:noWrap/>
          </w:tcPr>
          <w:p w14:paraId="165223D1" w14:textId="6D0D5D69"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1972,4</w:t>
            </w:r>
          </w:p>
        </w:tc>
        <w:tc>
          <w:tcPr>
            <w:tcW w:w="992" w:type="dxa"/>
            <w:noWrap/>
          </w:tcPr>
          <w:p w14:paraId="6834D1FB" w14:textId="34C574CA"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1600,2</w:t>
            </w:r>
          </w:p>
        </w:tc>
        <w:tc>
          <w:tcPr>
            <w:tcW w:w="992" w:type="dxa"/>
            <w:noWrap/>
          </w:tcPr>
          <w:p w14:paraId="4D6867D8" w14:textId="161E35B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58,2</w:t>
            </w:r>
          </w:p>
        </w:tc>
        <w:tc>
          <w:tcPr>
            <w:tcW w:w="1134" w:type="dxa"/>
            <w:noWrap/>
          </w:tcPr>
          <w:p w14:paraId="3964A542" w14:textId="20004AA9"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22,1</w:t>
            </w:r>
          </w:p>
        </w:tc>
        <w:tc>
          <w:tcPr>
            <w:tcW w:w="1276" w:type="dxa"/>
            <w:noWrap/>
          </w:tcPr>
          <w:p w14:paraId="65249C02" w14:textId="463CF54F"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291,9</w:t>
            </w:r>
          </w:p>
        </w:tc>
        <w:tc>
          <w:tcPr>
            <w:tcW w:w="851" w:type="dxa"/>
            <w:vMerge/>
          </w:tcPr>
          <w:p w14:paraId="4881DA0F" w14:textId="7777777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7514B91B"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1EE84ACA"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5089F4B5" w14:textId="2B9BAF38"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577DAEFA" w14:textId="0E9DB0D1"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1,48%</w:t>
            </w:r>
          </w:p>
        </w:tc>
        <w:tc>
          <w:tcPr>
            <w:tcW w:w="992" w:type="dxa"/>
          </w:tcPr>
          <w:p w14:paraId="0BAE83E4" w14:textId="5295019D"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-0,01%</w:t>
            </w:r>
          </w:p>
        </w:tc>
        <w:tc>
          <w:tcPr>
            <w:tcW w:w="992" w:type="dxa"/>
          </w:tcPr>
          <w:p w14:paraId="410677DA" w14:textId="396BCD0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1,98%</w:t>
            </w:r>
          </w:p>
        </w:tc>
        <w:tc>
          <w:tcPr>
            <w:tcW w:w="992" w:type="dxa"/>
          </w:tcPr>
          <w:p w14:paraId="3030BE9D" w14:textId="77A4B1E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-14,91%</w:t>
            </w:r>
          </w:p>
        </w:tc>
        <w:tc>
          <w:tcPr>
            <w:tcW w:w="1134" w:type="dxa"/>
          </w:tcPr>
          <w:p w14:paraId="590D4D66" w14:textId="044A8FAB"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2,31%</w:t>
            </w:r>
          </w:p>
        </w:tc>
        <w:tc>
          <w:tcPr>
            <w:tcW w:w="1276" w:type="dxa"/>
          </w:tcPr>
          <w:p w14:paraId="6E5F1D04" w14:textId="3B763A0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-6,86%</w:t>
            </w:r>
          </w:p>
        </w:tc>
        <w:tc>
          <w:tcPr>
            <w:tcW w:w="851" w:type="dxa"/>
            <w:noWrap/>
          </w:tcPr>
          <w:p w14:paraId="51E90FEC" w14:textId="419C42FB"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0,05%</w:t>
            </w:r>
          </w:p>
        </w:tc>
      </w:tr>
      <w:tr w:rsidR="006C78C4" w:rsidRPr="00E50B3E" w14:paraId="6DC5111A"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370E41FC" w14:textId="22C27260"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2013</w:t>
            </w:r>
          </w:p>
        </w:tc>
        <w:tc>
          <w:tcPr>
            <w:tcW w:w="1327" w:type="dxa"/>
            <w:noWrap/>
          </w:tcPr>
          <w:p w14:paraId="39064015" w14:textId="18AA828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3FD52FCF" w14:textId="605E2A9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177,8</w:t>
            </w:r>
          </w:p>
        </w:tc>
        <w:tc>
          <w:tcPr>
            <w:tcW w:w="992" w:type="dxa"/>
            <w:noWrap/>
          </w:tcPr>
          <w:p w14:paraId="7097EB4B" w14:textId="1795C45F"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2005,5</w:t>
            </w:r>
          </w:p>
        </w:tc>
        <w:tc>
          <w:tcPr>
            <w:tcW w:w="992" w:type="dxa"/>
            <w:noWrap/>
          </w:tcPr>
          <w:p w14:paraId="0F2A86F3" w14:textId="679B233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1604,3</w:t>
            </w:r>
          </w:p>
        </w:tc>
        <w:tc>
          <w:tcPr>
            <w:tcW w:w="992" w:type="dxa"/>
            <w:noWrap/>
          </w:tcPr>
          <w:p w14:paraId="6D87BE90" w14:textId="45A3B3E0"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66,9</w:t>
            </w:r>
          </w:p>
        </w:tc>
        <w:tc>
          <w:tcPr>
            <w:tcW w:w="1134" w:type="dxa"/>
            <w:noWrap/>
          </w:tcPr>
          <w:p w14:paraId="0BA6938D" w14:textId="3438749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23,3</w:t>
            </w:r>
          </w:p>
        </w:tc>
        <w:tc>
          <w:tcPr>
            <w:tcW w:w="1276" w:type="dxa"/>
            <w:noWrap/>
          </w:tcPr>
          <w:p w14:paraId="107737CE" w14:textId="74DE758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310,9</w:t>
            </w:r>
          </w:p>
        </w:tc>
        <w:tc>
          <w:tcPr>
            <w:tcW w:w="851" w:type="dxa"/>
            <w:vMerge w:val="restart"/>
            <w:noWrap/>
          </w:tcPr>
          <w:p w14:paraId="48A49A6D" w14:textId="154F1190"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5267C957"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3C2DF38E"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49E551A5" w14:textId="1561753E"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7D7A1695" w14:textId="56DB7A47"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183,0</w:t>
            </w:r>
          </w:p>
        </w:tc>
        <w:tc>
          <w:tcPr>
            <w:tcW w:w="992" w:type="dxa"/>
            <w:noWrap/>
          </w:tcPr>
          <w:p w14:paraId="4FC144B2" w14:textId="3CEEDCD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2071,6</w:t>
            </w:r>
          </w:p>
        </w:tc>
        <w:tc>
          <w:tcPr>
            <w:tcW w:w="992" w:type="dxa"/>
            <w:noWrap/>
          </w:tcPr>
          <w:p w14:paraId="4475302A" w14:textId="329A34C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1647,2</w:t>
            </w:r>
          </w:p>
        </w:tc>
        <w:tc>
          <w:tcPr>
            <w:tcW w:w="992" w:type="dxa"/>
            <w:noWrap/>
          </w:tcPr>
          <w:p w14:paraId="5EC58A61" w14:textId="60E6F9D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74,3</w:t>
            </w:r>
          </w:p>
        </w:tc>
        <w:tc>
          <w:tcPr>
            <w:tcW w:w="1134" w:type="dxa"/>
            <w:noWrap/>
          </w:tcPr>
          <w:p w14:paraId="5B5AA43F" w14:textId="180AFD74"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24,6</w:t>
            </w:r>
          </w:p>
        </w:tc>
        <w:tc>
          <w:tcPr>
            <w:tcW w:w="1276" w:type="dxa"/>
            <w:noWrap/>
          </w:tcPr>
          <w:p w14:paraId="3F5BEC23" w14:textId="78AA10E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325,5</w:t>
            </w:r>
          </w:p>
        </w:tc>
        <w:tc>
          <w:tcPr>
            <w:tcW w:w="851" w:type="dxa"/>
            <w:vMerge/>
          </w:tcPr>
          <w:p w14:paraId="447EE018" w14:textId="7777777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3B12D1F3"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72A3F986"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17A8919A" w14:textId="2F572584"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38E6879A" w14:textId="3D470A6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2,94%</w:t>
            </w:r>
          </w:p>
        </w:tc>
        <w:tc>
          <w:tcPr>
            <w:tcW w:w="992" w:type="dxa"/>
          </w:tcPr>
          <w:p w14:paraId="7EED03CC" w14:textId="6966D5E6"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3,30%</w:t>
            </w:r>
          </w:p>
        </w:tc>
        <w:tc>
          <w:tcPr>
            <w:tcW w:w="992" w:type="dxa"/>
          </w:tcPr>
          <w:p w14:paraId="65B795AE" w14:textId="2928D982"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2,67%</w:t>
            </w:r>
          </w:p>
        </w:tc>
        <w:tc>
          <w:tcPr>
            <w:tcW w:w="992" w:type="dxa"/>
          </w:tcPr>
          <w:p w14:paraId="4EF615B1" w14:textId="1F2D1AD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11,06%</w:t>
            </w:r>
          </w:p>
        </w:tc>
        <w:tc>
          <w:tcPr>
            <w:tcW w:w="1134" w:type="dxa"/>
          </w:tcPr>
          <w:p w14:paraId="51AB0D34" w14:textId="206C1A1A"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5,58%</w:t>
            </w:r>
          </w:p>
        </w:tc>
        <w:tc>
          <w:tcPr>
            <w:tcW w:w="1276" w:type="dxa"/>
          </w:tcPr>
          <w:p w14:paraId="2A265EEE" w14:textId="6E32296A"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4,70%</w:t>
            </w:r>
          </w:p>
        </w:tc>
        <w:tc>
          <w:tcPr>
            <w:tcW w:w="851" w:type="dxa"/>
            <w:noWrap/>
          </w:tcPr>
          <w:p w14:paraId="1D149E8A" w14:textId="156BBCC6"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3,28%</w:t>
            </w:r>
          </w:p>
        </w:tc>
      </w:tr>
      <w:tr w:rsidR="006C78C4" w:rsidRPr="00E50B3E" w14:paraId="61D34693"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5C0D2B7F" w14:textId="6135B5BE"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2014</w:t>
            </w:r>
          </w:p>
        </w:tc>
        <w:tc>
          <w:tcPr>
            <w:tcW w:w="1327" w:type="dxa"/>
            <w:noWrap/>
          </w:tcPr>
          <w:p w14:paraId="004A8746" w14:textId="648A349B"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46343DA1" w14:textId="2510FE7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204,3</w:t>
            </w:r>
          </w:p>
        </w:tc>
        <w:tc>
          <w:tcPr>
            <w:tcW w:w="992" w:type="dxa"/>
            <w:noWrap/>
          </w:tcPr>
          <w:p w14:paraId="5D2D21FB" w14:textId="17FE109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2051,5</w:t>
            </w:r>
          </w:p>
        </w:tc>
        <w:tc>
          <w:tcPr>
            <w:tcW w:w="992" w:type="dxa"/>
            <w:noWrap/>
          </w:tcPr>
          <w:p w14:paraId="277D6FE7" w14:textId="08D02F87"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1632,6</w:t>
            </w:r>
          </w:p>
        </w:tc>
        <w:tc>
          <w:tcPr>
            <w:tcW w:w="992" w:type="dxa"/>
            <w:noWrap/>
          </w:tcPr>
          <w:p w14:paraId="123AC2F8" w14:textId="35BC156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71,4</w:t>
            </w:r>
          </w:p>
        </w:tc>
        <w:tc>
          <w:tcPr>
            <w:tcW w:w="1134" w:type="dxa"/>
            <w:noWrap/>
          </w:tcPr>
          <w:p w14:paraId="73565398" w14:textId="0B8CDAB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24,7</w:t>
            </w:r>
          </w:p>
        </w:tc>
        <w:tc>
          <w:tcPr>
            <w:tcW w:w="1276" w:type="dxa"/>
            <w:noWrap/>
          </w:tcPr>
          <w:p w14:paraId="51D1F490" w14:textId="35AF8C54"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322,9</w:t>
            </w:r>
          </w:p>
        </w:tc>
        <w:tc>
          <w:tcPr>
            <w:tcW w:w="851" w:type="dxa"/>
            <w:vMerge w:val="restart"/>
            <w:noWrap/>
          </w:tcPr>
          <w:p w14:paraId="7EA02C5F" w14:textId="2AA730EF"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3E02EE32"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01475E3B"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29F6B555" w14:textId="6B0D0010"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789744AF" w14:textId="6CC84B5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203,3</w:t>
            </w:r>
          </w:p>
        </w:tc>
        <w:tc>
          <w:tcPr>
            <w:tcW w:w="992" w:type="dxa"/>
            <w:noWrap/>
          </w:tcPr>
          <w:p w14:paraId="5E32EBDD" w14:textId="5AFF273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2099,1</w:t>
            </w:r>
          </w:p>
        </w:tc>
        <w:tc>
          <w:tcPr>
            <w:tcW w:w="992" w:type="dxa"/>
            <w:noWrap/>
          </w:tcPr>
          <w:p w14:paraId="628F704C" w14:textId="099138E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1645,4</w:t>
            </w:r>
          </w:p>
        </w:tc>
        <w:tc>
          <w:tcPr>
            <w:tcW w:w="992" w:type="dxa"/>
            <w:noWrap/>
          </w:tcPr>
          <w:p w14:paraId="33D40CD8" w14:textId="23401B42"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85,3</w:t>
            </w:r>
          </w:p>
        </w:tc>
        <w:tc>
          <w:tcPr>
            <w:tcW w:w="1134" w:type="dxa"/>
            <w:noWrap/>
          </w:tcPr>
          <w:p w14:paraId="68FD9042" w14:textId="6D626EB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26,6</w:t>
            </w:r>
          </w:p>
        </w:tc>
        <w:tc>
          <w:tcPr>
            <w:tcW w:w="1276" w:type="dxa"/>
            <w:noWrap/>
          </w:tcPr>
          <w:p w14:paraId="6294335A" w14:textId="743D739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341,7</w:t>
            </w:r>
          </w:p>
        </w:tc>
        <w:tc>
          <w:tcPr>
            <w:tcW w:w="851" w:type="dxa"/>
            <w:vMerge/>
          </w:tcPr>
          <w:p w14:paraId="6A82FBCE" w14:textId="7777777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2AB54D24"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1178BE45"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60282931" w14:textId="748821EC"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7FC12B9E" w14:textId="258A523F"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-0,50%</w:t>
            </w:r>
          </w:p>
        </w:tc>
        <w:tc>
          <w:tcPr>
            <w:tcW w:w="992" w:type="dxa"/>
          </w:tcPr>
          <w:p w14:paraId="30B33F0A" w14:textId="468209F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2,32%</w:t>
            </w:r>
          </w:p>
        </w:tc>
        <w:tc>
          <w:tcPr>
            <w:tcW w:w="992" w:type="dxa"/>
          </w:tcPr>
          <w:p w14:paraId="6786392C" w14:textId="05C407D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0,78%</w:t>
            </w:r>
          </w:p>
        </w:tc>
        <w:tc>
          <w:tcPr>
            <w:tcW w:w="992" w:type="dxa"/>
          </w:tcPr>
          <w:p w14:paraId="234C4552" w14:textId="4C6E94A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19,47%</w:t>
            </w:r>
          </w:p>
        </w:tc>
        <w:tc>
          <w:tcPr>
            <w:tcW w:w="1134" w:type="dxa"/>
          </w:tcPr>
          <w:p w14:paraId="400C29B0" w14:textId="4949D60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7,69%</w:t>
            </w:r>
          </w:p>
        </w:tc>
        <w:tc>
          <w:tcPr>
            <w:tcW w:w="1276" w:type="dxa"/>
          </w:tcPr>
          <w:p w14:paraId="2DA8290B" w14:textId="30A4EB6A"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5,82%</w:t>
            </w:r>
          </w:p>
        </w:tc>
        <w:tc>
          <w:tcPr>
            <w:tcW w:w="851" w:type="dxa"/>
            <w:noWrap/>
          </w:tcPr>
          <w:p w14:paraId="273B5840" w14:textId="41E81AA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2,18%</w:t>
            </w:r>
          </w:p>
        </w:tc>
      </w:tr>
      <w:tr w:rsidR="006C78C4" w:rsidRPr="00E50B3E" w14:paraId="47B84B22"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085D3945" w14:textId="0054182C"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2015</w:t>
            </w:r>
          </w:p>
        </w:tc>
        <w:tc>
          <w:tcPr>
            <w:tcW w:w="1327" w:type="dxa"/>
            <w:noWrap/>
          </w:tcPr>
          <w:p w14:paraId="7B6AC1B6" w14:textId="353001BD"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4996656B" w14:textId="0DBF7A8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268,2</w:t>
            </w:r>
          </w:p>
        </w:tc>
        <w:tc>
          <w:tcPr>
            <w:tcW w:w="992" w:type="dxa"/>
            <w:noWrap/>
          </w:tcPr>
          <w:p w14:paraId="29BD8EEB" w14:textId="05CBED6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2123,4</w:t>
            </w:r>
          </w:p>
        </w:tc>
        <w:tc>
          <w:tcPr>
            <w:tcW w:w="992" w:type="dxa"/>
            <w:noWrap/>
          </w:tcPr>
          <w:p w14:paraId="68208710" w14:textId="7B602F6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1641,8</w:t>
            </w:r>
          </w:p>
        </w:tc>
        <w:tc>
          <w:tcPr>
            <w:tcW w:w="992" w:type="dxa"/>
            <w:noWrap/>
          </w:tcPr>
          <w:p w14:paraId="42EA6BC5" w14:textId="3407AD8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97,3</w:t>
            </w:r>
          </w:p>
        </w:tc>
        <w:tc>
          <w:tcPr>
            <w:tcW w:w="1134" w:type="dxa"/>
            <w:noWrap/>
          </w:tcPr>
          <w:p w14:paraId="3635412E" w14:textId="2599F55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29,2</w:t>
            </w:r>
          </w:p>
        </w:tc>
        <w:tc>
          <w:tcPr>
            <w:tcW w:w="1276" w:type="dxa"/>
            <w:noWrap/>
          </w:tcPr>
          <w:p w14:paraId="341248AB" w14:textId="1E65821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355</w:t>
            </w:r>
          </w:p>
        </w:tc>
        <w:tc>
          <w:tcPr>
            <w:tcW w:w="851" w:type="dxa"/>
            <w:vMerge w:val="restart"/>
            <w:noWrap/>
          </w:tcPr>
          <w:p w14:paraId="3C7AA27C" w14:textId="373B84E4"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r w:rsidRPr="00E50B3E">
              <w:rPr>
                <w:rFonts w:ascii="Calibri" w:eastAsia="Times New Roman" w:hAnsi="Calibri" w:cs="Calibri"/>
                <w:color w:val="000000" w:themeColor="text1"/>
                <w:lang w:eastAsia="lv-LV"/>
              </w:rPr>
              <w:t> </w:t>
            </w:r>
          </w:p>
        </w:tc>
      </w:tr>
      <w:tr w:rsidR="006C78C4" w:rsidRPr="00E50B3E" w14:paraId="382D19F5"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04273A43"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6FF2C6D2" w14:textId="0165F9F2"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4FC2661E" w14:textId="4032679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261,1</w:t>
            </w:r>
          </w:p>
        </w:tc>
        <w:tc>
          <w:tcPr>
            <w:tcW w:w="992" w:type="dxa"/>
            <w:noWrap/>
          </w:tcPr>
          <w:p w14:paraId="6FD4623D" w14:textId="68BD1247"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2179,4</w:t>
            </w:r>
          </w:p>
        </w:tc>
        <w:tc>
          <w:tcPr>
            <w:tcW w:w="992" w:type="dxa"/>
            <w:noWrap/>
          </w:tcPr>
          <w:p w14:paraId="41C9BA17" w14:textId="38730DDA"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1660,9</w:t>
            </w:r>
          </w:p>
        </w:tc>
        <w:tc>
          <w:tcPr>
            <w:tcW w:w="992" w:type="dxa"/>
            <w:noWrap/>
          </w:tcPr>
          <w:p w14:paraId="72F4EEFA" w14:textId="30E738CA"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102,3</w:t>
            </w:r>
          </w:p>
        </w:tc>
        <w:tc>
          <w:tcPr>
            <w:tcW w:w="1134" w:type="dxa"/>
            <w:noWrap/>
          </w:tcPr>
          <w:p w14:paraId="3980D8DE" w14:textId="317A79FF"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29,5</w:t>
            </w:r>
          </w:p>
        </w:tc>
        <w:tc>
          <w:tcPr>
            <w:tcW w:w="1276" w:type="dxa"/>
            <w:noWrap/>
          </w:tcPr>
          <w:p w14:paraId="1F0C93CB" w14:textId="42A6F29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386,8</w:t>
            </w:r>
          </w:p>
        </w:tc>
        <w:tc>
          <w:tcPr>
            <w:tcW w:w="851" w:type="dxa"/>
            <w:vMerge/>
          </w:tcPr>
          <w:p w14:paraId="408E8FBD" w14:textId="7777777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1E860BD4"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35498CBE"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61A92C77" w14:textId="19B58B96"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321BAA19" w14:textId="64B8AF3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-2,64%</w:t>
            </w:r>
          </w:p>
        </w:tc>
        <w:tc>
          <w:tcPr>
            <w:tcW w:w="992" w:type="dxa"/>
          </w:tcPr>
          <w:p w14:paraId="6A5944E4" w14:textId="1C26B3E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2,64%</w:t>
            </w:r>
          </w:p>
        </w:tc>
        <w:tc>
          <w:tcPr>
            <w:tcW w:w="992" w:type="dxa"/>
          </w:tcPr>
          <w:p w14:paraId="7DB4C76D" w14:textId="13CFDC5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1,16%</w:t>
            </w:r>
          </w:p>
        </w:tc>
        <w:tc>
          <w:tcPr>
            <w:tcW w:w="992" w:type="dxa"/>
          </w:tcPr>
          <w:p w14:paraId="1B539051" w14:textId="2843C28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5,14%</w:t>
            </w:r>
          </w:p>
        </w:tc>
        <w:tc>
          <w:tcPr>
            <w:tcW w:w="1134" w:type="dxa"/>
          </w:tcPr>
          <w:p w14:paraId="6FD446AB" w14:textId="4A8A8A3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1,03%</w:t>
            </w:r>
          </w:p>
        </w:tc>
        <w:tc>
          <w:tcPr>
            <w:tcW w:w="1276" w:type="dxa"/>
          </w:tcPr>
          <w:p w14:paraId="3DA806C2" w14:textId="3FE60DCB"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8,96%</w:t>
            </w:r>
          </w:p>
        </w:tc>
        <w:tc>
          <w:tcPr>
            <w:tcW w:w="851" w:type="dxa"/>
            <w:noWrap/>
          </w:tcPr>
          <w:p w14:paraId="72180509" w14:textId="77ABF11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2,33%</w:t>
            </w:r>
          </w:p>
        </w:tc>
      </w:tr>
      <w:tr w:rsidR="006C78C4" w:rsidRPr="00E50B3E" w14:paraId="1981F6E8"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17808AAD" w14:textId="1A4D2972"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2016</w:t>
            </w:r>
          </w:p>
        </w:tc>
        <w:tc>
          <w:tcPr>
            <w:tcW w:w="1327" w:type="dxa"/>
            <w:noWrap/>
          </w:tcPr>
          <w:p w14:paraId="3954CD57" w14:textId="1D3BBA7B"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055648D1" w14:textId="176DBFC7"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283,9</w:t>
            </w:r>
          </w:p>
        </w:tc>
        <w:tc>
          <w:tcPr>
            <w:tcW w:w="992" w:type="dxa"/>
            <w:noWrap/>
          </w:tcPr>
          <w:p w14:paraId="5A3434F8" w14:textId="6862E68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2219,1</w:t>
            </w:r>
          </w:p>
        </w:tc>
        <w:tc>
          <w:tcPr>
            <w:tcW w:w="992" w:type="dxa"/>
            <w:noWrap/>
          </w:tcPr>
          <w:p w14:paraId="1FE0ED08" w14:textId="3532631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1689,4</w:t>
            </w:r>
          </w:p>
        </w:tc>
        <w:tc>
          <w:tcPr>
            <w:tcW w:w="992" w:type="dxa"/>
            <w:noWrap/>
          </w:tcPr>
          <w:p w14:paraId="12F204B4" w14:textId="691157D4"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102,3</w:t>
            </w:r>
          </w:p>
        </w:tc>
        <w:tc>
          <w:tcPr>
            <w:tcW w:w="1134" w:type="dxa"/>
            <w:noWrap/>
          </w:tcPr>
          <w:p w14:paraId="69AB3B17" w14:textId="5963495D"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31,1</w:t>
            </w:r>
          </w:p>
        </w:tc>
        <w:tc>
          <w:tcPr>
            <w:tcW w:w="1276" w:type="dxa"/>
            <w:noWrap/>
          </w:tcPr>
          <w:p w14:paraId="6906C90E" w14:textId="51025D76"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396,3</w:t>
            </w:r>
          </w:p>
        </w:tc>
        <w:tc>
          <w:tcPr>
            <w:tcW w:w="851" w:type="dxa"/>
            <w:vMerge w:val="restart"/>
            <w:noWrap/>
          </w:tcPr>
          <w:p w14:paraId="445C06E9" w14:textId="62C84830"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lv-LV"/>
              </w:rPr>
            </w:pPr>
            <w:r w:rsidRPr="00E50B3E">
              <w:rPr>
                <w:rFonts w:eastAsia="Times New Roman" w:cs="Times New Roman"/>
                <w:i/>
                <w:iCs/>
                <w:color w:val="000000" w:themeColor="text1"/>
                <w:sz w:val="20"/>
                <w:szCs w:val="20"/>
                <w:lang w:eastAsia="lv-LV"/>
              </w:rPr>
              <w:t> </w:t>
            </w:r>
          </w:p>
        </w:tc>
      </w:tr>
      <w:tr w:rsidR="006C78C4" w:rsidRPr="00E50B3E" w14:paraId="5934AE5F"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29E9E917"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0D9FE3C9" w14:textId="38864EDA"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49F253FC" w14:textId="138BCCE0"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275,1</w:t>
            </w:r>
          </w:p>
        </w:tc>
        <w:tc>
          <w:tcPr>
            <w:tcW w:w="992" w:type="dxa"/>
            <w:noWrap/>
          </w:tcPr>
          <w:p w14:paraId="708CCCB3" w14:textId="753F7262"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2267,3</w:t>
            </w:r>
          </w:p>
        </w:tc>
        <w:tc>
          <w:tcPr>
            <w:tcW w:w="992" w:type="dxa"/>
            <w:noWrap/>
          </w:tcPr>
          <w:p w14:paraId="6495ED48" w14:textId="1E13FE9B"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1687</w:t>
            </w:r>
          </w:p>
        </w:tc>
        <w:tc>
          <w:tcPr>
            <w:tcW w:w="992" w:type="dxa"/>
            <w:noWrap/>
          </w:tcPr>
          <w:p w14:paraId="66BCBF8A" w14:textId="001B547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116,5</w:t>
            </w:r>
          </w:p>
        </w:tc>
        <w:tc>
          <w:tcPr>
            <w:tcW w:w="1134" w:type="dxa"/>
            <w:noWrap/>
          </w:tcPr>
          <w:p w14:paraId="720D0FE9" w14:textId="3383BF4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32,8</w:t>
            </w:r>
          </w:p>
        </w:tc>
        <w:tc>
          <w:tcPr>
            <w:tcW w:w="1276" w:type="dxa"/>
            <w:noWrap/>
          </w:tcPr>
          <w:p w14:paraId="7A28445E" w14:textId="604EF30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431,1</w:t>
            </w:r>
          </w:p>
        </w:tc>
        <w:tc>
          <w:tcPr>
            <w:tcW w:w="851" w:type="dxa"/>
            <w:vMerge/>
          </w:tcPr>
          <w:p w14:paraId="75D3CB8C" w14:textId="7777777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lv-LV"/>
              </w:rPr>
            </w:pPr>
          </w:p>
        </w:tc>
      </w:tr>
      <w:tr w:rsidR="006C78C4" w:rsidRPr="00E50B3E" w14:paraId="0D200612"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55125DBC"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3CA2CC5D" w14:textId="4FCDED51"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4C86E82C" w14:textId="2A1628D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-3,12%</w:t>
            </w:r>
          </w:p>
        </w:tc>
        <w:tc>
          <w:tcPr>
            <w:tcW w:w="992" w:type="dxa"/>
          </w:tcPr>
          <w:p w14:paraId="6E85B866" w14:textId="2F29E04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2,17%</w:t>
            </w:r>
          </w:p>
        </w:tc>
        <w:tc>
          <w:tcPr>
            <w:tcW w:w="992" w:type="dxa"/>
          </w:tcPr>
          <w:p w14:paraId="1B0007C9" w14:textId="748ED12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-0,14%</w:t>
            </w:r>
          </w:p>
        </w:tc>
        <w:tc>
          <w:tcPr>
            <w:tcW w:w="992" w:type="dxa"/>
          </w:tcPr>
          <w:p w14:paraId="6B375EB1" w14:textId="25FA7D37"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13,88%</w:t>
            </w:r>
          </w:p>
        </w:tc>
        <w:tc>
          <w:tcPr>
            <w:tcW w:w="1134" w:type="dxa"/>
          </w:tcPr>
          <w:p w14:paraId="4638A0BD" w14:textId="15A27BBA"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5,47%</w:t>
            </w:r>
          </w:p>
        </w:tc>
        <w:tc>
          <w:tcPr>
            <w:tcW w:w="1276" w:type="dxa"/>
          </w:tcPr>
          <w:p w14:paraId="057B56FE" w14:textId="157152C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8,78%</w:t>
            </w:r>
          </w:p>
        </w:tc>
        <w:tc>
          <w:tcPr>
            <w:tcW w:w="851" w:type="dxa"/>
            <w:noWrap/>
          </w:tcPr>
          <w:p w14:paraId="67C50A10" w14:textId="37809B31"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1,86%</w:t>
            </w:r>
          </w:p>
        </w:tc>
      </w:tr>
      <w:tr w:rsidR="006C78C4" w:rsidRPr="00E50B3E" w14:paraId="498B5652"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2095967D" w14:textId="5BCE81EA"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2017</w:t>
            </w:r>
          </w:p>
        </w:tc>
        <w:tc>
          <w:tcPr>
            <w:tcW w:w="1327" w:type="dxa"/>
            <w:noWrap/>
          </w:tcPr>
          <w:p w14:paraId="25BB0ADC" w14:textId="1C5AC30E"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139C5E69" w14:textId="60F9A9C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296,4</w:t>
            </w:r>
          </w:p>
        </w:tc>
        <w:tc>
          <w:tcPr>
            <w:tcW w:w="992" w:type="dxa"/>
            <w:noWrap/>
          </w:tcPr>
          <w:p w14:paraId="70DE965E" w14:textId="64F33240"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2394,1</w:t>
            </w:r>
          </w:p>
        </w:tc>
        <w:tc>
          <w:tcPr>
            <w:tcW w:w="992" w:type="dxa"/>
            <w:noWrap/>
          </w:tcPr>
          <w:p w14:paraId="263B8524" w14:textId="60DB9DDC"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1756,9</w:t>
            </w:r>
          </w:p>
        </w:tc>
        <w:tc>
          <w:tcPr>
            <w:tcW w:w="992" w:type="dxa"/>
            <w:noWrap/>
          </w:tcPr>
          <w:p w14:paraId="546F8C9F" w14:textId="6443EE3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121,9</w:t>
            </w:r>
          </w:p>
        </w:tc>
        <w:tc>
          <w:tcPr>
            <w:tcW w:w="1134" w:type="dxa"/>
            <w:noWrap/>
          </w:tcPr>
          <w:p w14:paraId="567281BB" w14:textId="1D179AE4"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36,1</w:t>
            </w:r>
          </w:p>
        </w:tc>
        <w:tc>
          <w:tcPr>
            <w:tcW w:w="1276" w:type="dxa"/>
            <w:noWrap/>
          </w:tcPr>
          <w:p w14:paraId="01E7D833" w14:textId="2D9DD28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479,1</w:t>
            </w:r>
          </w:p>
        </w:tc>
        <w:tc>
          <w:tcPr>
            <w:tcW w:w="851" w:type="dxa"/>
            <w:vMerge w:val="restart"/>
            <w:noWrap/>
          </w:tcPr>
          <w:p w14:paraId="365DDA45" w14:textId="1AA34E2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 </w:t>
            </w:r>
          </w:p>
        </w:tc>
      </w:tr>
      <w:tr w:rsidR="006C78C4" w:rsidRPr="00E50B3E" w14:paraId="33E538DB"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017B5CB0"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749F77B1" w14:textId="05F918D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24BFC481" w14:textId="403AA33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289,5</w:t>
            </w:r>
          </w:p>
        </w:tc>
        <w:tc>
          <w:tcPr>
            <w:tcW w:w="992" w:type="dxa"/>
            <w:noWrap/>
          </w:tcPr>
          <w:p w14:paraId="6BE249F9" w14:textId="2493FD7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2363,7</w:t>
            </w:r>
          </w:p>
        </w:tc>
        <w:tc>
          <w:tcPr>
            <w:tcW w:w="992" w:type="dxa"/>
            <w:noWrap/>
          </w:tcPr>
          <w:p w14:paraId="633CCFBD" w14:textId="5C6EEC68"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1757,5</w:t>
            </w:r>
          </w:p>
        </w:tc>
        <w:tc>
          <w:tcPr>
            <w:tcW w:w="992" w:type="dxa"/>
            <w:noWrap/>
          </w:tcPr>
          <w:p w14:paraId="2EFA7049" w14:textId="2670448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112,9</w:t>
            </w:r>
          </w:p>
        </w:tc>
        <w:tc>
          <w:tcPr>
            <w:tcW w:w="1134" w:type="dxa"/>
            <w:noWrap/>
          </w:tcPr>
          <w:p w14:paraId="58B26634" w14:textId="3C00997F"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37,6</w:t>
            </w:r>
          </w:p>
        </w:tc>
        <w:tc>
          <w:tcPr>
            <w:tcW w:w="1276" w:type="dxa"/>
            <w:noWrap/>
          </w:tcPr>
          <w:p w14:paraId="4F07AFE2" w14:textId="7E0D8369"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455,7</w:t>
            </w:r>
          </w:p>
        </w:tc>
        <w:tc>
          <w:tcPr>
            <w:tcW w:w="851" w:type="dxa"/>
            <w:vMerge/>
          </w:tcPr>
          <w:p w14:paraId="74F34684" w14:textId="7777777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p>
        </w:tc>
      </w:tr>
      <w:tr w:rsidR="006C78C4" w:rsidRPr="00E50B3E" w14:paraId="3019C3E3"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7BC2E99E"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7F895E36" w14:textId="67775106"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53F03BB8" w14:textId="676C3303"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-2,33%</w:t>
            </w:r>
          </w:p>
        </w:tc>
        <w:tc>
          <w:tcPr>
            <w:tcW w:w="992" w:type="dxa"/>
          </w:tcPr>
          <w:p w14:paraId="422FF6A8" w14:textId="3CEDE02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-1,27%</w:t>
            </w:r>
          </w:p>
        </w:tc>
        <w:tc>
          <w:tcPr>
            <w:tcW w:w="992" w:type="dxa"/>
          </w:tcPr>
          <w:p w14:paraId="45166BB0" w14:textId="0CBCAE0E"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0,03%</w:t>
            </w:r>
          </w:p>
        </w:tc>
        <w:tc>
          <w:tcPr>
            <w:tcW w:w="992" w:type="dxa"/>
          </w:tcPr>
          <w:p w14:paraId="082E24EB" w14:textId="3D6E14EB"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-7,38%</w:t>
            </w:r>
          </w:p>
        </w:tc>
        <w:tc>
          <w:tcPr>
            <w:tcW w:w="1134" w:type="dxa"/>
          </w:tcPr>
          <w:p w14:paraId="6D4B0703" w14:textId="4325604D"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4,16%</w:t>
            </w:r>
          </w:p>
        </w:tc>
        <w:tc>
          <w:tcPr>
            <w:tcW w:w="1276" w:type="dxa"/>
          </w:tcPr>
          <w:p w14:paraId="7258EE68" w14:textId="0BEC372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-4,88%</w:t>
            </w:r>
          </w:p>
        </w:tc>
        <w:tc>
          <w:tcPr>
            <w:tcW w:w="851" w:type="dxa"/>
            <w:noWrap/>
          </w:tcPr>
          <w:p w14:paraId="58BEF069" w14:textId="000C8A18"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-1,33%</w:t>
            </w:r>
          </w:p>
        </w:tc>
      </w:tr>
      <w:tr w:rsidR="006C78C4" w:rsidRPr="00E50B3E" w14:paraId="79724739"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677CA9D6" w14:textId="7C1A73A9" w:rsidR="000958D3" w:rsidRPr="00E50B3E" w:rsidRDefault="000958D3" w:rsidP="000958D3">
            <w:pPr>
              <w:jc w:val="center"/>
              <w:rPr>
                <w:rFonts w:eastAsia="Times New Roman" w:cs="Times New Roman"/>
                <w:b w:val="0"/>
                <w:bCs w:val="0"/>
                <w:color w:val="000000" w:themeColor="text1"/>
                <w:sz w:val="20"/>
                <w:szCs w:val="20"/>
                <w:lang w:eastAsia="lv-LV"/>
              </w:rPr>
            </w:pPr>
            <w:r w:rsidRPr="00E50B3E">
              <w:rPr>
                <w:rFonts w:eastAsia="Times New Roman" w:cs="Times New Roman"/>
                <w:b w:val="0"/>
                <w:bCs w:val="0"/>
                <w:color w:val="000000" w:themeColor="text1"/>
                <w:sz w:val="20"/>
                <w:szCs w:val="20"/>
                <w:lang w:eastAsia="lv-LV"/>
              </w:rPr>
              <w:t>2018</w:t>
            </w:r>
          </w:p>
        </w:tc>
        <w:tc>
          <w:tcPr>
            <w:tcW w:w="1327" w:type="dxa"/>
            <w:noWrap/>
          </w:tcPr>
          <w:p w14:paraId="348C76CC" w14:textId="1DD41C66"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Plāns</w:t>
            </w:r>
          </w:p>
        </w:tc>
        <w:tc>
          <w:tcPr>
            <w:tcW w:w="913" w:type="dxa"/>
            <w:noWrap/>
          </w:tcPr>
          <w:p w14:paraId="0BB633D9" w14:textId="6D523BDC"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282,7</w:t>
            </w:r>
          </w:p>
        </w:tc>
        <w:tc>
          <w:tcPr>
            <w:tcW w:w="992" w:type="dxa"/>
            <w:noWrap/>
          </w:tcPr>
          <w:p w14:paraId="67EFC719" w14:textId="06CF59B7"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2823,9</w:t>
            </w:r>
          </w:p>
        </w:tc>
        <w:tc>
          <w:tcPr>
            <w:tcW w:w="992" w:type="dxa"/>
            <w:noWrap/>
          </w:tcPr>
          <w:p w14:paraId="74B5FDEB" w14:textId="5BB17F7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1928,2</w:t>
            </w:r>
          </w:p>
        </w:tc>
        <w:tc>
          <w:tcPr>
            <w:tcW w:w="992" w:type="dxa"/>
            <w:noWrap/>
          </w:tcPr>
          <w:p w14:paraId="04DB1989" w14:textId="43731A92"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163,7</w:t>
            </w:r>
          </w:p>
        </w:tc>
        <w:tc>
          <w:tcPr>
            <w:tcW w:w="1134" w:type="dxa"/>
            <w:noWrap/>
          </w:tcPr>
          <w:p w14:paraId="646F454E" w14:textId="31CF2AEE"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48,6</w:t>
            </w:r>
          </w:p>
        </w:tc>
        <w:tc>
          <w:tcPr>
            <w:tcW w:w="1276" w:type="dxa"/>
            <w:noWrap/>
          </w:tcPr>
          <w:p w14:paraId="1BC2A571" w14:textId="73AEC8C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663,6</w:t>
            </w:r>
          </w:p>
        </w:tc>
        <w:tc>
          <w:tcPr>
            <w:tcW w:w="851" w:type="dxa"/>
            <w:vMerge w:val="restart"/>
            <w:noWrap/>
          </w:tcPr>
          <w:p w14:paraId="19A5903B" w14:textId="7777777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 </w:t>
            </w:r>
          </w:p>
          <w:p w14:paraId="1551AD4E" w14:textId="13592561"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color w:val="000000" w:themeColor="text1"/>
                <w:sz w:val="20"/>
                <w:szCs w:val="20"/>
                <w:lang w:eastAsia="lv-LV"/>
              </w:rPr>
              <w:t> </w:t>
            </w:r>
          </w:p>
        </w:tc>
      </w:tr>
      <w:tr w:rsidR="006C78C4" w:rsidRPr="00E50B3E" w14:paraId="48F5E5CD"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30235742"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56D75B10" w14:textId="5DFBBECC"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Izpilde</w:t>
            </w:r>
          </w:p>
        </w:tc>
        <w:tc>
          <w:tcPr>
            <w:tcW w:w="913" w:type="dxa"/>
            <w:noWrap/>
          </w:tcPr>
          <w:p w14:paraId="1ECD57B8" w14:textId="1DD379AB"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282,1</w:t>
            </w:r>
          </w:p>
        </w:tc>
        <w:tc>
          <w:tcPr>
            <w:tcW w:w="992" w:type="dxa"/>
            <w:noWrap/>
          </w:tcPr>
          <w:p w14:paraId="46AAFEB1" w14:textId="54EF5BA1"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2731,4</w:t>
            </w:r>
          </w:p>
        </w:tc>
        <w:tc>
          <w:tcPr>
            <w:tcW w:w="992" w:type="dxa"/>
            <w:noWrap/>
          </w:tcPr>
          <w:p w14:paraId="28F9A5C4" w14:textId="7D9B0667"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1915,4</w:t>
            </w:r>
          </w:p>
        </w:tc>
        <w:tc>
          <w:tcPr>
            <w:tcW w:w="992" w:type="dxa"/>
            <w:noWrap/>
          </w:tcPr>
          <w:p w14:paraId="0C592566" w14:textId="3F51923B"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152,0</w:t>
            </w:r>
          </w:p>
        </w:tc>
        <w:tc>
          <w:tcPr>
            <w:tcW w:w="1134" w:type="dxa"/>
            <w:noWrap/>
          </w:tcPr>
          <w:p w14:paraId="52FC81AF" w14:textId="3763C22B"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47,1</w:t>
            </w:r>
          </w:p>
        </w:tc>
        <w:tc>
          <w:tcPr>
            <w:tcW w:w="1276" w:type="dxa"/>
            <w:noWrap/>
          </w:tcPr>
          <w:p w14:paraId="3C08094A" w14:textId="091CB235" w:rsidR="000958D3" w:rsidRPr="00E50B3E" w:rsidRDefault="000958D3" w:rsidP="000958D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597,4</w:t>
            </w:r>
          </w:p>
        </w:tc>
        <w:tc>
          <w:tcPr>
            <w:tcW w:w="851" w:type="dxa"/>
            <w:vMerge/>
          </w:tcPr>
          <w:p w14:paraId="1B59393F" w14:textId="77777777" w:rsidR="000958D3" w:rsidRPr="00E50B3E" w:rsidRDefault="000958D3" w:rsidP="000958D3">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p>
        </w:tc>
      </w:tr>
      <w:tr w:rsidR="006C78C4" w:rsidRPr="00E50B3E" w14:paraId="6B578A46"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1C7DC0FE" w14:textId="77777777" w:rsidR="000958D3" w:rsidRPr="00E50B3E" w:rsidRDefault="000958D3" w:rsidP="000958D3">
            <w:pPr>
              <w:rPr>
                <w:rFonts w:eastAsia="Times New Roman" w:cs="Times New Roman"/>
                <w:b w:val="0"/>
                <w:bCs w:val="0"/>
                <w:color w:val="000000" w:themeColor="text1"/>
                <w:sz w:val="20"/>
                <w:szCs w:val="20"/>
                <w:lang w:eastAsia="lv-LV"/>
              </w:rPr>
            </w:pPr>
          </w:p>
        </w:tc>
        <w:tc>
          <w:tcPr>
            <w:tcW w:w="1327" w:type="dxa"/>
            <w:noWrap/>
          </w:tcPr>
          <w:p w14:paraId="1F6189BF" w14:textId="2CED52C7" w:rsidR="000958D3" w:rsidRPr="00E50B3E" w:rsidRDefault="000958D3" w:rsidP="000958D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E50B3E">
              <w:rPr>
                <w:rFonts w:eastAsia="Times New Roman" w:cs="Times New Roman"/>
                <w:color w:val="000000" w:themeColor="text1"/>
                <w:sz w:val="20"/>
                <w:szCs w:val="20"/>
                <w:lang w:eastAsia="lv-LV"/>
              </w:rPr>
              <w:t>Novirze no plāna %</w:t>
            </w:r>
          </w:p>
        </w:tc>
        <w:tc>
          <w:tcPr>
            <w:tcW w:w="913" w:type="dxa"/>
          </w:tcPr>
          <w:p w14:paraId="7BEE2413" w14:textId="278D66A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-0,20%</w:t>
            </w:r>
          </w:p>
        </w:tc>
        <w:tc>
          <w:tcPr>
            <w:tcW w:w="992" w:type="dxa"/>
          </w:tcPr>
          <w:p w14:paraId="79EAD5E0" w14:textId="76A6C2CA"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-3,27%</w:t>
            </w:r>
          </w:p>
        </w:tc>
        <w:tc>
          <w:tcPr>
            <w:tcW w:w="992" w:type="dxa"/>
          </w:tcPr>
          <w:p w14:paraId="411BDEA6" w14:textId="768BC83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-0,67%</w:t>
            </w:r>
          </w:p>
        </w:tc>
        <w:tc>
          <w:tcPr>
            <w:tcW w:w="992" w:type="dxa"/>
          </w:tcPr>
          <w:p w14:paraId="65394BE9" w14:textId="6B8C4070"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-7,16%</w:t>
            </w:r>
          </w:p>
        </w:tc>
        <w:tc>
          <w:tcPr>
            <w:tcW w:w="1134" w:type="dxa"/>
          </w:tcPr>
          <w:p w14:paraId="62222008" w14:textId="7E9108E3"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-3,15%</w:t>
            </w:r>
          </w:p>
        </w:tc>
        <w:tc>
          <w:tcPr>
            <w:tcW w:w="1276" w:type="dxa"/>
          </w:tcPr>
          <w:p w14:paraId="5233AC72" w14:textId="1D0EE494"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-9,98%</w:t>
            </w:r>
          </w:p>
        </w:tc>
        <w:tc>
          <w:tcPr>
            <w:tcW w:w="851" w:type="dxa"/>
            <w:noWrap/>
          </w:tcPr>
          <w:p w14:paraId="236B6D94" w14:textId="5F63BBD5" w:rsidR="000958D3" w:rsidRPr="00E50B3E" w:rsidRDefault="000958D3" w:rsidP="000958D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E50B3E">
              <w:rPr>
                <w:rFonts w:eastAsia="Times New Roman" w:cs="Times New Roman"/>
                <w:i/>
                <w:iCs/>
                <w:color w:val="000000" w:themeColor="text1"/>
                <w:sz w:val="20"/>
                <w:szCs w:val="20"/>
                <w:lang w:eastAsia="lv-LV"/>
              </w:rPr>
              <w:t>-3,14%</w:t>
            </w:r>
          </w:p>
        </w:tc>
      </w:tr>
      <w:tr w:rsidR="006C78C4" w:rsidRPr="00E50B3E" w14:paraId="184C8F74"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18609286" w14:textId="1029D1D1" w:rsidR="006C78C4" w:rsidRPr="00E50B3E" w:rsidRDefault="006C78C4" w:rsidP="006C78C4">
            <w:pPr>
              <w:jc w:val="center"/>
              <w:rPr>
                <w:rFonts w:eastAsia="Times New Roman" w:cs="Times New Roman"/>
                <w:b w:val="0"/>
                <w:bCs w:val="0"/>
                <w:color w:val="000000" w:themeColor="text1"/>
                <w:sz w:val="20"/>
                <w:szCs w:val="20"/>
                <w:lang w:eastAsia="lv-LV"/>
              </w:rPr>
            </w:pPr>
            <w:r w:rsidRPr="00673A7E">
              <w:rPr>
                <w:rFonts w:eastAsia="Times New Roman" w:cs="Times New Roman"/>
                <w:b w:val="0"/>
                <w:bCs w:val="0"/>
                <w:color w:val="000000" w:themeColor="text1"/>
                <w:sz w:val="20"/>
                <w:szCs w:val="20"/>
                <w:lang w:eastAsia="lv-LV"/>
              </w:rPr>
              <w:t>2019</w:t>
            </w:r>
          </w:p>
        </w:tc>
        <w:tc>
          <w:tcPr>
            <w:tcW w:w="1327" w:type="dxa"/>
            <w:noWrap/>
          </w:tcPr>
          <w:p w14:paraId="4BE1D228" w14:textId="2F6306EF" w:rsidR="006C78C4" w:rsidRPr="00E50B3E" w:rsidRDefault="006C78C4" w:rsidP="006C78C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673A7E">
              <w:rPr>
                <w:rFonts w:eastAsia="Times New Roman" w:cs="Times New Roman"/>
                <w:color w:val="000000" w:themeColor="text1"/>
                <w:sz w:val="20"/>
                <w:szCs w:val="20"/>
                <w:lang w:eastAsia="lv-LV"/>
              </w:rPr>
              <w:t>Plāns</w:t>
            </w:r>
          </w:p>
        </w:tc>
        <w:tc>
          <w:tcPr>
            <w:tcW w:w="913" w:type="dxa"/>
            <w:noWrap/>
          </w:tcPr>
          <w:p w14:paraId="31481A34" w14:textId="050DC7A9" w:rsidR="006C78C4" w:rsidRPr="00E50B3E"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345,3</w:t>
            </w:r>
          </w:p>
        </w:tc>
        <w:tc>
          <w:tcPr>
            <w:tcW w:w="992" w:type="dxa"/>
            <w:noWrap/>
          </w:tcPr>
          <w:p w14:paraId="36221648" w14:textId="7CB140C9" w:rsidR="006C78C4" w:rsidRPr="00E50B3E"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Pr="00A85DE5">
              <w:rPr>
                <w:rFonts w:eastAsia="Times New Roman" w:cs="Times New Roman"/>
                <w:color w:val="000000" w:themeColor="text1"/>
                <w:sz w:val="20"/>
                <w:szCs w:val="20"/>
                <w:lang w:eastAsia="lv-LV"/>
              </w:rPr>
              <w:t>737,6</w:t>
            </w:r>
          </w:p>
        </w:tc>
        <w:tc>
          <w:tcPr>
            <w:tcW w:w="992" w:type="dxa"/>
            <w:noWrap/>
          </w:tcPr>
          <w:p w14:paraId="54BD9661" w14:textId="370F472C" w:rsidR="006C78C4" w:rsidRPr="00E50B3E"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Pr="00A85DE5">
              <w:rPr>
                <w:rFonts w:eastAsia="Times New Roman" w:cs="Times New Roman"/>
                <w:color w:val="000000" w:themeColor="text1"/>
                <w:sz w:val="20"/>
                <w:szCs w:val="20"/>
                <w:lang w:eastAsia="lv-LV"/>
              </w:rPr>
              <w:t>032,5</w:t>
            </w:r>
          </w:p>
        </w:tc>
        <w:tc>
          <w:tcPr>
            <w:tcW w:w="992" w:type="dxa"/>
            <w:noWrap/>
          </w:tcPr>
          <w:p w14:paraId="083EF95C" w14:textId="602A290A" w:rsidR="006C78C4" w:rsidRPr="00E50B3E"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130,5</w:t>
            </w:r>
          </w:p>
        </w:tc>
        <w:tc>
          <w:tcPr>
            <w:tcW w:w="1134" w:type="dxa"/>
            <w:noWrap/>
          </w:tcPr>
          <w:p w14:paraId="72F0E408" w14:textId="4C755E77" w:rsidR="006C78C4" w:rsidRPr="00E50B3E"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50,0</w:t>
            </w:r>
          </w:p>
        </w:tc>
        <w:tc>
          <w:tcPr>
            <w:tcW w:w="1276" w:type="dxa"/>
            <w:noWrap/>
          </w:tcPr>
          <w:p w14:paraId="1E690E27" w14:textId="4DB5E268" w:rsidR="006C78C4" w:rsidRPr="00E50B3E"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524,7</w:t>
            </w:r>
          </w:p>
        </w:tc>
        <w:tc>
          <w:tcPr>
            <w:tcW w:w="851" w:type="dxa"/>
            <w:vMerge w:val="restart"/>
            <w:noWrap/>
          </w:tcPr>
          <w:p w14:paraId="3F50C2C3" w14:textId="174AC28C" w:rsidR="006C78C4" w:rsidRPr="00E50B3E" w:rsidRDefault="006C78C4" w:rsidP="006C78C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p>
        </w:tc>
      </w:tr>
      <w:tr w:rsidR="006C78C4" w:rsidRPr="00E50B3E" w14:paraId="17EEDCCE"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4C281C19" w14:textId="77777777" w:rsidR="006C78C4" w:rsidRPr="00E50B3E" w:rsidRDefault="006C78C4" w:rsidP="006C78C4">
            <w:pPr>
              <w:rPr>
                <w:rFonts w:eastAsia="Times New Roman" w:cs="Times New Roman"/>
                <w:b w:val="0"/>
                <w:bCs w:val="0"/>
                <w:color w:val="000000" w:themeColor="text1"/>
                <w:sz w:val="20"/>
                <w:szCs w:val="20"/>
                <w:lang w:eastAsia="lv-LV"/>
              </w:rPr>
            </w:pPr>
          </w:p>
        </w:tc>
        <w:tc>
          <w:tcPr>
            <w:tcW w:w="1327" w:type="dxa"/>
            <w:noWrap/>
          </w:tcPr>
          <w:p w14:paraId="39CAC572" w14:textId="2A16390C" w:rsidR="006C78C4" w:rsidRPr="00E50B3E" w:rsidRDefault="006C78C4" w:rsidP="006C78C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673A7E">
              <w:rPr>
                <w:rFonts w:eastAsia="Times New Roman" w:cs="Times New Roman"/>
                <w:color w:val="000000" w:themeColor="text1"/>
                <w:sz w:val="20"/>
                <w:szCs w:val="20"/>
                <w:lang w:eastAsia="lv-LV"/>
              </w:rPr>
              <w:t>Izpilde</w:t>
            </w:r>
          </w:p>
        </w:tc>
        <w:tc>
          <w:tcPr>
            <w:tcW w:w="913" w:type="dxa"/>
            <w:noWrap/>
          </w:tcPr>
          <w:p w14:paraId="33058281" w14:textId="31974013" w:rsidR="006C78C4" w:rsidRPr="00E50B3E"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337,7</w:t>
            </w:r>
          </w:p>
        </w:tc>
        <w:tc>
          <w:tcPr>
            <w:tcW w:w="992" w:type="dxa"/>
            <w:noWrap/>
          </w:tcPr>
          <w:p w14:paraId="756C4B67" w14:textId="1281F405" w:rsidR="006C78C4" w:rsidRPr="00E50B3E"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2722,8</w:t>
            </w:r>
          </w:p>
        </w:tc>
        <w:tc>
          <w:tcPr>
            <w:tcW w:w="992" w:type="dxa"/>
            <w:noWrap/>
          </w:tcPr>
          <w:p w14:paraId="5695A5A1" w14:textId="1E7B1280" w:rsidR="006C78C4" w:rsidRPr="00E50B3E"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Pr="00A85DE5">
              <w:rPr>
                <w:rFonts w:eastAsia="Times New Roman" w:cs="Times New Roman"/>
                <w:color w:val="000000" w:themeColor="text1"/>
                <w:sz w:val="20"/>
                <w:szCs w:val="20"/>
                <w:lang w:eastAsia="lv-LV"/>
              </w:rPr>
              <w:t>011,2</w:t>
            </w:r>
          </w:p>
        </w:tc>
        <w:tc>
          <w:tcPr>
            <w:tcW w:w="992" w:type="dxa"/>
            <w:noWrap/>
          </w:tcPr>
          <w:p w14:paraId="45FFEB07" w14:textId="72817231" w:rsidR="006C78C4" w:rsidRPr="00E50B3E"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132,1</w:t>
            </w:r>
          </w:p>
        </w:tc>
        <w:tc>
          <w:tcPr>
            <w:tcW w:w="1134" w:type="dxa"/>
            <w:noWrap/>
          </w:tcPr>
          <w:p w14:paraId="05E847B5" w14:textId="6B06BCC1" w:rsidR="006C78C4" w:rsidRPr="00E50B3E"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50,2</w:t>
            </w:r>
          </w:p>
        </w:tc>
        <w:tc>
          <w:tcPr>
            <w:tcW w:w="1276" w:type="dxa"/>
            <w:noWrap/>
          </w:tcPr>
          <w:p w14:paraId="3B13AE44" w14:textId="7C843B29" w:rsidR="006C78C4" w:rsidRPr="00E50B3E"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A85DE5">
              <w:rPr>
                <w:rFonts w:eastAsia="Times New Roman" w:cs="Times New Roman"/>
                <w:color w:val="000000" w:themeColor="text1"/>
                <w:sz w:val="20"/>
                <w:szCs w:val="20"/>
                <w:lang w:eastAsia="lv-LV"/>
              </w:rPr>
              <w:t>529,2</w:t>
            </w:r>
          </w:p>
        </w:tc>
        <w:tc>
          <w:tcPr>
            <w:tcW w:w="851" w:type="dxa"/>
            <w:vMerge/>
            <w:noWrap/>
          </w:tcPr>
          <w:p w14:paraId="7D11336D" w14:textId="32A00FF4" w:rsidR="006C78C4" w:rsidRPr="00E50B3E" w:rsidRDefault="006C78C4" w:rsidP="006C78C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p>
        </w:tc>
      </w:tr>
      <w:tr w:rsidR="006C78C4" w:rsidRPr="001054F7" w14:paraId="1171F45C"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41997638" w14:textId="77777777" w:rsidR="006C78C4" w:rsidRPr="00E50B3E" w:rsidRDefault="006C78C4" w:rsidP="006C78C4">
            <w:pPr>
              <w:shd w:val="clear" w:color="auto" w:fill="FFFFFF" w:themeFill="background1"/>
              <w:rPr>
                <w:rFonts w:eastAsia="Times New Roman" w:cs="Times New Roman"/>
                <w:b w:val="0"/>
                <w:bCs w:val="0"/>
                <w:color w:val="000000" w:themeColor="text1"/>
                <w:sz w:val="20"/>
                <w:szCs w:val="20"/>
                <w:lang w:eastAsia="lv-LV"/>
              </w:rPr>
            </w:pPr>
          </w:p>
        </w:tc>
        <w:tc>
          <w:tcPr>
            <w:tcW w:w="1327" w:type="dxa"/>
            <w:noWrap/>
          </w:tcPr>
          <w:p w14:paraId="375922B4" w14:textId="77DE8841" w:rsidR="006C78C4" w:rsidRPr="00E50B3E" w:rsidRDefault="006C78C4" w:rsidP="006C78C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673A7E">
              <w:rPr>
                <w:rFonts w:eastAsia="Times New Roman" w:cs="Times New Roman"/>
                <w:color w:val="000000" w:themeColor="text1"/>
                <w:sz w:val="20"/>
                <w:szCs w:val="20"/>
                <w:lang w:eastAsia="lv-LV"/>
              </w:rPr>
              <w:t>Novirze no plāna %</w:t>
            </w:r>
          </w:p>
        </w:tc>
        <w:tc>
          <w:tcPr>
            <w:tcW w:w="913" w:type="dxa"/>
          </w:tcPr>
          <w:p w14:paraId="71951D7E" w14:textId="2F1E2943"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-2,20%</w:t>
            </w:r>
          </w:p>
        </w:tc>
        <w:tc>
          <w:tcPr>
            <w:tcW w:w="992" w:type="dxa"/>
          </w:tcPr>
          <w:p w14:paraId="00995D45" w14:textId="3321CEBA"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-0,54%</w:t>
            </w:r>
          </w:p>
        </w:tc>
        <w:tc>
          <w:tcPr>
            <w:tcW w:w="992" w:type="dxa"/>
          </w:tcPr>
          <w:p w14:paraId="169BC229" w14:textId="330471D0"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-1,05%</w:t>
            </w:r>
          </w:p>
        </w:tc>
        <w:tc>
          <w:tcPr>
            <w:tcW w:w="992" w:type="dxa"/>
          </w:tcPr>
          <w:p w14:paraId="70746B2C" w14:textId="4C8F13E6"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1,23%</w:t>
            </w:r>
          </w:p>
        </w:tc>
        <w:tc>
          <w:tcPr>
            <w:tcW w:w="1134" w:type="dxa"/>
          </w:tcPr>
          <w:p w14:paraId="3D4058E1" w14:textId="27FB4881"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0,40%</w:t>
            </w:r>
          </w:p>
        </w:tc>
        <w:tc>
          <w:tcPr>
            <w:tcW w:w="1276" w:type="dxa"/>
          </w:tcPr>
          <w:p w14:paraId="689E8288" w14:textId="6E19508E"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0,86%</w:t>
            </w:r>
          </w:p>
        </w:tc>
        <w:tc>
          <w:tcPr>
            <w:tcW w:w="851" w:type="dxa"/>
          </w:tcPr>
          <w:p w14:paraId="24029099" w14:textId="5C3453AA" w:rsidR="006C78C4" w:rsidRPr="00E50B3E" w:rsidRDefault="006C78C4" w:rsidP="006C78C4">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0"/>
                <w:szCs w:val="20"/>
                <w:lang w:eastAsia="lv-LV"/>
              </w:rPr>
            </w:pPr>
            <w:r w:rsidRPr="00673A7E">
              <w:rPr>
                <w:rFonts w:cs="Times New Roman"/>
                <w:i/>
                <w:iCs/>
                <w:color w:val="000000"/>
                <w:sz w:val="20"/>
                <w:szCs w:val="20"/>
              </w:rPr>
              <w:t>-0,64%</w:t>
            </w:r>
          </w:p>
        </w:tc>
      </w:tr>
      <w:tr w:rsidR="006C78C4" w:rsidRPr="001054F7" w14:paraId="3E9081E4"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val="restart"/>
            <w:noWrap/>
          </w:tcPr>
          <w:p w14:paraId="0A38D6CF" w14:textId="5E7A992B" w:rsidR="006C78C4" w:rsidRPr="00673A7E" w:rsidRDefault="006C78C4" w:rsidP="006C78C4">
            <w:pPr>
              <w:jc w:val="center"/>
              <w:rPr>
                <w:rFonts w:eastAsia="Times New Roman" w:cs="Times New Roman"/>
                <w:b w:val="0"/>
                <w:bCs w:val="0"/>
                <w:color w:val="000000" w:themeColor="text1"/>
                <w:sz w:val="20"/>
                <w:szCs w:val="20"/>
                <w:lang w:eastAsia="lv-LV"/>
              </w:rPr>
            </w:pPr>
            <w:r>
              <w:rPr>
                <w:rFonts w:eastAsia="Times New Roman" w:cs="Times New Roman"/>
                <w:b w:val="0"/>
                <w:bCs w:val="0"/>
                <w:color w:val="000000" w:themeColor="text1"/>
                <w:sz w:val="20"/>
                <w:szCs w:val="20"/>
                <w:lang w:eastAsia="lv-LV"/>
              </w:rPr>
              <w:t>2020</w:t>
            </w:r>
          </w:p>
        </w:tc>
        <w:tc>
          <w:tcPr>
            <w:tcW w:w="1327" w:type="dxa"/>
            <w:noWrap/>
          </w:tcPr>
          <w:p w14:paraId="4195824A" w14:textId="25E18765" w:rsidR="006C78C4" w:rsidRPr="00673A7E" w:rsidRDefault="006C78C4" w:rsidP="006C78C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673A7E">
              <w:rPr>
                <w:rFonts w:eastAsia="Times New Roman" w:cs="Times New Roman"/>
                <w:color w:val="000000" w:themeColor="text1"/>
                <w:sz w:val="20"/>
                <w:szCs w:val="20"/>
                <w:lang w:eastAsia="lv-LV"/>
              </w:rPr>
              <w:t>Plāns</w:t>
            </w:r>
            <w:r w:rsidRPr="00BB69DC">
              <w:rPr>
                <w:color w:val="000000" w:themeColor="text1"/>
                <w:lang w:eastAsia="lv-LV"/>
              </w:rPr>
              <w:t>**</w:t>
            </w:r>
          </w:p>
        </w:tc>
        <w:tc>
          <w:tcPr>
            <w:tcW w:w="913" w:type="dxa"/>
            <w:noWrap/>
          </w:tcPr>
          <w:p w14:paraId="1FB4287A" w14:textId="5813FB51" w:rsidR="006C78C4" w:rsidRPr="00A85DE5"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355,2</w:t>
            </w:r>
          </w:p>
        </w:tc>
        <w:tc>
          <w:tcPr>
            <w:tcW w:w="992" w:type="dxa"/>
            <w:noWrap/>
          </w:tcPr>
          <w:p w14:paraId="5D8190C2" w14:textId="56C0727A" w:rsidR="006C78C4" w:rsidRPr="00A85DE5" w:rsidRDefault="00FD0365"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006C78C4" w:rsidRPr="00BB69DC">
              <w:rPr>
                <w:rFonts w:eastAsia="Times New Roman" w:cs="Times New Roman"/>
                <w:color w:val="000000" w:themeColor="text1"/>
                <w:sz w:val="20"/>
                <w:szCs w:val="20"/>
                <w:lang w:eastAsia="lv-LV"/>
              </w:rPr>
              <w:t>946,7</w:t>
            </w:r>
          </w:p>
        </w:tc>
        <w:tc>
          <w:tcPr>
            <w:tcW w:w="992" w:type="dxa"/>
            <w:noWrap/>
          </w:tcPr>
          <w:p w14:paraId="4E9B4468" w14:textId="544D0B95" w:rsidR="006C78C4" w:rsidRPr="00A85DE5" w:rsidRDefault="00FD0365"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006C78C4" w:rsidRPr="00BB69DC">
              <w:rPr>
                <w:rFonts w:eastAsia="Times New Roman" w:cs="Times New Roman"/>
                <w:color w:val="000000" w:themeColor="text1"/>
                <w:sz w:val="20"/>
                <w:szCs w:val="20"/>
                <w:lang w:eastAsia="lv-LV"/>
              </w:rPr>
              <w:t>192,4</w:t>
            </w:r>
          </w:p>
        </w:tc>
        <w:tc>
          <w:tcPr>
            <w:tcW w:w="992" w:type="dxa"/>
            <w:noWrap/>
          </w:tcPr>
          <w:p w14:paraId="359C3322" w14:textId="2AC2342A" w:rsidR="006C78C4" w:rsidRPr="00A85DE5"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124,5</w:t>
            </w:r>
          </w:p>
        </w:tc>
        <w:tc>
          <w:tcPr>
            <w:tcW w:w="1134" w:type="dxa"/>
            <w:noWrap/>
          </w:tcPr>
          <w:p w14:paraId="446261AA" w14:textId="7757EB59" w:rsidR="006C78C4" w:rsidRPr="00A85DE5"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56,6</w:t>
            </w:r>
          </w:p>
        </w:tc>
        <w:tc>
          <w:tcPr>
            <w:tcW w:w="1276" w:type="dxa"/>
            <w:noWrap/>
          </w:tcPr>
          <w:p w14:paraId="0D498716" w14:textId="02ECA91A" w:rsidR="006C78C4" w:rsidRPr="00A85DE5"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573,3</w:t>
            </w:r>
          </w:p>
        </w:tc>
        <w:tc>
          <w:tcPr>
            <w:tcW w:w="851" w:type="dxa"/>
            <w:vMerge w:val="restart"/>
            <w:noWrap/>
          </w:tcPr>
          <w:p w14:paraId="58CFFFAD" w14:textId="560F71E4" w:rsidR="006C78C4" w:rsidRPr="001054F7" w:rsidRDefault="006C78C4" w:rsidP="006C78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highlight w:val="yellow"/>
                <w:lang w:eastAsia="lv-LV"/>
              </w:rPr>
            </w:pPr>
          </w:p>
        </w:tc>
      </w:tr>
      <w:tr w:rsidR="006C78C4" w:rsidRPr="001054F7" w14:paraId="6D31EEC9" w14:textId="77777777" w:rsidTr="00BB69DC">
        <w:trPr>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48D3CCD6" w14:textId="77777777" w:rsidR="006C78C4" w:rsidRPr="00673A7E" w:rsidRDefault="006C78C4" w:rsidP="006C78C4">
            <w:pPr>
              <w:rPr>
                <w:rFonts w:eastAsia="Times New Roman" w:cs="Times New Roman"/>
                <w:b w:val="0"/>
                <w:bCs w:val="0"/>
                <w:color w:val="000000" w:themeColor="text1"/>
                <w:sz w:val="20"/>
                <w:szCs w:val="20"/>
                <w:lang w:eastAsia="lv-LV"/>
              </w:rPr>
            </w:pPr>
          </w:p>
        </w:tc>
        <w:tc>
          <w:tcPr>
            <w:tcW w:w="1327" w:type="dxa"/>
            <w:noWrap/>
          </w:tcPr>
          <w:p w14:paraId="006612C0" w14:textId="4C1FEFFC" w:rsidR="006C78C4" w:rsidRPr="00673A7E" w:rsidRDefault="006C78C4" w:rsidP="006C78C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673A7E">
              <w:rPr>
                <w:rFonts w:eastAsia="Times New Roman" w:cs="Times New Roman"/>
                <w:color w:val="000000" w:themeColor="text1"/>
                <w:sz w:val="20"/>
                <w:szCs w:val="20"/>
                <w:lang w:eastAsia="lv-LV"/>
              </w:rPr>
              <w:t>Izpilde</w:t>
            </w:r>
          </w:p>
        </w:tc>
        <w:tc>
          <w:tcPr>
            <w:tcW w:w="913" w:type="dxa"/>
            <w:noWrap/>
          </w:tcPr>
          <w:p w14:paraId="66E9FD87" w14:textId="00467078" w:rsidR="006C78C4" w:rsidRPr="00A85DE5"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382,9</w:t>
            </w:r>
          </w:p>
        </w:tc>
        <w:tc>
          <w:tcPr>
            <w:tcW w:w="992" w:type="dxa"/>
            <w:noWrap/>
          </w:tcPr>
          <w:p w14:paraId="39B02393" w14:textId="48B1C3CB" w:rsidR="006C78C4" w:rsidRPr="00A85DE5" w:rsidRDefault="00FD0365"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006C78C4" w:rsidRPr="00BB69DC">
              <w:rPr>
                <w:rFonts w:eastAsia="Times New Roman" w:cs="Times New Roman"/>
                <w:color w:val="000000" w:themeColor="text1"/>
                <w:sz w:val="20"/>
                <w:szCs w:val="20"/>
                <w:lang w:eastAsia="lv-LV"/>
              </w:rPr>
              <w:t>962,5***</w:t>
            </w:r>
          </w:p>
        </w:tc>
        <w:tc>
          <w:tcPr>
            <w:tcW w:w="992" w:type="dxa"/>
            <w:noWrap/>
          </w:tcPr>
          <w:p w14:paraId="3551861C" w14:textId="343AD150" w:rsidR="006C78C4" w:rsidRPr="00A85DE5" w:rsidRDefault="00FD0365"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Pr>
                <w:rFonts w:eastAsia="Times New Roman" w:cs="Times New Roman"/>
                <w:color w:val="000000" w:themeColor="text1"/>
                <w:sz w:val="20"/>
                <w:szCs w:val="20"/>
                <w:lang w:eastAsia="lv-LV"/>
              </w:rPr>
              <w:t>2</w:t>
            </w:r>
            <w:r w:rsidR="006C78C4" w:rsidRPr="00BB69DC">
              <w:rPr>
                <w:rFonts w:eastAsia="Times New Roman" w:cs="Times New Roman"/>
                <w:color w:val="000000" w:themeColor="text1"/>
                <w:sz w:val="20"/>
                <w:szCs w:val="20"/>
                <w:lang w:eastAsia="lv-LV"/>
              </w:rPr>
              <w:t>158,6</w:t>
            </w:r>
          </w:p>
        </w:tc>
        <w:tc>
          <w:tcPr>
            <w:tcW w:w="992" w:type="dxa"/>
            <w:noWrap/>
          </w:tcPr>
          <w:p w14:paraId="1392B37F" w14:textId="4F7CA8DA" w:rsidR="006C78C4" w:rsidRPr="00A85DE5"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155,3</w:t>
            </w:r>
          </w:p>
        </w:tc>
        <w:tc>
          <w:tcPr>
            <w:tcW w:w="1134" w:type="dxa"/>
            <w:noWrap/>
          </w:tcPr>
          <w:p w14:paraId="7DFCC202" w14:textId="7C669546" w:rsidR="006C78C4" w:rsidRPr="00A85DE5"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57,4</w:t>
            </w:r>
          </w:p>
        </w:tc>
        <w:tc>
          <w:tcPr>
            <w:tcW w:w="1276" w:type="dxa"/>
            <w:noWrap/>
          </w:tcPr>
          <w:p w14:paraId="64ABD3BD" w14:textId="067995B8" w:rsidR="006C78C4" w:rsidRPr="00A85DE5" w:rsidRDefault="006C78C4" w:rsidP="006C78C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lv-LV"/>
              </w:rPr>
            </w:pPr>
            <w:r w:rsidRPr="00BB69DC">
              <w:rPr>
                <w:rFonts w:eastAsia="Times New Roman" w:cs="Times New Roman"/>
                <w:color w:val="000000" w:themeColor="text1"/>
                <w:sz w:val="20"/>
                <w:szCs w:val="20"/>
                <w:lang w:eastAsia="lv-LV"/>
              </w:rPr>
              <w:t>591,2</w:t>
            </w:r>
          </w:p>
        </w:tc>
        <w:tc>
          <w:tcPr>
            <w:tcW w:w="851" w:type="dxa"/>
            <w:vMerge/>
          </w:tcPr>
          <w:p w14:paraId="2EE6F42B" w14:textId="77777777" w:rsidR="006C78C4" w:rsidRPr="001054F7" w:rsidRDefault="006C78C4" w:rsidP="006C78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highlight w:val="yellow"/>
                <w:lang w:eastAsia="lv-LV"/>
              </w:rPr>
            </w:pPr>
          </w:p>
        </w:tc>
      </w:tr>
      <w:tr w:rsidR="006C78C4" w:rsidRPr="001054F7" w14:paraId="4C0D28D9" w14:textId="77777777" w:rsidTr="00BB69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6" w:type="dxa"/>
            <w:vMerge/>
          </w:tcPr>
          <w:p w14:paraId="2FA274B4" w14:textId="77777777" w:rsidR="006C78C4" w:rsidRPr="00673A7E" w:rsidRDefault="006C78C4" w:rsidP="006C78C4">
            <w:pPr>
              <w:rPr>
                <w:rFonts w:eastAsia="Times New Roman" w:cs="Times New Roman"/>
                <w:b w:val="0"/>
                <w:bCs w:val="0"/>
                <w:color w:val="000000" w:themeColor="text1"/>
                <w:sz w:val="20"/>
                <w:szCs w:val="20"/>
                <w:lang w:eastAsia="lv-LV"/>
              </w:rPr>
            </w:pPr>
          </w:p>
        </w:tc>
        <w:tc>
          <w:tcPr>
            <w:tcW w:w="1327" w:type="dxa"/>
            <w:noWrap/>
          </w:tcPr>
          <w:p w14:paraId="0663F596" w14:textId="01716DEB" w:rsidR="006C78C4" w:rsidRPr="00673A7E" w:rsidRDefault="006C78C4" w:rsidP="006C78C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lv-LV"/>
              </w:rPr>
            </w:pPr>
            <w:r w:rsidRPr="00673A7E">
              <w:rPr>
                <w:rFonts w:eastAsia="Times New Roman" w:cs="Times New Roman"/>
                <w:color w:val="000000" w:themeColor="text1"/>
                <w:sz w:val="20"/>
                <w:szCs w:val="20"/>
                <w:lang w:eastAsia="lv-LV"/>
              </w:rPr>
              <w:t>Novirze no plāna %</w:t>
            </w:r>
          </w:p>
        </w:tc>
        <w:tc>
          <w:tcPr>
            <w:tcW w:w="913" w:type="dxa"/>
          </w:tcPr>
          <w:p w14:paraId="43D126F3" w14:textId="77927B14" w:rsidR="006C78C4" w:rsidRPr="00BB69DC"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BB69DC">
              <w:rPr>
                <w:rFonts w:eastAsia="Times New Roman" w:cs="Times New Roman"/>
                <w:i/>
                <w:iCs/>
                <w:color w:val="000000" w:themeColor="text1"/>
                <w:sz w:val="20"/>
                <w:szCs w:val="20"/>
                <w:lang w:eastAsia="lv-LV"/>
              </w:rPr>
              <w:t>7,8%</w:t>
            </w:r>
          </w:p>
        </w:tc>
        <w:tc>
          <w:tcPr>
            <w:tcW w:w="992" w:type="dxa"/>
          </w:tcPr>
          <w:p w14:paraId="49D01F9A" w14:textId="49889CA3" w:rsidR="006C78C4" w:rsidRPr="00BB69DC"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BB69DC">
              <w:rPr>
                <w:rFonts w:eastAsia="Times New Roman" w:cs="Times New Roman"/>
                <w:i/>
                <w:iCs/>
                <w:color w:val="000000" w:themeColor="text1"/>
                <w:sz w:val="20"/>
                <w:szCs w:val="20"/>
                <w:lang w:eastAsia="lv-LV"/>
              </w:rPr>
              <w:t>0,5%</w:t>
            </w:r>
          </w:p>
        </w:tc>
        <w:tc>
          <w:tcPr>
            <w:tcW w:w="992" w:type="dxa"/>
          </w:tcPr>
          <w:p w14:paraId="5059434A" w14:textId="18EDEDA9" w:rsidR="006C78C4" w:rsidRPr="00BB69DC" w:rsidRDefault="00FD0365"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Pr>
                <w:rFonts w:eastAsia="Times New Roman" w:cs="Times New Roman"/>
                <w:i/>
                <w:iCs/>
                <w:color w:val="000000" w:themeColor="text1"/>
                <w:sz w:val="20"/>
                <w:szCs w:val="20"/>
                <w:lang w:eastAsia="lv-LV"/>
              </w:rPr>
              <w:t>-1,5</w:t>
            </w:r>
            <w:r w:rsidR="006C78C4" w:rsidRPr="00BB69DC">
              <w:rPr>
                <w:rFonts w:eastAsia="Times New Roman" w:cs="Times New Roman"/>
                <w:i/>
                <w:iCs/>
                <w:color w:val="000000" w:themeColor="text1"/>
                <w:sz w:val="20"/>
                <w:szCs w:val="20"/>
                <w:lang w:eastAsia="lv-LV"/>
              </w:rPr>
              <w:t>%</w:t>
            </w:r>
          </w:p>
        </w:tc>
        <w:tc>
          <w:tcPr>
            <w:tcW w:w="992" w:type="dxa"/>
          </w:tcPr>
          <w:p w14:paraId="0B7760C0" w14:textId="7AC33B11" w:rsidR="006C78C4" w:rsidRPr="00BB69DC"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BB69DC">
              <w:rPr>
                <w:rFonts w:eastAsia="Times New Roman" w:cs="Times New Roman"/>
                <w:i/>
                <w:iCs/>
                <w:color w:val="000000" w:themeColor="text1"/>
                <w:sz w:val="20"/>
                <w:szCs w:val="20"/>
                <w:lang w:eastAsia="lv-LV"/>
              </w:rPr>
              <w:t>24,8%</w:t>
            </w:r>
          </w:p>
        </w:tc>
        <w:tc>
          <w:tcPr>
            <w:tcW w:w="1134" w:type="dxa"/>
          </w:tcPr>
          <w:p w14:paraId="7DC76AAE" w14:textId="2EBDF0BD" w:rsidR="006C78C4" w:rsidRPr="00BB69DC"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BB69DC">
              <w:rPr>
                <w:rFonts w:eastAsia="Times New Roman" w:cs="Times New Roman"/>
                <w:i/>
                <w:iCs/>
                <w:color w:val="000000" w:themeColor="text1"/>
                <w:sz w:val="20"/>
                <w:szCs w:val="20"/>
                <w:lang w:eastAsia="lv-LV"/>
              </w:rPr>
              <w:t>1,4%</w:t>
            </w:r>
          </w:p>
        </w:tc>
        <w:tc>
          <w:tcPr>
            <w:tcW w:w="1276" w:type="dxa"/>
          </w:tcPr>
          <w:p w14:paraId="6654999B" w14:textId="47C95C59" w:rsidR="006C78C4" w:rsidRPr="00BB69DC" w:rsidRDefault="006C78C4"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sidRPr="00BB69DC">
              <w:rPr>
                <w:rFonts w:eastAsia="Times New Roman" w:cs="Times New Roman"/>
                <w:i/>
                <w:iCs/>
                <w:color w:val="000000" w:themeColor="text1"/>
                <w:sz w:val="20"/>
                <w:szCs w:val="20"/>
                <w:lang w:eastAsia="lv-LV"/>
              </w:rPr>
              <w:t>3,1%</w:t>
            </w:r>
          </w:p>
        </w:tc>
        <w:tc>
          <w:tcPr>
            <w:tcW w:w="851" w:type="dxa"/>
            <w:noWrap/>
          </w:tcPr>
          <w:p w14:paraId="5695CE03" w14:textId="12E8AC6F" w:rsidR="006C78C4" w:rsidRPr="00BB69DC" w:rsidRDefault="00FD0365" w:rsidP="006C78C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0"/>
                <w:szCs w:val="20"/>
                <w:lang w:eastAsia="lv-LV"/>
              </w:rPr>
            </w:pPr>
            <w:r>
              <w:rPr>
                <w:rFonts w:eastAsia="Times New Roman" w:cs="Times New Roman"/>
                <w:i/>
                <w:iCs/>
                <w:color w:val="000000" w:themeColor="text1"/>
                <w:sz w:val="20"/>
                <w:szCs w:val="20"/>
                <w:lang w:eastAsia="lv-LV"/>
              </w:rPr>
              <w:t>0,95%</w:t>
            </w:r>
          </w:p>
        </w:tc>
      </w:tr>
    </w:tbl>
    <w:p w14:paraId="2CB4CC94" w14:textId="032BD999" w:rsidR="00A85DE5" w:rsidRPr="00A85DE5" w:rsidRDefault="00A85DE5" w:rsidP="00A85DE5">
      <w:pPr>
        <w:pStyle w:val="BodyText"/>
        <w:spacing w:after="0"/>
        <w:jc w:val="both"/>
        <w:rPr>
          <w:rFonts w:ascii="Times New Roman" w:hAnsi="Times New Roman" w:cs="Times New Roman"/>
          <w:bCs/>
          <w:i/>
          <w:lang w:eastAsia="lv-LV"/>
        </w:rPr>
      </w:pPr>
      <w:r w:rsidRPr="00A85DE5">
        <w:rPr>
          <w:rFonts w:ascii="Times New Roman" w:hAnsi="Times New Roman" w:cs="Times New Roman"/>
          <w:bCs/>
          <w:i/>
          <w:lang w:eastAsia="lv-LV"/>
        </w:rPr>
        <w:t xml:space="preserve">* </w:t>
      </w:r>
      <w:r w:rsidR="00CA7612">
        <w:rPr>
          <w:rFonts w:ascii="Times New Roman" w:hAnsi="Times New Roman" w:cs="Times New Roman"/>
          <w:bCs/>
          <w:i/>
          <w:lang w:eastAsia="lv-LV"/>
        </w:rPr>
        <w:t>LM</w:t>
      </w:r>
      <w:r w:rsidRPr="00A85DE5">
        <w:rPr>
          <w:rFonts w:ascii="Times New Roman" w:hAnsi="Times New Roman" w:cs="Times New Roman"/>
          <w:bCs/>
          <w:i/>
          <w:lang w:eastAsia="lv-LV"/>
        </w:rPr>
        <w:t xml:space="preserve"> pamatbudžeta izdevumi sociālajiem pabalstiem (EKK 6000)</w:t>
      </w:r>
    </w:p>
    <w:p w14:paraId="2F191AD7" w14:textId="444769B2" w:rsidR="00A85DE5" w:rsidRPr="00A85DE5" w:rsidRDefault="00A85DE5" w:rsidP="00A85DE5">
      <w:pPr>
        <w:pStyle w:val="BodyText"/>
        <w:spacing w:after="0"/>
        <w:jc w:val="both"/>
        <w:rPr>
          <w:rFonts w:ascii="Times New Roman" w:hAnsi="Times New Roman" w:cs="Times New Roman"/>
          <w:bCs/>
          <w:i/>
          <w:lang w:eastAsia="lv-LV"/>
        </w:rPr>
      </w:pPr>
      <w:r w:rsidRPr="00A85DE5">
        <w:rPr>
          <w:rFonts w:ascii="Times New Roman" w:hAnsi="Times New Roman" w:cs="Times New Roman"/>
          <w:bCs/>
          <w:i/>
          <w:lang w:eastAsia="lv-LV"/>
        </w:rPr>
        <w:t>**saskaņā ar likumu „Par valsts budžetu 20</w:t>
      </w:r>
      <w:r w:rsidR="00A72DF5">
        <w:rPr>
          <w:rFonts w:ascii="Times New Roman" w:hAnsi="Times New Roman" w:cs="Times New Roman"/>
          <w:bCs/>
          <w:i/>
          <w:lang w:eastAsia="lv-LV"/>
        </w:rPr>
        <w:t>20</w:t>
      </w:r>
      <w:r w:rsidRPr="00A85DE5">
        <w:rPr>
          <w:rFonts w:ascii="Times New Roman" w:hAnsi="Times New Roman" w:cs="Times New Roman"/>
          <w:bCs/>
          <w:i/>
          <w:lang w:eastAsia="lv-LV"/>
        </w:rPr>
        <w:t>.gadam”, bez veiktajām izmaiņām ar FM rīkojumiem</w:t>
      </w:r>
    </w:p>
    <w:p w14:paraId="7127721C" w14:textId="02AEA477" w:rsidR="00A85DE5" w:rsidRPr="00A85DE5" w:rsidRDefault="00A85DE5" w:rsidP="00A85DE5">
      <w:pPr>
        <w:pStyle w:val="BodyText"/>
        <w:spacing w:after="0"/>
        <w:jc w:val="both"/>
        <w:rPr>
          <w:rFonts w:ascii="Times New Roman" w:hAnsi="Times New Roman" w:cs="Times New Roman"/>
          <w:bCs/>
          <w:i/>
          <w:lang w:eastAsia="lv-LV"/>
        </w:rPr>
      </w:pPr>
      <w:r w:rsidRPr="00A85DE5">
        <w:rPr>
          <w:rFonts w:ascii="Times New Roman" w:hAnsi="Times New Roman" w:cs="Times New Roman"/>
          <w:bCs/>
          <w:i/>
          <w:lang w:eastAsia="lv-LV"/>
        </w:rPr>
        <w:t>***t.sk. 3,</w:t>
      </w:r>
      <w:r w:rsidR="00A72DF5">
        <w:rPr>
          <w:rFonts w:ascii="Times New Roman" w:hAnsi="Times New Roman" w:cs="Times New Roman"/>
          <w:bCs/>
          <w:i/>
          <w:lang w:eastAsia="lv-LV"/>
        </w:rPr>
        <w:t>0</w:t>
      </w:r>
      <w:r w:rsidRPr="00A85DE5">
        <w:rPr>
          <w:rFonts w:ascii="Times New Roman" w:hAnsi="Times New Roman" w:cs="Times New Roman"/>
          <w:bCs/>
          <w:i/>
          <w:lang w:eastAsia="lv-LV"/>
        </w:rPr>
        <w:t xml:space="preserve"> tūkst.</w:t>
      </w:r>
      <w:r w:rsidR="00D60390">
        <w:rPr>
          <w:rFonts w:ascii="Times New Roman" w:hAnsi="Times New Roman" w:cs="Times New Roman"/>
          <w:bCs/>
          <w:i/>
          <w:lang w:eastAsia="lv-LV"/>
        </w:rPr>
        <w:t xml:space="preserve"> </w:t>
      </w:r>
      <w:r w:rsidRPr="00A85DE5">
        <w:rPr>
          <w:rFonts w:ascii="Times New Roman" w:hAnsi="Times New Roman" w:cs="Times New Roman"/>
          <w:bCs/>
          <w:i/>
          <w:lang w:eastAsia="lv-LV"/>
        </w:rPr>
        <w:t>euro no apakšprogrammas 04.05.00 “Valsts sociālās apdrošināšanas aģentūras speciālais budžets”</w:t>
      </w:r>
    </w:p>
    <w:p w14:paraId="19212CD7" w14:textId="5F5160B3" w:rsidR="0019574C" w:rsidRPr="00265D29" w:rsidRDefault="0019574C" w:rsidP="00F421A7">
      <w:pPr>
        <w:shd w:val="clear" w:color="auto" w:fill="FFFFFF" w:themeFill="background1"/>
        <w:spacing w:after="0" w:line="240" w:lineRule="auto"/>
        <w:ind w:firstLine="720"/>
        <w:jc w:val="both"/>
        <w:rPr>
          <w:rFonts w:ascii="Times New Roman" w:eastAsiaTheme="minorHAnsi" w:hAnsi="Times New Roman" w:cs="Times New Roman"/>
          <w:sz w:val="24"/>
          <w:szCs w:val="20"/>
        </w:rPr>
      </w:pPr>
    </w:p>
    <w:p w14:paraId="4A3B2415" w14:textId="27BD0409" w:rsidR="00103398" w:rsidRPr="00214D26" w:rsidRDefault="00BE661F" w:rsidP="00BB69DC">
      <w:pPr>
        <w:spacing w:after="0"/>
        <w:ind w:firstLine="709"/>
        <w:jc w:val="both"/>
        <w:rPr>
          <w:rFonts w:ascii="Times New Roman" w:hAnsi="Times New Roman" w:cs="Times New Roman"/>
          <w:sz w:val="24"/>
          <w:szCs w:val="24"/>
          <w:lang w:eastAsia="lv-LV"/>
        </w:rPr>
      </w:pPr>
      <w:r w:rsidRPr="00BB69DC">
        <w:rPr>
          <w:rFonts w:ascii="Times New Roman" w:hAnsi="Times New Roman" w:cs="Times New Roman"/>
          <w:sz w:val="24"/>
          <w:szCs w:val="24"/>
          <w:lang w:eastAsia="lv-LV"/>
        </w:rPr>
        <w:t xml:space="preserve">Salīdzinot likumā „Par valsts budžetu 2021.gadam” plānoto apmēru valsts speciālajā budžetā sociāla rakstura maksājumiem un kompensācijām ar prognozētajiem izdevumiem, kopumā valsts speciālajā budžetā kopā tiek prognozēts izdevumu pārsniegums pār plānoto apmēru sasniedzot 68,7 milj. </w:t>
      </w:r>
      <w:r w:rsidRPr="00BB69DC">
        <w:rPr>
          <w:rFonts w:ascii="Times New Roman" w:hAnsi="Times New Roman" w:cs="Times New Roman"/>
          <w:i/>
          <w:sz w:val="24"/>
          <w:szCs w:val="24"/>
          <w:lang w:eastAsia="lv-LV"/>
        </w:rPr>
        <w:t xml:space="preserve">euro </w:t>
      </w:r>
      <w:r w:rsidRPr="00BB69DC">
        <w:rPr>
          <w:rFonts w:ascii="Times New Roman" w:hAnsi="Times New Roman" w:cs="Times New Roman"/>
          <w:sz w:val="24"/>
          <w:szCs w:val="24"/>
          <w:lang w:eastAsia="lv-LV"/>
        </w:rPr>
        <w:t>lielu risku, tajā skaitā</w:t>
      </w:r>
      <w:r w:rsidR="00103398" w:rsidRPr="00214D26">
        <w:rPr>
          <w:rFonts w:ascii="Times New Roman" w:hAnsi="Times New Roman" w:cs="Times New Roman"/>
          <w:sz w:val="24"/>
          <w:szCs w:val="24"/>
          <w:lang w:eastAsia="lv-LV"/>
        </w:rPr>
        <w:t xml:space="preserve">: </w:t>
      </w:r>
    </w:p>
    <w:p w14:paraId="57A98181" w14:textId="0766C5DC" w:rsidR="00E96373" w:rsidRPr="00BB69DC" w:rsidRDefault="00E96373" w:rsidP="00103398">
      <w:pPr>
        <w:pStyle w:val="ListParagraph"/>
        <w:numPr>
          <w:ilvl w:val="0"/>
          <w:numId w:val="38"/>
        </w:numPr>
        <w:rPr>
          <w:rFonts w:ascii="Times New Roman" w:hAnsi="Times New Roman"/>
          <w:sz w:val="24"/>
          <w:szCs w:val="24"/>
          <w:lang w:eastAsia="lv-LV"/>
        </w:rPr>
      </w:pPr>
      <w:r w:rsidRPr="00BB69DC">
        <w:rPr>
          <w:rFonts w:ascii="Times New Roman" w:hAnsi="Times New Roman"/>
          <w:sz w:val="24"/>
          <w:szCs w:val="24"/>
          <w:lang w:eastAsia="lv-LV"/>
        </w:rPr>
        <w:t xml:space="preserve">apakšprogrammā 04.01.00 “Valsts pensiju speciālais budžets” 29,4 milj. </w:t>
      </w:r>
      <w:r w:rsidRPr="00BB69DC">
        <w:rPr>
          <w:rFonts w:ascii="Times New Roman" w:hAnsi="Times New Roman"/>
          <w:i/>
          <w:sz w:val="24"/>
          <w:szCs w:val="24"/>
          <w:lang w:eastAsia="lv-LV"/>
        </w:rPr>
        <w:t>euro</w:t>
      </w:r>
      <w:r w:rsidRPr="00BB69DC">
        <w:rPr>
          <w:rFonts w:ascii="Times New Roman" w:hAnsi="Times New Roman"/>
          <w:sz w:val="24"/>
          <w:szCs w:val="24"/>
          <w:lang w:eastAsia="lv-LV"/>
        </w:rPr>
        <w:t xml:space="preserve"> apmērā, kas galvenokārt saistīts ar izdevumu vecuma pensijām prognozēto palielinājumu;</w:t>
      </w:r>
    </w:p>
    <w:p w14:paraId="3C60F9E6" w14:textId="2264C4BB" w:rsidR="00103398" w:rsidRPr="00E759DC" w:rsidRDefault="00E96373" w:rsidP="00103398">
      <w:pPr>
        <w:pStyle w:val="ListParagraph"/>
        <w:numPr>
          <w:ilvl w:val="0"/>
          <w:numId w:val="38"/>
        </w:numPr>
        <w:rPr>
          <w:rFonts w:ascii="Times New Roman" w:hAnsi="Times New Roman"/>
          <w:sz w:val="24"/>
          <w:szCs w:val="24"/>
          <w:lang w:eastAsia="lv-LV"/>
        </w:rPr>
      </w:pPr>
      <w:r w:rsidRPr="00BB69DC">
        <w:rPr>
          <w:rFonts w:ascii="Times New Roman" w:hAnsi="Times New Roman"/>
          <w:sz w:val="24"/>
          <w:szCs w:val="24"/>
          <w:lang w:eastAsia="lv-LV"/>
        </w:rPr>
        <w:t xml:space="preserve">apakšprogrammā 04.04.00 “Invaliditātes, maternitātes un slimības speciālais budžets” 42,3 milj. </w:t>
      </w:r>
      <w:r w:rsidRPr="00BB69DC">
        <w:rPr>
          <w:rFonts w:ascii="Times New Roman" w:hAnsi="Times New Roman"/>
          <w:i/>
          <w:sz w:val="24"/>
          <w:szCs w:val="24"/>
          <w:lang w:eastAsia="lv-LV"/>
        </w:rPr>
        <w:t>euro</w:t>
      </w:r>
      <w:r w:rsidRPr="00BB69DC">
        <w:rPr>
          <w:rFonts w:ascii="Times New Roman" w:hAnsi="Times New Roman"/>
          <w:sz w:val="24"/>
          <w:szCs w:val="24"/>
          <w:lang w:eastAsia="lv-LV"/>
        </w:rPr>
        <w:t>, kas galvenokārt saistīts ar izdevumu pieaugumu slimības pabalstiem.</w:t>
      </w:r>
      <w:r w:rsidRPr="00E96373" w:rsidDel="00E96373">
        <w:rPr>
          <w:rFonts w:ascii="Times New Roman" w:hAnsi="Times New Roman"/>
          <w:sz w:val="24"/>
          <w:szCs w:val="24"/>
          <w:lang w:eastAsia="lv-LV"/>
        </w:rPr>
        <w:t xml:space="preserve"> </w:t>
      </w:r>
    </w:p>
    <w:p w14:paraId="4E7C9957" w14:textId="77777777" w:rsidR="002A15FA" w:rsidRPr="00D75116" w:rsidRDefault="002A15FA" w:rsidP="00BB69DC">
      <w:pPr>
        <w:spacing w:before="120"/>
        <w:ind w:left="709"/>
        <w:rPr>
          <w:lang w:eastAsia="lv-LV"/>
        </w:rPr>
      </w:pPr>
      <w:r w:rsidRPr="00BB69DC">
        <w:rPr>
          <w:rFonts w:ascii="Times New Roman" w:hAnsi="Times New Roman"/>
          <w:sz w:val="24"/>
          <w:szCs w:val="24"/>
          <w:lang w:eastAsia="lv-LV"/>
        </w:rPr>
        <w:t>Ņemot vērā šos datus, šajā deklarācijā risks tiek uzskatīts par simetrisku.</w:t>
      </w:r>
    </w:p>
    <w:p w14:paraId="28A5D78F" w14:textId="75C90E90" w:rsidR="00D17446" w:rsidRDefault="00D17446" w:rsidP="00D75116">
      <w:pPr>
        <w:pStyle w:val="ListParagraph"/>
        <w:ind w:left="0" w:firstLine="709"/>
        <w:rPr>
          <w:rFonts w:ascii="Times New Roman" w:hAnsi="Times New Roman"/>
        </w:rPr>
      </w:pPr>
    </w:p>
    <w:p w14:paraId="7AFD72E4" w14:textId="77777777" w:rsidR="00822D84" w:rsidRPr="006848B0" w:rsidRDefault="00822D84" w:rsidP="009A521C">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29" w:name="_Toc405371079"/>
      <w:bookmarkStart w:id="30" w:name="_Toc536779064"/>
      <w:bookmarkStart w:id="31" w:name="_Toc80111854"/>
      <w:r w:rsidRPr="006848B0">
        <w:rPr>
          <w:rFonts w:ascii="Times New Roman" w:hAnsi="Times New Roman" w:cs="Times New Roman"/>
          <w:color w:val="auto"/>
          <w:sz w:val="24"/>
          <w:szCs w:val="24"/>
        </w:rPr>
        <w:lastRenderedPageBreak/>
        <w:t>Kārtējo maksājumu Eiropas Savienības budžetā un starptautiskai sadarbībai pieaugums</w:t>
      </w:r>
      <w:bookmarkEnd w:id="29"/>
      <w:bookmarkEnd w:id="30"/>
      <w:bookmarkEnd w:id="31"/>
    </w:p>
    <w:p w14:paraId="682D8D16" w14:textId="5F28477B" w:rsidR="00A93036" w:rsidRPr="006848B0" w:rsidRDefault="00A93036" w:rsidP="00A93036">
      <w:pPr>
        <w:spacing w:after="0" w:line="240" w:lineRule="auto"/>
        <w:ind w:firstLine="720"/>
        <w:jc w:val="both"/>
        <w:rPr>
          <w:rFonts w:ascii="Times New Roman" w:hAnsi="Times New Roman"/>
          <w:sz w:val="24"/>
          <w:szCs w:val="24"/>
        </w:rPr>
      </w:pPr>
      <w:r w:rsidRPr="006848B0">
        <w:rPr>
          <w:rFonts w:ascii="Times New Roman" w:hAnsi="Times New Roman"/>
          <w:sz w:val="24"/>
          <w:szCs w:val="24"/>
        </w:rPr>
        <w:t xml:space="preserve">Fiskālais risks iestājas gadījumā, ja kārtējo maksājumu ES budžetā nodrošināšanai ir nepieciešams veikt apropriācijas palielināšanu, kā rezultātā rodas negatīva ietekme uz vispārējās valdības budžeta bilanci. Savukārt, ja notiek apropriācijas samazināšana, tad </w:t>
      </w:r>
      <w:r w:rsidR="009D6109" w:rsidRPr="006848B0">
        <w:rPr>
          <w:rFonts w:ascii="Times New Roman" w:hAnsi="Times New Roman"/>
          <w:sz w:val="24"/>
          <w:szCs w:val="24"/>
        </w:rPr>
        <w:t xml:space="preserve">tai </w:t>
      </w:r>
      <w:r w:rsidRPr="006848B0">
        <w:rPr>
          <w:rFonts w:ascii="Times New Roman" w:hAnsi="Times New Roman"/>
          <w:sz w:val="24"/>
          <w:szCs w:val="24"/>
        </w:rPr>
        <w:t xml:space="preserve">ir pozitīva ietekme uz vispārējās valdības budžeta bilanci. </w:t>
      </w:r>
    </w:p>
    <w:p w14:paraId="368A735D" w14:textId="77777777" w:rsidR="00A93036" w:rsidRPr="006848B0" w:rsidRDefault="00A93036" w:rsidP="00A93036">
      <w:pPr>
        <w:spacing w:after="0" w:line="240" w:lineRule="auto"/>
        <w:ind w:firstLine="720"/>
        <w:jc w:val="both"/>
        <w:rPr>
          <w:rFonts w:ascii="Times New Roman" w:hAnsi="Times New Roman"/>
          <w:sz w:val="24"/>
          <w:szCs w:val="24"/>
        </w:rPr>
      </w:pPr>
      <w:r w:rsidRPr="006848B0">
        <w:rPr>
          <w:rFonts w:ascii="Times New Roman" w:hAnsi="Times New Roman"/>
          <w:sz w:val="24"/>
          <w:szCs w:val="24"/>
        </w:rPr>
        <w:t>Iemaksu ES budžetā apmēru ietekmē šādi faktori:</w:t>
      </w:r>
    </w:p>
    <w:p w14:paraId="78787F9D" w14:textId="461A03C5" w:rsidR="00A93036" w:rsidRPr="006848B0" w:rsidRDefault="00A93036" w:rsidP="00A93036">
      <w:pPr>
        <w:pStyle w:val="ListParagraph"/>
        <w:numPr>
          <w:ilvl w:val="0"/>
          <w:numId w:val="2"/>
        </w:numPr>
        <w:ind w:left="709"/>
        <w:rPr>
          <w:rFonts w:ascii="Times New Roman" w:hAnsi="Times New Roman"/>
          <w:sz w:val="24"/>
          <w:szCs w:val="24"/>
        </w:rPr>
      </w:pPr>
      <w:r w:rsidRPr="006848B0">
        <w:rPr>
          <w:rFonts w:ascii="Times New Roman" w:hAnsi="Times New Roman"/>
          <w:sz w:val="24"/>
          <w:szCs w:val="24"/>
        </w:rPr>
        <w:t>ES budžeta kopapjoms, kas nosaka izdevumu apmēru</w:t>
      </w:r>
      <w:r w:rsidR="00604F97">
        <w:rPr>
          <w:rFonts w:ascii="Times New Roman" w:hAnsi="Times New Roman"/>
          <w:sz w:val="24"/>
          <w:szCs w:val="24"/>
        </w:rPr>
        <w:t xml:space="preserve">, </w:t>
      </w:r>
      <w:r w:rsidRPr="006848B0">
        <w:rPr>
          <w:rFonts w:ascii="Times New Roman" w:hAnsi="Times New Roman"/>
          <w:sz w:val="24"/>
          <w:szCs w:val="24"/>
        </w:rPr>
        <w:t>un ES budžeta grozījumi, ar kuru palīdzību ES budžeta kopapjoms var tikt mainīts. Ja ES budžeta izdevumi pieaug, iemaksas ES budžetā arī palielinās un otrādi;</w:t>
      </w:r>
    </w:p>
    <w:p w14:paraId="41C49927" w14:textId="77777777" w:rsidR="00A93036" w:rsidRPr="006848B0" w:rsidRDefault="00A93036" w:rsidP="00A93036">
      <w:pPr>
        <w:pStyle w:val="ListParagraph"/>
        <w:numPr>
          <w:ilvl w:val="0"/>
          <w:numId w:val="2"/>
        </w:numPr>
        <w:ind w:left="709"/>
        <w:rPr>
          <w:rFonts w:ascii="Times New Roman" w:hAnsi="Times New Roman"/>
          <w:sz w:val="24"/>
          <w:szCs w:val="24"/>
        </w:rPr>
      </w:pPr>
      <w:r w:rsidRPr="006848B0">
        <w:rPr>
          <w:rFonts w:ascii="Times New Roman" w:hAnsi="Times New Roman"/>
          <w:sz w:val="24"/>
          <w:szCs w:val="24"/>
        </w:rPr>
        <w:t>ES budžeta grozījumu apstiprināšanas gaita. Ja ES budžeta grozījumi tiek apstiprināti tekošā gada beigās, tie var faktiski (pēc naudas plūsmas) ietekmēt nākamā gada maksājumus ES budžetā;</w:t>
      </w:r>
    </w:p>
    <w:p w14:paraId="2E345565" w14:textId="1591F1EC" w:rsidR="00A93036" w:rsidRPr="006848B0" w:rsidRDefault="00A93036" w:rsidP="00A93036">
      <w:pPr>
        <w:pStyle w:val="ListParagraph"/>
        <w:numPr>
          <w:ilvl w:val="0"/>
          <w:numId w:val="2"/>
        </w:numPr>
        <w:ind w:left="709"/>
        <w:rPr>
          <w:rFonts w:ascii="Times New Roman" w:hAnsi="Times New Roman"/>
          <w:sz w:val="24"/>
          <w:szCs w:val="24"/>
        </w:rPr>
      </w:pPr>
      <w:r w:rsidRPr="006848B0">
        <w:rPr>
          <w:rFonts w:ascii="Times New Roman" w:hAnsi="Times New Roman"/>
          <w:sz w:val="24"/>
          <w:szCs w:val="24"/>
        </w:rPr>
        <w:t xml:space="preserve">Latvijas izaugsmes </w:t>
      </w:r>
      <w:r w:rsidR="00604F97">
        <w:rPr>
          <w:rFonts w:ascii="Times New Roman" w:hAnsi="Times New Roman"/>
          <w:sz w:val="24"/>
          <w:szCs w:val="24"/>
        </w:rPr>
        <w:t xml:space="preserve">un citi ekonomiskie </w:t>
      </w:r>
      <w:r w:rsidRPr="006848B0">
        <w:rPr>
          <w:rFonts w:ascii="Times New Roman" w:hAnsi="Times New Roman"/>
          <w:sz w:val="24"/>
          <w:szCs w:val="24"/>
        </w:rPr>
        <w:t>rādītāji un to izmaiņas, ņemot vērā, ka ES izdevumus dalībvalstis finansē proporcionāli to labklājības līmenim;</w:t>
      </w:r>
    </w:p>
    <w:p w14:paraId="28BCD092" w14:textId="77777777" w:rsidR="00A93036" w:rsidRPr="006848B0" w:rsidRDefault="00A93036" w:rsidP="00A93036">
      <w:pPr>
        <w:pStyle w:val="ListParagraph"/>
        <w:numPr>
          <w:ilvl w:val="0"/>
          <w:numId w:val="2"/>
        </w:numPr>
        <w:ind w:left="709"/>
        <w:rPr>
          <w:rFonts w:ascii="Times New Roman" w:hAnsi="Times New Roman"/>
          <w:sz w:val="24"/>
          <w:szCs w:val="24"/>
        </w:rPr>
      </w:pPr>
      <w:r w:rsidRPr="006848B0">
        <w:rPr>
          <w:rFonts w:ascii="Times New Roman" w:hAnsi="Times New Roman"/>
          <w:sz w:val="24"/>
          <w:szCs w:val="24"/>
        </w:rPr>
        <w:t>citu ES budžeta ieņēmumu apmērs (iekasētās soda naudas, kavējumu procenti, iepriekšējā gada ES budžeta izpildes pārpalikums u.tml.), jo ES budžets netiek finansēts vienīgi ar dalībvalstu iemaksām. Ja citi ES budžeta ieņēmumi pieaug, iemaksas ES budžetā samazinās;</w:t>
      </w:r>
    </w:p>
    <w:p w14:paraId="6A9B4B28" w14:textId="77777777" w:rsidR="0092276B" w:rsidRDefault="00A93036" w:rsidP="0092276B">
      <w:pPr>
        <w:pStyle w:val="ListParagraph"/>
        <w:numPr>
          <w:ilvl w:val="0"/>
          <w:numId w:val="2"/>
        </w:numPr>
        <w:ind w:left="709"/>
        <w:rPr>
          <w:rFonts w:ascii="Times New Roman" w:hAnsi="Times New Roman"/>
          <w:sz w:val="24"/>
          <w:szCs w:val="24"/>
        </w:rPr>
      </w:pPr>
      <w:r w:rsidRPr="006848B0">
        <w:rPr>
          <w:rFonts w:ascii="Times New Roman" w:hAnsi="Times New Roman"/>
          <w:sz w:val="24"/>
          <w:szCs w:val="24"/>
        </w:rPr>
        <w:t>korekcijas maksājuma apmērs, kas tiek veikts, balstoties uz faktiskajiem pievienotās vērtības nodokļa (turpmāk – PVN) un nacionālā kopienākuma (turpmāk – NKI) bāzes apjomiem par iepriekšējiem saimnieciskajiem gadiem. Tam var būt gan iemaksas samazinoša, gan iemaksas palielinoša ietekme atkarībā no tā, kāda ir faktisko un prognozēto PVN un NKI bāžu atšķirība.</w:t>
      </w:r>
    </w:p>
    <w:p w14:paraId="6EB39C70" w14:textId="5E97486D" w:rsidR="00A75EE2" w:rsidRPr="0092276B" w:rsidRDefault="00A75EE2" w:rsidP="0092276B">
      <w:pPr>
        <w:pStyle w:val="ListParagraph"/>
        <w:numPr>
          <w:ilvl w:val="0"/>
          <w:numId w:val="2"/>
        </w:numPr>
        <w:ind w:left="709"/>
        <w:rPr>
          <w:rFonts w:ascii="Times New Roman" w:hAnsi="Times New Roman"/>
          <w:sz w:val="24"/>
          <w:szCs w:val="24"/>
        </w:rPr>
      </w:pPr>
      <w:r w:rsidRPr="0092276B">
        <w:rPr>
          <w:rFonts w:ascii="Times New Roman" w:eastAsiaTheme="minorHAnsi" w:hAnsi="Times New Roman"/>
          <w:sz w:val="24"/>
        </w:rPr>
        <w:t xml:space="preserve">Ņemot vērā iepriekš minētos faktorus, kas ietekmē kārtējos maksājumus ES budžetā, fiskālajam riskam ir jābūt simetriskam. Tomēr faktiskās novirzes, kas attēlotas tabulā Nr.5, norāda uz sistēmiska rakstura novirzēm, kas vairākus gadus pēc kārtas saglabā vienu noteiktu virzienu </w:t>
      </w:r>
      <w:r w:rsidRPr="0092276B">
        <w:rPr>
          <w:rFonts w:ascii="Times New Roman" w:hAnsi="Times New Roman"/>
          <w:sz w:val="24"/>
          <w:szCs w:val="24"/>
        </w:rPr>
        <w:t>–</w:t>
      </w:r>
      <w:r w:rsidRPr="0092276B">
        <w:rPr>
          <w:rFonts w:ascii="Times New Roman" w:eastAsiaTheme="minorHAnsi" w:hAnsi="Times New Roman"/>
          <w:sz w:val="24"/>
        </w:rPr>
        <w:t xml:space="preserve"> laika periods no 2006. līdz 2010.gadam raksturīgs ar zemāku faktisko izpildi pret plānu, savukārt laika periods no 2011.gada līdz 2014.gadam iezīmē augstākus faktiskos izdevumus nekā tika iepriekš prognozēts. Turpretī laika periods no 2015.gada līdz 2018.gadam atkal ir bijis raksturīgs ar zemāku izdevumu apmēru nekā prognozēts.</w:t>
      </w:r>
      <w:r w:rsidR="006848B0" w:rsidRPr="0092276B">
        <w:rPr>
          <w:rFonts w:ascii="Times New Roman" w:eastAsiaTheme="minorHAnsi" w:hAnsi="Times New Roman"/>
          <w:sz w:val="24"/>
        </w:rPr>
        <w:t xml:space="preserve"> 2019.gada iemaksas atkal maina virzienu, proti, faktiskie izdevumi bija augstāki nekā sākotnēji tika prognozēts.</w:t>
      </w:r>
    </w:p>
    <w:p w14:paraId="78BE01A0" w14:textId="0CF92DD4" w:rsidR="00BD7F2B" w:rsidRDefault="00BD7F2B" w:rsidP="0020533D">
      <w:pPr>
        <w:spacing w:before="240" w:after="0" w:line="240" w:lineRule="auto"/>
        <w:ind w:firstLine="709"/>
        <w:jc w:val="both"/>
        <w:rPr>
          <w:rFonts w:ascii="Times New Roman" w:eastAsiaTheme="minorHAnsi" w:hAnsi="Times New Roman"/>
          <w:sz w:val="24"/>
        </w:rPr>
      </w:pPr>
      <w:r w:rsidRPr="005946B4">
        <w:rPr>
          <w:rFonts w:ascii="Times New Roman" w:eastAsiaTheme="minorHAnsi" w:hAnsi="Times New Roman"/>
          <w:sz w:val="24"/>
        </w:rPr>
        <w:t>Tā kā iemaksu apmērs</w:t>
      </w:r>
      <w:r w:rsidR="00604F97">
        <w:rPr>
          <w:rFonts w:ascii="Times New Roman" w:eastAsiaTheme="minorHAnsi" w:hAnsi="Times New Roman"/>
          <w:sz w:val="24"/>
        </w:rPr>
        <w:t>, galvenokārt,</w:t>
      </w:r>
      <w:r w:rsidRPr="005946B4">
        <w:rPr>
          <w:rFonts w:ascii="Times New Roman" w:eastAsiaTheme="minorHAnsi" w:hAnsi="Times New Roman"/>
          <w:sz w:val="24"/>
        </w:rPr>
        <w:t xml:space="preserve"> ir saistīts ar IKP, pastāv korelācija starp novirzēm iemaksu apjomā un novirzēm IKP prognozēs. Var secināt, ka ekonomikas lejupslīdes gados pastāv tendence nenovērtēt ekonomikas sabremzēšanās tempu, bet ekonomikas augšupejas periodā nenovērtēt izaugsmes apmēru. Šie faktori daļēji skaidro sistēmiskā rakstura novirzes iemaksu apjomā. Vienlaicīgi, tie apstiprina pieņēmumu, ka ekonomikas cikla periodā fiskālais risks ir simetrisks. Līdz ar to tiek saglabāts pieņēmums, ka varbūtība kārtējiem maksājumiem</w:t>
      </w:r>
      <w:r w:rsidR="00214D26">
        <w:rPr>
          <w:rFonts w:ascii="Times New Roman" w:eastAsiaTheme="minorHAnsi" w:hAnsi="Times New Roman"/>
          <w:sz w:val="24"/>
        </w:rPr>
        <w:t xml:space="preserve"> ES budžetā</w:t>
      </w:r>
      <w:r w:rsidRPr="005946B4">
        <w:rPr>
          <w:rFonts w:ascii="Times New Roman" w:eastAsiaTheme="minorHAnsi" w:hAnsi="Times New Roman"/>
          <w:sz w:val="24"/>
        </w:rPr>
        <w:t xml:space="preserve"> būt virs vai zem prognozētās vērtības, ir 50% un fiskālā ietekme ilgtermiņā ir tuva nullei. Līdz ar to fiskālais risks, kas attiecas uz kārtējiem </w:t>
      </w:r>
      <w:r w:rsidRPr="00075814">
        <w:rPr>
          <w:rFonts w:ascii="Times New Roman" w:eastAsiaTheme="minorHAnsi" w:hAnsi="Times New Roman"/>
          <w:sz w:val="24"/>
        </w:rPr>
        <w:t xml:space="preserve">maksājumiem ES budžetā, netiek </w:t>
      </w:r>
      <w:r w:rsidRPr="00075814">
        <w:rPr>
          <w:rFonts w:ascii="Times New Roman" w:eastAsiaTheme="minorHAnsi" w:hAnsi="Times New Roman" w:cs="Times New Roman"/>
          <w:sz w:val="24"/>
        </w:rPr>
        <w:t>ietverts fiskālā nodrošinājuma rezerves aprēķinā</w:t>
      </w:r>
      <w:r w:rsidRPr="00075814">
        <w:rPr>
          <w:rFonts w:ascii="Times New Roman" w:eastAsiaTheme="minorHAnsi" w:hAnsi="Times New Roman"/>
          <w:sz w:val="24"/>
        </w:rPr>
        <w:t>.</w:t>
      </w:r>
    </w:p>
    <w:p w14:paraId="28C049CC" w14:textId="5CB26EB1" w:rsidR="00A93036" w:rsidRPr="002B5128" w:rsidRDefault="00792E56" w:rsidP="00BB2DE9">
      <w:pPr>
        <w:spacing w:before="240"/>
        <w:jc w:val="right"/>
        <w:rPr>
          <w:rFonts w:ascii="Times New Roman" w:eastAsiaTheme="minorHAnsi" w:hAnsi="Times New Roman"/>
          <w:b/>
          <w:i/>
          <w:sz w:val="24"/>
        </w:rPr>
      </w:pPr>
      <w:r w:rsidRPr="002B5128">
        <w:rPr>
          <w:rFonts w:ascii="Times New Roman" w:eastAsiaTheme="minorHAnsi" w:hAnsi="Times New Roman"/>
          <w:b/>
          <w:sz w:val="24"/>
        </w:rPr>
        <w:t>T</w:t>
      </w:r>
      <w:r w:rsidR="00A93036" w:rsidRPr="002B5128">
        <w:rPr>
          <w:rFonts w:ascii="Times New Roman" w:eastAsiaTheme="minorHAnsi" w:hAnsi="Times New Roman"/>
          <w:b/>
          <w:sz w:val="24"/>
        </w:rPr>
        <w:t>abula Nr.</w:t>
      </w:r>
      <w:r w:rsidR="00BA7CFE">
        <w:rPr>
          <w:rFonts w:ascii="Times New Roman" w:eastAsiaTheme="minorHAnsi" w:hAnsi="Times New Roman"/>
          <w:b/>
          <w:sz w:val="24"/>
        </w:rPr>
        <w:t>5</w:t>
      </w:r>
      <w:r w:rsidR="00BA7CFE" w:rsidRPr="002B5128">
        <w:rPr>
          <w:rFonts w:ascii="Times New Roman" w:eastAsiaTheme="minorHAnsi" w:hAnsi="Times New Roman"/>
          <w:b/>
          <w:sz w:val="24"/>
        </w:rPr>
        <w:t xml:space="preserve"> </w:t>
      </w:r>
      <w:r w:rsidR="00A93036" w:rsidRPr="002B5128">
        <w:rPr>
          <w:rFonts w:ascii="Times New Roman" w:eastAsiaTheme="minorHAnsi" w:hAnsi="Times New Roman"/>
          <w:b/>
          <w:sz w:val="24"/>
        </w:rPr>
        <w:t xml:space="preserve">Kārtējie maksājumi ES budžetā, milj. </w:t>
      </w:r>
      <w:r w:rsidR="00A93036" w:rsidRPr="002B5128">
        <w:rPr>
          <w:rFonts w:ascii="Times New Roman" w:eastAsiaTheme="minorHAnsi" w:hAnsi="Times New Roman"/>
          <w:b/>
          <w:i/>
          <w:sz w:val="24"/>
        </w:rPr>
        <w:t>euro</w:t>
      </w:r>
    </w:p>
    <w:tbl>
      <w:tblPr>
        <w:tblStyle w:val="GridTable6Colorful-Accent11"/>
        <w:tblW w:w="7078" w:type="dxa"/>
        <w:jc w:val="center"/>
        <w:tblLook w:val="04A0" w:firstRow="1" w:lastRow="0" w:firstColumn="1" w:lastColumn="0" w:noHBand="0" w:noVBand="1"/>
      </w:tblPr>
      <w:tblGrid>
        <w:gridCol w:w="1080"/>
        <w:gridCol w:w="1080"/>
        <w:gridCol w:w="1080"/>
        <w:gridCol w:w="2279"/>
        <w:gridCol w:w="1559"/>
      </w:tblGrid>
      <w:tr w:rsidR="00A93036" w:rsidRPr="002B5128" w14:paraId="3E6BCD41" w14:textId="77777777" w:rsidTr="00905326">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3DBEC13" w14:textId="77777777" w:rsidR="00A93036" w:rsidRPr="002B5128" w:rsidRDefault="00A93036" w:rsidP="006F69AD">
            <w:pPr>
              <w:rPr>
                <w:rFonts w:cs="Times New Roman"/>
                <w:color w:val="000000"/>
                <w:sz w:val="22"/>
                <w:lang w:eastAsia="lv-LV"/>
              </w:rPr>
            </w:pPr>
            <w:r w:rsidRPr="002B5128">
              <w:rPr>
                <w:rFonts w:cs="Times New Roman"/>
                <w:color w:val="000000"/>
                <w:sz w:val="22"/>
                <w:lang w:eastAsia="lv-LV"/>
              </w:rPr>
              <w:t> </w:t>
            </w:r>
          </w:p>
        </w:tc>
        <w:tc>
          <w:tcPr>
            <w:tcW w:w="1080" w:type="dxa"/>
            <w:noWrap/>
            <w:hideMark/>
          </w:tcPr>
          <w:p w14:paraId="56FC945B" w14:textId="77777777" w:rsidR="00A93036" w:rsidRPr="002B5128" w:rsidRDefault="00A93036" w:rsidP="006F69AD">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2"/>
                <w:lang w:eastAsia="lv-LV"/>
              </w:rPr>
            </w:pPr>
            <w:r w:rsidRPr="002B5128">
              <w:rPr>
                <w:rFonts w:cs="Times New Roman"/>
                <w:color w:val="000000"/>
                <w:sz w:val="22"/>
                <w:lang w:eastAsia="lv-LV"/>
              </w:rPr>
              <w:t>Plāns</w:t>
            </w:r>
          </w:p>
        </w:tc>
        <w:tc>
          <w:tcPr>
            <w:tcW w:w="1080" w:type="dxa"/>
            <w:noWrap/>
            <w:hideMark/>
          </w:tcPr>
          <w:p w14:paraId="32D43FDA" w14:textId="77777777" w:rsidR="00A93036" w:rsidRPr="002B5128" w:rsidRDefault="00A93036" w:rsidP="006F69AD">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2"/>
                <w:lang w:eastAsia="lv-LV"/>
              </w:rPr>
            </w:pPr>
            <w:r w:rsidRPr="002B5128">
              <w:rPr>
                <w:rFonts w:cs="Times New Roman"/>
                <w:color w:val="000000"/>
                <w:sz w:val="22"/>
                <w:lang w:eastAsia="lv-LV"/>
              </w:rPr>
              <w:t>Fakts</w:t>
            </w:r>
          </w:p>
        </w:tc>
        <w:tc>
          <w:tcPr>
            <w:tcW w:w="2279" w:type="dxa"/>
            <w:noWrap/>
            <w:hideMark/>
          </w:tcPr>
          <w:p w14:paraId="13A24B0A" w14:textId="77777777" w:rsidR="00A93036" w:rsidRPr="002B5128" w:rsidRDefault="00A93036" w:rsidP="006F69AD">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2"/>
                <w:lang w:eastAsia="lv-LV"/>
              </w:rPr>
            </w:pPr>
            <w:r w:rsidRPr="002B5128">
              <w:rPr>
                <w:rFonts w:cs="Times New Roman"/>
                <w:color w:val="000000"/>
                <w:sz w:val="22"/>
                <w:lang w:eastAsia="lv-LV"/>
              </w:rPr>
              <w:t xml:space="preserve">Izmaiņas, milj. </w:t>
            </w:r>
            <w:r w:rsidRPr="002B5128">
              <w:rPr>
                <w:rFonts w:cs="Times New Roman"/>
                <w:i/>
                <w:iCs/>
                <w:color w:val="000000"/>
                <w:sz w:val="22"/>
                <w:lang w:eastAsia="lv-LV"/>
              </w:rPr>
              <w:t>euro</w:t>
            </w:r>
          </w:p>
        </w:tc>
        <w:tc>
          <w:tcPr>
            <w:tcW w:w="1559" w:type="dxa"/>
            <w:noWrap/>
            <w:hideMark/>
          </w:tcPr>
          <w:p w14:paraId="542584FD" w14:textId="77777777" w:rsidR="00A93036" w:rsidRPr="002B5128" w:rsidRDefault="00A93036" w:rsidP="006F69AD">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2"/>
                <w:lang w:eastAsia="lv-LV"/>
              </w:rPr>
            </w:pPr>
            <w:r w:rsidRPr="002B5128">
              <w:rPr>
                <w:rFonts w:cs="Times New Roman"/>
                <w:color w:val="000000"/>
                <w:sz w:val="22"/>
                <w:lang w:eastAsia="lv-LV"/>
              </w:rPr>
              <w:t>Izpilde, %</w:t>
            </w:r>
          </w:p>
        </w:tc>
      </w:tr>
      <w:tr w:rsidR="00A93036" w:rsidRPr="002B5128" w14:paraId="3CA76653" w14:textId="77777777" w:rsidTr="00905326">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8AE0D4E"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2006</w:t>
            </w:r>
          </w:p>
        </w:tc>
        <w:tc>
          <w:tcPr>
            <w:tcW w:w="1080" w:type="dxa"/>
            <w:noWrap/>
            <w:vAlign w:val="center"/>
            <w:hideMark/>
          </w:tcPr>
          <w:p w14:paraId="5841493E"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163,8</w:t>
            </w:r>
          </w:p>
        </w:tc>
        <w:tc>
          <w:tcPr>
            <w:tcW w:w="1080" w:type="dxa"/>
            <w:noWrap/>
            <w:vAlign w:val="center"/>
            <w:hideMark/>
          </w:tcPr>
          <w:p w14:paraId="5BA3BC8B"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159,0</w:t>
            </w:r>
          </w:p>
        </w:tc>
        <w:tc>
          <w:tcPr>
            <w:tcW w:w="2279" w:type="dxa"/>
            <w:noWrap/>
            <w:vAlign w:val="center"/>
            <w:hideMark/>
          </w:tcPr>
          <w:p w14:paraId="3385055A"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-4,8</w:t>
            </w:r>
          </w:p>
        </w:tc>
        <w:tc>
          <w:tcPr>
            <w:tcW w:w="1559" w:type="dxa"/>
            <w:noWrap/>
            <w:vAlign w:val="center"/>
            <w:hideMark/>
          </w:tcPr>
          <w:p w14:paraId="112B13E8"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97,1</w:t>
            </w:r>
          </w:p>
        </w:tc>
      </w:tr>
      <w:tr w:rsidR="00A93036" w:rsidRPr="002B5128" w14:paraId="7DBB5932" w14:textId="77777777" w:rsidTr="00905326">
        <w:trPr>
          <w:trHeight w:val="172"/>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D0D5D15"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2007</w:t>
            </w:r>
          </w:p>
        </w:tc>
        <w:tc>
          <w:tcPr>
            <w:tcW w:w="1080" w:type="dxa"/>
            <w:noWrap/>
            <w:vAlign w:val="center"/>
            <w:hideMark/>
          </w:tcPr>
          <w:p w14:paraId="04B8F428"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207,6</w:t>
            </w:r>
          </w:p>
        </w:tc>
        <w:tc>
          <w:tcPr>
            <w:tcW w:w="1080" w:type="dxa"/>
            <w:noWrap/>
            <w:vAlign w:val="center"/>
            <w:hideMark/>
          </w:tcPr>
          <w:p w14:paraId="467B4A05"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197,8</w:t>
            </w:r>
          </w:p>
        </w:tc>
        <w:tc>
          <w:tcPr>
            <w:tcW w:w="2279" w:type="dxa"/>
            <w:noWrap/>
            <w:vAlign w:val="center"/>
            <w:hideMark/>
          </w:tcPr>
          <w:p w14:paraId="02D37118"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-9,8</w:t>
            </w:r>
          </w:p>
        </w:tc>
        <w:tc>
          <w:tcPr>
            <w:tcW w:w="1559" w:type="dxa"/>
            <w:noWrap/>
            <w:vAlign w:val="center"/>
            <w:hideMark/>
          </w:tcPr>
          <w:p w14:paraId="04A65FF1"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95,3</w:t>
            </w:r>
          </w:p>
        </w:tc>
      </w:tr>
      <w:tr w:rsidR="00A93036" w:rsidRPr="002B5128" w14:paraId="00865D69" w14:textId="77777777" w:rsidTr="00905326">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759D04A"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2008</w:t>
            </w:r>
          </w:p>
        </w:tc>
        <w:tc>
          <w:tcPr>
            <w:tcW w:w="1080" w:type="dxa"/>
            <w:noWrap/>
            <w:vAlign w:val="center"/>
            <w:hideMark/>
          </w:tcPr>
          <w:p w14:paraId="6B985842"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239,9</w:t>
            </w:r>
          </w:p>
        </w:tc>
        <w:tc>
          <w:tcPr>
            <w:tcW w:w="1080" w:type="dxa"/>
            <w:noWrap/>
            <w:vAlign w:val="center"/>
            <w:hideMark/>
          </w:tcPr>
          <w:p w14:paraId="4E7ED0B7"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218,5</w:t>
            </w:r>
          </w:p>
        </w:tc>
        <w:tc>
          <w:tcPr>
            <w:tcW w:w="2279" w:type="dxa"/>
            <w:noWrap/>
            <w:vAlign w:val="center"/>
            <w:hideMark/>
          </w:tcPr>
          <w:p w14:paraId="7219D651"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-21,4</w:t>
            </w:r>
          </w:p>
        </w:tc>
        <w:tc>
          <w:tcPr>
            <w:tcW w:w="1559" w:type="dxa"/>
            <w:noWrap/>
            <w:vAlign w:val="center"/>
            <w:hideMark/>
          </w:tcPr>
          <w:p w14:paraId="643FD976"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91,1</w:t>
            </w:r>
          </w:p>
        </w:tc>
      </w:tr>
      <w:tr w:rsidR="00A93036" w:rsidRPr="002B5128" w14:paraId="5C672D53" w14:textId="77777777" w:rsidTr="00905326">
        <w:trPr>
          <w:trHeight w:val="54"/>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DBA3AF2"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2009</w:t>
            </w:r>
          </w:p>
        </w:tc>
        <w:tc>
          <w:tcPr>
            <w:tcW w:w="1080" w:type="dxa"/>
            <w:noWrap/>
            <w:vAlign w:val="center"/>
            <w:hideMark/>
          </w:tcPr>
          <w:p w14:paraId="2C74196D"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258,2</w:t>
            </w:r>
          </w:p>
        </w:tc>
        <w:tc>
          <w:tcPr>
            <w:tcW w:w="1080" w:type="dxa"/>
            <w:noWrap/>
            <w:vAlign w:val="center"/>
            <w:hideMark/>
          </w:tcPr>
          <w:p w14:paraId="7D0042C9"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209,9</w:t>
            </w:r>
          </w:p>
        </w:tc>
        <w:tc>
          <w:tcPr>
            <w:tcW w:w="2279" w:type="dxa"/>
            <w:noWrap/>
            <w:vAlign w:val="center"/>
            <w:hideMark/>
          </w:tcPr>
          <w:p w14:paraId="0E0F1135"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-48,3</w:t>
            </w:r>
          </w:p>
        </w:tc>
        <w:tc>
          <w:tcPr>
            <w:tcW w:w="1559" w:type="dxa"/>
            <w:noWrap/>
            <w:vAlign w:val="center"/>
            <w:hideMark/>
          </w:tcPr>
          <w:p w14:paraId="7313DF37"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81,3</w:t>
            </w:r>
          </w:p>
        </w:tc>
      </w:tr>
      <w:tr w:rsidR="00A93036" w:rsidRPr="002B5128" w14:paraId="1733D333" w14:textId="77777777" w:rsidTr="0090532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D42BC2A"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2010</w:t>
            </w:r>
          </w:p>
        </w:tc>
        <w:tc>
          <w:tcPr>
            <w:tcW w:w="1080" w:type="dxa"/>
            <w:noWrap/>
            <w:vAlign w:val="center"/>
            <w:hideMark/>
          </w:tcPr>
          <w:p w14:paraId="0439907F"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199,1</w:t>
            </w:r>
          </w:p>
        </w:tc>
        <w:tc>
          <w:tcPr>
            <w:tcW w:w="1080" w:type="dxa"/>
            <w:noWrap/>
            <w:vAlign w:val="center"/>
            <w:hideMark/>
          </w:tcPr>
          <w:p w14:paraId="2F6907B8"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170,6</w:t>
            </w:r>
          </w:p>
        </w:tc>
        <w:tc>
          <w:tcPr>
            <w:tcW w:w="2279" w:type="dxa"/>
            <w:noWrap/>
            <w:vAlign w:val="center"/>
            <w:hideMark/>
          </w:tcPr>
          <w:p w14:paraId="6B59DE6E"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-28,5</w:t>
            </w:r>
          </w:p>
        </w:tc>
        <w:tc>
          <w:tcPr>
            <w:tcW w:w="1559" w:type="dxa"/>
            <w:noWrap/>
            <w:vAlign w:val="center"/>
            <w:hideMark/>
          </w:tcPr>
          <w:p w14:paraId="71B711D4"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85,7</w:t>
            </w:r>
          </w:p>
        </w:tc>
      </w:tr>
      <w:tr w:rsidR="00A93036" w:rsidRPr="002B5128" w14:paraId="58A2B2AD" w14:textId="77777777" w:rsidTr="00905326">
        <w:trPr>
          <w:trHeight w:val="216"/>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A3A15A2"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2011</w:t>
            </w:r>
          </w:p>
        </w:tc>
        <w:tc>
          <w:tcPr>
            <w:tcW w:w="1080" w:type="dxa"/>
            <w:noWrap/>
            <w:vAlign w:val="center"/>
            <w:hideMark/>
          </w:tcPr>
          <w:p w14:paraId="615CB3FA"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185,0</w:t>
            </w:r>
          </w:p>
        </w:tc>
        <w:tc>
          <w:tcPr>
            <w:tcW w:w="1080" w:type="dxa"/>
            <w:noWrap/>
            <w:vAlign w:val="center"/>
            <w:hideMark/>
          </w:tcPr>
          <w:p w14:paraId="3C716CA4"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185,1</w:t>
            </w:r>
          </w:p>
        </w:tc>
        <w:tc>
          <w:tcPr>
            <w:tcW w:w="2279" w:type="dxa"/>
            <w:noWrap/>
            <w:vAlign w:val="center"/>
            <w:hideMark/>
          </w:tcPr>
          <w:p w14:paraId="66619BDA"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0,1</w:t>
            </w:r>
          </w:p>
        </w:tc>
        <w:tc>
          <w:tcPr>
            <w:tcW w:w="1559" w:type="dxa"/>
            <w:noWrap/>
            <w:vAlign w:val="center"/>
            <w:hideMark/>
          </w:tcPr>
          <w:p w14:paraId="49A4F6F3"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100,1</w:t>
            </w:r>
          </w:p>
        </w:tc>
      </w:tr>
      <w:tr w:rsidR="00A93036" w:rsidRPr="002B5128" w14:paraId="608B7F75" w14:textId="77777777" w:rsidTr="00905326">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4AD6DFD"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lastRenderedPageBreak/>
              <w:t>2012</w:t>
            </w:r>
          </w:p>
        </w:tc>
        <w:tc>
          <w:tcPr>
            <w:tcW w:w="1080" w:type="dxa"/>
            <w:noWrap/>
            <w:vAlign w:val="center"/>
            <w:hideMark/>
          </w:tcPr>
          <w:p w14:paraId="3C616644"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197,6</w:t>
            </w:r>
          </w:p>
        </w:tc>
        <w:tc>
          <w:tcPr>
            <w:tcW w:w="1080" w:type="dxa"/>
            <w:noWrap/>
            <w:vAlign w:val="center"/>
            <w:hideMark/>
          </w:tcPr>
          <w:p w14:paraId="7F9D1325"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220,1</w:t>
            </w:r>
          </w:p>
        </w:tc>
        <w:tc>
          <w:tcPr>
            <w:tcW w:w="2279" w:type="dxa"/>
            <w:noWrap/>
            <w:vAlign w:val="center"/>
            <w:hideMark/>
          </w:tcPr>
          <w:p w14:paraId="47F4677B"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22,4</w:t>
            </w:r>
          </w:p>
        </w:tc>
        <w:tc>
          <w:tcPr>
            <w:tcW w:w="1559" w:type="dxa"/>
            <w:noWrap/>
            <w:vAlign w:val="center"/>
            <w:hideMark/>
          </w:tcPr>
          <w:p w14:paraId="0632A909"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111,4</w:t>
            </w:r>
          </w:p>
        </w:tc>
      </w:tr>
      <w:tr w:rsidR="00A93036" w:rsidRPr="002B5128" w14:paraId="315F2876" w14:textId="77777777" w:rsidTr="00905326">
        <w:trPr>
          <w:trHeight w:val="110"/>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2A58664"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2013</w:t>
            </w:r>
          </w:p>
        </w:tc>
        <w:tc>
          <w:tcPr>
            <w:tcW w:w="1080" w:type="dxa"/>
            <w:noWrap/>
            <w:vAlign w:val="center"/>
            <w:hideMark/>
          </w:tcPr>
          <w:p w14:paraId="032190D6"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225,8</w:t>
            </w:r>
          </w:p>
        </w:tc>
        <w:tc>
          <w:tcPr>
            <w:tcW w:w="1080" w:type="dxa"/>
            <w:noWrap/>
            <w:vAlign w:val="center"/>
            <w:hideMark/>
          </w:tcPr>
          <w:p w14:paraId="39BE0170"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267,3</w:t>
            </w:r>
          </w:p>
        </w:tc>
        <w:tc>
          <w:tcPr>
            <w:tcW w:w="2279" w:type="dxa"/>
            <w:noWrap/>
            <w:vAlign w:val="center"/>
            <w:hideMark/>
          </w:tcPr>
          <w:p w14:paraId="4949F929"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41,5</w:t>
            </w:r>
          </w:p>
        </w:tc>
        <w:tc>
          <w:tcPr>
            <w:tcW w:w="1559" w:type="dxa"/>
            <w:noWrap/>
            <w:vAlign w:val="center"/>
            <w:hideMark/>
          </w:tcPr>
          <w:p w14:paraId="35E871B6"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118,4</w:t>
            </w:r>
          </w:p>
        </w:tc>
      </w:tr>
      <w:tr w:rsidR="00A93036" w:rsidRPr="002B5128" w14:paraId="111452C7" w14:textId="77777777" w:rsidTr="00905326">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2AA00C70"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2014</w:t>
            </w:r>
          </w:p>
        </w:tc>
        <w:tc>
          <w:tcPr>
            <w:tcW w:w="1080" w:type="dxa"/>
            <w:noWrap/>
            <w:vAlign w:val="center"/>
            <w:hideMark/>
          </w:tcPr>
          <w:p w14:paraId="5909E8CC"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254,7</w:t>
            </w:r>
          </w:p>
        </w:tc>
        <w:tc>
          <w:tcPr>
            <w:tcW w:w="1080" w:type="dxa"/>
            <w:noWrap/>
            <w:vAlign w:val="center"/>
            <w:hideMark/>
          </w:tcPr>
          <w:p w14:paraId="6C34B838"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284,4</w:t>
            </w:r>
          </w:p>
        </w:tc>
        <w:tc>
          <w:tcPr>
            <w:tcW w:w="2279" w:type="dxa"/>
            <w:noWrap/>
            <w:vAlign w:val="center"/>
            <w:hideMark/>
          </w:tcPr>
          <w:p w14:paraId="3D8C1B94"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29,7</w:t>
            </w:r>
          </w:p>
        </w:tc>
        <w:tc>
          <w:tcPr>
            <w:tcW w:w="1559" w:type="dxa"/>
            <w:noWrap/>
            <w:vAlign w:val="center"/>
            <w:hideMark/>
          </w:tcPr>
          <w:p w14:paraId="430AD182"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111,7</w:t>
            </w:r>
          </w:p>
        </w:tc>
      </w:tr>
      <w:tr w:rsidR="00A93036" w:rsidRPr="002B5128" w14:paraId="6263AE59" w14:textId="77777777" w:rsidTr="00905326">
        <w:trPr>
          <w:trHeight w:val="118"/>
          <w:jc w:val="center"/>
        </w:trPr>
        <w:tc>
          <w:tcPr>
            <w:cnfStyle w:val="001000000000" w:firstRow="0" w:lastRow="0" w:firstColumn="1" w:lastColumn="0" w:oddVBand="0" w:evenVBand="0" w:oddHBand="0" w:evenHBand="0" w:firstRowFirstColumn="0" w:firstRowLastColumn="0" w:lastRowFirstColumn="0" w:lastRowLastColumn="0"/>
            <w:tcW w:w="1080" w:type="dxa"/>
            <w:noWrap/>
            <w:hideMark/>
          </w:tcPr>
          <w:p w14:paraId="53B85B02"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2015</w:t>
            </w:r>
          </w:p>
        </w:tc>
        <w:tc>
          <w:tcPr>
            <w:tcW w:w="1080" w:type="dxa"/>
            <w:noWrap/>
            <w:vAlign w:val="center"/>
            <w:hideMark/>
          </w:tcPr>
          <w:p w14:paraId="628836D6"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284,5</w:t>
            </w:r>
          </w:p>
        </w:tc>
        <w:tc>
          <w:tcPr>
            <w:tcW w:w="1080" w:type="dxa"/>
            <w:noWrap/>
            <w:vAlign w:val="center"/>
            <w:hideMark/>
          </w:tcPr>
          <w:p w14:paraId="1EACAB27"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244,8</w:t>
            </w:r>
          </w:p>
        </w:tc>
        <w:tc>
          <w:tcPr>
            <w:tcW w:w="2279" w:type="dxa"/>
            <w:noWrap/>
            <w:vAlign w:val="center"/>
            <w:hideMark/>
          </w:tcPr>
          <w:p w14:paraId="612EB0DC"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-39,7</w:t>
            </w:r>
          </w:p>
        </w:tc>
        <w:tc>
          <w:tcPr>
            <w:tcW w:w="1559" w:type="dxa"/>
            <w:noWrap/>
            <w:vAlign w:val="center"/>
            <w:hideMark/>
          </w:tcPr>
          <w:p w14:paraId="5743E2E1"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86,1</w:t>
            </w:r>
          </w:p>
        </w:tc>
      </w:tr>
      <w:tr w:rsidR="00A93036" w:rsidRPr="002B5128" w14:paraId="20DACF6A" w14:textId="77777777" w:rsidTr="00905326">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1080" w:type="dxa"/>
            <w:noWrap/>
          </w:tcPr>
          <w:p w14:paraId="252479A8" w14:textId="77777777" w:rsidR="00A93036" w:rsidRPr="002B5128" w:rsidRDefault="00A93036" w:rsidP="006F69AD">
            <w:pPr>
              <w:jc w:val="center"/>
              <w:rPr>
                <w:rFonts w:cs="Times New Roman"/>
                <w:b w:val="0"/>
                <w:bCs w:val="0"/>
                <w:color w:val="000000"/>
                <w:sz w:val="22"/>
                <w:lang w:eastAsia="lv-LV"/>
              </w:rPr>
            </w:pPr>
            <w:r w:rsidRPr="002B5128">
              <w:rPr>
                <w:rFonts w:cs="Times New Roman"/>
                <w:color w:val="000000"/>
                <w:sz w:val="22"/>
                <w:lang w:eastAsia="lv-LV"/>
              </w:rPr>
              <w:t>2016</w:t>
            </w:r>
          </w:p>
        </w:tc>
        <w:tc>
          <w:tcPr>
            <w:tcW w:w="1080" w:type="dxa"/>
            <w:noWrap/>
            <w:vAlign w:val="center"/>
          </w:tcPr>
          <w:p w14:paraId="035BD609"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292,6</w:t>
            </w:r>
          </w:p>
        </w:tc>
        <w:tc>
          <w:tcPr>
            <w:tcW w:w="1080" w:type="dxa"/>
            <w:noWrap/>
            <w:vAlign w:val="center"/>
          </w:tcPr>
          <w:p w14:paraId="752ECCFD"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258,0</w:t>
            </w:r>
          </w:p>
        </w:tc>
        <w:tc>
          <w:tcPr>
            <w:tcW w:w="2279" w:type="dxa"/>
            <w:noWrap/>
            <w:vAlign w:val="center"/>
          </w:tcPr>
          <w:p w14:paraId="1F7B0F2E"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-34,6</w:t>
            </w:r>
          </w:p>
        </w:tc>
        <w:tc>
          <w:tcPr>
            <w:tcW w:w="1559" w:type="dxa"/>
            <w:noWrap/>
            <w:vAlign w:val="center"/>
          </w:tcPr>
          <w:p w14:paraId="4F02288F" w14:textId="77777777" w:rsidR="00A93036" w:rsidRPr="002B5128" w:rsidRDefault="00A93036" w:rsidP="00FE4B9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88,2</w:t>
            </w:r>
          </w:p>
        </w:tc>
      </w:tr>
      <w:tr w:rsidR="00A93036" w:rsidRPr="002B5128" w14:paraId="1CD61C18" w14:textId="77777777" w:rsidTr="00905326">
        <w:trPr>
          <w:trHeight w:val="118"/>
          <w:jc w:val="center"/>
        </w:trPr>
        <w:tc>
          <w:tcPr>
            <w:cnfStyle w:val="001000000000" w:firstRow="0" w:lastRow="0" w:firstColumn="1" w:lastColumn="0" w:oddVBand="0" w:evenVBand="0" w:oddHBand="0" w:evenHBand="0" w:firstRowFirstColumn="0" w:firstRowLastColumn="0" w:lastRowFirstColumn="0" w:lastRowLastColumn="0"/>
            <w:tcW w:w="1080" w:type="dxa"/>
            <w:noWrap/>
          </w:tcPr>
          <w:p w14:paraId="0553EAB5" w14:textId="77777777" w:rsidR="00A93036" w:rsidRPr="002B5128" w:rsidRDefault="00A93036" w:rsidP="006F69AD">
            <w:pPr>
              <w:jc w:val="center"/>
              <w:rPr>
                <w:rFonts w:cs="Times New Roman"/>
                <w:color w:val="000000"/>
                <w:sz w:val="22"/>
                <w:lang w:eastAsia="lv-LV"/>
              </w:rPr>
            </w:pPr>
            <w:r w:rsidRPr="002B5128">
              <w:rPr>
                <w:rFonts w:cs="Times New Roman"/>
                <w:color w:val="000000"/>
                <w:sz w:val="22"/>
                <w:lang w:eastAsia="lv-LV"/>
              </w:rPr>
              <w:t>2017</w:t>
            </w:r>
          </w:p>
        </w:tc>
        <w:tc>
          <w:tcPr>
            <w:tcW w:w="1080" w:type="dxa"/>
            <w:noWrap/>
            <w:vAlign w:val="center"/>
          </w:tcPr>
          <w:p w14:paraId="7F5FC305"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289,8</w:t>
            </w:r>
          </w:p>
        </w:tc>
        <w:tc>
          <w:tcPr>
            <w:tcW w:w="1080" w:type="dxa"/>
            <w:noWrap/>
            <w:vAlign w:val="center"/>
          </w:tcPr>
          <w:p w14:paraId="17C98989"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223,3</w:t>
            </w:r>
          </w:p>
        </w:tc>
        <w:tc>
          <w:tcPr>
            <w:tcW w:w="2279" w:type="dxa"/>
            <w:noWrap/>
            <w:vAlign w:val="center"/>
          </w:tcPr>
          <w:p w14:paraId="29AE03D8"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-66,5</w:t>
            </w:r>
          </w:p>
        </w:tc>
        <w:tc>
          <w:tcPr>
            <w:tcW w:w="1559" w:type="dxa"/>
            <w:noWrap/>
            <w:vAlign w:val="center"/>
          </w:tcPr>
          <w:p w14:paraId="13D63C5B" w14:textId="77777777" w:rsidR="00A93036" w:rsidRPr="002B5128" w:rsidRDefault="00A93036" w:rsidP="00FE4B9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77,1</w:t>
            </w:r>
          </w:p>
        </w:tc>
      </w:tr>
      <w:tr w:rsidR="007A2195" w:rsidRPr="002B5128" w14:paraId="198FDDFF" w14:textId="77777777" w:rsidTr="002B37C9">
        <w:tblPrEx>
          <w:jc w:val="left"/>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080" w:type="dxa"/>
            <w:noWrap/>
          </w:tcPr>
          <w:p w14:paraId="5D007E90" w14:textId="12394CF0" w:rsidR="007A2195" w:rsidRPr="002B5128" w:rsidRDefault="007A2195" w:rsidP="007A2195">
            <w:pPr>
              <w:jc w:val="center"/>
              <w:rPr>
                <w:rFonts w:cs="Times New Roman"/>
                <w:color w:val="000000"/>
                <w:sz w:val="22"/>
                <w:lang w:eastAsia="lv-LV"/>
              </w:rPr>
            </w:pPr>
            <w:r w:rsidRPr="002B5128">
              <w:rPr>
                <w:rFonts w:cs="Times New Roman"/>
                <w:color w:val="000000"/>
                <w:sz w:val="22"/>
                <w:lang w:eastAsia="lv-LV"/>
              </w:rPr>
              <w:t>2018</w:t>
            </w:r>
          </w:p>
        </w:tc>
        <w:tc>
          <w:tcPr>
            <w:tcW w:w="1080" w:type="dxa"/>
            <w:noWrap/>
            <w:vAlign w:val="center"/>
          </w:tcPr>
          <w:p w14:paraId="77043CD7" w14:textId="045F827D" w:rsidR="007A2195" w:rsidRPr="002B5128" w:rsidRDefault="007A2195" w:rsidP="007A2195">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275,5</w:t>
            </w:r>
          </w:p>
        </w:tc>
        <w:tc>
          <w:tcPr>
            <w:tcW w:w="1080" w:type="dxa"/>
            <w:noWrap/>
            <w:vAlign w:val="center"/>
          </w:tcPr>
          <w:p w14:paraId="789EFED6" w14:textId="0D107EBB" w:rsidR="007A2195" w:rsidRPr="002B5128" w:rsidRDefault="007A2195" w:rsidP="007A2195">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257,4</w:t>
            </w:r>
          </w:p>
        </w:tc>
        <w:tc>
          <w:tcPr>
            <w:tcW w:w="2279" w:type="dxa"/>
            <w:noWrap/>
            <w:vAlign w:val="center"/>
          </w:tcPr>
          <w:p w14:paraId="06A345F7" w14:textId="75ACECEF" w:rsidR="007A2195" w:rsidRPr="002B5128" w:rsidRDefault="007A2195" w:rsidP="007A2195">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-18,1</w:t>
            </w:r>
          </w:p>
        </w:tc>
        <w:tc>
          <w:tcPr>
            <w:tcW w:w="1559" w:type="dxa"/>
            <w:noWrap/>
            <w:vAlign w:val="center"/>
          </w:tcPr>
          <w:p w14:paraId="40BFCFB3" w14:textId="5C7826CF" w:rsidR="007A2195" w:rsidRPr="002B5128" w:rsidRDefault="007A2195" w:rsidP="007A2195">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93,4</w:t>
            </w:r>
          </w:p>
        </w:tc>
      </w:tr>
      <w:tr w:rsidR="002B5128" w:rsidRPr="001054F7" w14:paraId="3A59C9F6" w14:textId="77777777" w:rsidTr="002B37C9">
        <w:tblPrEx>
          <w:jc w:val="left"/>
        </w:tblPrEx>
        <w:trPr>
          <w:trHeight w:val="118"/>
        </w:trPr>
        <w:tc>
          <w:tcPr>
            <w:cnfStyle w:val="001000000000" w:firstRow="0" w:lastRow="0" w:firstColumn="1" w:lastColumn="0" w:oddVBand="0" w:evenVBand="0" w:oddHBand="0" w:evenHBand="0" w:firstRowFirstColumn="0" w:firstRowLastColumn="0" w:lastRowFirstColumn="0" w:lastRowLastColumn="0"/>
            <w:tcW w:w="1080" w:type="dxa"/>
            <w:noWrap/>
          </w:tcPr>
          <w:p w14:paraId="437D49C6" w14:textId="1948E5E1" w:rsidR="002B5128" w:rsidRPr="002B5128" w:rsidRDefault="002B5128" w:rsidP="002B5128">
            <w:pPr>
              <w:jc w:val="center"/>
              <w:rPr>
                <w:rFonts w:cs="Times New Roman"/>
                <w:color w:val="000000"/>
                <w:sz w:val="22"/>
                <w:lang w:eastAsia="lv-LV"/>
              </w:rPr>
            </w:pPr>
            <w:r w:rsidRPr="002B5128">
              <w:rPr>
                <w:rFonts w:cs="Times New Roman"/>
                <w:color w:val="000000"/>
                <w:sz w:val="22"/>
                <w:lang w:eastAsia="lv-LV"/>
              </w:rPr>
              <w:t>2019</w:t>
            </w:r>
          </w:p>
        </w:tc>
        <w:tc>
          <w:tcPr>
            <w:tcW w:w="1080" w:type="dxa"/>
            <w:noWrap/>
            <w:vAlign w:val="center"/>
          </w:tcPr>
          <w:p w14:paraId="38840560" w14:textId="1CA7AF8C" w:rsidR="002B5128" w:rsidRPr="002B5128" w:rsidRDefault="002B5128" w:rsidP="002B5128">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272,6</w:t>
            </w:r>
          </w:p>
        </w:tc>
        <w:tc>
          <w:tcPr>
            <w:tcW w:w="1080" w:type="dxa"/>
            <w:noWrap/>
            <w:vAlign w:val="center"/>
          </w:tcPr>
          <w:p w14:paraId="3BCF028D" w14:textId="68065A49" w:rsidR="002B5128" w:rsidRPr="002B5128" w:rsidRDefault="002B5128" w:rsidP="002B5128">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287,4</w:t>
            </w:r>
          </w:p>
        </w:tc>
        <w:tc>
          <w:tcPr>
            <w:tcW w:w="2279" w:type="dxa"/>
            <w:noWrap/>
            <w:vAlign w:val="center"/>
          </w:tcPr>
          <w:p w14:paraId="0FA1AA6D" w14:textId="56C286D9" w:rsidR="002B5128" w:rsidRPr="002B5128" w:rsidRDefault="002B5128" w:rsidP="002B5128">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14,8</w:t>
            </w:r>
          </w:p>
        </w:tc>
        <w:tc>
          <w:tcPr>
            <w:tcW w:w="1559" w:type="dxa"/>
            <w:noWrap/>
            <w:vAlign w:val="center"/>
          </w:tcPr>
          <w:p w14:paraId="4813CAD9" w14:textId="7FBC14FC" w:rsidR="002B5128" w:rsidRPr="002B5128" w:rsidRDefault="002B5128" w:rsidP="002B5128">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lang w:eastAsia="lv-LV"/>
              </w:rPr>
            </w:pPr>
            <w:r w:rsidRPr="002B5128">
              <w:rPr>
                <w:rFonts w:cs="Times New Roman"/>
                <w:color w:val="000000"/>
                <w:sz w:val="22"/>
                <w:lang w:eastAsia="lv-LV"/>
              </w:rPr>
              <w:t>105,4</w:t>
            </w:r>
          </w:p>
        </w:tc>
      </w:tr>
      <w:tr w:rsidR="00604F97" w:rsidRPr="001054F7" w14:paraId="5B36AB68" w14:textId="77777777" w:rsidTr="002B37C9">
        <w:tblPrEx>
          <w:jc w:val="left"/>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080" w:type="dxa"/>
            <w:noWrap/>
          </w:tcPr>
          <w:p w14:paraId="33BDD023" w14:textId="4BE868BB" w:rsidR="00604F97" w:rsidRPr="002B5128" w:rsidRDefault="00604F97" w:rsidP="00604F97">
            <w:pPr>
              <w:jc w:val="center"/>
              <w:rPr>
                <w:rFonts w:cs="Times New Roman"/>
                <w:color w:val="000000"/>
                <w:lang w:eastAsia="lv-LV"/>
              </w:rPr>
            </w:pPr>
            <w:r w:rsidRPr="00525467">
              <w:rPr>
                <w:rFonts w:cs="Times New Roman"/>
                <w:color w:val="000000"/>
                <w:lang w:eastAsia="lv-LV"/>
              </w:rPr>
              <w:t>2020</w:t>
            </w:r>
          </w:p>
        </w:tc>
        <w:tc>
          <w:tcPr>
            <w:tcW w:w="1080" w:type="dxa"/>
            <w:noWrap/>
            <w:vAlign w:val="center"/>
          </w:tcPr>
          <w:p w14:paraId="13E6AE67" w14:textId="6386C450" w:rsidR="00604F97" w:rsidRPr="00BB69DC" w:rsidRDefault="00604F97" w:rsidP="00604F97">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525467">
              <w:rPr>
                <w:rFonts w:cs="Times New Roman"/>
                <w:color w:val="000000"/>
                <w:lang w:eastAsia="lv-LV"/>
              </w:rPr>
              <w:t>319,7</w:t>
            </w:r>
          </w:p>
        </w:tc>
        <w:tc>
          <w:tcPr>
            <w:tcW w:w="1080" w:type="dxa"/>
            <w:noWrap/>
            <w:vAlign w:val="center"/>
          </w:tcPr>
          <w:p w14:paraId="13BD572C" w14:textId="4426238E" w:rsidR="00604F97" w:rsidRPr="00BB69DC" w:rsidRDefault="00604F97" w:rsidP="00604F97">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525467">
              <w:rPr>
                <w:rFonts w:cs="Times New Roman"/>
                <w:color w:val="000000"/>
                <w:lang w:eastAsia="lv-LV"/>
              </w:rPr>
              <w:t>318,3</w:t>
            </w:r>
          </w:p>
        </w:tc>
        <w:tc>
          <w:tcPr>
            <w:tcW w:w="2279" w:type="dxa"/>
            <w:noWrap/>
            <w:vAlign w:val="center"/>
          </w:tcPr>
          <w:p w14:paraId="61C5FDD6" w14:textId="062EC70C" w:rsidR="00604F97" w:rsidRPr="00BB69DC" w:rsidRDefault="00604F97" w:rsidP="00604F97">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525467">
              <w:rPr>
                <w:rFonts w:cs="Times New Roman"/>
                <w:color w:val="000000"/>
                <w:lang w:eastAsia="lv-LV"/>
              </w:rPr>
              <w:t>-1,4</w:t>
            </w:r>
          </w:p>
        </w:tc>
        <w:tc>
          <w:tcPr>
            <w:tcW w:w="1559" w:type="dxa"/>
            <w:noWrap/>
            <w:vAlign w:val="center"/>
          </w:tcPr>
          <w:p w14:paraId="03A7E632" w14:textId="4B96BD46" w:rsidR="00604F97" w:rsidRPr="00BB69DC" w:rsidRDefault="00604F97" w:rsidP="00604F97">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lang w:eastAsia="lv-LV"/>
              </w:rPr>
            </w:pPr>
            <w:r w:rsidRPr="00525467">
              <w:rPr>
                <w:rFonts w:cs="Times New Roman"/>
                <w:color w:val="000000"/>
                <w:lang w:eastAsia="lv-LV"/>
              </w:rPr>
              <w:t>99,6</w:t>
            </w:r>
          </w:p>
        </w:tc>
      </w:tr>
    </w:tbl>
    <w:p w14:paraId="3F443C8E" w14:textId="77777777" w:rsidR="00A93036" w:rsidRPr="001054F7" w:rsidRDefault="00A93036" w:rsidP="00A93036">
      <w:pPr>
        <w:spacing w:after="0" w:line="240" w:lineRule="auto"/>
        <w:jc w:val="both"/>
        <w:rPr>
          <w:rFonts w:ascii="Times New Roman" w:hAnsi="Times New Roman" w:cs="Times New Roman"/>
          <w:i/>
          <w:color w:val="000000"/>
          <w:sz w:val="20"/>
          <w:szCs w:val="20"/>
          <w:highlight w:val="yellow"/>
          <w:lang w:eastAsia="lv-LV"/>
        </w:rPr>
      </w:pPr>
    </w:p>
    <w:p w14:paraId="54DA01FC" w14:textId="1032EFB4" w:rsidR="00BD7F2B" w:rsidRPr="00EA3A47" w:rsidRDefault="00BD7F2B" w:rsidP="00BD7F2B">
      <w:pPr>
        <w:spacing w:after="0" w:line="240" w:lineRule="auto"/>
        <w:ind w:firstLine="709"/>
        <w:jc w:val="both"/>
        <w:rPr>
          <w:rFonts w:ascii="Times New Roman" w:hAnsi="Times New Roman" w:cs="Times New Roman"/>
          <w:noProof/>
          <w:sz w:val="24"/>
          <w:szCs w:val="24"/>
        </w:rPr>
      </w:pPr>
      <w:r w:rsidRPr="00EA3A47">
        <w:rPr>
          <w:rFonts w:ascii="Times New Roman" w:hAnsi="Times New Roman" w:cs="Times New Roman"/>
          <w:noProof/>
          <w:color w:val="000000" w:themeColor="text1"/>
          <w:sz w:val="24"/>
          <w:szCs w:val="24"/>
        </w:rPr>
        <w:t xml:space="preserve">ES dalībvalstis </w:t>
      </w:r>
      <w:r w:rsidR="00B33FA6">
        <w:rPr>
          <w:rFonts w:ascii="Times New Roman" w:hAnsi="Times New Roman" w:cs="Times New Roman"/>
          <w:noProof/>
          <w:color w:val="000000" w:themeColor="text1"/>
          <w:sz w:val="24"/>
          <w:szCs w:val="24"/>
        </w:rPr>
        <w:t>2020.gada</w:t>
      </w:r>
      <w:r w:rsidRPr="00EA3A47">
        <w:rPr>
          <w:rFonts w:ascii="Times New Roman" w:hAnsi="Times New Roman" w:cs="Times New Roman"/>
          <w:noProof/>
          <w:color w:val="000000" w:themeColor="text1"/>
          <w:sz w:val="24"/>
          <w:szCs w:val="24"/>
        </w:rPr>
        <w:t xml:space="preserve"> jūlija Eiropadomes ārkārtas sanāksmē panāca vienošanos par ES </w:t>
      </w:r>
      <w:r>
        <w:rPr>
          <w:rFonts w:ascii="Times New Roman" w:hAnsi="Times New Roman" w:cs="Times New Roman"/>
          <w:noProof/>
          <w:color w:val="000000" w:themeColor="text1"/>
          <w:sz w:val="24"/>
          <w:szCs w:val="24"/>
        </w:rPr>
        <w:t>daudzgadu budžetu 2021. – 2027.</w:t>
      </w:r>
      <w:r w:rsidRPr="00EA3A47">
        <w:rPr>
          <w:rFonts w:ascii="Times New Roman" w:hAnsi="Times New Roman" w:cs="Times New Roman"/>
          <w:noProof/>
          <w:color w:val="000000" w:themeColor="text1"/>
          <w:sz w:val="24"/>
          <w:szCs w:val="24"/>
        </w:rPr>
        <w:t>gadiem un ES Atveseļošanas instrumentu ES ekonomikas atbalstam izejai no Covid</w:t>
      </w:r>
      <w:r w:rsidRPr="00835CFD">
        <w:rPr>
          <w:rFonts w:ascii="Times New Roman" w:hAnsi="Times New Roman" w:cs="Times New Roman"/>
          <w:color w:val="000000"/>
          <w:sz w:val="24"/>
          <w:szCs w:val="24"/>
        </w:rPr>
        <w:t>–</w:t>
      </w:r>
      <w:r w:rsidRPr="00EA3A47">
        <w:rPr>
          <w:rFonts w:ascii="Times New Roman" w:hAnsi="Times New Roman" w:cs="Times New Roman"/>
          <w:noProof/>
          <w:color w:val="000000" w:themeColor="text1"/>
          <w:sz w:val="24"/>
          <w:szCs w:val="24"/>
        </w:rPr>
        <w:t>19 krīzes elementiem. ES līmeņa Parāda vērtspapīru emisij</w:t>
      </w:r>
      <w:r w:rsidR="006D42CF">
        <w:rPr>
          <w:rFonts w:ascii="Times New Roman" w:hAnsi="Times New Roman" w:cs="Times New Roman"/>
          <w:noProof/>
          <w:color w:val="000000" w:themeColor="text1"/>
          <w:sz w:val="24"/>
          <w:szCs w:val="24"/>
        </w:rPr>
        <w:t>as rezultātā iegūtie 750 mljrd.</w:t>
      </w:r>
      <w:r w:rsidRPr="00EA3A47">
        <w:rPr>
          <w:rFonts w:ascii="Times New Roman" w:hAnsi="Times New Roman" w:cs="Times New Roman"/>
          <w:noProof/>
          <w:color w:val="000000" w:themeColor="text1"/>
          <w:sz w:val="24"/>
          <w:szCs w:val="24"/>
        </w:rPr>
        <w:t xml:space="preserve"> </w:t>
      </w:r>
      <w:r w:rsidRPr="00EA3A47">
        <w:rPr>
          <w:rFonts w:ascii="Times New Roman" w:hAnsi="Times New Roman" w:cs="Times New Roman"/>
          <w:i/>
          <w:noProof/>
          <w:color w:val="000000" w:themeColor="text1"/>
          <w:sz w:val="24"/>
          <w:szCs w:val="24"/>
        </w:rPr>
        <w:t>eur</w:t>
      </w:r>
      <w:r w:rsidR="00B33FA6">
        <w:rPr>
          <w:rFonts w:ascii="Times New Roman" w:hAnsi="Times New Roman" w:cs="Times New Roman"/>
          <w:i/>
          <w:noProof/>
          <w:color w:val="000000" w:themeColor="text1"/>
          <w:sz w:val="24"/>
          <w:szCs w:val="24"/>
        </w:rPr>
        <w:t xml:space="preserve">o </w:t>
      </w:r>
      <w:r w:rsidR="00B33FA6" w:rsidRPr="00BB69DC">
        <w:rPr>
          <w:rFonts w:ascii="Times New Roman" w:hAnsi="Times New Roman" w:cs="Times New Roman"/>
          <w:noProof/>
          <w:color w:val="000000" w:themeColor="text1"/>
          <w:sz w:val="24"/>
          <w:szCs w:val="24"/>
        </w:rPr>
        <w:t>(2018.gada cenās)</w:t>
      </w:r>
      <w:r w:rsidRPr="00EA3A47">
        <w:rPr>
          <w:rFonts w:ascii="Times New Roman" w:hAnsi="Times New Roman" w:cs="Times New Roman"/>
          <w:noProof/>
          <w:color w:val="000000" w:themeColor="text1"/>
          <w:sz w:val="24"/>
          <w:szCs w:val="24"/>
        </w:rPr>
        <w:t xml:space="preserve">, attiecīgi 390 mljrd. </w:t>
      </w:r>
      <w:r w:rsidRPr="00EA3A47">
        <w:rPr>
          <w:rFonts w:ascii="Times New Roman" w:hAnsi="Times New Roman" w:cs="Times New Roman"/>
          <w:i/>
          <w:noProof/>
          <w:color w:val="000000" w:themeColor="text1"/>
          <w:sz w:val="24"/>
          <w:szCs w:val="24"/>
        </w:rPr>
        <w:t>euro</w:t>
      </w:r>
      <w:r w:rsidRPr="00EA3A47">
        <w:rPr>
          <w:rFonts w:ascii="Times New Roman" w:hAnsi="Times New Roman" w:cs="Times New Roman"/>
          <w:noProof/>
          <w:color w:val="000000" w:themeColor="text1"/>
          <w:sz w:val="24"/>
          <w:szCs w:val="24"/>
        </w:rPr>
        <w:t xml:space="preserve"> apmērā tiks piešķirti dalībvalstīm kā</w:t>
      </w:r>
      <w:r w:rsidR="00D35AA5">
        <w:rPr>
          <w:rFonts w:ascii="Times New Roman" w:hAnsi="Times New Roman" w:cs="Times New Roman"/>
          <w:noProof/>
          <w:color w:val="000000" w:themeColor="text1"/>
          <w:sz w:val="24"/>
          <w:szCs w:val="24"/>
        </w:rPr>
        <w:t xml:space="preserve"> </w:t>
      </w:r>
      <w:r w:rsidRPr="00EA3A47">
        <w:rPr>
          <w:rFonts w:ascii="Times New Roman" w:hAnsi="Times New Roman" w:cs="Times New Roman"/>
          <w:noProof/>
          <w:color w:val="000000" w:themeColor="text1"/>
          <w:sz w:val="24"/>
          <w:szCs w:val="24"/>
        </w:rPr>
        <w:t>granti</w:t>
      </w:r>
      <w:r w:rsidR="00D35AA5">
        <w:rPr>
          <w:rFonts w:ascii="Times New Roman" w:hAnsi="Times New Roman" w:cs="Times New Roman"/>
          <w:noProof/>
          <w:color w:val="000000" w:themeColor="text1"/>
          <w:sz w:val="24"/>
          <w:szCs w:val="24"/>
        </w:rPr>
        <w:t xml:space="preserve"> </w:t>
      </w:r>
      <w:r w:rsidRPr="00EA3A47">
        <w:rPr>
          <w:rFonts w:ascii="Times New Roman" w:hAnsi="Times New Roman" w:cs="Times New Roman"/>
          <w:noProof/>
          <w:color w:val="000000" w:themeColor="text1"/>
          <w:sz w:val="24"/>
          <w:szCs w:val="24"/>
        </w:rPr>
        <w:t>un</w:t>
      </w:r>
      <w:r w:rsidR="00D35AA5">
        <w:rPr>
          <w:rFonts w:ascii="Times New Roman" w:hAnsi="Times New Roman" w:cs="Times New Roman"/>
          <w:noProof/>
          <w:color w:val="000000" w:themeColor="text1"/>
          <w:sz w:val="24"/>
          <w:szCs w:val="24"/>
        </w:rPr>
        <w:t xml:space="preserve"> </w:t>
      </w:r>
      <w:r w:rsidRPr="00EA3A47">
        <w:rPr>
          <w:rFonts w:ascii="Times New Roman" w:hAnsi="Times New Roman" w:cs="Times New Roman"/>
          <w:noProof/>
          <w:color w:val="000000" w:themeColor="text1"/>
          <w:sz w:val="24"/>
          <w:szCs w:val="24"/>
        </w:rPr>
        <w:t xml:space="preserve">360 mljrd. </w:t>
      </w:r>
      <w:r w:rsidRPr="00EA3A47">
        <w:rPr>
          <w:rFonts w:ascii="Times New Roman" w:hAnsi="Times New Roman" w:cs="Times New Roman"/>
          <w:i/>
          <w:noProof/>
          <w:color w:val="000000" w:themeColor="text1"/>
          <w:sz w:val="24"/>
          <w:szCs w:val="24"/>
        </w:rPr>
        <w:t>euro</w:t>
      </w:r>
      <w:r w:rsidRPr="00EA3A47">
        <w:rPr>
          <w:rFonts w:ascii="Times New Roman" w:hAnsi="Times New Roman" w:cs="Times New Roman"/>
          <w:noProof/>
          <w:color w:val="000000" w:themeColor="text1"/>
          <w:sz w:val="24"/>
          <w:szCs w:val="24"/>
        </w:rPr>
        <w:t xml:space="preserve"> tiks izsniegti aizdevumu formā. Šie līdzekļi tiks integrēti ES budžetā un  izmantoti ES budž</w:t>
      </w:r>
      <w:r w:rsidR="006D42CF">
        <w:rPr>
          <w:rFonts w:ascii="Times New Roman" w:hAnsi="Times New Roman" w:cs="Times New Roman"/>
          <w:noProof/>
          <w:color w:val="000000" w:themeColor="text1"/>
          <w:sz w:val="24"/>
          <w:szCs w:val="24"/>
        </w:rPr>
        <w:t xml:space="preserve">eta </w:t>
      </w:r>
      <w:r w:rsidRPr="00EA3A47">
        <w:rPr>
          <w:rFonts w:ascii="Times New Roman" w:hAnsi="Times New Roman" w:cs="Times New Roman"/>
          <w:noProof/>
          <w:color w:val="000000" w:themeColor="text1"/>
          <w:sz w:val="24"/>
          <w:szCs w:val="24"/>
        </w:rPr>
        <w:t>programmām un fondiem. ES aizņēmumu starptautiskajos finanšu tirgos</w:t>
      </w:r>
      <w:r>
        <w:rPr>
          <w:rFonts w:ascii="Times New Roman" w:hAnsi="Times New Roman" w:cs="Times New Roman"/>
          <w:noProof/>
          <w:color w:val="000000" w:themeColor="text1"/>
          <w:sz w:val="24"/>
          <w:szCs w:val="24"/>
        </w:rPr>
        <w:t xml:space="preserve"> ir plānots atmaksāt līdz 2058.</w:t>
      </w:r>
      <w:r w:rsidRPr="00EA3A47">
        <w:rPr>
          <w:rFonts w:ascii="Times New Roman" w:hAnsi="Times New Roman" w:cs="Times New Roman"/>
          <w:noProof/>
          <w:color w:val="000000" w:themeColor="text1"/>
          <w:sz w:val="24"/>
          <w:szCs w:val="24"/>
        </w:rPr>
        <w:t xml:space="preserve">gada beigām no jauniem pašu resursiem, kas tiks ierosināti pēc 2021.gada, un no neizmantotajiem procentu maksājumiem. </w:t>
      </w:r>
    </w:p>
    <w:p w14:paraId="4A8B016E" w14:textId="0D2288C9" w:rsidR="00BD7F2B" w:rsidRPr="00EA3A47" w:rsidRDefault="00BD7F2B" w:rsidP="00BD7F2B">
      <w:pPr>
        <w:pStyle w:val="Text2"/>
        <w:spacing w:after="0"/>
        <w:ind w:left="0" w:firstLine="709"/>
        <w:rPr>
          <w:rFonts w:eastAsia="Arial Unicode MS"/>
          <w:noProof/>
          <w:szCs w:val="24"/>
        </w:rPr>
      </w:pPr>
      <w:r w:rsidRPr="00EA3A47">
        <w:rPr>
          <w:noProof/>
          <w:color w:val="000000" w:themeColor="text1"/>
          <w:szCs w:val="24"/>
        </w:rPr>
        <w:t>Finansējumu nodrošinās Lēmums par pašu resursiem</w:t>
      </w:r>
      <w:r w:rsidR="00604F97">
        <w:rPr>
          <w:rStyle w:val="FootnoteReference"/>
          <w:noProof/>
          <w:color w:val="000000" w:themeColor="text1"/>
          <w:szCs w:val="24"/>
        </w:rPr>
        <w:footnoteReference w:id="8"/>
      </w:r>
      <w:r w:rsidRPr="00EA3A47">
        <w:rPr>
          <w:noProof/>
          <w:color w:val="000000" w:themeColor="text1"/>
          <w:szCs w:val="24"/>
        </w:rPr>
        <w:t xml:space="preserve">, kas ļaus </w:t>
      </w:r>
      <w:r w:rsidR="00CA7612">
        <w:rPr>
          <w:noProof/>
          <w:color w:val="000000" w:themeColor="text1"/>
          <w:szCs w:val="24"/>
        </w:rPr>
        <w:t xml:space="preserve">Eiropas Komisijai (turpmāk – EK) </w:t>
      </w:r>
      <w:r w:rsidRPr="00EA3A47">
        <w:rPr>
          <w:noProof/>
          <w:color w:val="000000" w:themeColor="text1"/>
          <w:szCs w:val="24"/>
        </w:rPr>
        <w:t xml:space="preserve">ES vārdā aizņemties līdz 750 mljrd. </w:t>
      </w:r>
      <w:r w:rsidRPr="00EA3A47">
        <w:rPr>
          <w:i/>
          <w:noProof/>
          <w:color w:val="000000" w:themeColor="text1"/>
          <w:szCs w:val="24"/>
        </w:rPr>
        <w:t>euro</w:t>
      </w:r>
      <w:r w:rsidRPr="00EA3A47">
        <w:rPr>
          <w:noProof/>
          <w:color w:val="000000" w:themeColor="text1"/>
          <w:szCs w:val="24"/>
        </w:rPr>
        <w:t xml:space="preserve"> pasākumiem laikposmā no 2021. līdz 2026.gadam. </w:t>
      </w:r>
      <w:r w:rsidRPr="00EA3A47">
        <w:rPr>
          <w:noProof/>
          <w:szCs w:val="24"/>
        </w:rPr>
        <w:t xml:space="preserve">Nolūkā nodrošināt budžeta spējas, kas vajadzīgas, lai uzņemtos iespējamās saistības, kas attiecas uz </w:t>
      </w:r>
      <w:r w:rsidRPr="00EA3A47">
        <w:rPr>
          <w:i/>
          <w:iCs/>
          <w:noProof/>
          <w:szCs w:val="24"/>
        </w:rPr>
        <w:t>Next Generation EU</w:t>
      </w:r>
      <w:r w:rsidRPr="00EA3A47">
        <w:rPr>
          <w:noProof/>
          <w:szCs w:val="24"/>
        </w:rPr>
        <w:t xml:space="preserve"> instrumenta finansēšanu, un saskaņā ar budžeta disciplīnas prasībām pārskatītais Lēmums par pašu resursiem paredzēs pašu resursu maksimālo apjomu saistībām un maksājumiem ārkārtas un pagaidu palielinājumu par 0,6 % no ES NKI. Maksimālo apjomu palielināšanu izmantos vienīgi, lai risinātu ar Covid</w:t>
      </w:r>
      <w:r w:rsidRPr="00835CFD">
        <w:rPr>
          <w:color w:val="000000"/>
          <w:szCs w:val="24"/>
        </w:rPr>
        <w:t>–</w:t>
      </w:r>
      <w:r w:rsidRPr="00EA3A47">
        <w:rPr>
          <w:noProof/>
          <w:szCs w:val="24"/>
        </w:rPr>
        <w:t xml:space="preserve">19 krīzi saistītās vajadzības, un tā nepārsniegs laiku, kas vajadzīgs, lai segtu šīs saistības. </w:t>
      </w:r>
    </w:p>
    <w:p w14:paraId="51C2AD7B" w14:textId="7E98CCBF" w:rsidR="00BD7F2B" w:rsidRPr="00EA3A47" w:rsidRDefault="00BD7F2B" w:rsidP="00BD7F2B">
      <w:pPr>
        <w:spacing w:after="0" w:line="240" w:lineRule="auto"/>
        <w:jc w:val="both"/>
        <w:rPr>
          <w:rFonts w:ascii="Times New Roman" w:hAnsi="Times New Roman" w:cs="Times New Roman"/>
          <w:noProof/>
          <w:color w:val="000000" w:themeColor="text1"/>
          <w:sz w:val="24"/>
          <w:szCs w:val="24"/>
        </w:rPr>
      </w:pPr>
      <w:r w:rsidRPr="00EA3A47">
        <w:rPr>
          <w:rFonts w:ascii="Times New Roman" w:hAnsi="Times New Roman" w:cs="Times New Roman"/>
          <w:noProof/>
          <w:color w:val="000000" w:themeColor="text1"/>
          <w:sz w:val="24"/>
          <w:szCs w:val="24"/>
        </w:rPr>
        <w:t>Pašlaik nav zināms, kad sāksies aizņemto līdzekļu pamatsummas atmaksa no jauniem pašu resursiem, tomēr paredzams, ka aizņēmuma proc</w:t>
      </w:r>
      <w:r>
        <w:rPr>
          <w:rFonts w:ascii="Times New Roman" w:hAnsi="Times New Roman" w:cs="Times New Roman"/>
          <w:noProof/>
          <w:color w:val="000000" w:themeColor="text1"/>
          <w:sz w:val="24"/>
          <w:szCs w:val="24"/>
        </w:rPr>
        <w:t>entu maksājumi sāksies ar 202</w:t>
      </w:r>
      <w:r w:rsidR="009B2174">
        <w:rPr>
          <w:rFonts w:ascii="Times New Roman" w:hAnsi="Times New Roman" w:cs="Times New Roman"/>
          <w:noProof/>
          <w:color w:val="000000" w:themeColor="text1"/>
          <w:sz w:val="24"/>
          <w:szCs w:val="24"/>
        </w:rPr>
        <w:t>2</w:t>
      </w:r>
      <w:r>
        <w:rPr>
          <w:rFonts w:ascii="Times New Roman" w:hAnsi="Times New Roman" w:cs="Times New Roman"/>
          <w:noProof/>
          <w:color w:val="000000" w:themeColor="text1"/>
          <w:sz w:val="24"/>
          <w:szCs w:val="24"/>
        </w:rPr>
        <w:t>.</w:t>
      </w:r>
      <w:r w:rsidRPr="00EA3A47">
        <w:rPr>
          <w:rFonts w:ascii="Times New Roman" w:hAnsi="Times New Roman" w:cs="Times New Roman"/>
          <w:noProof/>
          <w:color w:val="000000" w:themeColor="text1"/>
          <w:sz w:val="24"/>
          <w:szCs w:val="24"/>
        </w:rPr>
        <w:t>gadu – provizoriski palielinot Latvijas iemaksas ES budžetā 202</w:t>
      </w:r>
      <w:r w:rsidR="009B2174">
        <w:rPr>
          <w:rFonts w:ascii="Times New Roman" w:hAnsi="Times New Roman" w:cs="Times New Roman"/>
          <w:noProof/>
          <w:color w:val="000000" w:themeColor="text1"/>
          <w:sz w:val="24"/>
          <w:szCs w:val="24"/>
        </w:rPr>
        <w:t>2</w:t>
      </w:r>
      <w:r w:rsidRPr="00EA3A47">
        <w:rPr>
          <w:rFonts w:ascii="Times New Roman" w:hAnsi="Times New Roman" w:cs="Times New Roman"/>
          <w:noProof/>
          <w:color w:val="000000" w:themeColor="text1"/>
          <w:sz w:val="24"/>
          <w:szCs w:val="24"/>
        </w:rPr>
        <w:t>.gadā par 0,</w:t>
      </w:r>
      <w:r w:rsidR="009B2174">
        <w:rPr>
          <w:rFonts w:ascii="Times New Roman" w:hAnsi="Times New Roman" w:cs="Times New Roman"/>
          <w:noProof/>
          <w:color w:val="000000" w:themeColor="text1"/>
          <w:sz w:val="24"/>
          <w:szCs w:val="24"/>
        </w:rPr>
        <w:t>850</w:t>
      </w:r>
      <w:r w:rsidRPr="00EA3A47">
        <w:rPr>
          <w:rFonts w:ascii="Times New Roman" w:hAnsi="Times New Roman" w:cs="Times New Roman"/>
          <w:noProof/>
          <w:color w:val="000000" w:themeColor="text1"/>
          <w:sz w:val="24"/>
          <w:szCs w:val="24"/>
        </w:rPr>
        <w:t xml:space="preserve"> milj. </w:t>
      </w:r>
      <w:r w:rsidRPr="00EA3A47">
        <w:rPr>
          <w:rFonts w:ascii="Times New Roman" w:hAnsi="Times New Roman" w:cs="Times New Roman"/>
          <w:i/>
          <w:noProof/>
          <w:color w:val="000000" w:themeColor="text1"/>
          <w:sz w:val="24"/>
          <w:szCs w:val="24"/>
        </w:rPr>
        <w:t>euro</w:t>
      </w:r>
      <w:r w:rsidR="009B2174">
        <w:rPr>
          <w:rFonts w:ascii="Times New Roman" w:hAnsi="Times New Roman" w:cs="Times New Roman"/>
          <w:noProof/>
          <w:color w:val="000000" w:themeColor="text1"/>
          <w:sz w:val="24"/>
          <w:szCs w:val="24"/>
        </w:rPr>
        <w:t xml:space="preserve">. </w:t>
      </w:r>
      <w:r w:rsidRPr="00EA3A47">
        <w:rPr>
          <w:rFonts w:ascii="Times New Roman" w:hAnsi="Times New Roman" w:cs="Times New Roman"/>
          <w:noProof/>
          <w:color w:val="000000" w:themeColor="text1"/>
          <w:sz w:val="24"/>
          <w:szCs w:val="24"/>
        </w:rPr>
        <w:t>Tā kā nav precīzi zināms pamatsummas atmaksas sākuma datums un vai jauna pa</w:t>
      </w:r>
      <w:r w:rsidR="009B2174">
        <w:rPr>
          <w:rFonts w:ascii="Times New Roman" w:hAnsi="Times New Roman" w:cs="Times New Roman"/>
          <w:noProof/>
          <w:color w:val="000000" w:themeColor="text1"/>
          <w:sz w:val="24"/>
          <w:szCs w:val="24"/>
        </w:rPr>
        <w:t>š</w:t>
      </w:r>
      <w:r w:rsidRPr="00EA3A47">
        <w:rPr>
          <w:rFonts w:ascii="Times New Roman" w:hAnsi="Times New Roman" w:cs="Times New Roman"/>
          <w:noProof/>
          <w:color w:val="000000" w:themeColor="text1"/>
          <w:sz w:val="24"/>
          <w:szCs w:val="24"/>
        </w:rPr>
        <w:t>u resursa izmantošanas gadījumā tas būs jākompensē ar papildus NKI iemaksām, tad pašlaik to var vērtēt kā nekvantificējamu fiskālo risku. Tāpat šobrīd nav konkrēti nosakāms iemaksu apjoms, lai segtu procentu maksājumus. Tādēļ pašlaik Covid</w:t>
      </w:r>
      <w:r w:rsidR="00AC2BFF" w:rsidRPr="00FA4A22">
        <w:rPr>
          <w:rFonts w:cs="Times New Roman"/>
          <w:color w:val="000000" w:themeColor="text1"/>
          <w:szCs w:val="24"/>
        </w:rPr>
        <w:t>–</w:t>
      </w:r>
      <w:r w:rsidRPr="00EA3A47">
        <w:rPr>
          <w:rFonts w:ascii="Times New Roman" w:hAnsi="Times New Roman" w:cs="Times New Roman"/>
          <w:noProof/>
          <w:color w:val="000000" w:themeColor="text1"/>
          <w:sz w:val="24"/>
          <w:szCs w:val="24"/>
        </w:rPr>
        <w:t xml:space="preserve">19 krīzes seku mazināšanas pasākumu ietekme netiek iekļauta fiskālā nodrošinājuma rezerves aprēķinā. </w:t>
      </w:r>
    </w:p>
    <w:p w14:paraId="5CBED3B7" w14:textId="77777777" w:rsidR="006D42CF" w:rsidRPr="0020533D" w:rsidRDefault="006D42CF" w:rsidP="00BD7F2B">
      <w:pPr>
        <w:spacing w:after="0" w:line="240" w:lineRule="auto"/>
        <w:ind w:firstLine="567"/>
        <w:jc w:val="both"/>
        <w:rPr>
          <w:rFonts w:ascii="Times New Roman" w:hAnsi="Times New Roman" w:cs="Times New Roman"/>
          <w:noProof/>
          <w:color w:val="000000" w:themeColor="text1"/>
          <w:sz w:val="16"/>
          <w:szCs w:val="16"/>
        </w:rPr>
      </w:pPr>
    </w:p>
    <w:p w14:paraId="038B2F84" w14:textId="77777777" w:rsidR="006D6C33" w:rsidRPr="00075814" w:rsidRDefault="006D6C33" w:rsidP="006D6C33">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32" w:name="_Toc47532071"/>
      <w:bookmarkStart w:id="33" w:name="_Toc80111855"/>
      <w:bookmarkStart w:id="34" w:name="_Toc405371080"/>
      <w:bookmarkStart w:id="35" w:name="_Toc536779065"/>
      <w:r w:rsidRPr="00075814">
        <w:rPr>
          <w:rFonts w:ascii="Times New Roman" w:hAnsi="Times New Roman" w:cs="Times New Roman"/>
          <w:color w:val="auto"/>
          <w:sz w:val="24"/>
          <w:szCs w:val="24"/>
        </w:rPr>
        <w:t>Eiropas Savienības politiku instrumentu un citu ārvalstu finanšu palīdzības programmas</w:t>
      </w:r>
      <w:bookmarkEnd w:id="32"/>
      <w:bookmarkEnd w:id="33"/>
    </w:p>
    <w:bookmarkEnd w:id="34"/>
    <w:bookmarkEnd w:id="35"/>
    <w:p w14:paraId="24DCB4DE" w14:textId="77777777" w:rsidR="00481389" w:rsidRPr="008C76AB" w:rsidRDefault="00481389" w:rsidP="00C61AD7">
      <w:pPr>
        <w:spacing w:after="0" w:line="240" w:lineRule="auto"/>
        <w:ind w:firstLine="720"/>
        <w:jc w:val="both"/>
        <w:rPr>
          <w:rFonts w:ascii="Times New Roman" w:eastAsiaTheme="majorEastAsia" w:hAnsi="Times New Roman"/>
          <w:sz w:val="24"/>
          <w:szCs w:val="24"/>
        </w:rPr>
      </w:pPr>
      <w:r w:rsidRPr="00075814">
        <w:rPr>
          <w:rFonts w:ascii="Times New Roman" w:eastAsiaTheme="minorHAnsi" w:hAnsi="Times New Roman"/>
          <w:sz w:val="24"/>
        </w:rPr>
        <w:t>Fiskālais risks attiecas uz p</w:t>
      </w:r>
      <w:r w:rsidRPr="00075814">
        <w:rPr>
          <w:rFonts w:ascii="Times New Roman" w:eastAsiaTheme="majorEastAsia" w:hAnsi="Times New Roman"/>
          <w:sz w:val="24"/>
          <w:szCs w:val="24"/>
        </w:rPr>
        <w:t>rojektu un pasākumu īstenošanai nepieciešamo un no attiecīgās programmas neatmaksājamo</w:t>
      </w:r>
      <w:r w:rsidRPr="008C76AB">
        <w:rPr>
          <w:rFonts w:ascii="Times New Roman" w:eastAsiaTheme="majorEastAsia" w:hAnsi="Times New Roman"/>
          <w:sz w:val="24"/>
          <w:szCs w:val="24"/>
        </w:rPr>
        <w:t xml:space="preserve"> izdevumu pieaugumu tādām ES politiku instrumentu un citām ārvalstu finanšu palīdzības programmām, kurām netiek piemērota izdevumu izlīdzināšana. Atbilstoši FDL izdevumu izlīdzināšana tiek piemērota ES struktūrfondiem, Kohēzijas fondam, kopējās lauksaimniecības politikas un kopējās zivsaimniecības politikas izdevumiem. </w:t>
      </w:r>
    </w:p>
    <w:p w14:paraId="42138124" w14:textId="7522087C" w:rsidR="00561836" w:rsidRPr="00236D3A" w:rsidRDefault="00561836" w:rsidP="00561836">
      <w:pPr>
        <w:spacing w:after="0" w:line="240" w:lineRule="auto"/>
        <w:ind w:firstLine="720"/>
        <w:jc w:val="both"/>
        <w:rPr>
          <w:rFonts w:ascii="Times New Roman" w:eastAsiaTheme="minorHAnsi" w:hAnsi="Times New Roman" w:cs="Times New Roman"/>
          <w:sz w:val="24"/>
        </w:rPr>
      </w:pPr>
      <w:r w:rsidRPr="00236D3A">
        <w:rPr>
          <w:rFonts w:ascii="Times New Roman" w:eastAsiaTheme="minorHAnsi" w:hAnsi="Times New Roman" w:cs="Times New Roman"/>
          <w:sz w:val="24"/>
        </w:rPr>
        <w:t>Dati</w:t>
      </w:r>
      <w:r w:rsidR="0017502C" w:rsidRPr="00236D3A">
        <w:rPr>
          <w:rFonts w:ascii="Times New Roman" w:eastAsiaTheme="minorHAnsi" w:hAnsi="Times New Roman" w:cs="Times New Roman"/>
          <w:sz w:val="24"/>
        </w:rPr>
        <w:t>, kas attēloti tabulā Nr.</w:t>
      </w:r>
      <w:r w:rsidR="00BA7CFE">
        <w:rPr>
          <w:rFonts w:ascii="Times New Roman" w:eastAsiaTheme="minorHAnsi" w:hAnsi="Times New Roman" w:cs="Times New Roman"/>
          <w:sz w:val="24"/>
        </w:rPr>
        <w:t>6</w:t>
      </w:r>
      <w:r w:rsidR="00BA7CFE" w:rsidRPr="00236D3A">
        <w:rPr>
          <w:rFonts w:ascii="Times New Roman" w:eastAsiaTheme="minorHAnsi" w:hAnsi="Times New Roman" w:cs="Times New Roman"/>
          <w:sz w:val="24"/>
        </w:rPr>
        <w:t xml:space="preserve"> </w:t>
      </w:r>
      <w:r w:rsidR="0017502C" w:rsidRPr="00236D3A">
        <w:rPr>
          <w:rFonts w:ascii="Times New Roman" w:eastAsiaTheme="minorHAnsi" w:hAnsi="Times New Roman"/>
          <w:color w:val="000000" w:themeColor="text1"/>
          <w:sz w:val="24"/>
        </w:rPr>
        <w:t>ES politiku instrumentu un citu ārvalstu finanšu palīdzības programmu izdevumi</w:t>
      </w:r>
      <w:r w:rsidR="0017502C" w:rsidRPr="00236D3A">
        <w:rPr>
          <w:rFonts w:ascii="Times New Roman" w:eastAsiaTheme="minorHAnsi" w:hAnsi="Times New Roman" w:cs="Times New Roman"/>
          <w:sz w:val="24"/>
        </w:rPr>
        <w:t>,</w:t>
      </w:r>
      <w:r w:rsidRPr="00236D3A">
        <w:rPr>
          <w:rFonts w:ascii="Times New Roman" w:eastAsiaTheme="minorHAnsi" w:hAnsi="Times New Roman" w:cs="Times New Roman"/>
          <w:sz w:val="24"/>
        </w:rPr>
        <w:t xml:space="preserve"> līdz </w:t>
      </w:r>
      <w:r w:rsidR="00FF5D99" w:rsidRPr="00236D3A">
        <w:rPr>
          <w:rFonts w:ascii="Times New Roman" w:eastAsiaTheme="minorHAnsi" w:hAnsi="Times New Roman" w:cs="Times New Roman"/>
          <w:sz w:val="24"/>
        </w:rPr>
        <w:t>20</w:t>
      </w:r>
      <w:r w:rsidR="007E32D4">
        <w:rPr>
          <w:rFonts w:ascii="Times New Roman" w:eastAsiaTheme="minorHAnsi" w:hAnsi="Times New Roman" w:cs="Times New Roman"/>
          <w:sz w:val="24"/>
        </w:rPr>
        <w:t>20</w:t>
      </w:r>
      <w:r w:rsidR="00FD7788" w:rsidRPr="00236D3A">
        <w:rPr>
          <w:rFonts w:ascii="Times New Roman" w:eastAsiaTheme="minorHAnsi" w:hAnsi="Times New Roman" w:cs="Times New Roman"/>
          <w:sz w:val="24"/>
        </w:rPr>
        <w:t>.</w:t>
      </w:r>
      <w:r w:rsidRPr="00236D3A">
        <w:rPr>
          <w:rFonts w:ascii="Times New Roman" w:eastAsiaTheme="minorHAnsi" w:hAnsi="Times New Roman" w:cs="Times New Roman"/>
          <w:sz w:val="24"/>
        </w:rPr>
        <w:t xml:space="preserve">gadam norāda, ka visām iepriekš minētajām ES politiku instrumentu un citu ārvalstu finanšu palīdzības programmām faktiskie izdevumi apskatāmajā laika periodā ir mazāki nekā plānotie. Ņemot vērā tabulā vērojamo tendenci, pašlaik fiskālais risks, ka izdevumi pārsniegs plānotos, ir zems un fiskālais risks netiek iekļauts fiskālās nodrošinājuma rezerves aprēķinā. </w:t>
      </w:r>
    </w:p>
    <w:p w14:paraId="427EEB08" w14:textId="77777777" w:rsidR="003A5AE9" w:rsidRPr="0020533D" w:rsidRDefault="003A5AE9" w:rsidP="00481389">
      <w:pPr>
        <w:jc w:val="right"/>
        <w:rPr>
          <w:rFonts w:ascii="Times New Roman" w:eastAsiaTheme="minorHAnsi" w:hAnsi="Times New Roman"/>
          <w:b/>
          <w:color w:val="000000" w:themeColor="text1"/>
          <w:sz w:val="16"/>
          <w:szCs w:val="16"/>
        </w:rPr>
      </w:pPr>
    </w:p>
    <w:p w14:paraId="58BD0CA2" w14:textId="3C0C64AC" w:rsidR="00481389" w:rsidRPr="008C76AB" w:rsidRDefault="00481389" w:rsidP="00481389">
      <w:pPr>
        <w:jc w:val="right"/>
        <w:rPr>
          <w:rFonts w:ascii="Times New Roman" w:eastAsiaTheme="minorHAnsi" w:hAnsi="Times New Roman"/>
          <w:b/>
          <w:i/>
          <w:color w:val="000000" w:themeColor="text1"/>
          <w:sz w:val="24"/>
        </w:rPr>
      </w:pPr>
      <w:r w:rsidRPr="008C76AB">
        <w:rPr>
          <w:rFonts w:ascii="Times New Roman" w:eastAsiaTheme="minorHAnsi" w:hAnsi="Times New Roman"/>
          <w:b/>
          <w:color w:val="000000" w:themeColor="text1"/>
          <w:sz w:val="24"/>
        </w:rPr>
        <w:lastRenderedPageBreak/>
        <w:t>Tabula Nr.</w:t>
      </w:r>
      <w:r w:rsidR="00BA7CFE">
        <w:rPr>
          <w:rFonts w:ascii="Times New Roman" w:eastAsiaTheme="minorHAnsi" w:hAnsi="Times New Roman"/>
          <w:b/>
          <w:color w:val="000000" w:themeColor="text1"/>
          <w:sz w:val="24"/>
        </w:rPr>
        <w:t>6</w:t>
      </w:r>
      <w:r w:rsidR="00BA7CFE" w:rsidRPr="008C76AB">
        <w:rPr>
          <w:rFonts w:ascii="Times New Roman" w:eastAsiaTheme="minorHAnsi" w:hAnsi="Times New Roman"/>
          <w:b/>
          <w:color w:val="000000" w:themeColor="text1"/>
          <w:sz w:val="24"/>
        </w:rPr>
        <w:t xml:space="preserve"> </w:t>
      </w:r>
      <w:r w:rsidRPr="008C76AB">
        <w:rPr>
          <w:rFonts w:ascii="Times New Roman" w:eastAsiaTheme="minorHAnsi" w:hAnsi="Times New Roman"/>
          <w:b/>
          <w:color w:val="000000" w:themeColor="text1"/>
          <w:sz w:val="24"/>
        </w:rPr>
        <w:t xml:space="preserve">ES politiku instrumentu un citu ārvalstu finanšu palīdzības programmu izdevumi, milj. </w:t>
      </w:r>
      <w:r w:rsidRPr="008C76AB">
        <w:rPr>
          <w:rFonts w:ascii="Times New Roman" w:eastAsiaTheme="minorHAnsi" w:hAnsi="Times New Roman"/>
          <w:b/>
          <w:i/>
          <w:color w:val="000000" w:themeColor="text1"/>
          <w:sz w:val="24"/>
        </w:rPr>
        <w:t>euro</w:t>
      </w:r>
    </w:p>
    <w:tbl>
      <w:tblPr>
        <w:tblW w:w="0" w:type="auto"/>
        <w:tblInd w:w="-577" w:type="dxa"/>
        <w:tblLook w:val="04A0" w:firstRow="1" w:lastRow="0" w:firstColumn="1" w:lastColumn="0" w:noHBand="0" w:noVBand="1"/>
      </w:tblPr>
      <w:tblGrid>
        <w:gridCol w:w="724"/>
        <w:gridCol w:w="921"/>
        <w:gridCol w:w="787"/>
        <w:gridCol w:w="787"/>
        <w:gridCol w:w="741"/>
        <w:gridCol w:w="741"/>
        <w:gridCol w:w="741"/>
        <w:gridCol w:w="787"/>
        <w:gridCol w:w="787"/>
        <w:gridCol w:w="787"/>
        <w:gridCol w:w="787"/>
        <w:gridCol w:w="741"/>
      </w:tblGrid>
      <w:tr w:rsidR="008F384D" w:rsidRPr="008C76AB" w14:paraId="0FDA091C" w14:textId="77777777" w:rsidTr="00672A66">
        <w:trPr>
          <w:cantSplit/>
          <w:trHeight w:val="2565"/>
        </w:trPr>
        <w:tc>
          <w:tcPr>
            <w:tcW w:w="1645" w:type="dxa"/>
            <w:gridSpan w:val="2"/>
            <w:tcBorders>
              <w:top w:val="single" w:sz="8" w:space="0" w:color="9CC2E5"/>
              <w:left w:val="single" w:sz="8" w:space="0" w:color="9CC2E5"/>
              <w:bottom w:val="single" w:sz="12" w:space="0" w:color="9CC2E5"/>
              <w:right w:val="single" w:sz="8" w:space="0" w:color="9CC2E5"/>
            </w:tcBorders>
            <w:shd w:val="clear" w:color="auto" w:fill="auto"/>
            <w:noWrap/>
            <w:textDirection w:val="btLr"/>
            <w:vAlign w:val="center"/>
            <w:hideMark/>
          </w:tcPr>
          <w:p w14:paraId="4B679625"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Gads/rādītājs</w:t>
            </w:r>
          </w:p>
        </w:tc>
        <w:tc>
          <w:tcPr>
            <w:tcW w:w="787" w:type="dxa"/>
            <w:tcBorders>
              <w:top w:val="single" w:sz="8" w:space="0" w:color="9CC2E5"/>
              <w:left w:val="nil"/>
              <w:bottom w:val="single" w:sz="12" w:space="0" w:color="9CC2E5"/>
              <w:right w:val="single" w:sz="8" w:space="0" w:color="9CC2E5"/>
            </w:tcBorders>
            <w:shd w:val="clear" w:color="auto" w:fill="auto"/>
            <w:textDirection w:val="btLr"/>
            <w:vAlign w:val="center"/>
            <w:hideMark/>
          </w:tcPr>
          <w:p w14:paraId="5FF7DE1C"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Eiropas transporta, telekomunikāciju un enerģijas infrastruktūras tīkli un Eiropas infrastruktūras savienošanas instruments</w:t>
            </w:r>
          </w:p>
        </w:tc>
        <w:tc>
          <w:tcPr>
            <w:tcW w:w="787" w:type="dxa"/>
            <w:tcBorders>
              <w:top w:val="single" w:sz="8" w:space="0" w:color="9CC2E5"/>
              <w:left w:val="nil"/>
              <w:bottom w:val="single" w:sz="12" w:space="0" w:color="9CC2E5"/>
              <w:right w:val="single" w:sz="8" w:space="0" w:color="9CC2E5"/>
            </w:tcBorders>
            <w:shd w:val="clear" w:color="auto" w:fill="auto"/>
            <w:textDirection w:val="btLr"/>
            <w:vAlign w:val="center"/>
            <w:hideMark/>
          </w:tcPr>
          <w:p w14:paraId="4310BBC0"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Eiropas Kopienas iniciatīvas</w:t>
            </w:r>
          </w:p>
        </w:tc>
        <w:tc>
          <w:tcPr>
            <w:tcW w:w="0" w:type="auto"/>
            <w:tcBorders>
              <w:top w:val="single" w:sz="8" w:space="0" w:color="9CC2E5"/>
              <w:left w:val="nil"/>
              <w:bottom w:val="single" w:sz="12" w:space="0" w:color="9CC2E5"/>
              <w:right w:val="single" w:sz="8" w:space="0" w:color="9CC2E5"/>
            </w:tcBorders>
            <w:shd w:val="clear" w:color="auto" w:fill="auto"/>
            <w:textDirection w:val="btLr"/>
            <w:vAlign w:val="center"/>
            <w:hideMark/>
          </w:tcPr>
          <w:p w14:paraId="73FF9DF2"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Citas Eiropas Kopienas iniciatīvas</w:t>
            </w:r>
          </w:p>
        </w:tc>
        <w:tc>
          <w:tcPr>
            <w:tcW w:w="0" w:type="auto"/>
            <w:tcBorders>
              <w:top w:val="single" w:sz="8" w:space="0" w:color="9CC2E5"/>
              <w:left w:val="nil"/>
              <w:bottom w:val="single" w:sz="12" w:space="0" w:color="9CC2E5"/>
              <w:right w:val="single" w:sz="8" w:space="0" w:color="9CC2E5"/>
            </w:tcBorders>
            <w:shd w:val="clear" w:color="auto" w:fill="auto"/>
            <w:textDirection w:val="btLr"/>
            <w:vAlign w:val="center"/>
            <w:hideMark/>
          </w:tcPr>
          <w:p w14:paraId="305B4E04"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3.mērķis „Eiropas teritoriālā sadarbība”</w:t>
            </w:r>
          </w:p>
        </w:tc>
        <w:tc>
          <w:tcPr>
            <w:tcW w:w="0" w:type="auto"/>
            <w:tcBorders>
              <w:top w:val="single" w:sz="8" w:space="0" w:color="9CC2E5"/>
              <w:left w:val="nil"/>
              <w:bottom w:val="single" w:sz="12" w:space="0" w:color="9CC2E5"/>
              <w:right w:val="single" w:sz="8" w:space="0" w:color="9CC2E5"/>
            </w:tcBorders>
            <w:shd w:val="clear" w:color="auto" w:fill="auto"/>
            <w:textDirection w:val="btLr"/>
            <w:vAlign w:val="center"/>
            <w:hideMark/>
          </w:tcPr>
          <w:p w14:paraId="39CCC818"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Citi Eiropas Savienības politiku instrumenti</w:t>
            </w:r>
          </w:p>
        </w:tc>
        <w:tc>
          <w:tcPr>
            <w:tcW w:w="787" w:type="dxa"/>
            <w:tcBorders>
              <w:top w:val="single" w:sz="8" w:space="0" w:color="9CC2E5"/>
              <w:left w:val="nil"/>
              <w:bottom w:val="single" w:sz="12" w:space="0" w:color="9CC2E5"/>
              <w:right w:val="single" w:sz="8" w:space="0" w:color="9CC2E5"/>
            </w:tcBorders>
            <w:shd w:val="clear" w:color="auto" w:fill="auto"/>
            <w:textDirection w:val="btLr"/>
            <w:vAlign w:val="center"/>
            <w:hideMark/>
          </w:tcPr>
          <w:p w14:paraId="002515FE"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Ārvalstu finanšu palīdzības līdzfinansētie projekti</w:t>
            </w:r>
          </w:p>
        </w:tc>
        <w:tc>
          <w:tcPr>
            <w:tcW w:w="787" w:type="dxa"/>
            <w:tcBorders>
              <w:top w:val="single" w:sz="8" w:space="0" w:color="9CC2E5"/>
              <w:left w:val="nil"/>
              <w:bottom w:val="single" w:sz="12" w:space="0" w:color="9CC2E5"/>
              <w:right w:val="single" w:sz="8" w:space="0" w:color="9CC2E5"/>
            </w:tcBorders>
            <w:shd w:val="clear" w:color="auto" w:fill="auto"/>
            <w:textDirection w:val="btLr"/>
            <w:vAlign w:val="center"/>
            <w:hideMark/>
          </w:tcPr>
          <w:p w14:paraId="29C95983"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Eiropas Ekonomikas zonas un Norvēģijas finanšu instrumentu finansētie projekti</w:t>
            </w:r>
          </w:p>
        </w:tc>
        <w:tc>
          <w:tcPr>
            <w:tcW w:w="787" w:type="dxa"/>
            <w:tcBorders>
              <w:top w:val="single" w:sz="8" w:space="0" w:color="9CC2E5"/>
              <w:left w:val="nil"/>
              <w:bottom w:val="single" w:sz="12" w:space="0" w:color="9CC2E5"/>
              <w:right w:val="single" w:sz="8" w:space="0" w:color="9CC2E5"/>
            </w:tcBorders>
            <w:shd w:val="clear" w:color="auto" w:fill="auto"/>
            <w:textDirection w:val="btLr"/>
            <w:vAlign w:val="center"/>
            <w:hideMark/>
          </w:tcPr>
          <w:p w14:paraId="2C7BBED3"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Latvijas un Šveices sadarbības programmas finansētie projekti un pasākumi</w:t>
            </w:r>
          </w:p>
        </w:tc>
        <w:tc>
          <w:tcPr>
            <w:tcW w:w="787" w:type="dxa"/>
            <w:tcBorders>
              <w:top w:val="single" w:sz="8" w:space="0" w:color="9CC2E5"/>
              <w:left w:val="nil"/>
              <w:bottom w:val="single" w:sz="12" w:space="0" w:color="9CC2E5"/>
              <w:right w:val="single" w:sz="8" w:space="0" w:color="9CC2E5"/>
            </w:tcBorders>
            <w:shd w:val="clear" w:color="auto" w:fill="auto"/>
            <w:textDirection w:val="btLr"/>
            <w:vAlign w:val="center"/>
            <w:hideMark/>
          </w:tcPr>
          <w:p w14:paraId="22546A6A" w14:textId="77777777" w:rsidR="008F384D" w:rsidRPr="008C76AB" w:rsidRDefault="008F384D" w:rsidP="00F421A7">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Citi ārvalstu finanšu palīdzības līdzfinansētie projekti</w:t>
            </w:r>
          </w:p>
        </w:tc>
        <w:tc>
          <w:tcPr>
            <w:tcW w:w="0" w:type="auto"/>
            <w:tcBorders>
              <w:top w:val="single" w:sz="8" w:space="0" w:color="9CC2E5"/>
              <w:left w:val="nil"/>
              <w:bottom w:val="single" w:sz="12" w:space="0" w:color="9CC2E5"/>
              <w:right w:val="single" w:sz="8" w:space="0" w:color="9CC2E5"/>
            </w:tcBorders>
            <w:shd w:val="clear" w:color="auto" w:fill="auto"/>
            <w:textDirection w:val="btLr"/>
            <w:vAlign w:val="center"/>
            <w:hideMark/>
          </w:tcPr>
          <w:p w14:paraId="1B831C1B" w14:textId="4B940E6C" w:rsidR="008F384D" w:rsidRPr="008C76AB" w:rsidRDefault="008F384D" w:rsidP="004E139E">
            <w:pPr>
              <w:spacing w:after="0" w:line="240" w:lineRule="auto"/>
              <w:ind w:left="113" w:right="113"/>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Vidējā izpilde gadā</w:t>
            </w:r>
          </w:p>
        </w:tc>
      </w:tr>
      <w:tr w:rsidR="005174BA" w:rsidRPr="008C76AB" w14:paraId="6D2D6815" w14:textId="77777777" w:rsidTr="00672A66">
        <w:trPr>
          <w:trHeight w:val="315"/>
        </w:trPr>
        <w:tc>
          <w:tcPr>
            <w:tcW w:w="724" w:type="dxa"/>
            <w:vMerge w:val="restart"/>
            <w:tcBorders>
              <w:top w:val="nil"/>
              <w:left w:val="single" w:sz="8" w:space="0" w:color="9CC2E5"/>
              <w:bottom w:val="single" w:sz="8" w:space="0" w:color="9CC2E5"/>
              <w:right w:val="single" w:sz="8" w:space="0" w:color="9CC2E5"/>
            </w:tcBorders>
            <w:shd w:val="clear" w:color="000000" w:fill="DEEAF6"/>
            <w:noWrap/>
            <w:vAlign w:val="center"/>
            <w:hideMark/>
          </w:tcPr>
          <w:p w14:paraId="3A9C2DB8" w14:textId="35AC681F"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2011</w:t>
            </w:r>
          </w:p>
        </w:tc>
        <w:tc>
          <w:tcPr>
            <w:tcW w:w="921" w:type="dxa"/>
            <w:tcBorders>
              <w:top w:val="nil"/>
              <w:left w:val="nil"/>
              <w:bottom w:val="single" w:sz="8" w:space="0" w:color="9CC2E5"/>
              <w:right w:val="single" w:sz="8" w:space="0" w:color="9CC2E5"/>
            </w:tcBorders>
            <w:shd w:val="clear" w:color="000000" w:fill="DEEAF6"/>
            <w:noWrap/>
            <w:vAlign w:val="center"/>
            <w:hideMark/>
          </w:tcPr>
          <w:p w14:paraId="1492CEAD" w14:textId="32233678"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DEEAF6"/>
            <w:vAlign w:val="center"/>
            <w:hideMark/>
          </w:tcPr>
          <w:p w14:paraId="5F0F8CBA" w14:textId="0BED5ED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16,67</w:t>
            </w:r>
          </w:p>
        </w:tc>
        <w:tc>
          <w:tcPr>
            <w:tcW w:w="787" w:type="dxa"/>
            <w:tcBorders>
              <w:top w:val="nil"/>
              <w:left w:val="nil"/>
              <w:bottom w:val="single" w:sz="8" w:space="0" w:color="9CC2E5"/>
              <w:right w:val="single" w:sz="8" w:space="0" w:color="9CC2E5"/>
            </w:tcBorders>
            <w:shd w:val="clear" w:color="000000" w:fill="DEEAF6"/>
            <w:vAlign w:val="center"/>
            <w:hideMark/>
          </w:tcPr>
          <w:p w14:paraId="72969927" w14:textId="2C5BBE90"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5,61</w:t>
            </w:r>
          </w:p>
        </w:tc>
        <w:tc>
          <w:tcPr>
            <w:tcW w:w="0" w:type="auto"/>
            <w:tcBorders>
              <w:top w:val="nil"/>
              <w:left w:val="nil"/>
              <w:bottom w:val="single" w:sz="8" w:space="0" w:color="9CC2E5"/>
              <w:right w:val="single" w:sz="8" w:space="0" w:color="9CC2E5"/>
            </w:tcBorders>
            <w:shd w:val="clear" w:color="000000" w:fill="DEEAF6"/>
            <w:vAlign w:val="center"/>
            <w:hideMark/>
          </w:tcPr>
          <w:p w14:paraId="167E685A" w14:textId="56AA621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5,61</w:t>
            </w:r>
          </w:p>
        </w:tc>
        <w:tc>
          <w:tcPr>
            <w:tcW w:w="0" w:type="auto"/>
            <w:tcBorders>
              <w:top w:val="nil"/>
              <w:left w:val="nil"/>
              <w:bottom w:val="single" w:sz="8" w:space="0" w:color="9CC2E5"/>
              <w:right w:val="single" w:sz="8" w:space="0" w:color="9CC2E5"/>
            </w:tcBorders>
            <w:shd w:val="clear" w:color="000000" w:fill="DEEAF6"/>
            <w:vAlign w:val="center"/>
            <w:hideMark/>
          </w:tcPr>
          <w:p w14:paraId="0A760FDA" w14:textId="61820D0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48,65</w:t>
            </w:r>
          </w:p>
        </w:tc>
        <w:tc>
          <w:tcPr>
            <w:tcW w:w="0" w:type="auto"/>
            <w:tcBorders>
              <w:top w:val="nil"/>
              <w:left w:val="nil"/>
              <w:bottom w:val="single" w:sz="8" w:space="0" w:color="9CC2E5"/>
              <w:right w:val="single" w:sz="8" w:space="0" w:color="9CC2E5"/>
            </w:tcBorders>
            <w:shd w:val="clear" w:color="000000" w:fill="DEEAF6"/>
            <w:vAlign w:val="center"/>
            <w:hideMark/>
          </w:tcPr>
          <w:p w14:paraId="6E4AD8C9" w14:textId="5539DAD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65,95</w:t>
            </w:r>
          </w:p>
        </w:tc>
        <w:tc>
          <w:tcPr>
            <w:tcW w:w="787" w:type="dxa"/>
            <w:tcBorders>
              <w:top w:val="nil"/>
              <w:left w:val="nil"/>
              <w:bottom w:val="single" w:sz="8" w:space="0" w:color="9CC2E5"/>
              <w:right w:val="single" w:sz="8" w:space="0" w:color="9CC2E5"/>
            </w:tcBorders>
            <w:shd w:val="clear" w:color="000000" w:fill="DEEAF6"/>
            <w:vAlign w:val="center"/>
            <w:hideMark/>
          </w:tcPr>
          <w:p w14:paraId="486B98DF" w14:textId="278D777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61,7</w:t>
            </w:r>
          </w:p>
        </w:tc>
        <w:tc>
          <w:tcPr>
            <w:tcW w:w="787" w:type="dxa"/>
            <w:tcBorders>
              <w:top w:val="nil"/>
              <w:left w:val="nil"/>
              <w:bottom w:val="single" w:sz="8" w:space="0" w:color="9CC2E5"/>
              <w:right w:val="single" w:sz="8" w:space="0" w:color="9CC2E5"/>
            </w:tcBorders>
            <w:shd w:val="clear" w:color="000000" w:fill="DEEAF6"/>
            <w:vAlign w:val="center"/>
            <w:hideMark/>
          </w:tcPr>
          <w:p w14:paraId="62D4749B" w14:textId="792E139B"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15,67</w:t>
            </w:r>
          </w:p>
        </w:tc>
        <w:tc>
          <w:tcPr>
            <w:tcW w:w="787" w:type="dxa"/>
            <w:tcBorders>
              <w:top w:val="nil"/>
              <w:left w:val="nil"/>
              <w:bottom w:val="single" w:sz="8" w:space="0" w:color="9CC2E5"/>
              <w:right w:val="single" w:sz="8" w:space="0" w:color="9CC2E5"/>
            </w:tcBorders>
            <w:shd w:val="clear" w:color="000000" w:fill="DEEAF6"/>
            <w:vAlign w:val="center"/>
            <w:hideMark/>
          </w:tcPr>
          <w:p w14:paraId="0B8A5719" w14:textId="77B324A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13,11</w:t>
            </w:r>
          </w:p>
        </w:tc>
        <w:tc>
          <w:tcPr>
            <w:tcW w:w="787" w:type="dxa"/>
            <w:tcBorders>
              <w:top w:val="nil"/>
              <w:left w:val="nil"/>
              <w:bottom w:val="single" w:sz="8" w:space="0" w:color="9CC2E5"/>
              <w:right w:val="single" w:sz="8" w:space="0" w:color="9CC2E5"/>
            </w:tcBorders>
            <w:shd w:val="clear" w:color="000000" w:fill="DEEAF6"/>
            <w:vAlign w:val="center"/>
            <w:hideMark/>
          </w:tcPr>
          <w:p w14:paraId="553C0610" w14:textId="2E922AE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32,93</w:t>
            </w:r>
          </w:p>
        </w:tc>
        <w:tc>
          <w:tcPr>
            <w:tcW w:w="0" w:type="auto"/>
            <w:vMerge w:val="restart"/>
            <w:tcBorders>
              <w:top w:val="nil"/>
              <w:left w:val="single" w:sz="8" w:space="0" w:color="9CC2E5"/>
              <w:bottom w:val="single" w:sz="8" w:space="0" w:color="9CC2E5"/>
              <w:right w:val="single" w:sz="8" w:space="0" w:color="9CC2E5"/>
            </w:tcBorders>
            <w:shd w:val="clear" w:color="000000" w:fill="DEEAF6"/>
            <w:noWrap/>
            <w:vAlign w:val="center"/>
            <w:hideMark/>
          </w:tcPr>
          <w:p w14:paraId="7AC1858D"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5A772ECD" w14:textId="77777777" w:rsidTr="00672A66">
        <w:trPr>
          <w:trHeight w:val="330"/>
        </w:trPr>
        <w:tc>
          <w:tcPr>
            <w:tcW w:w="724" w:type="dxa"/>
            <w:vMerge/>
            <w:tcBorders>
              <w:top w:val="nil"/>
              <w:left w:val="single" w:sz="8" w:space="0" w:color="9CC2E5"/>
              <w:bottom w:val="single" w:sz="8" w:space="0" w:color="9CC2E5"/>
              <w:right w:val="single" w:sz="8" w:space="0" w:color="9CC2E5"/>
            </w:tcBorders>
            <w:vAlign w:val="center"/>
            <w:hideMark/>
          </w:tcPr>
          <w:p w14:paraId="01FEE332"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auto" w:fill="auto"/>
            <w:noWrap/>
            <w:vAlign w:val="center"/>
            <w:hideMark/>
          </w:tcPr>
          <w:p w14:paraId="2A5EA87E" w14:textId="3884D315"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auto" w:fill="auto"/>
            <w:vAlign w:val="center"/>
            <w:hideMark/>
          </w:tcPr>
          <w:p w14:paraId="0C72AD84" w14:textId="5AA2AD6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15,84</w:t>
            </w:r>
          </w:p>
        </w:tc>
        <w:tc>
          <w:tcPr>
            <w:tcW w:w="787" w:type="dxa"/>
            <w:tcBorders>
              <w:top w:val="nil"/>
              <w:left w:val="nil"/>
              <w:bottom w:val="single" w:sz="8" w:space="0" w:color="9CC2E5"/>
              <w:right w:val="single" w:sz="8" w:space="0" w:color="9CC2E5"/>
            </w:tcBorders>
            <w:shd w:val="clear" w:color="auto" w:fill="auto"/>
            <w:vAlign w:val="center"/>
            <w:hideMark/>
          </w:tcPr>
          <w:p w14:paraId="26774CDD" w14:textId="2DE46F3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3,48</w:t>
            </w:r>
          </w:p>
        </w:tc>
        <w:tc>
          <w:tcPr>
            <w:tcW w:w="0" w:type="auto"/>
            <w:tcBorders>
              <w:top w:val="nil"/>
              <w:left w:val="nil"/>
              <w:bottom w:val="single" w:sz="8" w:space="0" w:color="9CC2E5"/>
              <w:right w:val="single" w:sz="8" w:space="0" w:color="9CC2E5"/>
            </w:tcBorders>
            <w:shd w:val="clear" w:color="auto" w:fill="auto"/>
            <w:vAlign w:val="center"/>
            <w:hideMark/>
          </w:tcPr>
          <w:p w14:paraId="49CC7EB2" w14:textId="2F8C50E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3,48</w:t>
            </w:r>
          </w:p>
        </w:tc>
        <w:tc>
          <w:tcPr>
            <w:tcW w:w="0" w:type="auto"/>
            <w:tcBorders>
              <w:top w:val="nil"/>
              <w:left w:val="nil"/>
              <w:bottom w:val="single" w:sz="8" w:space="0" w:color="9CC2E5"/>
              <w:right w:val="single" w:sz="8" w:space="0" w:color="9CC2E5"/>
            </w:tcBorders>
            <w:shd w:val="clear" w:color="auto" w:fill="auto"/>
            <w:vAlign w:val="center"/>
            <w:hideMark/>
          </w:tcPr>
          <w:p w14:paraId="45254649" w14:textId="35095EC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25,62</w:t>
            </w:r>
          </w:p>
        </w:tc>
        <w:tc>
          <w:tcPr>
            <w:tcW w:w="0" w:type="auto"/>
            <w:tcBorders>
              <w:top w:val="nil"/>
              <w:left w:val="nil"/>
              <w:bottom w:val="single" w:sz="8" w:space="0" w:color="9CC2E5"/>
              <w:right w:val="single" w:sz="8" w:space="0" w:color="9CC2E5"/>
            </w:tcBorders>
            <w:shd w:val="clear" w:color="auto" w:fill="auto"/>
            <w:vAlign w:val="center"/>
            <w:hideMark/>
          </w:tcPr>
          <w:p w14:paraId="42062D45" w14:textId="4386BBFC"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48,96</w:t>
            </w:r>
          </w:p>
        </w:tc>
        <w:tc>
          <w:tcPr>
            <w:tcW w:w="787" w:type="dxa"/>
            <w:tcBorders>
              <w:top w:val="nil"/>
              <w:left w:val="nil"/>
              <w:bottom w:val="single" w:sz="8" w:space="0" w:color="9CC2E5"/>
              <w:right w:val="single" w:sz="8" w:space="0" w:color="9CC2E5"/>
            </w:tcBorders>
            <w:shd w:val="clear" w:color="auto" w:fill="auto"/>
            <w:vAlign w:val="center"/>
            <w:hideMark/>
          </w:tcPr>
          <w:p w14:paraId="0203863D" w14:textId="22E6806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46,37</w:t>
            </w:r>
          </w:p>
        </w:tc>
        <w:tc>
          <w:tcPr>
            <w:tcW w:w="787" w:type="dxa"/>
            <w:tcBorders>
              <w:top w:val="nil"/>
              <w:left w:val="nil"/>
              <w:bottom w:val="single" w:sz="8" w:space="0" w:color="9CC2E5"/>
              <w:right w:val="single" w:sz="8" w:space="0" w:color="9CC2E5"/>
            </w:tcBorders>
            <w:shd w:val="clear" w:color="auto" w:fill="auto"/>
            <w:vAlign w:val="center"/>
            <w:hideMark/>
          </w:tcPr>
          <w:p w14:paraId="5C41814A" w14:textId="7FD8985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13,96</w:t>
            </w:r>
          </w:p>
        </w:tc>
        <w:tc>
          <w:tcPr>
            <w:tcW w:w="787" w:type="dxa"/>
            <w:tcBorders>
              <w:top w:val="nil"/>
              <w:left w:val="nil"/>
              <w:bottom w:val="single" w:sz="8" w:space="0" w:color="9CC2E5"/>
              <w:right w:val="single" w:sz="8" w:space="0" w:color="9CC2E5"/>
            </w:tcBorders>
            <w:shd w:val="clear" w:color="auto" w:fill="auto"/>
            <w:vAlign w:val="center"/>
            <w:hideMark/>
          </w:tcPr>
          <w:p w14:paraId="5809D764" w14:textId="3358AF1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12,31</w:t>
            </w:r>
          </w:p>
        </w:tc>
        <w:tc>
          <w:tcPr>
            <w:tcW w:w="787" w:type="dxa"/>
            <w:tcBorders>
              <w:top w:val="nil"/>
              <w:left w:val="nil"/>
              <w:bottom w:val="single" w:sz="8" w:space="0" w:color="9CC2E5"/>
              <w:right w:val="single" w:sz="8" w:space="0" w:color="9CC2E5"/>
            </w:tcBorders>
            <w:shd w:val="clear" w:color="auto" w:fill="auto"/>
            <w:vAlign w:val="center"/>
            <w:hideMark/>
          </w:tcPr>
          <w:p w14:paraId="0C98EA34" w14:textId="6C42312A"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20,1</w:t>
            </w:r>
          </w:p>
        </w:tc>
        <w:tc>
          <w:tcPr>
            <w:tcW w:w="0" w:type="auto"/>
            <w:vMerge/>
            <w:tcBorders>
              <w:top w:val="nil"/>
              <w:left w:val="single" w:sz="8" w:space="0" w:color="9CC2E5"/>
              <w:bottom w:val="single" w:sz="8" w:space="0" w:color="9CC2E5"/>
              <w:right w:val="single" w:sz="8" w:space="0" w:color="9CC2E5"/>
            </w:tcBorders>
            <w:vAlign w:val="center"/>
            <w:hideMark/>
          </w:tcPr>
          <w:p w14:paraId="615D7C52"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27AAC8CC" w14:textId="77777777" w:rsidTr="00672A66">
        <w:trPr>
          <w:trHeight w:val="330"/>
        </w:trPr>
        <w:tc>
          <w:tcPr>
            <w:tcW w:w="724" w:type="dxa"/>
            <w:vMerge/>
            <w:tcBorders>
              <w:top w:val="nil"/>
              <w:left w:val="single" w:sz="8" w:space="0" w:color="9CC2E5"/>
              <w:bottom w:val="single" w:sz="8" w:space="0" w:color="9CC2E5"/>
              <w:right w:val="single" w:sz="8" w:space="0" w:color="9CC2E5"/>
            </w:tcBorders>
            <w:vAlign w:val="center"/>
            <w:hideMark/>
          </w:tcPr>
          <w:p w14:paraId="294B6696"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EEAF6"/>
            <w:noWrap/>
            <w:vAlign w:val="center"/>
            <w:hideMark/>
          </w:tcPr>
          <w:p w14:paraId="4CAB427C" w14:textId="4265055B"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DEEAF6"/>
            <w:noWrap/>
            <w:vAlign w:val="center"/>
            <w:hideMark/>
          </w:tcPr>
          <w:p w14:paraId="61227F83" w14:textId="388B398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-5,0%</w:t>
            </w:r>
          </w:p>
        </w:tc>
        <w:tc>
          <w:tcPr>
            <w:tcW w:w="787" w:type="dxa"/>
            <w:tcBorders>
              <w:top w:val="nil"/>
              <w:left w:val="nil"/>
              <w:bottom w:val="single" w:sz="8" w:space="0" w:color="9CC2E5"/>
              <w:right w:val="single" w:sz="8" w:space="0" w:color="9CC2E5"/>
            </w:tcBorders>
            <w:shd w:val="clear" w:color="000000" w:fill="DEEAF6"/>
            <w:noWrap/>
            <w:vAlign w:val="center"/>
            <w:hideMark/>
          </w:tcPr>
          <w:p w14:paraId="0382B716" w14:textId="502A6567"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-38,0%</w:t>
            </w:r>
          </w:p>
        </w:tc>
        <w:tc>
          <w:tcPr>
            <w:tcW w:w="0" w:type="auto"/>
            <w:tcBorders>
              <w:top w:val="nil"/>
              <w:left w:val="nil"/>
              <w:bottom w:val="single" w:sz="8" w:space="0" w:color="9CC2E5"/>
              <w:right w:val="single" w:sz="8" w:space="0" w:color="9CC2E5"/>
            </w:tcBorders>
            <w:shd w:val="clear" w:color="000000" w:fill="DEEAF6"/>
            <w:noWrap/>
            <w:vAlign w:val="center"/>
            <w:hideMark/>
          </w:tcPr>
          <w:p w14:paraId="48B66916" w14:textId="0581023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-38,0%</w:t>
            </w:r>
          </w:p>
        </w:tc>
        <w:tc>
          <w:tcPr>
            <w:tcW w:w="0" w:type="auto"/>
            <w:tcBorders>
              <w:top w:val="nil"/>
              <w:left w:val="nil"/>
              <w:bottom w:val="single" w:sz="8" w:space="0" w:color="9CC2E5"/>
              <w:right w:val="single" w:sz="8" w:space="0" w:color="9CC2E5"/>
            </w:tcBorders>
            <w:shd w:val="clear" w:color="000000" w:fill="DEEAF6"/>
            <w:noWrap/>
            <w:vAlign w:val="center"/>
            <w:hideMark/>
          </w:tcPr>
          <w:p w14:paraId="18EA3D46" w14:textId="413E39F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-47,3%</w:t>
            </w:r>
          </w:p>
        </w:tc>
        <w:tc>
          <w:tcPr>
            <w:tcW w:w="0" w:type="auto"/>
            <w:tcBorders>
              <w:top w:val="nil"/>
              <w:left w:val="nil"/>
              <w:bottom w:val="single" w:sz="8" w:space="0" w:color="9CC2E5"/>
              <w:right w:val="single" w:sz="8" w:space="0" w:color="9CC2E5"/>
            </w:tcBorders>
            <w:shd w:val="clear" w:color="000000" w:fill="DEEAF6"/>
            <w:noWrap/>
            <w:vAlign w:val="center"/>
            <w:hideMark/>
          </w:tcPr>
          <w:p w14:paraId="6D3D5675" w14:textId="0B419D1C"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-25,8%</w:t>
            </w:r>
          </w:p>
        </w:tc>
        <w:tc>
          <w:tcPr>
            <w:tcW w:w="787" w:type="dxa"/>
            <w:tcBorders>
              <w:top w:val="nil"/>
              <w:left w:val="nil"/>
              <w:bottom w:val="single" w:sz="8" w:space="0" w:color="9CC2E5"/>
              <w:right w:val="single" w:sz="8" w:space="0" w:color="9CC2E5"/>
            </w:tcBorders>
            <w:shd w:val="clear" w:color="000000" w:fill="DEEAF6"/>
            <w:noWrap/>
            <w:vAlign w:val="center"/>
            <w:hideMark/>
          </w:tcPr>
          <w:p w14:paraId="652AB0E6" w14:textId="6F34E46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-24,8%</w:t>
            </w:r>
          </w:p>
        </w:tc>
        <w:tc>
          <w:tcPr>
            <w:tcW w:w="787" w:type="dxa"/>
            <w:tcBorders>
              <w:top w:val="nil"/>
              <w:left w:val="nil"/>
              <w:bottom w:val="single" w:sz="8" w:space="0" w:color="9CC2E5"/>
              <w:right w:val="single" w:sz="8" w:space="0" w:color="9CC2E5"/>
            </w:tcBorders>
            <w:shd w:val="clear" w:color="000000" w:fill="DEEAF6"/>
            <w:noWrap/>
            <w:vAlign w:val="center"/>
            <w:hideMark/>
          </w:tcPr>
          <w:p w14:paraId="31D16510" w14:textId="5B2A59B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-10,9%</w:t>
            </w:r>
          </w:p>
        </w:tc>
        <w:tc>
          <w:tcPr>
            <w:tcW w:w="787" w:type="dxa"/>
            <w:tcBorders>
              <w:top w:val="nil"/>
              <w:left w:val="nil"/>
              <w:bottom w:val="single" w:sz="8" w:space="0" w:color="9CC2E5"/>
              <w:right w:val="single" w:sz="8" w:space="0" w:color="9CC2E5"/>
            </w:tcBorders>
            <w:shd w:val="clear" w:color="000000" w:fill="DEEAF6"/>
            <w:noWrap/>
            <w:vAlign w:val="center"/>
            <w:hideMark/>
          </w:tcPr>
          <w:p w14:paraId="491ED3CE" w14:textId="02BFD04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-6,1%</w:t>
            </w:r>
          </w:p>
        </w:tc>
        <w:tc>
          <w:tcPr>
            <w:tcW w:w="787" w:type="dxa"/>
            <w:tcBorders>
              <w:top w:val="nil"/>
              <w:left w:val="nil"/>
              <w:bottom w:val="single" w:sz="8" w:space="0" w:color="9CC2E5"/>
              <w:right w:val="single" w:sz="8" w:space="0" w:color="9CC2E5"/>
            </w:tcBorders>
            <w:shd w:val="clear" w:color="000000" w:fill="DEEAF6"/>
            <w:noWrap/>
            <w:vAlign w:val="center"/>
            <w:hideMark/>
          </w:tcPr>
          <w:p w14:paraId="3EB05A21" w14:textId="13A588F0"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-39,0%</w:t>
            </w:r>
          </w:p>
        </w:tc>
        <w:tc>
          <w:tcPr>
            <w:tcW w:w="0" w:type="auto"/>
            <w:tcBorders>
              <w:top w:val="nil"/>
              <w:left w:val="nil"/>
              <w:bottom w:val="single" w:sz="8" w:space="0" w:color="9CC2E5"/>
              <w:right w:val="single" w:sz="8" w:space="0" w:color="9CC2E5"/>
            </w:tcBorders>
            <w:shd w:val="clear" w:color="000000" w:fill="DEEAF6"/>
            <w:noWrap/>
            <w:vAlign w:val="center"/>
            <w:hideMark/>
          </w:tcPr>
          <w:p w14:paraId="0E7E8B18" w14:textId="50831690"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-28,5%</w:t>
            </w:r>
          </w:p>
        </w:tc>
      </w:tr>
      <w:tr w:rsidR="005174BA" w:rsidRPr="008C76AB" w14:paraId="500E6B4C"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auto" w:fill="auto"/>
            <w:noWrap/>
            <w:vAlign w:val="center"/>
          </w:tcPr>
          <w:p w14:paraId="5DE612F9" w14:textId="500565B5"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2012</w:t>
            </w:r>
          </w:p>
        </w:tc>
        <w:tc>
          <w:tcPr>
            <w:tcW w:w="921" w:type="dxa"/>
            <w:tcBorders>
              <w:top w:val="nil"/>
              <w:left w:val="nil"/>
              <w:bottom w:val="single" w:sz="8" w:space="0" w:color="9CC2E5"/>
              <w:right w:val="single" w:sz="8" w:space="0" w:color="9CC2E5"/>
            </w:tcBorders>
            <w:shd w:val="clear" w:color="auto" w:fill="auto"/>
            <w:noWrap/>
            <w:vAlign w:val="center"/>
          </w:tcPr>
          <w:p w14:paraId="5E72C4A1" w14:textId="7A1BB0F5"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auto" w:fill="auto"/>
            <w:vAlign w:val="center"/>
          </w:tcPr>
          <w:p w14:paraId="73EE3D16" w14:textId="1360AFE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19,98</w:t>
            </w:r>
          </w:p>
        </w:tc>
        <w:tc>
          <w:tcPr>
            <w:tcW w:w="787" w:type="dxa"/>
            <w:tcBorders>
              <w:top w:val="nil"/>
              <w:left w:val="nil"/>
              <w:bottom w:val="single" w:sz="8" w:space="0" w:color="9CC2E5"/>
              <w:right w:val="single" w:sz="8" w:space="0" w:color="9CC2E5"/>
            </w:tcBorders>
            <w:shd w:val="clear" w:color="auto" w:fill="auto"/>
            <w:vAlign w:val="center"/>
          </w:tcPr>
          <w:p w14:paraId="15AA64B7" w14:textId="7F48DEF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4,23</w:t>
            </w:r>
          </w:p>
        </w:tc>
        <w:tc>
          <w:tcPr>
            <w:tcW w:w="0" w:type="auto"/>
            <w:tcBorders>
              <w:top w:val="nil"/>
              <w:left w:val="nil"/>
              <w:bottom w:val="single" w:sz="8" w:space="0" w:color="9CC2E5"/>
              <w:right w:val="single" w:sz="8" w:space="0" w:color="9CC2E5"/>
            </w:tcBorders>
            <w:shd w:val="clear" w:color="auto" w:fill="auto"/>
            <w:vAlign w:val="center"/>
          </w:tcPr>
          <w:p w14:paraId="44E66D5D" w14:textId="299FD1A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4,23</w:t>
            </w:r>
          </w:p>
        </w:tc>
        <w:tc>
          <w:tcPr>
            <w:tcW w:w="0" w:type="auto"/>
            <w:tcBorders>
              <w:top w:val="nil"/>
              <w:left w:val="nil"/>
              <w:bottom w:val="single" w:sz="8" w:space="0" w:color="9CC2E5"/>
              <w:right w:val="single" w:sz="8" w:space="0" w:color="9CC2E5"/>
            </w:tcBorders>
            <w:shd w:val="clear" w:color="auto" w:fill="auto"/>
            <w:vAlign w:val="center"/>
          </w:tcPr>
          <w:p w14:paraId="56FE5B0E" w14:textId="733BA93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72,37</w:t>
            </w:r>
          </w:p>
        </w:tc>
        <w:tc>
          <w:tcPr>
            <w:tcW w:w="0" w:type="auto"/>
            <w:tcBorders>
              <w:top w:val="nil"/>
              <w:left w:val="nil"/>
              <w:bottom w:val="single" w:sz="8" w:space="0" w:color="9CC2E5"/>
              <w:right w:val="single" w:sz="8" w:space="0" w:color="9CC2E5"/>
            </w:tcBorders>
            <w:shd w:val="clear" w:color="auto" w:fill="auto"/>
            <w:vAlign w:val="center"/>
          </w:tcPr>
          <w:p w14:paraId="76F812DB" w14:textId="52D6CAB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66,85</w:t>
            </w:r>
          </w:p>
        </w:tc>
        <w:tc>
          <w:tcPr>
            <w:tcW w:w="787" w:type="dxa"/>
            <w:tcBorders>
              <w:top w:val="nil"/>
              <w:left w:val="nil"/>
              <w:bottom w:val="single" w:sz="8" w:space="0" w:color="9CC2E5"/>
              <w:right w:val="single" w:sz="8" w:space="0" w:color="9CC2E5"/>
            </w:tcBorders>
            <w:shd w:val="clear" w:color="auto" w:fill="auto"/>
            <w:vAlign w:val="center"/>
          </w:tcPr>
          <w:p w14:paraId="25F8558B" w14:textId="152BA98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26,87</w:t>
            </w:r>
          </w:p>
        </w:tc>
        <w:tc>
          <w:tcPr>
            <w:tcW w:w="787" w:type="dxa"/>
            <w:tcBorders>
              <w:top w:val="nil"/>
              <w:left w:val="nil"/>
              <w:bottom w:val="single" w:sz="8" w:space="0" w:color="9CC2E5"/>
              <w:right w:val="single" w:sz="8" w:space="0" w:color="9CC2E5"/>
            </w:tcBorders>
            <w:shd w:val="clear" w:color="auto" w:fill="auto"/>
            <w:vAlign w:val="center"/>
          </w:tcPr>
          <w:p w14:paraId="42F6843F" w14:textId="4713216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1,49</w:t>
            </w:r>
          </w:p>
        </w:tc>
        <w:tc>
          <w:tcPr>
            <w:tcW w:w="787" w:type="dxa"/>
            <w:tcBorders>
              <w:top w:val="nil"/>
              <w:left w:val="nil"/>
              <w:bottom w:val="single" w:sz="8" w:space="0" w:color="9CC2E5"/>
              <w:right w:val="single" w:sz="8" w:space="0" w:color="9CC2E5"/>
            </w:tcBorders>
            <w:shd w:val="clear" w:color="auto" w:fill="auto"/>
            <w:vAlign w:val="center"/>
          </w:tcPr>
          <w:p w14:paraId="063C3B0F" w14:textId="43F4DD8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8,32</w:t>
            </w:r>
          </w:p>
        </w:tc>
        <w:tc>
          <w:tcPr>
            <w:tcW w:w="787" w:type="dxa"/>
            <w:tcBorders>
              <w:top w:val="nil"/>
              <w:left w:val="nil"/>
              <w:bottom w:val="single" w:sz="8" w:space="0" w:color="9CC2E5"/>
              <w:right w:val="single" w:sz="8" w:space="0" w:color="9CC2E5"/>
            </w:tcBorders>
            <w:shd w:val="clear" w:color="auto" w:fill="auto"/>
            <w:vAlign w:val="center"/>
          </w:tcPr>
          <w:p w14:paraId="4FB25D94" w14:textId="23E2987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17,07</w:t>
            </w:r>
          </w:p>
        </w:tc>
        <w:tc>
          <w:tcPr>
            <w:tcW w:w="0" w:type="auto"/>
            <w:vMerge w:val="restart"/>
            <w:tcBorders>
              <w:top w:val="nil"/>
              <w:left w:val="single" w:sz="8" w:space="0" w:color="9CC2E5"/>
              <w:bottom w:val="single" w:sz="8" w:space="0" w:color="9CC2E5"/>
              <w:right w:val="single" w:sz="8" w:space="0" w:color="9CC2E5"/>
            </w:tcBorders>
            <w:shd w:val="clear" w:color="auto" w:fill="auto"/>
            <w:noWrap/>
            <w:vAlign w:val="center"/>
          </w:tcPr>
          <w:p w14:paraId="08BCDA46"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7727F335"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54372178"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EEAF6"/>
            <w:noWrap/>
            <w:vAlign w:val="center"/>
          </w:tcPr>
          <w:p w14:paraId="620BD0C8" w14:textId="46FF2D8C"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DEEAF6"/>
            <w:vAlign w:val="center"/>
          </w:tcPr>
          <w:p w14:paraId="7A5580D7" w14:textId="46832F6C"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17,85</w:t>
            </w:r>
          </w:p>
        </w:tc>
        <w:tc>
          <w:tcPr>
            <w:tcW w:w="787" w:type="dxa"/>
            <w:tcBorders>
              <w:top w:val="nil"/>
              <w:left w:val="nil"/>
              <w:bottom w:val="single" w:sz="8" w:space="0" w:color="9CC2E5"/>
              <w:right w:val="single" w:sz="8" w:space="0" w:color="9CC2E5"/>
            </w:tcBorders>
            <w:shd w:val="clear" w:color="000000" w:fill="DEEAF6"/>
            <w:vAlign w:val="center"/>
          </w:tcPr>
          <w:p w14:paraId="3D3C9F6F" w14:textId="31BF1ABA"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2,65</w:t>
            </w:r>
          </w:p>
        </w:tc>
        <w:tc>
          <w:tcPr>
            <w:tcW w:w="0" w:type="auto"/>
            <w:tcBorders>
              <w:top w:val="nil"/>
              <w:left w:val="nil"/>
              <w:bottom w:val="single" w:sz="8" w:space="0" w:color="9CC2E5"/>
              <w:right w:val="single" w:sz="8" w:space="0" w:color="9CC2E5"/>
            </w:tcBorders>
            <w:shd w:val="clear" w:color="000000" w:fill="DEEAF6"/>
            <w:vAlign w:val="center"/>
          </w:tcPr>
          <w:p w14:paraId="59BD2B62" w14:textId="0B7118E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2,65</w:t>
            </w:r>
          </w:p>
        </w:tc>
        <w:tc>
          <w:tcPr>
            <w:tcW w:w="0" w:type="auto"/>
            <w:tcBorders>
              <w:top w:val="nil"/>
              <w:left w:val="nil"/>
              <w:bottom w:val="single" w:sz="8" w:space="0" w:color="9CC2E5"/>
              <w:right w:val="single" w:sz="8" w:space="0" w:color="9CC2E5"/>
            </w:tcBorders>
            <w:shd w:val="clear" w:color="000000" w:fill="DEEAF6"/>
            <w:vAlign w:val="center"/>
          </w:tcPr>
          <w:p w14:paraId="49362212" w14:textId="0CD52CC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40,34</w:t>
            </w:r>
          </w:p>
        </w:tc>
        <w:tc>
          <w:tcPr>
            <w:tcW w:w="0" w:type="auto"/>
            <w:tcBorders>
              <w:top w:val="nil"/>
              <w:left w:val="nil"/>
              <w:bottom w:val="single" w:sz="8" w:space="0" w:color="9CC2E5"/>
              <w:right w:val="single" w:sz="8" w:space="0" w:color="9CC2E5"/>
            </w:tcBorders>
            <w:shd w:val="clear" w:color="000000" w:fill="DEEAF6"/>
            <w:vAlign w:val="center"/>
          </w:tcPr>
          <w:p w14:paraId="3CC5F3B7" w14:textId="6922FC5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47,93</w:t>
            </w:r>
          </w:p>
        </w:tc>
        <w:tc>
          <w:tcPr>
            <w:tcW w:w="787" w:type="dxa"/>
            <w:tcBorders>
              <w:top w:val="nil"/>
              <w:left w:val="nil"/>
              <w:bottom w:val="single" w:sz="8" w:space="0" w:color="9CC2E5"/>
              <w:right w:val="single" w:sz="8" w:space="0" w:color="9CC2E5"/>
            </w:tcBorders>
            <w:shd w:val="clear" w:color="000000" w:fill="DEEAF6"/>
            <w:vAlign w:val="center"/>
          </w:tcPr>
          <w:p w14:paraId="112391E5" w14:textId="7E36BA90"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19,61</w:t>
            </w:r>
          </w:p>
        </w:tc>
        <w:tc>
          <w:tcPr>
            <w:tcW w:w="787" w:type="dxa"/>
            <w:tcBorders>
              <w:top w:val="nil"/>
              <w:left w:val="nil"/>
              <w:bottom w:val="single" w:sz="8" w:space="0" w:color="9CC2E5"/>
              <w:right w:val="single" w:sz="8" w:space="0" w:color="9CC2E5"/>
            </w:tcBorders>
            <w:shd w:val="clear" w:color="000000" w:fill="DEEAF6"/>
            <w:vAlign w:val="center"/>
          </w:tcPr>
          <w:p w14:paraId="1CA0AC93" w14:textId="14A0324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1,1</w:t>
            </w:r>
          </w:p>
        </w:tc>
        <w:tc>
          <w:tcPr>
            <w:tcW w:w="787" w:type="dxa"/>
            <w:tcBorders>
              <w:top w:val="nil"/>
              <w:left w:val="nil"/>
              <w:bottom w:val="single" w:sz="8" w:space="0" w:color="9CC2E5"/>
              <w:right w:val="single" w:sz="8" w:space="0" w:color="9CC2E5"/>
            </w:tcBorders>
            <w:shd w:val="clear" w:color="000000" w:fill="DEEAF6"/>
            <w:vAlign w:val="center"/>
          </w:tcPr>
          <w:p w14:paraId="5B094796" w14:textId="60B5B35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5,69</w:t>
            </w:r>
          </w:p>
        </w:tc>
        <w:tc>
          <w:tcPr>
            <w:tcW w:w="787" w:type="dxa"/>
            <w:tcBorders>
              <w:top w:val="nil"/>
              <w:left w:val="nil"/>
              <w:bottom w:val="single" w:sz="8" w:space="0" w:color="9CC2E5"/>
              <w:right w:val="single" w:sz="8" w:space="0" w:color="9CC2E5"/>
            </w:tcBorders>
            <w:shd w:val="clear" w:color="000000" w:fill="DEEAF6"/>
            <w:vAlign w:val="center"/>
          </w:tcPr>
          <w:p w14:paraId="0E0C2A93" w14:textId="35AD2F5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12,82</w:t>
            </w:r>
          </w:p>
        </w:tc>
        <w:tc>
          <w:tcPr>
            <w:tcW w:w="0" w:type="auto"/>
            <w:vMerge/>
            <w:tcBorders>
              <w:top w:val="nil"/>
              <w:left w:val="single" w:sz="8" w:space="0" w:color="9CC2E5"/>
              <w:bottom w:val="single" w:sz="8" w:space="0" w:color="9CC2E5"/>
              <w:right w:val="single" w:sz="8" w:space="0" w:color="9CC2E5"/>
            </w:tcBorders>
            <w:vAlign w:val="center"/>
          </w:tcPr>
          <w:p w14:paraId="03C9FE28"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2B67AA75"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52AA3EAD"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auto" w:fill="auto"/>
            <w:noWrap/>
            <w:vAlign w:val="center"/>
          </w:tcPr>
          <w:p w14:paraId="68334797" w14:textId="4FFE4C03"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auto" w:fill="auto"/>
            <w:noWrap/>
            <w:vAlign w:val="center"/>
          </w:tcPr>
          <w:p w14:paraId="124E5668" w14:textId="69B6F16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-10,7%</w:t>
            </w:r>
          </w:p>
        </w:tc>
        <w:tc>
          <w:tcPr>
            <w:tcW w:w="787" w:type="dxa"/>
            <w:tcBorders>
              <w:top w:val="nil"/>
              <w:left w:val="nil"/>
              <w:bottom w:val="single" w:sz="8" w:space="0" w:color="9CC2E5"/>
              <w:right w:val="single" w:sz="8" w:space="0" w:color="9CC2E5"/>
            </w:tcBorders>
            <w:shd w:val="clear" w:color="auto" w:fill="auto"/>
            <w:noWrap/>
            <w:vAlign w:val="center"/>
          </w:tcPr>
          <w:p w14:paraId="6255927F" w14:textId="2A57958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-37,4%</w:t>
            </w:r>
          </w:p>
        </w:tc>
        <w:tc>
          <w:tcPr>
            <w:tcW w:w="0" w:type="auto"/>
            <w:tcBorders>
              <w:top w:val="nil"/>
              <w:left w:val="nil"/>
              <w:bottom w:val="single" w:sz="8" w:space="0" w:color="9CC2E5"/>
              <w:right w:val="single" w:sz="8" w:space="0" w:color="9CC2E5"/>
            </w:tcBorders>
            <w:shd w:val="clear" w:color="auto" w:fill="auto"/>
            <w:noWrap/>
            <w:vAlign w:val="center"/>
          </w:tcPr>
          <w:p w14:paraId="07E1ED41" w14:textId="7D0FE362"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-37,4%</w:t>
            </w:r>
          </w:p>
        </w:tc>
        <w:tc>
          <w:tcPr>
            <w:tcW w:w="0" w:type="auto"/>
            <w:tcBorders>
              <w:top w:val="nil"/>
              <w:left w:val="nil"/>
              <w:bottom w:val="single" w:sz="8" w:space="0" w:color="9CC2E5"/>
              <w:right w:val="single" w:sz="8" w:space="0" w:color="9CC2E5"/>
            </w:tcBorders>
            <w:shd w:val="clear" w:color="auto" w:fill="auto"/>
            <w:noWrap/>
            <w:vAlign w:val="center"/>
          </w:tcPr>
          <w:p w14:paraId="0157854C" w14:textId="65931F29"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-44,3%</w:t>
            </w:r>
          </w:p>
        </w:tc>
        <w:tc>
          <w:tcPr>
            <w:tcW w:w="0" w:type="auto"/>
            <w:tcBorders>
              <w:top w:val="nil"/>
              <w:left w:val="nil"/>
              <w:bottom w:val="single" w:sz="8" w:space="0" w:color="9CC2E5"/>
              <w:right w:val="single" w:sz="8" w:space="0" w:color="9CC2E5"/>
            </w:tcBorders>
            <w:shd w:val="clear" w:color="auto" w:fill="auto"/>
            <w:noWrap/>
            <w:vAlign w:val="center"/>
          </w:tcPr>
          <w:p w14:paraId="15A16E4F" w14:textId="581F4BC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-28,3%</w:t>
            </w:r>
          </w:p>
        </w:tc>
        <w:tc>
          <w:tcPr>
            <w:tcW w:w="787" w:type="dxa"/>
            <w:tcBorders>
              <w:top w:val="nil"/>
              <w:left w:val="nil"/>
              <w:bottom w:val="single" w:sz="8" w:space="0" w:color="9CC2E5"/>
              <w:right w:val="single" w:sz="8" w:space="0" w:color="9CC2E5"/>
            </w:tcBorders>
            <w:shd w:val="clear" w:color="auto" w:fill="auto"/>
            <w:noWrap/>
            <w:vAlign w:val="center"/>
          </w:tcPr>
          <w:p w14:paraId="6D117AEE" w14:textId="43AAC9A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-27,0%</w:t>
            </w:r>
          </w:p>
        </w:tc>
        <w:tc>
          <w:tcPr>
            <w:tcW w:w="787" w:type="dxa"/>
            <w:tcBorders>
              <w:top w:val="nil"/>
              <w:left w:val="nil"/>
              <w:bottom w:val="single" w:sz="8" w:space="0" w:color="9CC2E5"/>
              <w:right w:val="single" w:sz="8" w:space="0" w:color="9CC2E5"/>
            </w:tcBorders>
            <w:shd w:val="clear" w:color="auto" w:fill="auto"/>
            <w:noWrap/>
            <w:vAlign w:val="center"/>
          </w:tcPr>
          <w:p w14:paraId="52A5E493" w14:textId="0A0662D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-26,2%</w:t>
            </w:r>
          </w:p>
        </w:tc>
        <w:tc>
          <w:tcPr>
            <w:tcW w:w="787" w:type="dxa"/>
            <w:tcBorders>
              <w:top w:val="nil"/>
              <w:left w:val="nil"/>
              <w:bottom w:val="single" w:sz="8" w:space="0" w:color="9CC2E5"/>
              <w:right w:val="single" w:sz="8" w:space="0" w:color="9CC2E5"/>
            </w:tcBorders>
            <w:shd w:val="clear" w:color="auto" w:fill="auto"/>
            <w:noWrap/>
            <w:vAlign w:val="center"/>
          </w:tcPr>
          <w:p w14:paraId="413EB10C" w14:textId="320A5F72"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-31,6%</w:t>
            </w:r>
          </w:p>
        </w:tc>
        <w:tc>
          <w:tcPr>
            <w:tcW w:w="787" w:type="dxa"/>
            <w:tcBorders>
              <w:top w:val="nil"/>
              <w:left w:val="nil"/>
              <w:bottom w:val="single" w:sz="8" w:space="0" w:color="9CC2E5"/>
              <w:right w:val="single" w:sz="8" w:space="0" w:color="9CC2E5"/>
            </w:tcBorders>
            <w:shd w:val="clear" w:color="auto" w:fill="auto"/>
            <w:noWrap/>
            <w:vAlign w:val="center"/>
          </w:tcPr>
          <w:p w14:paraId="1D1AE471" w14:textId="52FC58A0"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-24,9%</w:t>
            </w:r>
          </w:p>
        </w:tc>
        <w:tc>
          <w:tcPr>
            <w:tcW w:w="0" w:type="auto"/>
            <w:tcBorders>
              <w:top w:val="nil"/>
              <w:left w:val="nil"/>
              <w:bottom w:val="single" w:sz="8" w:space="0" w:color="9CC2E5"/>
              <w:right w:val="single" w:sz="8" w:space="0" w:color="9CC2E5"/>
            </w:tcBorders>
            <w:shd w:val="clear" w:color="auto" w:fill="auto"/>
            <w:noWrap/>
            <w:vAlign w:val="center"/>
          </w:tcPr>
          <w:p w14:paraId="2BBA76AE" w14:textId="35E0E58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-32,0%</w:t>
            </w:r>
          </w:p>
        </w:tc>
      </w:tr>
      <w:tr w:rsidR="005174BA" w:rsidRPr="008C76AB" w14:paraId="74016100"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000000" w:fill="DEEAF6"/>
            <w:noWrap/>
            <w:vAlign w:val="center"/>
          </w:tcPr>
          <w:p w14:paraId="43031BA7" w14:textId="0FD1C84E"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2013</w:t>
            </w:r>
          </w:p>
        </w:tc>
        <w:tc>
          <w:tcPr>
            <w:tcW w:w="921" w:type="dxa"/>
            <w:tcBorders>
              <w:top w:val="nil"/>
              <w:left w:val="nil"/>
              <w:bottom w:val="single" w:sz="8" w:space="0" w:color="9CC2E5"/>
              <w:right w:val="single" w:sz="8" w:space="0" w:color="9CC2E5"/>
            </w:tcBorders>
            <w:shd w:val="clear" w:color="000000" w:fill="DEEAF6"/>
            <w:noWrap/>
            <w:vAlign w:val="center"/>
          </w:tcPr>
          <w:p w14:paraId="6948A4A4" w14:textId="7DFE1985"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DEEAF6"/>
            <w:vAlign w:val="center"/>
          </w:tcPr>
          <w:p w14:paraId="22E112A7" w14:textId="1826049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10,74</w:t>
            </w:r>
          </w:p>
        </w:tc>
        <w:tc>
          <w:tcPr>
            <w:tcW w:w="787" w:type="dxa"/>
            <w:tcBorders>
              <w:top w:val="nil"/>
              <w:left w:val="nil"/>
              <w:bottom w:val="single" w:sz="8" w:space="0" w:color="9CC2E5"/>
              <w:right w:val="single" w:sz="8" w:space="0" w:color="9CC2E5"/>
            </w:tcBorders>
            <w:shd w:val="clear" w:color="000000" w:fill="DEEAF6"/>
            <w:vAlign w:val="center"/>
          </w:tcPr>
          <w:p w14:paraId="2F9559CD" w14:textId="058A154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4,39</w:t>
            </w:r>
          </w:p>
        </w:tc>
        <w:tc>
          <w:tcPr>
            <w:tcW w:w="0" w:type="auto"/>
            <w:tcBorders>
              <w:top w:val="nil"/>
              <w:left w:val="nil"/>
              <w:bottom w:val="single" w:sz="8" w:space="0" w:color="9CC2E5"/>
              <w:right w:val="single" w:sz="8" w:space="0" w:color="9CC2E5"/>
            </w:tcBorders>
            <w:shd w:val="clear" w:color="000000" w:fill="DEEAF6"/>
            <w:vAlign w:val="center"/>
          </w:tcPr>
          <w:p w14:paraId="0FA2CBBE" w14:textId="1D5E2BA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4,39</w:t>
            </w:r>
          </w:p>
        </w:tc>
        <w:tc>
          <w:tcPr>
            <w:tcW w:w="0" w:type="auto"/>
            <w:tcBorders>
              <w:top w:val="nil"/>
              <w:left w:val="nil"/>
              <w:bottom w:val="single" w:sz="8" w:space="0" w:color="9CC2E5"/>
              <w:right w:val="single" w:sz="8" w:space="0" w:color="9CC2E5"/>
            </w:tcBorders>
            <w:shd w:val="clear" w:color="000000" w:fill="DEEAF6"/>
            <w:vAlign w:val="center"/>
          </w:tcPr>
          <w:p w14:paraId="736EE953" w14:textId="40BD01E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78,76</w:t>
            </w:r>
          </w:p>
        </w:tc>
        <w:tc>
          <w:tcPr>
            <w:tcW w:w="0" w:type="auto"/>
            <w:tcBorders>
              <w:top w:val="nil"/>
              <w:left w:val="nil"/>
              <w:bottom w:val="single" w:sz="8" w:space="0" w:color="9CC2E5"/>
              <w:right w:val="single" w:sz="8" w:space="0" w:color="9CC2E5"/>
            </w:tcBorders>
            <w:shd w:val="clear" w:color="000000" w:fill="DEEAF6"/>
            <w:vAlign w:val="center"/>
          </w:tcPr>
          <w:p w14:paraId="00FA02ED" w14:textId="2DFFC8A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77,08</w:t>
            </w:r>
          </w:p>
        </w:tc>
        <w:tc>
          <w:tcPr>
            <w:tcW w:w="787" w:type="dxa"/>
            <w:tcBorders>
              <w:top w:val="nil"/>
              <w:left w:val="nil"/>
              <w:bottom w:val="single" w:sz="8" w:space="0" w:color="9CC2E5"/>
              <w:right w:val="single" w:sz="8" w:space="0" w:color="9CC2E5"/>
            </w:tcBorders>
            <w:shd w:val="clear" w:color="000000" w:fill="DEEAF6"/>
            <w:vAlign w:val="center"/>
          </w:tcPr>
          <w:p w14:paraId="124EF59F" w14:textId="48C1633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37,03</w:t>
            </w:r>
          </w:p>
        </w:tc>
        <w:tc>
          <w:tcPr>
            <w:tcW w:w="787" w:type="dxa"/>
            <w:tcBorders>
              <w:top w:val="nil"/>
              <w:left w:val="nil"/>
              <w:bottom w:val="single" w:sz="8" w:space="0" w:color="9CC2E5"/>
              <w:right w:val="single" w:sz="8" w:space="0" w:color="9CC2E5"/>
            </w:tcBorders>
            <w:shd w:val="clear" w:color="000000" w:fill="DEEAF6"/>
            <w:vAlign w:val="center"/>
          </w:tcPr>
          <w:p w14:paraId="7A319F17" w14:textId="3E07354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6,19</w:t>
            </w:r>
          </w:p>
        </w:tc>
        <w:tc>
          <w:tcPr>
            <w:tcW w:w="787" w:type="dxa"/>
            <w:tcBorders>
              <w:top w:val="nil"/>
              <w:left w:val="nil"/>
              <w:bottom w:val="single" w:sz="8" w:space="0" w:color="9CC2E5"/>
              <w:right w:val="single" w:sz="8" w:space="0" w:color="9CC2E5"/>
            </w:tcBorders>
            <w:shd w:val="clear" w:color="000000" w:fill="DEEAF6"/>
            <w:vAlign w:val="center"/>
          </w:tcPr>
          <w:p w14:paraId="5CB121E3" w14:textId="3594B76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8,12</w:t>
            </w:r>
          </w:p>
        </w:tc>
        <w:tc>
          <w:tcPr>
            <w:tcW w:w="787" w:type="dxa"/>
            <w:tcBorders>
              <w:top w:val="nil"/>
              <w:left w:val="nil"/>
              <w:bottom w:val="single" w:sz="8" w:space="0" w:color="9CC2E5"/>
              <w:right w:val="single" w:sz="8" w:space="0" w:color="9CC2E5"/>
            </w:tcBorders>
            <w:shd w:val="clear" w:color="000000" w:fill="DEEAF6"/>
            <w:vAlign w:val="center"/>
          </w:tcPr>
          <w:p w14:paraId="126DF2AF" w14:textId="254C712A"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22,72</w:t>
            </w:r>
          </w:p>
        </w:tc>
        <w:tc>
          <w:tcPr>
            <w:tcW w:w="0" w:type="auto"/>
            <w:vMerge w:val="restart"/>
            <w:tcBorders>
              <w:top w:val="nil"/>
              <w:left w:val="single" w:sz="8" w:space="0" w:color="9CC2E5"/>
              <w:bottom w:val="single" w:sz="8" w:space="0" w:color="9CC2E5"/>
              <w:right w:val="single" w:sz="8" w:space="0" w:color="9CC2E5"/>
            </w:tcBorders>
            <w:shd w:val="clear" w:color="000000" w:fill="DEEAF6"/>
            <w:noWrap/>
            <w:vAlign w:val="center"/>
          </w:tcPr>
          <w:p w14:paraId="1F03E8A9"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1D233CDD"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73F33362"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auto" w:fill="auto"/>
            <w:noWrap/>
            <w:vAlign w:val="center"/>
          </w:tcPr>
          <w:p w14:paraId="54073681" w14:textId="009E1913"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auto" w:fill="auto"/>
            <w:vAlign w:val="center"/>
          </w:tcPr>
          <w:p w14:paraId="33C2CF1A" w14:textId="4C34A5F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7,41</w:t>
            </w:r>
          </w:p>
        </w:tc>
        <w:tc>
          <w:tcPr>
            <w:tcW w:w="787" w:type="dxa"/>
            <w:tcBorders>
              <w:top w:val="nil"/>
              <w:left w:val="nil"/>
              <w:bottom w:val="single" w:sz="8" w:space="0" w:color="9CC2E5"/>
              <w:right w:val="single" w:sz="8" w:space="0" w:color="9CC2E5"/>
            </w:tcBorders>
            <w:shd w:val="clear" w:color="auto" w:fill="auto"/>
            <w:vAlign w:val="center"/>
          </w:tcPr>
          <w:p w14:paraId="538FE2EC" w14:textId="1ACF300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3,11</w:t>
            </w:r>
          </w:p>
        </w:tc>
        <w:tc>
          <w:tcPr>
            <w:tcW w:w="0" w:type="auto"/>
            <w:tcBorders>
              <w:top w:val="nil"/>
              <w:left w:val="nil"/>
              <w:bottom w:val="single" w:sz="8" w:space="0" w:color="9CC2E5"/>
              <w:right w:val="single" w:sz="8" w:space="0" w:color="9CC2E5"/>
            </w:tcBorders>
            <w:shd w:val="clear" w:color="auto" w:fill="auto"/>
            <w:vAlign w:val="center"/>
          </w:tcPr>
          <w:p w14:paraId="520166B4" w14:textId="197225D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3,11</w:t>
            </w:r>
          </w:p>
        </w:tc>
        <w:tc>
          <w:tcPr>
            <w:tcW w:w="0" w:type="auto"/>
            <w:tcBorders>
              <w:top w:val="nil"/>
              <w:left w:val="nil"/>
              <w:bottom w:val="single" w:sz="8" w:space="0" w:color="9CC2E5"/>
              <w:right w:val="single" w:sz="8" w:space="0" w:color="9CC2E5"/>
            </w:tcBorders>
            <w:shd w:val="clear" w:color="auto" w:fill="auto"/>
            <w:vAlign w:val="center"/>
          </w:tcPr>
          <w:p w14:paraId="1ACDE19B" w14:textId="4B22131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46,59</w:t>
            </w:r>
          </w:p>
        </w:tc>
        <w:tc>
          <w:tcPr>
            <w:tcW w:w="0" w:type="auto"/>
            <w:tcBorders>
              <w:top w:val="nil"/>
              <w:left w:val="nil"/>
              <w:bottom w:val="single" w:sz="8" w:space="0" w:color="9CC2E5"/>
              <w:right w:val="single" w:sz="8" w:space="0" w:color="9CC2E5"/>
            </w:tcBorders>
            <w:shd w:val="clear" w:color="auto" w:fill="auto"/>
            <w:vAlign w:val="center"/>
          </w:tcPr>
          <w:p w14:paraId="6754C575" w14:textId="7542B0AB"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57,09</w:t>
            </w:r>
          </w:p>
        </w:tc>
        <w:tc>
          <w:tcPr>
            <w:tcW w:w="787" w:type="dxa"/>
            <w:tcBorders>
              <w:top w:val="nil"/>
              <w:left w:val="nil"/>
              <w:bottom w:val="single" w:sz="8" w:space="0" w:color="9CC2E5"/>
              <w:right w:val="single" w:sz="8" w:space="0" w:color="9CC2E5"/>
            </w:tcBorders>
            <w:shd w:val="clear" w:color="auto" w:fill="auto"/>
            <w:vAlign w:val="center"/>
          </w:tcPr>
          <w:p w14:paraId="3A2804A7" w14:textId="1A807820"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20,73</w:t>
            </w:r>
          </w:p>
        </w:tc>
        <w:tc>
          <w:tcPr>
            <w:tcW w:w="787" w:type="dxa"/>
            <w:tcBorders>
              <w:top w:val="nil"/>
              <w:left w:val="nil"/>
              <w:bottom w:val="single" w:sz="8" w:space="0" w:color="9CC2E5"/>
              <w:right w:val="single" w:sz="8" w:space="0" w:color="9CC2E5"/>
            </w:tcBorders>
            <w:shd w:val="clear" w:color="auto" w:fill="auto"/>
            <w:vAlign w:val="center"/>
          </w:tcPr>
          <w:p w14:paraId="2C474AC5" w14:textId="4D8D1B9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3,94</w:t>
            </w:r>
          </w:p>
        </w:tc>
        <w:tc>
          <w:tcPr>
            <w:tcW w:w="787" w:type="dxa"/>
            <w:tcBorders>
              <w:top w:val="nil"/>
              <w:left w:val="nil"/>
              <w:bottom w:val="single" w:sz="8" w:space="0" w:color="9CC2E5"/>
              <w:right w:val="single" w:sz="8" w:space="0" w:color="9CC2E5"/>
            </w:tcBorders>
            <w:shd w:val="clear" w:color="auto" w:fill="auto"/>
            <w:vAlign w:val="center"/>
          </w:tcPr>
          <w:p w14:paraId="460C21B6" w14:textId="39688A5C"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5,1</w:t>
            </w:r>
          </w:p>
        </w:tc>
        <w:tc>
          <w:tcPr>
            <w:tcW w:w="787" w:type="dxa"/>
            <w:tcBorders>
              <w:top w:val="nil"/>
              <w:left w:val="nil"/>
              <w:bottom w:val="single" w:sz="8" w:space="0" w:color="9CC2E5"/>
              <w:right w:val="single" w:sz="8" w:space="0" w:color="9CC2E5"/>
            </w:tcBorders>
            <w:shd w:val="clear" w:color="auto" w:fill="auto"/>
            <w:vAlign w:val="center"/>
          </w:tcPr>
          <w:p w14:paraId="5A761B28" w14:textId="7A90B3B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11,69</w:t>
            </w:r>
          </w:p>
        </w:tc>
        <w:tc>
          <w:tcPr>
            <w:tcW w:w="0" w:type="auto"/>
            <w:vMerge/>
            <w:tcBorders>
              <w:top w:val="nil"/>
              <w:left w:val="single" w:sz="8" w:space="0" w:color="9CC2E5"/>
              <w:bottom w:val="single" w:sz="8" w:space="0" w:color="9CC2E5"/>
              <w:right w:val="single" w:sz="8" w:space="0" w:color="9CC2E5"/>
            </w:tcBorders>
            <w:vAlign w:val="center"/>
          </w:tcPr>
          <w:p w14:paraId="7FFCB7C7"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7F7A2F00"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6BE2AF97"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EEAF6"/>
            <w:noWrap/>
            <w:vAlign w:val="center"/>
          </w:tcPr>
          <w:p w14:paraId="727734BB" w14:textId="1C4BCB47"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DEEAF6"/>
            <w:noWrap/>
            <w:vAlign w:val="center"/>
          </w:tcPr>
          <w:p w14:paraId="622ED3F5" w14:textId="22C21B1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-31,0%</w:t>
            </w:r>
          </w:p>
        </w:tc>
        <w:tc>
          <w:tcPr>
            <w:tcW w:w="787" w:type="dxa"/>
            <w:tcBorders>
              <w:top w:val="nil"/>
              <w:left w:val="nil"/>
              <w:bottom w:val="single" w:sz="8" w:space="0" w:color="9CC2E5"/>
              <w:right w:val="single" w:sz="8" w:space="0" w:color="9CC2E5"/>
            </w:tcBorders>
            <w:shd w:val="clear" w:color="000000" w:fill="DEEAF6"/>
            <w:noWrap/>
            <w:vAlign w:val="center"/>
          </w:tcPr>
          <w:p w14:paraId="398638BE" w14:textId="0B951E77"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-29,2%</w:t>
            </w:r>
          </w:p>
        </w:tc>
        <w:tc>
          <w:tcPr>
            <w:tcW w:w="0" w:type="auto"/>
            <w:tcBorders>
              <w:top w:val="nil"/>
              <w:left w:val="nil"/>
              <w:bottom w:val="single" w:sz="8" w:space="0" w:color="9CC2E5"/>
              <w:right w:val="single" w:sz="8" w:space="0" w:color="9CC2E5"/>
            </w:tcBorders>
            <w:shd w:val="clear" w:color="000000" w:fill="DEEAF6"/>
            <w:noWrap/>
            <w:vAlign w:val="center"/>
          </w:tcPr>
          <w:p w14:paraId="6D3BA996" w14:textId="72BE730D"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-29,2%</w:t>
            </w:r>
          </w:p>
        </w:tc>
        <w:tc>
          <w:tcPr>
            <w:tcW w:w="0" w:type="auto"/>
            <w:tcBorders>
              <w:top w:val="nil"/>
              <w:left w:val="nil"/>
              <w:bottom w:val="single" w:sz="8" w:space="0" w:color="9CC2E5"/>
              <w:right w:val="single" w:sz="8" w:space="0" w:color="9CC2E5"/>
            </w:tcBorders>
            <w:shd w:val="clear" w:color="000000" w:fill="DEEAF6"/>
            <w:noWrap/>
            <w:vAlign w:val="center"/>
          </w:tcPr>
          <w:p w14:paraId="24E5D428" w14:textId="0F509FEE"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-40,8%</w:t>
            </w:r>
          </w:p>
        </w:tc>
        <w:tc>
          <w:tcPr>
            <w:tcW w:w="0" w:type="auto"/>
            <w:tcBorders>
              <w:top w:val="nil"/>
              <w:left w:val="nil"/>
              <w:bottom w:val="single" w:sz="8" w:space="0" w:color="9CC2E5"/>
              <w:right w:val="single" w:sz="8" w:space="0" w:color="9CC2E5"/>
            </w:tcBorders>
            <w:shd w:val="clear" w:color="000000" w:fill="DEEAF6"/>
            <w:noWrap/>
            <w:vAlign w:val="center"/>
          </w:tcPr>
          <w:p w14:paraId="2008D554" w14:textId="231417A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-25,9%</w:t>
            </w:r>
          </w:p>
        </w:tc>
        <w:tc>
          <w:tcPr>
            <w:tcW w:w="787" w:type="dxa"/>
            <w:tcBorders>
              <w:top w:val="nil"/>
              <w:left w:val="nil"/>
              <w:bottom w:val="single" w:sz="8" w:space="0" w:color="9CC2E5"/>
              <w:right w:val="single" w:sz="8" w:space="0" w:color="9CC2E5"/>
            </w:tcBorders>
            <w:shd w:val="clear" w:color="000000" w:fill="DEEAF6"/>
            <w:noWrap/>
            <w:vAlign w:val="center"/>
          </w:tcPr>
          <w:p w14:paraId="0DECC658" w14:textId="54DBF8E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-44,0%</w:t>
            </w:r>
          </w:p>
        </w:tc>
        <w:tc>
          <w:tcPr>
            <w:tcW w:w="787" w:type="dxa"/>
            <w:tcBorders>
              <w:top w:val="nil"/>
              <w:left w:val="nil"/>
              <w:bottom w:val="single" w:sz="8" w:space="0" w:color="9CC2E5"/>
              <w:right w:val="single" w:sz="8" w:space="0" w:color="9CC2E5"/>
            </w:tcBorders>
            <w:shd w:val="clear" w:color="000000" w:fill="DEEAF6"/>
            <w:noWrap/>
            <w:vAlign w:val="center"/>
          </w:tcPr>
          <w:p w14:paraId="4F81D4BE" w14:textId="15E84EDF"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-36,3%</w:t>
            </w:r>
          </w:p>
        </w:tc>
        <w:tc>
          <w:tcPr>
            <w:tcW w:w="787" w:type="dxa"/>
            <w:tcBorders>
              <w:top w:val="nil"/>
              <w:left w:val="nil"/>
              <w:bottom w:val="single" w:sz="8" w:space="0" w:color="9CC2E5"/>
              <w:right w:val="single" w:sz="8" w:space="0" w:color="9CC2E5"/>
            </w:tcBorders>
            <w:shd w:val="clear" w:color="000000" w:fill="DEEAF6"/>
            <w:noWrap/>
            <w:vAlign w:val="center"/>
          </w:tcPr>
          <w:p w14:paraId="42CB4E65" w14:textId="0C26872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-37,2%</w:t>
            </w:r>
          </w:p>
        </w:tc>
        <w:tc>
          <w:tcPr>
            <w:tcW w:w="787" w:type="dxa"/>
            <w:tcBorders>
              <w:top w:val="nil"/>
              <w:left w:val="nil"/>
              <w:bottom w:val="single" w:sz="8" w:space="0" w:color="9CC2E5"/>
              <w:right w:val="single" w:sz="8" w:space="0" w:color="9CC2E5"/>
            </w:tcBorders>
            <w:shd w:val="clear" w:color="000000" w:fill="DEEAF6"/>
            <w:noWrap/>
            <w:vAlign w:val="center"/>
          </w:tcPr>
          <w:p w14:paraId="0C8B5C93" w14:textId="3D1B70E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-48,5%</w:t>
            </w:r>
          </w:p>
        </w:tc>
        <w:tc>
          <w:tcPr>
            <w:tcW w:w="0" w:type="auto"/>
            <w:tcBorders>
              <w:top w:val="nil"/>
              <w:left w:val="nil"/>
              <w:bottom w:val="single" w:sz="8" w:space="0" w:color="9CC2E5"/>
              <w:right w:val="single" w:sz="8" w:space="0" w:color="9CC2E5"/>
            </w:tcBorders>
            <w:shd w:val="clear" w:color="000000" w:fill="DEEAF6"/>
            <w:noWrap/>
            <w:vAlign w:val="center"/>
          </w:tcPr>
          <w:p w14:paraId="596B2BBF" w14:textId="60C64ACB"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-36,3%</w:t>
            </w:r>
          </w:p>
        </w:tc>
      </w:tr>
      <w:tr w:rsidR="005174BA" w:rsidRPr="008C76AB" w14:paraId="54D7041B"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auto" w:fill="auto"/>
            <w:noWrap/>
            <w:vAlign w:val="center"/>
          </w:tcPr>
          <w:p w14:paraId="0D6A136E" w14:textId="32302C88"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2014</w:t>
            </w:r>
          </w:p>
        </w:tc>
        <w:tc>
          <w:tcPr>
            <w:tcW w:w="921" w:type="dxa"/>
            <w:tcBorders>
              <w:top w:val="nil"/>
              <w:left w:val="nil"/>
              <w:bottom w:val="single" w:sz="8" w:space="0" w:color="9CC2E5"/>
              <w:right w:val="single" w:sz="8" w:space="0" w:color="9CC2E5"/>
            </w:tcBorders>
            <w:shd w:val="clear" w:color="auto" w:fill="auto"/>
            <w:noWrap/>
            <w:vAlign w:val="center"/>
          </w:tcPr>
          <w:p w14:paraId="39782353" w14:textId="7D292EA0"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auto" w:fill="auto"/>
            <w:vAlign w:val="center"/>
          </w:tcPr>
          <w:p w14:paraId="50F0021D" w14:textId="2FEEAC6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5,81</w:t>
            </w:r>
          </w:p>
        </w:tc>
        <w:tc>
          <w:tcPr>
            <w:tcW w:w="787" w:type="dxa"/>
            <w:tcBorders>
              <w:top w:val="nil"/>
              <w:left w:val="nil"/>
              <w:bottom w:val="single" w:sz="8" w:space="0" w:color="9CC2E5"/>
              <w:right w:val="single" w:sz="8" w:space="0" w:color="9CC2E5"/>
            </w:tcBorders>
            <w:shd w:val="clear" w:color="auto" w:fill="auto"/>
            <w:vAlign w:val="center"/>
          </w:tcPr>
          <w:p w14:paraId="228E0002" w14:textId="7259DEFC"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6,79</w:t>
            </w:r>
          </w:p>
        </w:tc>
        <w:tc>
          <w:tcPr>
            <w:tcW w:w="0" w:type="auto"/>
            <w:tcBorders>
              <w:top w:val="nil"/>
              <w:left w:val="nil"/>
              <w:bottom w:val="single" w:sz="8" w:space="0" w:color="9CC2E5"/>
              <w:right w:val="single" w:sz="8" w:space="0" w:color="9CC2E5"/>
            </w:tcBorders>
            <w:shd w:val="clear" w:color="auto" w:fill="auto"/>
            <w:vAlign w:val="center"/>
          </w:tcPr>
          <w:p w14:paraId="3CA30EAA" w14:textId="7CCC606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auto" w:fill="auto"/>
            <w:vAlign w:val="center"/>
          </w:tcPr>
          <w:p w14:paraId="5676639A" w14:textId="479A6CB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60,07</w:t>
            </w:r>
          </w:p>
        </w:tc>
        <w:tc>
          <w:tcPr>
            <w:tcW w:w="0" w:type="auto"/>
            <w:tcBorders>
              <w:top w:val="nil"/>
              <w:left w:val="nil"/>
              <w:bottom w:val="single" w:sz="8" w:space="0" w:color="9CC2E5"/>
              <w:right w:val="single" w:sz="8" w:space="0" w:color="9CC2E5"/>
            </w:tcBorders>
            <w:shd w:val="clear" w:color="auto" w:fill="auto"/>
            <w:vAlign w:val="center"/>
          </w:tcPr>
          <w:p w14:paraId="16D7EE9A" w14:textId="0A4A601C"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74,00</w:t>
            </w:r>
          </w:p>
        </w:tc>
        <w:tc>
          <w:tcPr>
            <w:tcW w:w="787" w:type="dxa"/>
            <w:tcBorders>
              <w:top w:val="nil"/>
              <w:left w:val="nil"/>
              <w:bottom w:val="single" w:sz="8" w:space="0" w:color="9CC2E5"/>
              <w:right w:val="single" w:sz="8" w:space="0" w:color="9CC2E5"/>
            </w:tcBorders>
            <w:shd w:val="clear" w:color="auto" w:fill="auto"/>
            <w:vAlign w:val="center"/>
          </w:tcPr>
          <w:p w14:paraId="74E953BF" w14:textId="6255D6A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33,50</w:t>
            </w:r>
          </w:p>
        </w:tc>
        <w:tc>
          <w:tcPr>
            <w:tcW w:w="787" w:type="dxa"/>
            <w:tcBorders>
              <w:top w:val="nil"/>
              <w:left w:val="nil"/>
              <w:bottom w:val="single" w:sz="8" w:space="0" w:color="9CC2E5"/>
              <w:right w:val="single" w:sz="8" w:space="0" w:color="9CC2E5"/>
            </w:tcBorders>
            <w:shd w:val="clear" w:color="auto" w:fill="auto"/>
            <w:vAlign w:val="center"/>
          </w:tcPr>
          <w:p w14:paraId="363EC35E" w14:textId="1218C59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11,23</w:t>
            </w:r>
          </w:p>
        </w:tc>
        <w:tc>
          <w:tcPr>
            <w:tcW w:w="787" w:type="dxa"/>
            <w:tcBorders>
              <w:top w:val="nil"/>
              <w:left w:val="nil"/>
              <w:bottom w:val="single" w:sz="8" w:space="0" w:color="9CC2E5"/>
              <w:right w:val="single" w:sz="8" w:space="0" w:color="9CC2E5"/>
            </w:tcBorders>
            <w:shd w:val="clear" w:color="auto" w:fill="auto"/>
            <w:vAlign w:val="center"/>
          </w:tcPr>
          <w:p w14:paraId="20D9C617" w14:textId="5B622F6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7,11</w:t>
            </w:r>
          </w:p>
        </w:tc>
        <w:tc>
          <w:tcPr>
            <w:tcW w:w="787" w:type="dxa"/>
            <w:tcBorders>
              <w:top w:val="nil"/>
              <w:left w:val="nil"/>
              <w:bottom w:val="single" w:sz="8" w:space="0" w:color="9CC2E5"/>
              <w:right w:val="single" w:sz="8" w:space="0" w:color="9CC2E5"/>
            </w:tcBorders>
            <w:shd w:val="clear" w:color="auto" w:fill="auto"/>
            <w:vAlign w:val="center"/>
          </w:tcPr>
          <w:p w14:paraId="5D912B22" w14:textId="60C0E5D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15,17</w:t>
            </w:r>
          </w:p>
        </w:tc>
        <w:tc>
          <w:tcPr>
            <w:tcW w:w="0" w:type="auto"/>
            <w:vMerge w:val="restart"/>
            <w:tcBorders>
              <w:top w:val="nil"/>
              <w:left w:val="single" w:sz="8" w:space="0" w:color="9CC2E5"/>
              <w:bottom w:val="single" w:sz="8" w:space="0" w:color="9CC2E5"/>
              <w:right w:val="single" w:sz="8" w:space="0" w:color="9CC2E5"/>
            </w:tcBorders>
            <w:shd w:val="clear" w:color="auto" w:fill="auto"/>
            <w:noWrap/>
            <w:vAlign w:val="center"/>
          </w:tcPr>
          <w:p w14:paraId="25309BD5"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509B65AB"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57C575D2"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EEAF6"/>
            <w:noWrap/>
            <w:vAlign w:val="center"/>
          </w:tcPr>
          <w:p w14:paraId="4D45D659" w14:textId="633F6DFB"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DEEAF6"/>
            <w:vAlign w:val="center"/>
          </w:tcPr>
          <w:p w14:paraId="0B3D051A" w14:textId="136B2B7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2,04</w:t>
            </w:r>
          </w:p>
        </w:tc>
        <w:tc>
          <w:tcPr>
            <w:tcW w:w="787" w:type="dxa"/>
            <w:tcBorders>
              <w:top w:val="nil"/>
              <w:left w:val="nil"/>
              <w:bottom w:val="single" w:sz="8" w:space="0" w:color="9CC2E5"/>
              <w:right w:val="single" w:sz="8" w:space="0" w:color="9CC2E5"/>
            </w:tcBorders>
            <w:shd w:val="clear" w:color="000000" w:fill="DEEAF6"/>
            <w:vAlign w:val="center"/>
          </w:tcPr>
          <w:p w14:paraId="3EF97815" w14:textId="116E988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4,14</w:t>
            </w:r>
          </w:p>
        </w:tc>
        <w:tc>
          <w:tcPr>
            <w:tcW w:w="0" w:type="auto"/>
            <w:tcBorders>
              <w:top w:val="nil"/>
              <w:left w:val="nil"/>
              <w:bottom w:val="single" w:sz="8" w:space="0" w:color="9CC2E5"/>
              <w:right w:val="single" w:sz="8" w:space="0" w:color="9CC2E5"/>
            </w:tcBorders>
            <w:shd w:val="clear" w:color="000000" w:fill="DEEAF6"/>
            <w:vAlign w:val="center"/>
          </w:tcPr>
          <w:p w14:paraId="03809BF8" w14:textId="5ADDF39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000000" w:fill="DEEAF6"/>
            <w:vAlign w:val="center"/>
          </w:tcPr>
          <w:p w14:paraId="77EC2081" w14:textId="0FD5E5E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39,60</w:t>
            </w:r>
          </w:p>
        </w:tc>
        <w:tc>
          <w:tcPr>
            <w:tcW w:w="0" w:type="auto"/>
            <w:tcBorders>
              <w:top w:val="nil"/>
              <w:left w:val="nil"/>
              <w:bottom w:val="single" w:sz="8" w:space="0" w:color="9CC2E5"/>
              <w:right w:val="single" w:sz="8" w:space="0" w:color="9CC2E5"/>
            </w:tcBorders>
            <w:shd w:val="clear" w:color="000000" w:fill="DEEAF6"/>
            <w:vAlign w:val="center"/>
          </w:tcPr>
          <w:p w14:paraId="38A7E388" w14:textId="1BE2B6A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56,41</w:t>
            </w:r>
          </w:p>
        </w:tc>
        <w:tc>
          <w:tcPr>
            <w:tcW w:w="787" w:type="dxa"/>
            <w:tcBorders>
              <w:top w:val="nil"/>
              <w:left w:val="nil"/>
              <w:bottom w:val="single" w:sz="8" w:space="0" w:color="9CC2E5"/>
              <w:right w:val="single" w:sz="8" w:space="0" w:color="9CC2E5"/>
            </w:tcBorders>
            <w:shd w:val="clear" w:color="000000" w:fill="DEEAF6"/>
            <w:vAlign w:val="center"/>
          </w:tcPr>
          <w:p w14:paraId="1BD0BD30" w14:textId="6385DA5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23,94</w:t>
            </w:r>
          </w:p>
        </w:tc>
        <w:tc>
          <w:tcPr>
            <w:tcW w:w="787" w:type="dxa"/>
            <w:tcBorders>
              <w:top w:val="nil"/>
              <w:left w:val="nil"/>
              <w:bottom w:val="single" w:sz="8" w:space="0" w:color="9CC2E5"/>
              <w:right w:val="single" w:sz="8" w:space="0" w:color="9CC2E5"/>
            </w:tcBorders>
            <w:shd w:val="clear" w:color="000000" w:fill="DEEAF6"/>
            <w:vAlign w:val="center"/>
          </w:tcPr>
          <w:p w14:paraId="31F699AE" w14:textId="2115315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9,30</w:t>
            </w:r>
          </w:p>
        </w:tc>
        <w:tc>
          <w:tcPr>
            <w:tcW w:w="787" w:type="dxa"/>
            <w:tcBorders>
              <w:top w:val="nil"/>
              <w:left w:val="nil"/>
              <w:bottom w:val="single" w:sz="8" w:space="0" w:color="9CC2E5"/>
              <w:right w:val="single" w:sz="8" w:space="0" w:color="9CC2E5"/>
            </w:tcBorders>
            <w:shd w:val="clear" w:color="000000" w:fill="DEEAF6"/>
            <w:vAlign w:val="center"/>
          </w:tcPr>
          <w:p w14:paraId="5C726760" w14:textId="451391C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6,12</w:t>
            </w:r>
          </w:p>
        </w:tc>
        <w:tc>
          <w:tcPr>
            <w:tcW w:w="787" w:type="dxa"/>
            <w:tcBorders>
              <w:top w:val="nil"/>
              <w:left w:val="nil"/>
              <w:bottom w:val="single" w:sz="8" w:space="0" w:color="9CC2E5"/>
              <w:right w:val="single" w:sz="8" w:space="0" w:color="9CC2E5"/>
            </w:tcBorders>
            <w:shd w:val="clear" w:color="000000" w:fill="DEEAF6"/>
            <w:vAlign w:val="center"/>
          </w:tcPr>
          <w:p w14:paraId="2BF4AC70" w14:textId="1ACB723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8,52</w:t>
            </w:r>
          </w:p>
        </w:tc>
        <w:tc>
          <w:tcPr>
            <w:tcW w:w="0" w:type="auto"/>
            <w:vMerge/>
            <w:tcBorders>
              <w:top w:val="nil"/>
              <w:left w:val="single" w:sz="8" w:space="0" w:color="9CC2E5"/>
              <w:bottom w:val="single" w:sz="8" w:space="0" w:color="9CC2E5"/>
              <w:right w:val="single" w:sz="8" w:space="0" w:color="9CC2E5"/>
            </w:tcBorders>
            <w:vAlign w:val="center"/>
          </w:tcPr>
          <w:p w14:paraId="64880101"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523798B5"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749836F2"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auto" w:fill="auto"/>
            <w:noWrap/>
            <w:vAlign w:val="center"/>
          </w:tcPr>
          <w:p w14:paraId="0E80DC5A" w14:textId="09E90D9C"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auto" w:fill="auto"/>
            <w:noWrap/>
            <w:vAlign w:val="center"/>
          </w:tcPr>
          <w:p w14:paraId="009214AF" w14:textId="4CBBCF8B"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-65,0%</w:t>
            </w:r>
          </w:p>
        </w:tc>
        <w:tc>
          <w:tcPr>
            <w:tcW w:w="787" w:type="dxa"/>
            <w:tcBorders>
              <w:top w:val="nil"/>
              <w:left w:val="nil"/>
              <w:bottom w:val="single" w:sz="8" w:space="0" w:color="9CC2E5"/>
              <w:right w:val="single" w:sz="8" w:space="0" w:color="9CC2E5"/>
            </w:tcBorders>
            <w:shd w:val="clear" w:color="auto" w:fill="auto"/>
            <w:noWrap/>
            <w:vAlign w:val="center"/>
          </w:tcPr>
          <w:p w14:paraId="7F302296" w14:textId="5C15F85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-39,0%</w:t>
            </w:r>
          </w:p>
        </w:tc>
        <w:tc>
          <w:tcPr>
            <w:tcW w:w="0" w:type="auto"/>
            <w:tcBorders>
              <w:top w:val="nil"/>
              <w:left w:val="nil"/>
              <w:bottom w:val="single" w:sz="8" w:space="0" w:color="9CC2E5"/>
              <w:right w:val="single" w:sz="8" w:space="0" w:color="9CC2E5"/>
            </w:tcBorders>
            <w:shd w:val="clear" w:color="auto" w:fill="auto"/>
            <w:noWrap/>
            <w:vAlign w:val="center"/>
          </w:tcPr>
          <w:p w14:paraId="74ABCA5A" w14:textId="51E4EA3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0,0%</w:t>
            </w:r>
          </w:p>
        </w:tc>
        <w:tc>
          <w:tcPr>
            <w:tcW w:w="0" w:type="auto"/>
            <w:tcBorders>
              <w:top w:val="nil"/>
              <w:left w:val="nil"/>
              <w:bottom w:val="single" w:sz="8" w:space="0" w:color="9CC2E5"/>
              <w:right w:val="single" w:sz="8" w:space="0" w:color="9CC2E5"/>
            </w:tcBorders>
            <w:shd w:val="clear" w:color="auto" w:fill="auto"/>
            <w:noWrap/>
            <w:vAlign w:val="center"/>
          </w:tcPr>
          <w:p w14:paraId="7D7EDFCB" w14:textId="55F9F3D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-34,1%</w:t>
            </w:r>
          </w:p>
        </w:tc>
        <w:tc>
          <w:tcPr>
            <w:tcW w:w="0" w:type="auto"/>
            <w:tcBorders>
              <w:top w:val="nil"/>
              <w:left w:val="nil"/>
              <w:bottom w:val="single" w:sz="8" w:space="0" w:color="9CC2E5"/>
              <w:right w:val="single" w:sz="8" w:space="0" w:color="9CC2E5"/>
            </w:tcBorders>
            <w:shd w:val="clear" w:color="auto" w:fill="auto"/>
            <w:noWrap/>
            <w:vAlign w:val="center"/>
          </w:tcPr>
          <w:p w14:paraId="075C6DC1" w14:textId="710C0087"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-23,8%</w:t>
            </w:r>
          </w:p>
        </w:tc>
        <w:tc>
          <w:tcPr>
            <w:tcW w:w="787" w:type="dxa"/>
            <w:tcBorders>
              <w:top w:val="nil"/>
              <w:left w:val="nil"/>
              <w:bottom w:val="single" w:sz="8" w:space="0" w:color="9CC2E5"/>
              <w:right w:val="single" w:sz="8" w:space="0" w:color="9CC2E5"/>
            </w:tcBorders>
            <w:shd w:val="clear" w:color="auto" w:fill="auto"/>
            <w:noWrap/>
            <w:vAlign w:val="center"/>
          </w:tcPr>
          <w:p w14:paraId="7FEB3417" w14:textId="747D2630"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-28,6%</w:t>
            </w:r>
          </w:p>
        </w:tc>
        <w:tc>
          <w:tcPr>
            <w:tcW w:w="787" w:type="dxa"/>
            <w:tcBorders>
              <w:top w:val="nil"/>
              <w:left w:val="nil"/>
              <w:bottom w:val="single" w:sz="8" w:space="0" w:color="9CC2E5"/>
              <w:right w:val="single" w:sz="8" w:space="0" w:color="9CC2E5"/>
            </w:tcBorders>
            <w:shd w:val="clear" w:color="auto" w:fill="auto"/>
            <w:noWrap/>
            <w:vAlign w:val="center"/>
          </w:tcPr>
          <w:p w14:paraId="7D3A5249" w14:textId="002EF60E"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-17,2%</w:t>
            </w:r>
          </w:p>
        </w:tc>
        <w:tc>
          <w:tcPr>
            <w:tcW w:w="787" w:type="dxa"/>
            <w:tcBorders>
              <w:top w:val="nil"/>
              <w:left w:val="nil"/>
              <w:bottom w:val="single" w:sz="8" w:space="0" w:color="9CC2E5"/>
              <w:right w:val="single" w:sz="8" w:space="0" w:color="9CC2E5"/>
            </w:tcBorders>
            <w:shd w:val="clear" w:color="auto" w:fill="auto"/>
            <w:noWrap/>
            <w:vAlign w:val="center"/>
          </w:tcPr>
          <w:p w14:paraId="4173A525" w14:textId="24A218E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-13,9%</w:t>
            </w:r>
          </w:p>
        </w:tc>
        <w:tc>
          <w:tcPr>
            <w:tcW w:w="787" w:type="dxa"/>
            <w:tcBorders>
              <w:top w:val="nil"/>
              <w:left w:val="nil"/>
              <w:bottom w:val="single" w:sz="8" w:space="0" w:color="9CC2E5"/>
              <w:right w:val="single" w:sz="8" w:space="0" w:color="9CC2E5"/>
            </w:tcBorders>
            <w:shd w:val="clear" w:color="auto" w:fill="auto"/>
            <w:noWrap/>
            <w:vAlign w:val="center"/>
          </w:tcPr>
          <w:p w14:paraId="0C934234" w14:textId="79A1468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-43,8%</w:t>
            </w:r>
          </w:p>
        </w:tc>
        <w:tc>
          <w:tcPr>
            <w:tcW w:w="0" w:type="auto"/>
            <w:tcBorders>
              <w:top w:val="nil"/>
              <w:left w:val="nil"/>
              <w:bottom w:val="single" w:sz="8" w:space="0" w:color="9CC2E5"/>
              <w:right w:val="single" w:sz="8" w:space="0" w:color="9CC2E5"/>
            </w:tcBorders>
            <w:shd w:val="clear" w:color="auto" w:fill="auto"/>
            <w:noWrap/>
            <w:vAlign w:val="center"/>
          </w:tcPr>
          <w:p w14:paraId="085F7C7E" w14:textId="3B1AB820"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-29,8%</w:t>
            </w:r>
          </w:p>
        </w:tc>
      </w:tr>
      <w:tr w:rsidR="005174BA" w:rsidRPr="008C76AB" w14:paraId="259E6590"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000000" w:fill="DEEAF6"/>
            <w:noWrap/>
            <w:vAlign w:val="center"/>
          </w:tcPr>
          <w:p w14:paraId="39EA34AA" w14:textId="0B1687CF"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2015</w:t>
            </w:r>
          </w:p>
        </w:tc>
        <w:tc>
          <w:tcPr>
            <w:tcW w:w="921" w:type="dxa"/>
            <w:tcBorders>
              <w:top w:val="nil"/>
              <w:left w:val="nil"/>
              <w:bottom w:val="single" w:sz="8" w:space="0" w:color="9CC2E5"/>
              <w:right w:val="single" w:sz="8" w:space="0" w:color="9CC2E5"/>
            </w:tcBorders>
            <w:shd w:val="clear" w:color="000000" w:fill="DEEAF6"/>
            <w:noWrap/>
            <w:vAlign w:val="center"/>
          </w:tcPr>
          <w:p w14:paraId="68F34096" w14:textId="7A64BE0D"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DEEAF6"/>
            <w:vAlign w:val="center"/>
          </w:tcPr>
          <w:p w14:paraId="5701AABC" w14:textId="05DBFF3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10,01</w:t>
            </w:r>
          </w:p>
        </w:tc>
        <w:tc>
          <w:tcPr>
            <w:tcW w:w="787" w:type="dxa"/>
            <w:tcBorders>
              <w:top w:val="nil"/>
              <w:left w:val="nil"/>
              <w:bottom w:val="single" w:sz="8" w:space="0" w:color="9CC2E5"/>
              <w:right w:val="single" w:sz="8" w:space="0" w:color="9CC2E5"/>
            </w:tcBorders>
            <w:shd w:val="clear" w:color="000000" w:fill="DEEAF6"/>
            <w:vAlign w:val="center"/>
          </w:tcPr>
          <w:p w14:paraId="75FFCBE1" w14:textId="63DAE2FB"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7,66</w:t>
            </w:r>
          </w:p>
        </w:tc>
        <w:tc>
          <w:tcPr>
            <w:tcW w:w="0" w:type="auto"/>
            <w:tcBorders>
              <w:top w:val="nil"/>
              <w:left w:val="nil"/>
              <w:bottom w:val="single" w:sz="8" w:space="0" w:color="9CC2E5"/>
              <w:right w:val="single" w:sz="8" w:space="0" w:color="9CC2E5"/>
            </w:tcBorders>
            <w:shd w:val="clear" w:color="000000" w:fill="DEEAF6"/>
            <w:vAlign w:val="center"/>
          </w:tcPr>
          <w:p w14:paraId="713D71EB" w14:textId="5F4296A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000000" w:fill="DEEAF6"/>
            <w:vAlign w:val="center"/>
          </w:tcPr>
          <w:p w14:paraId="5D4835E3" w14:textId="1899FB2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34,99</w:t>
            </w:r>
          </w:p>
        </w:tc>
        <w:tc>
          <w:tcPr>
            <w:tcW w:w="0" w:type="auto"/>
            <w:tcBorders>
              <w:top w:val="nil"/>
              <w:left w:val="nil"/>
              <w:bottom w:val="single" w:sz="8" w:space="0" w:color="9CC2E5"/>
              <w:right w:val="single" w:sz="8" w:space="0" w:color="9CC2E5"/>
            </w:tcBorders>
            <w:shd w:val="clear" w:color="000000" w:fill="DEEAF6"/>
            <w:vAlign w:val="center"/>
          </w:tcPr>
          <w:p w14:paraId="3648267F" w14:textId="6644DE6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82,26</w:t>
            </w:r>
          </w:p>
        </w:tc>
        <w:tc>
          <w:tcPr>
            <w:tcW w:w="787" w:type="dxa"/>
            <w:tcBorders>
              <w:top w:val="nil"/>
              <w:left w:val="nil"/>
              <w:bottom w:val="single" w:sz="8" w:space="0" w:color="9CC2E5"/>
              <w:right w:val="single" w:sz="8" w:space="0" w:color="9CC2E5"/>
            </w:tcBorders>
            <w:shd w:val="clear" w:color="000000" w:fill="DEEAF6"/>
            <w:vAlign w:val="center"/>
          </w:tcPr>
          <w:p w14:paraId="08F9B899" w14:textId="7B143FEC"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44,30</w:t>
            </w:r>
          </w:p>
        </w:tc>
        <w:tc>
          <w:tcPr>
            <w:tcW w:w="787" w:type="dxa"/>
            <w:tcBorders>
              <w:top w:val="nil"/>
              <w:left w:val="nil"/>
              <w:bottom w:val="single" w:sz="8" w:space="0" w:color="9CC2E5"/>
              <w:right w:val="single" w:sz="8" w:space="0" w:color="9CC2E5"/>
            </w:tcBorders>
            <w:shd w:val="clear" w:color="000000" w:fill="DEEAF6"/>
            <w:vAlign w:val="center"/>
          </w:tcPr>
          <w:p w14:paraId="6F2B6C9E" w14:textId="52E5374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26,72</w:t>
            </w:r>
          </w:p>
        </w:tc>
        <w:tc>
          <w:tcPr>
            <w:tcW w:w="787" w:type="dxa"/>
            <w:tcBorders>
              <w:top w:val="nil"/>
              <w:left w:val="nil"/>
              <w:bottom w:val="single" w:sz="8" w:space="0" w:color="9CC2E5"/>
              <w:right w:val="single" w:sz="8" w:space="0" w:color="9CC2E5"/>
            </w:tcBorders>
            <w:shd w:val="clear" w:color="000000" w:fill="DEEAF6"/>
            <w:vAlign w:val="center"/>
          </w:tcPr>
          <w:p w14:paraId="6FF2DB96" w14:textId="3E8639B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5,33</w:t>
            </w:r>
          </w:p>
        </w:tc>
        <w:tc>
          <w:tcPr>
            <w:tcW w:w="787" w:type="dxa"/>
            <w:tcBorders>
              <w:top w:val="nil"/>
              <w:left w:val="nil"/>
              <w:bottom w:val="single" w:sz="8" w:space="0" w:color="9CC2E5"/>
              <w:right w:val="single" w:sz="8" w:space="0" w:color="9CC2E5"/>
            </w:tcBorders>
            <w:shd w:val="clear" w:color="000000" w:fill="DEEAF6"/>
            <w:vAlign w:val="center"/>
          </w:tcPr>
          <w:p w14:paraId="52DF02CD" w14:textId="3E601D2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12,26</w:t>
            </w:r>
          </w:p>
        </w:tc>
        <w:tc>
          <w:tcPr>
            <w:tcW w:w="0" w:type="auto"/>
            <w:vMerge w:val="restart"/>
            <w:tcBorders>
              <w:top w:val="nil"/>
              <w:left w:val="single" w:sz="8" w:space="0" w:color="9CC2E5"/>
              <w:bottom w:val="single" w:sz="8" w:space="0" w:color="9CC2E5"/>
              <w:right w:val="single" w:sz="8" w:space="0" w:color="9CC2E5"/>
            </w:tcBorders>
            <w:shd w:val="clear" w:color="000000" w:fill="DEEAF6"/>
            <w:noWrap/>
            <w:vAlign w:val="center"/>
          </w:tcPr>
          <w:p w14:paraId="507B4F4F"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59B08603"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48AB1350"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auto" w:fill="auto"/>
            <w:vAlign w:val="center"/>
          </w:tcPr>
          <w:p w14:paraId="6610C145" w14:textId="084B69EA"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auto" w:fill="auto"/>
            <w:vAlign w:val="center"/>
          </w:tcPr>
          <w:p w14:paraId="2BD372C6" w14:textId="502AFC7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5,30</w:t>
            </w:r>
          </w:p>
        </w:tc>
        <w:tc>
          <w:tcPr>
            <w:tcW w:w="787" w:type="dxa"/>
            <w:tcBorders>
              <w:top w:val="nil"/>
              <w:left w:val="nil"/>
              <w:bottom w:val="single" w:sz="8" w:space="0" w:color="9CC2E5"/>
              <w:right w:val="single" w:sz="8" w:space="0" w:color="9CC2E5"/>
            </w:tcBorders>
            <w:shd w:val="clear" w:color="auto" w:fill="auto"/>
            <w:vAlign w:val="center"/>
          </w:tcPr>
          <w:p w14:paraId="69E6CF53" w14:textId="1C234B00"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5,23</w:t>
            </w:r>
          </w:p>
        </w:tc>
        <w:tc>
          <w:tcPr>
            <w:tcW w:w="0" w:type="auto"/>
            <w:tcBorders>
              <w:top w:val="nil"/>
              <w:left w:val="nil"/>
              <w:bottom w:val="single" w:sz="8" w:space="0" w:color="9CC2E5"/>
              <w:right w:val="single" w:sz="8" w:space="0" w:color="9CC2E5"/>
            </w:tcBorders>
            <w:shd w:val="clear" w:color="auto" w:fill="auto"/>
            <w:vAlign w:val="center"/>
          </w:tcPr>
          <w:p w14:paraId="56AC823C" w14:textId="1101119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auto" w:fill="auto"/>
            <w:vAlign w:val="center"/>
          </w:tcPr>
          <w:p w14:paraId="330D24E5" w14:textId="710BEE5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21,80</w:t>
            </w:r>
          </w:p>
        </w:tc>
        <w:tc>
          <w:tcPr>
            <w:tcW w:w="0" w:type="auto"/>
            <w:tcBorders>
              <w:top w:val="nil"/>
              <w:left w:val="nil"/>
              <w:bottom w:val="single" w:sz="8" w:space="0" w:color="9CC2E5"/>
              <w:right w:val="single" w:sz="8" w:space="0" w:color="9CC2E5"/>
            </w:tcBorders>
            <w:shd w:val="clear" w:color="auto" w:fill="auto"/>
            <w:vAlign w:val="center"/>
          </w:tcPr>
          <w:p w14:paraId="1A4D2AA7" w14:textId="71C2A94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62,74</w:t>
            </w:r>
          </w:p>
        </w:tc>
        <w:tc>
          <w:tcPr>
            <w:tcW w:w="787" w:type="dxa"/>
            <w:tcBorders>
              <w:top w:val="nil"/>
              <w:left w:val="nil"/>
              <w:bottom w:val="single" w:sz="8" w:space="0" w:color="9CC2E5"/>
              <w:right w:val="single" w:sz="8" w:space="0" w:color="9CC2E5"/>
            </w:tcBorders>
            <w:shd w:val="clear" w:color="auto" w:fill="auto"/>
            <w:vAlign w:val="center"/>
          </w:tcPr>
          <w:p w14:paraId="1D6A0AC2" w14:textId="53E54C2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37,49</w:t>
            </w:r>
          </w:p>
        </w:tc>
        <w:tc>
          <w:tcPr>
            <w:tcW w:w="787" w:type="dxa"/>
            <w:tcBorders>
              <w:top w:val="nil"/>
              <w:left w:val="nil"/>
              <w:bottom w:val="single" w:sz="8" w:space="0" w:color="9CC2E5"/>
              <w:right w:val="single" w:sz="8" w:space="0" w:color="9CC2E5"/>
            </w:tcBorders>
            <w:shd w:val="clear" w:color="auto" w:fill="auto"/>
            <w:vAlign w:val="center"/>
          </w:tcPr>
          <w:p w14:paraId="082B6FE6" w14:textId="1EA67C8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23,95</w:t>
            </w:r>
          </w:p>
        </w:tc>
        <w:tc>
          <w:tcPr>
            <w:tcW w:w="787" w:type="dxa"/>
            <w:tcBorders>
              <w:top w:val="nil"/>
              <w:left w:val="nil"/>
              <w:bottom w:val="single" w:sz="8" w:space="0" w:color="9CC2E5"/>
              <w:right w:val="single" w:sz="8" w:space="0" w:color="9CC2E5"/>
            </w:tcBorders>
            <w:shd w:val="clear" w:color="auto" w:fill="auto"/>
            <w:vAlign w:val="center"/>
          </w:tcPr>
          <w:p w14:paraId="05707F9C" w14:textId="74035DF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5,15</w:t>
            </w:r>
          </w:p>
        </w:tc>
        <w:tc>
          <w:tcPr>
            <w:tcW w:w="787" w:type="dxa"/>
            <w:tcBorders>
              <w:top w:val="nil"/>
              <w:left w:val="nil"/>
              <w:bottom w:val="single" w:sz="8" w:space="0" w:color="9CC2E5"/>
              <w:right w:val="single" w:sz="8" w:space="0" w:color="9CC2E5"/>
            </w:tcBorders>
            <w:shd w:val="clear" w:color="auto" w:fill="auto"/>
            <w:vAlign w:val="center"/>
          </w:tcPr>
          <w:p w14:paraId="47DC27DD" w14:textId="4039C02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8,40</w:t>
            </w:r>
          </w:p>
        </w:tc>
        <w:tc>
          <w:tcPr>
            <w:tcW w:w="0" w:type="auto"/>
            <w:vMerge/>
            <w:tcBorders>
              <w:top w:val="nil"/>
              <w:left w:val="single" w:sz="8" w:space="0" w:color="9CC2E5"/>
              <w:bottom w:val="single" w:sz="8" w:space="0" w:color="9CC2E5"/>
              <w:right w:val="single" w:sz="8" w:space="0" w:color="9CC2E5"/>
            </w:tcBorders>
            <w:vAlign w:val="center"/>
          </w:tcPr>
          <w:p w14:paraId="63F218DB"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0500980C"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641215FA"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EEAF6"/>
            <w:noWrap/>
            <w:vAlign w:val="center"/>
          </w:tcPr>
          <w:p w14:paraId="24E1FF73" w14:textId="028D5AC9"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DEEAF6"/>
            <w:noWrap/>
            <w:vAlign w:val="center"/>
          </w:tcPr>
          <w:p w14:paraId="0D119A46" w14:textId="03E0707E"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-47,1%</w:t>
            </w:r>
          </w:p>
        </w:tc>
        <w:tc>
          <w:tcPr>
            <w:tcW w:w="787" w:type="dxa"/>
            <w:tcBorders>
              <w:top w:val="nil"/>
              <w:left w:val="nil"/>
              <w:bottom w:val="single" w:sz="8" w:space="0" w:color="9CC2E5"/>
              <w:right w:val="single" w:sz="8" w:space="0" w:color="9CC2E5"/>
            </w:tcBorders>
            <w:shd w:val="clear" w:color="000000" w:fill="DEEAF6"/>
            <w:noWrap/>
            <w:vAlign w:val="center"/>
          </w:tcPr>
          <w:p w14:paraId="77582B72" w14:textId="54485057"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-31,7%</w:t>
            </w:r>
          </w:p>
        </w:tc>
        <w:tc>
          <w:tcPr>
            <w:tcW w:w="0" w:type="auto"/>
            <w:tcBorders>
              <w:top w:val="nil"/>
              <w:left w:val="nil"/>
              <w:bottom w:val="single" w:sz="8" w:space="0" w:color="9CC2E5"/>
              <w:right w:val="single" w:sz="8" w:space="0" w:color="9CC2E5"/>
            </w:tcBorders>
            <w:shd w:val="clear" w:color="auto" w:fill="DEEAF6" w:themeFill="accent1" w:themeFillTint="33"/>
            <w:noWrap/>
            <w:vAlign w:val="center"/>
          </w:tcPr>
          <w:p w14:paraId="0C87A137" w14:textId="753EFDC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0,0%</w:t>
            </w:r>
          </w:p>
        </w:tc>
        <w:tc>
          <w:tcPr>
            <w:tcW w:w="0" w:type="auto"/>
            <w:tcBorders>
              <w:top w:val="nil"/>
              <w:left w:val="nil"/>
              <w:bottom w:val="single" w:sz="8" w:space="0" w:color="9CC2E5"/>
              <w:right w:val="single" w:sz="8" w:space="0" w:color="9CC2E5"/>
            </w:tcBorders>
            <w:shd w:val="clear" w:color="000000" w:fill="DEEAF6"/>
            <w:noWrap/>
            <w:vAlign w:val="center"/>
          </w:tcPr>
          <w:p w14:paraId="4A406491" w14:textId="0C9A803B"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-37,7%</w:t>
            </w:r>
          </w:p>
        </w:tc>
        <w:tc>
          <w:tcPr>
            <w:tcW w:w="0" w:type="auto"/>
            <w:tcBorders>
              <w:top w:val="nil"/>
              <w:left w:val="nil"/>
              <w:bottom w:val="single" w:sz="8" w:space="0" w:color="9CC2E5"/>
              <w:right w:val="single" w:sz="8" w:space="0" w:color="9CC2E5"/>
            </w:tcBorders>
            <w:shd w:val="clear" w:color="000000" w:fill="DEEAF6"/>
            <w:noWrap/>
            <w:vAlign w:val="center"/>
          </w:tcPr>
          <w:p w14:paraId="235EE140" w14:textId="1E360F1C"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-23,7%</w:t>
            </w:r>
          </w:p>
        </w:tc>
        <w:tc>
          <w:tcPr>
            <w:tcW w:w="787" w:type="dxa"/>
            <w:tcBorders>
              <w:top w:val="nil"/>
              <w:left w:val="nil"/>
              <w:bottom w:val="single" w:sz="8" w:space="0" w:color="9CC2E5"/>
              <w:right w:val="single" w:sz="8" w:space="0" w:color="9CC2E5"/>
            </w:tcBorders>
            <w:shd w:val="clear" w:color="000000" w:fill="DEEAF6"/>
            <w:noWrap/>
            <w:vAlign w:val="center"/>
          </w:tcPr>
          <w:p w14:paraId="09F40E2C" w14:textId="1AEE571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-15,4%</w:t>
            </w:r>
          </w:p>
        </w:tc>
        <w:tc>
          <w:tcPr>
            <w:tcW w:w="787" w:type="dxa"/>
            <w:tcBorders>
              <w:top w:val="nil"/>
              <w:left w:val="nil"/>
              <w:bottom w:val="single" w:sz="8" w:space="0" w:color="9CC2E5"/>
              <w:right w:val="single" w:sz="8" w:space="0" w:color="9CC2E5"/>
            </w:tcBorders>
            <w:shd w:val="clear" w:color="000000" w:fill="DEEAF6"/>
            <w:noWrap/>
            <w:vAlign w:val="center"/>
          </w:tcPr>
          <w:p w14:paraId="72D0711E" w14:textId="448F4CB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-10,4%</w:t>
            </w:r>
          </w:p>
        </w:tc>
        <w:tc>
          <w:tcPr>
            <w:tcW w:w="787" w:type="dxa"/>
            <w:tcBorders>
              <w:top w:val="nil"/>
              <w:left w:val="nil"/>
              <w:bottom w:val="single" w:sz="8" w:space="0" w:color="9CC2E5"/>
              <w:right w:val="single" w:sz="8" w:space="0" w:color="9CC2E5"/>
            </w:tcBorders>
            <w:shd w:val="clear" w:color="000000" w:fill="DEEAF6"/>
            <w:noWrap/>
            <w:vAlign w:val="center"/>
          </w:tcPr>
          <w:p w14:paraId="41908283" w14:textId="487E058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-3,4%</w:t>
            </w:r>
          </w:p>
        </w:tc>
        <w:tc>
          <w:tcPr>
            <w:tcW w:w="787" w:type="dxa"/>
            <w:tcBorders>
              <w:top w:val="nil"/>
              <w:left w:val="nil"/>
              <w:bottom w:val="single" w:sz="8" w:space="0" w:color="9CC2E5"/>
              <w:right w:val="single" w:sz="8" w:space="0" w:color="9CC2E5"/>
            </w:tcBorders>
            <w:shd w:val="clear" w:color="000000" w:fill="DEEAF6"/>
            <w:noWrap/>
            <w:vAlign w:val="center"/>
          </w:tcPr>
          <w:p w14:paraId="5FEBA3BF" w14:textId="25A6129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-31,5%</w:t>
            </w:r>
          </w:p>
        </w:tc>
        <w:tc>
          <w:tcPr>
            <w:tcW w:w="0" w:type="auto"/>
            <w:tcBorders>
              <w:top w:val="nil"/>
              <w:left w:val="nil"/>
              <w:bottom w:val="single" w:sz="8" w:space="0" w:color="9CC2E5"/>
              <w:right w:val="single" w:sz="8" w:space="0" w:color="9CC2E5"/>
            </w:tcBorders>
            <w:shd w:val="clear" w:color="000000" w:fill="DEEAF6"/>
            <w:noWrap/>
            <w:vAlign w:val="center"/>
          </w:tcPr>
          <w:p w14:paraId="6DF5AD27" w14:textId="6F23CD78"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-23,9%</w:t>
            </w:r>
          </w:p>
        </w:tc>
      </w:tr>
      <w:tr w:rsidR="005174BA" w:rsidRPr="008C76AB" w14:paraId="2E39E0A7"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auto" w:fill="auto"/>
            <w:noWrap/>
            <w:vAlign w:val="center"/>
          </w:tcPr>
          <w:p w14:paraId="02D5C6FA" w14:textId="4B8E71A6"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2016</w:t>
            </w:r>
          </w:p>
        </w:tc>
        <w:tc>
          <w:tcPr>
            <w:tcW w:w="921" w:type="dxa"/>
            <w:tcBorders>
              <w:top w:val="nil"/>
              <w:left w:val="nil"/>
              <w:bottom w:val="single" w:sz="8" w:space="0" w:color="9CC2E5"/>
              <w:right w:val="single" w:sz="8" w:space="0" w:color="9CC2E5"/>
            </w:tcBorders>
            <w:shd w:val="clear" w:color="auto" w:fill="auto"/>
            <w:noWrap/>
            <w:vAlign w:val="center"/>
          </w:tcPr>
          <w:p w14:paraId="5E3F044A" w14:textId="32AACD4A"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auto" w:fill="auto"/>
            <w:vAlign w:val="center"/>
          </w:tcPr>
          <w:p w14:paraId="32946FD1" w14:textId="5D925D8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9,78</w:t>
            </w:r>
          </w:p>
        </w:tc>
        <w:tc>
          <w:tcPr>
            <w:tcW w:w="787" w:type="dxa"/>
            <w:tcBorders>
              <w:top w:val="nil"/>
              <w:left w:val="nil"/>
              <w:bottom w:val="single" w:sz="8" w:space="0" w:color="9CC2E5"/>
              <w:right w:val="single" w:sz="8" w:space="0" w:color="9CC2E5"/>
            </w:tcBorders>
            <w:shd w:val="clear" w:color="auto" w:fill="auto"/>
            <w:vAlign w:val="center"/>
          </w:tcPr>
          <w:p w14:paraId="039262BF" w14:textId="531A24F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10,10</w:t>
            </w:r>
          </w:p>
        </w:tc>
        <w:tc>
          <w:tcPr>
            <w:tcW w:w="0" w:type="auto"/>
            <w:tcBorders>
              <w:top w:val="nil"/>
              <w:left w:val="nil"/>
              <w:bottom w:val="single" w:sz="8" w:space="0" w:color="9CC2E5"/>
              <w:right w:val="single" w:sz="8" w:space="0" w:color="9CC2E5"/>
            </w:tcBorders>
            <w:shd w:val="clear" w:color="auto" w:fill="auto"/>
            <w:vAlign w:val="center"/>
          </w:tcPr>
          <w:p w14:paraId="21E2E73F" w14:textId="2D08B7F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auto" w:fill="auto"/>
            <w:vAlign w:val="center"/>
          </w:tcPr>
          <w:p w14:paraId="18CE15A9" w14:textId="4285C32A"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21,34</w:t>
            </w:r>
          </w:p>
        </w:tc>
        <w:tc>
          <w:tcPr>
            <w:tcW w:w="0" w:type="auto"/>
            <w:tcBorders>
              <w:top w:val="nil"/>
              <w:left w:val="nil"/>
              <w:bottom w:val="single" w:sz="8" w:space="0" w:color="9CC2E5"/>
              <w:right w:val="single" w:sz="8" w:space="0" w:color="9CC2E5"/>
            </w:tcBorders>
            <w:shd w:val="clear" w:color="auto" w:fill="auto"/>
            <w:vAlign w:val="center"/>
          </w:tcPr>
          <w:p w14:paraId="3521A998" w14:textId="209CEC9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63,65</w:t>
            </w:r>
          </w:p>
        </w:tc>
        <w:tc>
          <w:tcPr>
            <w:tcW w:w="787" w:type="dxa"/>
            <w:tcBorders>
              <w:top w:val="nil"/>
              <w:left w:val="nil"/>
              <w:bottom w:val="single" w:sz="8" w:space="0" w:color="9CC2E5"/>
              <w:right w:val="single" w:sz="8" w:space="0" w:color="9CC2E5"/>
            </w:tcBorders>
            <w:shd w:val="clear" w:color="auto" w:fill="auto"/>
            <w:vAlign w:val="center"/>
          </w:tcPr>
          <w:p w14:paraId="677404B5" w14:textId="3F2D178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46,27</w:t>
            </w:r>
          </w:p>
        </w:tc>
        <w:tc>
          <w:tcPr>
            <w:tcW w:w="787" w:type="dxa"/>
            <w:tcBorders>
              <w:top w:val="nil"/>
              <w:left w:val="nil"/>
              <w:bottom w:val="single" w:sz="8" w:space="0" w:color="9CC2E5"/>
              <w:right w:val="single" w:sz="8" w:space="0" w:color="9CC2E5"/>
            </w:tcBorders>
            <w:shd w:val="clear" w:color="auto" w:fill="auto"/>
            <w:vAlign w:val="center"/>
          </w:tcPr>
          <w:p w14:paraId="68E58172" w14:textId="3FEC522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25,16</w:t>
            </w:r>
          </w:p>
        </w:tc>
        <w:tc>
          <w:tcPr>
            <w:tcW w:w="787" w:type="dxa"/>
            <w:tcBorders>
              <w:top w:val="nil"/>
              <w:left w:val="nil"/>
              <w:bottom w:val="single" w:sz="8" w:space="0" w:color="9CC2E5"/>
              <w:right w:val="single" w:sz="8" w:space="0" w:color="9CC2E5"/>
            </w:tcBorders>
            <w:shd w:val="clear" w:color="auto" w:fill="auto"/>
            <w:vAlign w:val="center"/>
          </w:tcPr>
          <w:p w14:paraId="47A3EF9E" w14:textId="6817D61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3,03</w:t>
            </w:r>
          </w:p>
        </w:tc>
        <w:tc>
          <w:tcPr>
            <w:tcW w:w="787" w:type="dxa"/>
            <w:tcBorders>
              <w:top w:val="nil"/>
              <w:left w:val="nil"/>
              <w:bottom w:val="single" w:sz="8" w:space="0" w:color="9CC2E5"/>
              <w:right w:val="single" w:sz="8" w:space="0" w:color="9CC2E5"/>
            </w:tcBorders>
            <w:shd w:val="clear" w:color="auto" w:fill="auto"/>
            <w:vAlign w:val="center"/>
          </w:tcPr>
          <w:p w14:paraId="772C6E3E" w14:textId="757E08B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18,08</w:t>
            </w:r>
          </w:p>
        </w:tc>
        <w:tc>
          <w:tcPr>
            <w:tcW w:w="0" w:type="auto"/>
            <w:vMerge w:val="restart"/>
            <w:tcBorders>
              <w:top w:val="nil"/>
              <w:left w:val="single" w:sz="8" w:space="0" w:color="9CC2E5"/>
              <w:bottom w:val="single" w:sz="8" w:space="0" w:color="9CC2E5"/>
              <w:right w:val="single" w:sz="8" w:space="0" w:color="9CC2E5"/>
            </w:tcBorders>
            <w:shd w:val="clear" w:color="auto" w:fill="auto"/>
            <w:noWrap/>
            <w:vAlign w:val="center"/>
          </w:tcPr>
          <w:p w14:paraId="7E8E254C"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3AB1B858"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7D6C2CDF"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EEAF6"/>
            <w:noWrap/>
            <w:vAlign w:val="center"/>
          </w:tcPr>
          <w:p w14:paraId="3A026EC8" w14:textId="7F219A83"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DEEAF6"/>
            <w:vAlign w:val="center"/>
          </w:tcPr>
          <w:p w14:paraId="0A60CD98" w14:textId="473196CA"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9,29</w:t>
            </w:r>
          </w:p>
        </w:tc>
        <w:tc>
          <w:tcPr>
            <w:tcW w:w="787" w:type="dxa"/>
            <w:tcBorders>
              <w:top w:val="nil"/>
              <w:left w:val="nil"/>
              <w:bottom w:val="single" w:sz="8" w:space="0" w:color="9CC2E5"/>
              <w:right w:val="single" w:sz="8" w:space="0" w:color="9CC2E5"/>
            </w:tcBorders>
            <w:shd w:val="clear" w:color="000000" w:fill="DEEAF6"/>
            <w:vAlign w:val="center"/>
          </w:tcPr>
          <w:p w14:paraId="3EBBF904" w14:textId="54729F5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5,70</w:t>
            </w:r>
          </w:p>
        </w:tc>
        <w:tc>
          <w:tcPr>
            <w:tcW w:w="0" w:type="auto"/>
            <w:tcBorders>
              <w:top w:val="nil"/>
              <w:left w:val="nil"/>
              <w:bottom w:val="single" w:sz="8" w:space="0" w:color="9CC2E5"/>
              <w:right w:val="single" w:sz="8" w:space="0" w:color="9CC2E5"/>
            </w:tcBorders>
            <w:shd w:val="clear" w:color="000000" w:fill="DEEAF6"/>
            <w:vAlign w:val="center"/>
          </w:tcPr>
          <w:p w14:paraId="4C4CDC27" w14:textId="4C56E1C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000000" w:fill="DEEAF6"/>
            <w:vAlign w:val="center"/>
          </w:tcPr>
          <w:p w14:paraId="3BA6ABDF" w14:textId="3C1FA89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10,02</w:t>
            </w:r>
          </w:p>
        </w:tc>
        <w:tc>
          <w:tcPr>
            <w:tcW w:w="0" w:type="auto"/>
            <w:tcBorders>
              <w:top w:val="nil"/>
              <w:left w:val="nil"/>
              <w:bottom w:val="single" w:sz="8" w:space="0" w:color="9CC2E5"/>
              <w:right w:val="single" w:sz="8" w:space="0" w:color="9CC2E5"/>
            </w:tcBorders>
            <w:shd w:val="clear" w:color="000000" w:fill="DEEAF6"/>
            <w:vAlign w:val="center"/>
          </w:tcPr>
          <w:p w14:paraId="041C4C7A" w14:textId="25929B6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43,32</w:t>
            </w:r>
          </w:p>
        </w:tc>
        <w:tc>
          <w:tcPr>
            <w:tcW w:w="787" w:type="dxa"/>
            <w:tcBorders>
              <w:top w:val="nil"/>
              <w:left w:val="nil"/>
              <w:bottom w:val="single" w:sz="8" w:space="0" w:color="9CC2E5"/>
              <w:right w:val="single" w:sz="8" w:space="0" w:color="9CC2E5"/>
            </w:tcBorders>
            <w:shd w:val="clear" w:color="000000" w:fill="DEEAF6"/>
            <w:vAlign w:val="center"/>
          </w:tcPr>
          <w:p w14:paraId="4CAE9C37" w14:textId="0460279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40,49</w:t>
            </w:r>
          </w:p>
        </w:tc>
        <w:tc>
          <w:tcPr>
            <w:tcW w:w="787" w:type="dxa"/>
            <w:tcBorders>
              <w:top w:val="nil"/>
              <w:left w:val="nil"/>
              <w:bottom w:val="single" w:sz="8" w:space="0" w:color="9CC2E5"/>
              <w:right w:val="single" w:sz="8" w:space="0" w:color="9CC2E5"/>
            </w:tcBorders>
            <w:shd w:val="clear" w:color="000000" w:fill="DEEAF6"/>
            <w:vAlign w:val="center"/>
          </w:tcPr>
          <w:p w14:paraId="61ABD726" w14:textId="77DAB02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22,91</w:t>
            </w:r>
          </w:p>
        </w:tc>
        <w:tc>
          <w:tcPr>
            <w:tcW w:w="787" w:type="dxa"/>
            <w:tcBorders>
              <w:top w:val="nil"/>
              <w:left w:val="nil"/>
              <w:bottom w:val="single" w:sz="8" w:space="0" w:color="9CC2E5"/>
              <w:right w:val="single" w:sz="8" w:space="0" w:color="9CC2E5"/>
            </w:tcBorders>
            <w:shd w:val="clear" w:color="000000" w:fill="DEEAF6"/>
            <w:vAlign w:val="center"/>
          </w:tcPr>
          <w:p w14:paraId="1869BF99" w14:textId="1BA4B72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2,95</w:t>
            </w:r>
          </w:p>
        </w:tc>
        <w:tc>
          <w:tcPr>
            <w:tcW w:w="787" w:type="dxa"/>
            <w:tcBorders>
              <w:top w:val="nil"/>
              <w:left w:val="nil"/>
              <w:bottom w:val="single" w:sz="8" w:space="0" w:color="9CC2E5"/>
              <w:right w:val="single" w:sz="8" w:space="0" w:color="9CC2E5"/>
            </w:tcBorders>
            <w:shd w:val="clear" w:color="000000" w:fill="DEEAF6"/>
            <w:vAlign w:val="center"/>
          </w:tcPr>
          <w:p w14:paraId="2BE80E8D" w14:textId="1912940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14,63</w:t>
            </w:r>
          </w:p>
        </w:tc>
        <w:tc>
          <w:tcPr>
            <w:tcW w:w="0" w:type="auto"/>
            <w:vMerge/>
            <w:tcBorders>
              <w:top w:val="nil"/>
              <w:left w:val="single" w:sz="8" w:space="0" w:color="9CC2E5"/>
              <w:bottom w:val="single" w:sz="8" w:space="0" w:color="9CC2E5"/>
              <w:right w:val="single" w:sz="8" w:space="0" w:color="9CC2E5"/>
            </w:tcBorders>
            <w:vAlign w:val="center"/>
          </w:tcPr>
          <w:p w14:paraId="0082F305"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3D4F6AFA"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4EF9E448"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FFFFFF"/>
            <w:noWrap/>
            <w:vAlign w:val="center"/>
          </w:tcPr>
          <w:p w14:paraId="63B77B11" w14:textId="78C4BF7B"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auto" w:fill="auto"/>
            <w:noWrap/>
            <w:vAlign w:val="center"/>
          </w:tcPr>
          <w:p w14:paraId="10F91E02" w14:textId="2EF2B8B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-5,0%</w:t>
            </w:r>
          </w:p>
        </w:tc>
        <w:tc>
          <w:tcPr>
            <w:tcW w:w="787" w:type="dxa"/>
            <w:tcBorders>
              <w:top w:val="nil"/>
              <w:left w:val="nil"/>
              <w:bottom w:val="single" w:sz="8" w:space="0" w:color="9CC2E5"/>
              <w:right w:val="single" w:sz="8" w:space="0" w:color="9CC2E5"/>
            </w:tcBorders>
            <w:shd w:val="clear" w:color="auto" w:fill="auto"/>
            <w:noWrap/>
            <w:vAlign w:val="center"/>
          </w:tcPr>
          <w:p w14:paraId="4000FC9B" w14:textId="30A4EEAB"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-43,6%</w:t>
            </w:r>
          </w:p>
        </w:tc>
        <w:tc>
          <w:tcPr>
            <w:tcW w:w="0" w:type="auto"/>
            <w:tcBorders>
              <w:top w:val="nil"/>
              <w:left w:val="nil"/>
              <w:bottom w:val="single" w:sz="8" w:space="0" w:color="9CC2E5"/>
              <w:right w:val="single" w:sz="8" w:space="0" w:color="9CC2E5"/>
            </w:tcBorders>
            <w:shd w:val="clear" w:color="auto" w:fill="auto"/>
            <w:noWrap/>
            <w:vAlign w:val="center"/>
          </w:tcPr>
          <w:p w14:paraId="00E7A3E6" w14:textId="4264D3B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0,0%</w:t>
            </w:r>
          </w:p>
        </w:tc>
        <w:tc>
          <w:tcPr>
            <w:tcW w:w="0" w:type="auto"/>
            <w:tcBorders>
              <w:top w:val="nil"/>
              <w:left w:val="nil"/>
              <w:bottom w:val="single" w:sz="8" w:space="0" w:color="9CC2E5"/>
              <w:right w:val="single" w:sz="8" w:space="0" w:color="9CC2E5"/>
            </w:tcBorders>
            <w:shd w:val="clear" w:color="auto" w:fill="auto"/>
            <w:noWrap/>
            <w:vAlign w:val="center"/>
          </w:tcPr>
          <w:p w14:paraId="51875D02" w14:textId="311AD2CC"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-53,0%</w:t>
            </w:r>
          </w:p>
        </w:tc>
        <w:tc>
          <w:tcPr>
            <w:tcW w:w="0" w:type="auto"/>
            <w:tcBorders>
              <w:top w:val="nil"/>
              <w:left w:val="nil"/>
              <w:bottom w:val="single" w:sz="8" w:space="0" w:color="9CC2E5"/>
              <w:right w:val="single" w:sz="8" w:space="0" w:color="9CC2E5"/>
            </w:tcBorders>
            <w:shd w:val="clear" w:color="auto" w:fill="auto"/>
            <w:noWrap/>
            <w:vAlign w:val="center"/>
          </w:tcPr>
          <w:p w14:paraId="5108073E" w14:textId="6D15A23D"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-31,9%</w:t>
            </w:r>
          </w:p>
        </w:tc>
        <w:tc>
          <w:tcPr>
            <w:tcW w:w="787" w:type="dxa"/>
            <w:tcBorders>
              <w:top w:val="nil"/>
              <w:left w:val="nil"/>
              <w:bottom w:val="single" w:sz="8" w:space="0" w:color="9CC2E5"/>
              <w:right w:val="single" w:sz="8" w:space="0" w:color="9CC2E5"/>
            </w:tcBorders>
            <w:shd w:val="clear" w:color="auto" w:fill="auto"/>
            <w:noWrap/>
            <w:vAlign w:val="center"/>
          </w:tcPr>
          <w:p w14:paraId="3C0AC1F2" w14:textId="71FDFEF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-12,5%</w:t>
            </w:r>
          </w:p>
        </w:tc>
        <w:tc>
          <w:tcPr>
            <w:tcW w:w="787" w:type="dxa"/>
            <w:tcBorders>
              <w:top w:val="nil"/>
              <w:left w:val="nil"/>
              <w:bottom w:val="single" w:sz="8" w:space="0" w:color="9CC2E5"/>
              <w:right w:val="single" w:sz="8" w:space="0" w:color="9CC2E5"/>
            </w:tcBorders>
            <w:shd w:val="clear" w:color="auto" w:fill="auto"/>
            <w:noWrap/>
            <w:vAlign w:val="center"/>
          </w:tcPr>
          <w:p w14:paraId="03BF3463" w14:textId="382B0680"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-8,9%</w:t>
            </w:r>
          </w:p>
        </w:tc>
        <w:tc>
          <w:tcPr>
            <w:tcW w:w="787" w:type="dxa"/>
            <w:tcBorders>
              <w:top w:val="nil"/>
              <w:left w:val="nil"/>
              <w:bottom w:val="single" w:sz="8" w:space="0" w:color="9CC2E5"/>
              <w:right w:val="single" w:sz="8" w:space="0" w:color="9CC2E5"/>
            </w:tcBorders>
            <w:shd w:val="clear" w:color="auto" w:fill="auto"/>
            <w:noWrap/>
            <w:vAlign w:val="center"/>
          </w:tcPr>
          <w:p w14:paraId="59497AC7" w14:textId="65A51BF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-2,6%</w:t>
            </w:r>
          </w:p>
        </w:tc>
        <w:tc>
          <w:tcPr>
            <w:tcW w:w="787" w:type="dxa"/>
            <w:tcBorders>
              <w:top w:val="nil"/>
              <w:left w:val="nil"/>
              <w:bottom w:val="single" w:sz="8" w:space="0" w:color="9CC2E5"/>
              <w:right w:val="single" w:sz="8" w:space="0" w:color="9CC2E5"/>
            </w:tcBorders>
            <w:shd w:val="clear" w:color="auto" w:fill="auto"/>
            <w:noWrap/>
            <w:vAlign w:val="center"/>
          </w:tcPr>
          <w:p w14:paraId="72F802B3" w14:textId="0A2EA6CE"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-19,1%</w:t>
            </w:r>
          </w:p>
        </w:tc>
        <w:tc>
          <w:tcPr>
            <w:tcW w:w="0" w:type="auto"/>
            <w:tcBorders>
              <w:top w:val="nil"/>
              <w:left w:val="nil"/>
              <w:bottom w:val="single" w:sz="8" w:space="0" w:color="9CC2E5"/>
              <w:right w:val="single" w:sz="8" w:space="0" w:color="9CC2E5"/>
            </w:tcBorders>
            <w:shd w:val="clear" w:color="000000" w:fill="FFFFFF"/>
            <w:noWrap/>
            <w:vAlign w:val="center"/>
          </w:tcPr>
          <w:p w14:paraId="2F8C8823" w14:textId="3AC1D8AB"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-24,4%</w:t>
            </w:r>
          </w:p>
        </w:tc>
      </w:tr>
      <w:tr w:rsidR="005174BA" w:rsidRPr="008C76AB" w14:paraId="0FFA8F40"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000000" w:fill="DDEBF7"/>
            <w:noWrap/>
            <w:vAlign w:val="center"/>
          </w:tcPr>
          <w:p w14:paraId="2AC7BE81" w14:textId="39A1FBED"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2017</w:t>
            </w:r>
          </w:p>
        </w:tc>
        <w:tc>
          <w:tcPr>
            <w:tcW w:w="921" w:type="dxa"/>
            <w:tcBorders>
              <w:top w:val="nil"/>
              <w:left w:val="nil"/>
              <w:bottom w:val="single" w:sz="8" w:space="0" w:color="9CC2E5"/>
              <w:right w:val="single" w:sz="8" w:space="0" w:color="9CC2E5"/>
            </w:tcBorders>
            <w:shd w:val="clear" w:color="000000" w:fill="DDEBF7"/>
            <w:noWrap/>
            <w:vAlign w:val="center"/>
          </w:tcPr>
          <w:p w14:paraId="4BE431DB" w14:textId="164A8AD7"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DDEBF7"/>
            <w:vAlign w:val="center"/>
          </w:tcPr>
          <w:p w14:paraId="0C5973FB" w14:textId="44BD287B"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9,61</w:t>
            </w:r>
          </w:p>
        </w:tc>
        <w:tc>
          <w:tcPr>
            <w:tcW w:w="787" w:type="dxa"/>
            <w:tcBorders>
              <w:top w:val="nil"/>
              <w:left w:val="nil"/>
              <w:bottom w:val="single" w:sz="8" w:space="0" w:color="9CC2E5"/>
              <w:right w:val="single" w:sz="8" w:space="0" w:color="9CC2E5"/>
            </w:tcBorders>
            <w:shd w:val="clear" w:color="000000" w:fill="DDEBF7"/>
            <w:vAlign w:val="center"/>
          </w:tcPr>
          <w:p w14:paraId="5EC31A5B" w14:textId="27C6D060"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14,74</w:t>
            </w:r>
          </w:p>
        </w:tc>
        <w:tc>
          <w:tcPr>
            <w:tcW w:w="0" w:type="auto"/>
            <w:tcBorders>
              <w:top w:val="nil"/>
              <w:left w:val="nil"/>
              <w:bottom w:val="single" w:sz="8" w:space="0" w:color="9CC2E5"/>
              <w:right w:val="single" w:sz="8" w:space="0" w:color="9CC2E5"/>
            </w:tcBorders>
            <w:shd w:val="clear" w:color="000000" w:fill="DDEBF7"/>
            <w:vAlign w:val="center"/>
          </w:tcPr>
          <w:p w14:paraId="7DD6FB68" w14:textId="1134B69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000000" w:fill="DDEBF7"/>
            <w:vAlign w:val="center"/>
          </w:tcPr>
          <w:p w14:paraId="3B77C9A1" w14:textId="2E4E604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27,89</w:t>
            </w:r>
          </w:p>
        </w:tc>
        <w:tc>
          <w:tcPr>
            <w:tcW w:w="0" w:type="auto"/>
            <w:tcBorders>
              <w:top w:val="nil"/>
              <w:left w:val="nil"/>
              <w:bottom w:val="single" w:sz="8" w:space="0" w:color="9CC2E5"/>
              <w:right w:val="single" w:sz="8" w:space="0" w:color="9CC2E5"/>
            </w:tcBorders>
            <w:shd w:val="clear" w:color="000000" w:fill="DDEBF7"/>
            <w:vAlign w:val="center"/>
          </w:tcPr>
          <w:p w14:paraId="7D7F0146" w14:textId="0FD15DD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78,01</w:t>
            </w:r>
          </w:p>
        </w:tc>
        <w:tc>
          <w:tcPr>
            <w:tcW w:w="787" w:type="dxa"/>
            <w:tcBorders>
              <w:top w:val="nil"/>
              <w:left w:val="nil"/>
              <w:bottom w:val="single" w:sz="8" w:space="0" w:color="9CC2E5"/>
              <w:right w:val="single" w:sz="8" w:space="0" w:color="9CC2E5"/>
            </w:tcBorders>
            <w:shd w:val="clear" w:color="000000" w:fill="DDEBF7"/>
            <w:vAlign w:val="center"/>
          </w:tcPr>
          <w:p w14:paraId="0C60C7D4" w14:textId="6E08C75B"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33,50</w:t>
            </w:r>
          </w:p>
        </w:tc>
        <w:tc>
          <w:tcPr>
            <w:tcW w:w="787" w:type="dxa"/>
            <w:tcBorders>
              <w:top w:val="nil"/>
              <w:left w:val="nil"/>
              <w:bottom w:val="single" w:sz="8" w:space="0" w:color="9CC2E5"/>
              <w:right w:val="single" w:sz="8" w:space="0" w:color="9CC2E5"/>
            </w:tcBorders>
            <w:shd w:val="clear" w:color="000000" w:fill="DDEBF7"/>
            <w:vAlign w:val="center"/>
          </w:tcPr>
          <w:p w14:paraId="77DECAFB" w14:textId="61D4E33F"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11,26</w:t>
            </w:r>
          </w:p>
        </w:tc>
        <w:tc>
          <w:tcPr>
            <w:tcW w:w="787" w:type="dxa"/>
            <w:tcBorders>
              <w:top w:val="nil"/>
              <w:left w:val="nil"/>
              <w:bottom w:val="single" w:sz="8" w:space="0" w:color="9CC2E5"/>
              <w:right w:val="single" w:sz="8" w:space="0" w:color="9CC2E5"/>
            </w:tcBorders>
            <w:shd w:val="clear" w:color="000000" w:fill="DDEBF7"/>
            <w:vAlign w:val="center"/>
          </w:tcPr>
          <w:p w14:paraId="391DFD83" w14:textId="3F1EC50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2,26</w:t>
            </w:r>
          </w:p>
        </w:tc>
        <w:tc>
          <w:tcPr>
            <w:tcW w:w="787" w:type="dxa"/>
            <w:tcBorders>
              <w:top w:val="nil"/>
              <w:left w:val="nil"/>
              <w:bottom w:val="single" w:sz="8" w:space="0" w:color="9CC2E5"/>
              <w:right w:val="single" w:sz="8" w:space="0" w:color="9CC2E5"/>
            </w:tcBorders>
            <w:shd w:val="clear" w:color="000000" w:fill="DDEBF7"/>
            <w:vAlign w:val="center"/>
          </w:tcPr>
          <w:p w14:paraId="4E936E05" w14:textId="1A79488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19,98</w:t>
            </w:r>
          </w:p>
        </w:tc>
        <w:tc>
          <w:tcPr>
            <w:tcW w:w="0" w:type="auto"/>
            <w:vMerge w:val="restart"/>
            <w:tcBorders>
              <w:top w:val="nil"/>
              <w:left w:val="single" w:sz="8" w:space="0" w:color="9CC2E5"/>
              <w:bottom w:val="single" w:sz="8" w:space="0" w:color="9CC2E5"/>
              <w:right w:val="single" w:sz="8" w:space="0" w:color="9CC2E5"/>
            </w:tcBorders>
            <w:shd w:val="clear" w:color="000000" w:fill="DDEBF7"/>
            <w:noWrap/>
            <w:vAlign w:val="center"/>
          </w:tcPr>
          <w:p w14:paraId="08F09115"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76D78073"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1A563BB5"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FFFFFF"/>
            <w:noWrap/>
            <w:vAlign w:val="center"/>
          </w:tcPr>
          <w:p w14:paraId="793D3DBB" w14:textId="39E12D1A"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FFFFFF"/>
            <w:vAlign w:val="center"/>
          </w:tcPr>
          <w:p w14:paraId="3D762ADE" w14:textId="0E8C1D2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1,53</w:t>
            </w:r>
          </w:p>
        </w:tc>
        <w:tc>
          <w:tcPr>
            <w:tcW w:w="787" w:type="dxa"/>
            <w:tcBorders>
              <w:top w:val="nil"/>
              <w:left w:val="nil"/>
              <w:bottom w:val="single" w:sz="8" w:space="0" w:color="9CC2E5"/>
              <w:right w:val="single" w:sz="8" w:space="0" w:color="9CC2E5"/>
            </w:tcBorders>
            <w:shd w:val="clear" w:color="000000" w:fill="FFFFFF"/>
            <w:vAlign w:val="center"/>
          </w:tcPr>
          <w:p w14:paraId="79574AE8" w14:textId="304751C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12,26</w:t>
            </w:r>
          </w:p>
        </w:tc>
        <w:tc>
          <w:tcPr>
            <w:tcW w:w="0" w:type="auto"/>
            <w:tcBorders>
              <w:top w:val="nil"/>
              <w:left w:val="nil"/>
              <w:bottom w:val="single" w:sz="8" w:space="0" w:color="9CC2E5"/>
              <w:right w:val="single" w:sz="8" w:space="0" w:color="9CC2E5"/>
            </w:tcBorders>
            <w:shd w:val="clear" w:color="000000" w:fill="FFFFFF"/>
            <w:vAlign w:val="center"/>
          </w:tcPr>
          <w:p w14:paraId="24E19254" w14:textId="3B19661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0</w:t>
            </w:r>
          </w:p>
        </w:tc>
        <w:tc>
          <w:tcPr>
            <w:tcW w:w="0" w:type="auto"/>
            <w:tcBorders>
              <w:top w:val="nil"/>
              <w:left w:val="nil"/>
              <w:bottom w:val="single" w:sz="8" w:space="0" w:color="9CC2E5"/>
              <w:right w:val="single" w:sz="8" w:space="0" w:color="9CC2E5"/>
            </w:tcBorders>
            <w:shd w:val="clear" w:color="000000" w:fill="FFFFFF"/>
            <w:vAlign w:val="center"/>
          </w:tcPr>
          <w:p w14:paraId="7CB777A7" w14:textId="586E1A3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15,61</w:t>
            </w:r>
          </w:p>
        </w:tc>
        <w:tc>
          <w:tcPr>
            <w:tcW w:w="0" w:type="auto"/>
            <w:tcBorders>
              <w:top w:val="nil"/>
              <w:left w:val="nil"/>
              <w:bottom w:val="single" w:sz="8" w:space="0" w:color="9CC2E5"/>
              <w:right w:val="single" w:sz="8" w:space="0" w:color="9CC2E5"/>
            </w:tcBorders>
            <w:shd w:val="clear" w:color="000000" w:fill="FFFFFF"/>
            <w:vAlign w:val="center"/>
          </w:tcPr>
          <w:p w14:paraId="25764B63" w14:textId="12F0304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60,94</w:t>
            </w:r>
          </w:p>
        </w:tc>
        <w:tc>
          <w:tcPr>
            <w:tcW w:w="787" w:type="dxa"/>
            <w:tcBorders>
              <w:top w:val="nil"/>
              <w:left w:val="nil"/>
              <w:bottom w:val="single" w:sz="8" w:space="0" w:color="9CC2E5"/>
              <w:right w:val="single" w:sz="8" w:space="0" w:color="9CC2E5"/>
            </w:tcBorders>
            <w:shd w:val="clear" w:color="000000" w:fill="FFFFFF"/>
            <w:vAlign w:val="center"/>
          </w:tcPr>
          <w:p w14:paraId="4636E969" w14:textId="23790982"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25,10</w:t>
            </w:r>
          </w:p>
        </w:tc>
        <w:tc>
          <w:tcPr>
            <w:tcW w:w="787" w:type="dxa"/>
            <w:tcBorders>
              <w:top w:val="nil"/>
              <w:left w:val="nil"/>
              <w:bottom w:val="single" w:sz="8" w:space="0" w:color="9CC2E5"/>
              <w:right w:val="single" w:sz="8" w:space="0" w:color="9CC2E5"/>
            </w:tcBorders>
            <w:shd w:val="clear" w:color="000000" w:fill="FFFFFF"/>
            <w:vAlign w:val="center"/>
          </w:tcPr>
          <w:p w14:paraId="43A52FD2" w14:textId="756E8169"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7,24</w:t>
            </w:r>
          </w:p>
        </w:tc>
        <w:tc>
          <w:tcPr>
            <w:tcW w:w="787" w:type="dxa"/>
            <w:tcBorders>
              <w:top w:val="nil"/>
              <w:left w:val="nil"/>
              <w:bottom w:val="single" w:sz="8" w:space="0" w:color="9CC2E5"/>
              <w:right w:val="single" w:sz="8" w:space="0" w:color="9CC2E5"/>
            </w:tcBorders>
            <w:shd w:val="clear" w:color="000000" w:fill="FFFFFF"/>
            <w:vAlign w:val="center"/>
          </w:tcPr>
          <w:p w14:paraId="33285A7D" w14:textId="2B679A66"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2,20</w:t>
            </w:r>
          </w:p>
        </w:tc>
        <w:tc>
          <w:tcPr>
            <w:tcW w:w="787" w:type="dxa"/>
            <w:tcBorders>
              <w:top w:val="nil"/>
              <w:left w:val="nil"/>
              <w:bottom w:val="single" w:sz="8" w:space="0" w:color="9CC2E5"/>
              <w:right w:val="single" w:sz="8" w:space="0" w:color="9CC2E5"/>
            </w:tcBorders>
            <w:shd w:val="clear" w:color="000000" w:fill="FFFFFF"/>
            <w:vAlign w:val="center"/>
          </w:tcPr>
          <w:p w14:paraId="2E244707" w14:textId="409AFB4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eastAsia="Times New Roman" w:hAnsi="Times New Roman" w:cs="Times New Roman"/>
                <w:bCs/>
                <w:sz w:val="18"/>
                <w:szCs w:val="18"/>
                <w:lang w:eastAsia="lv-LV"/>
              </w:rPr>
              <w:t>15,66</w:t>
            </w:r>
          </w:p>
        </w:tc>
        <w:tc>
          <w:tcPr>
            <w:tcW w:w="0" w:type="auto"/>
            <w:vMerge/>
            <w:tcBorders>
              <w:top w:val="nil"/>
              <w:left w:val="single" w:sz="8" w:space="0" w:color="9CC2E5"/>
              <w:bottom w:val="single" w:sz="8" w:space="0" w:color="9CC2E5"/>
              <w:right w:val="single" w:sz="8" w:space="0" w:color="9CC2E5"/>
            </w:tcBorders>
            <w:vAlign w:val="center"/>
          </w:tcPr>
          <w:p w14:paraId="40C5944F"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5F774E32"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4467AF3E"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DEBF7"/>
            <w:noWrap/>
            <w:vAlign w:val="center"/>
          </w:tcPr>
          <w:p w14:paraId="58BAB3EA" w14:textId="14A65318"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DDEBF7"/>
            <w:noWrap/>
            <w:vAlign w:val="center"/>
          </w:tcPr>
          <w:p w14:paraId="0D950269" w14:textId="4BCE8F1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-84,1%</w:t>
            </w:r>
          </w:p>
        </w:tc>
        <w:tc>
          <w:tcPr>
            <w:tcW w:w="787" w:type="dxa"/>
            <w:tcBorders>
              <w:top w:val="nil"/>
              <w:left w:val="nil"/>
              <w:bottom w:val="single" w:sz="8" w:space="0" w:color="9CC2E5"/>
              <w:right w:val="single" w:sz="8" w:space="0" w:color="9CC2E5"/>
            </w:tcBorders>
            <w:shd w:val="clear" w:color="000000" w:fill="DDEBF7"/>
            <w:noWrap/>
            <w:vAlign w:val="center"/>
          </w:tcPr>
          <w:p w14:paraId="288A26ED" w14:textId="4E5366BA"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-16,8%</w:t>
            </w:r>
          </w:p>
        </w:tc>
        <w:tc>
          <w:tcPr>
            <w:tcW w:w="0" w:type="auto"/>
            <w:tcBorders>
              <w:top w:val="nil"/>
              <w:left w:val="nil"/>
              <w:bottom w:val="single" w:sz="8" w:space="0" w:color="9CC2E5"/>
              <w:right w:val="single" w:sz="8" w:space="0" w:color="9CC2E5"/>
            </w:tcBorders>
            <w:shd w:val="clear" w:color="auto" w:fill="DEEAF6" w:themeFill="accent1" w:themeFillTint="33"/>
            <w:noWrap/>
            <w:vAlign w:val="center"/>
          </w:tcPr>
          <w:p w14:paraId="57040F17" w14:textId="7098C87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0,0%</w:t>
            </w:r>
          </w:p>
        </w:tc>
        <w:tc>
          <w:tcPr>
            <w:tcW w:w="0" w:type="auto"/>
            <w:tcBorders>
              <w:top w:val="nil"/>
              <w:left w:val="nil"/>
              <w:bottom w:val="single" w:sz="8" w:space="0" w:color="9CC2E5"/>
              <w:right w:val="single" w:sz="8" w:space="0" w:color="9CC2E5"/>
            </w:tcBorders>
            <w:shd w:val="clear" w:color="000000" w:fill="DDEBF7"/>
            <w:noWrap/>
            <w:vAlign w:val="center"/>
          </w:tcPr>
          <w:p w14:paraId="51C3B9A6" w14:textId="304F1702"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-44,0%</w:t>
            </w:r>
          </w:p>
        </w:tc>
        <w:tc>
          <w:tcPr>
            <w:tcW w:w="0" w:type="auto"/>
            <w:tcBorders>
              <w:top w:val="nil"/>
              <w:left w:val="nil"/>
              <w:bottom w:val="single" w:sz="8" w:space="0" w:color="9CC2E5"/>
              <w:right w:val="single" w:sz="8" w:space="0" w:color="9CC2E5"/>
            </w:tcBorders>
            <w:shd w:val="clear" w:color="000000" w:fill="DDEBF7"/>
            <w:noWrap/>
            <w:vAlign w:val="center"/>
          </w:tcPr>
          <w:p w14:paraId="5CB5FC68" w14:textId="65326DC8"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-21,9%</w:t>
            </w:r>
          </w:p>
        </w:tc>
        <w:tc>
          <w:tcPr>
            <w:tcW w:w="787" w:type="dxa"/>
            <w:tcBorders>
              <w:top w:val="nil"/>
              <w:left w:val="nil"/>
              <w:bottom w:val="single" w:sz="8" w:space="0" w:color="9CC2E5"/>
              <w:right w:val="single" w:sz="8" w:space="0" w:color="9CC2E5"/>
            </w:tcBorders>
            <w:shd w:val="clear" w:color="000000" w:fill="DDEBF7"/>
            <w:noWrap/>
            <w:vAlign w:val="center"/>
          </w:tcPr>
          <w:p w14:paraId="4CA0F939" w14:textId="5AAA8B7D"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-25,1%</w:t>
            </w:r>
          </w:p>
        </w:tc>
        <w:tc>
          <w:tcPr>
            <w:tcW w:w="787" w:type="dxa"/>
            <w:tcBorders>
              <w:top w:val="nil"/>
              <w:left w:val="nil"/>
              <w:bottom w:val="single" w:sz="8" w:space="0" w:color="9CC2E5"/>
              <w:right w:val="single" w:sz="8" w:space="0" w:color="9CC2E5"/>
            </w:tcBorders>
            <w:shd w:val="clear" w:color="000000" w:fill="DDEBF7"/>
            <w:noWrap/>
            <w:vAlign w:val="center"/>
          </w:tcPr>
          <w:p w14:paraId="5685D892" w14:textId="5BB6219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-35,7%</w:t>
            </w:r>
          </w:p>
        </w:tc>
        <w:tc>
          <w:tcPr>
            <w:tcW w:w="787" w:type="dxa"/>
            <w:tcBorders>
              <w:top w:val="nil"/>
              <w:left w:val="nil"/>
              <w:bottom w:val="single" w:sz="8" w:space="0" w:color="9CC2E5"/>
              <w:right w:val="single" w:sz="8" w:space="0" w:color="9CC2E5"/>
            </w:tcBorders>
            <w:shd w:val="clear" w:color="000000" w:fill="DDEBF7"/>
            <w:noWrap/>
            <w:vAlign w:val="center"/>
          </w:tcPr>
          <w:p w14:paraId="67D24336" w14:textId="753355E6"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-2,7%</w:t>
            </w:r>
          </w:p>
        </w:tc>
        <w:tc>
          <w:tcPr>
            <w:tcW w:w="787" w:type="dxa"/>
            <w:tcBorders>
              <w:top w:val="nil"/>
              <w:left w:val="nil"/>
              <w:bottom w:val="single" w:sz="8" w:space="0" w:color="9CC2E5"/>
              <w:right w:val="single" w:sz="8" w:space="0" w:color="9CC2E5"/>
            </w:tcBorders>
            <w:shd w:val="clear" w:color="000000" w:fill="DDEBF7"/>
            <w:noWrap/>
            <w:vAlign w:val="center"/>
          </w:tcPr>
          <w:p w14:paraId="08695739" w14:textId="4D7353A9"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-21,6%</w:t>
            </w:r>
          </w:p>
        </w:tc>
        <w:tc>
          <w:tcPr>
            <w:tcW w:w="0" w:type="auto"/>
            <w:tcBorders>
              <w:top w:val="nil"/>
              <w:left w:val="nil"/>
              <w:bottom w:val="single" w:sz="8" w:space="0" w:color="9CC2E5"/>
              <w:right w:val="single" w:sz="8" w:space="0" w:color="9CC2E5"/>
            </w:tcBorders>
            <w:shd w:val="clear" w:color="000000" w:fill="DDEBF7"/>
            <w:noWrap/>
            <w:vAlign w:val="center"/>
          </w:tcPr>
          <w:p w14:paraId="4C43C8B3" w14:textId="5C5D650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eastAsia="Times New Roman" w:hAnsi="Times New Roman" w:cs="Times New Roman"/>
                <w:i/>
                <w:iCs/>
                <w:sz w:val="18"/>
                <w:szCs w:val="18"/>
                <w:lang w:eastAsia="lv-LV"/>
              </w:rPr>
              <w:t>-28,8%</w:t>
            </w:r>
          </w:p>
        </w:tc>
      </w:tr>
      <w:tr w:rsidR="005174BA" w:rsidRPr="008C76AB" w14:paraId="2BD4D128"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000000" w:fill="FFFFFF"/>
            <w:noWrap/>
            <w:vAlign w:val="center"/>
          </w:tcPr>
          <w:p w14:paraId="7EFFC5D4" w14:textId="05F93681"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8C76AB">
              <w:rPr>
                <w:rFonts w:ascii="Times New Roman" w:eastAsia="Times New Roman" w:hAnsi="Times New Roman" w:cs="Times New Roman"/>
                <w:b/>
                <w:bCs/>
                <w:sz w:val="18"/>
                <w:szCs w:val="18"/>
                <w:lang w:eastAsia="lv-LV"/>
              </w:rPr>
              <w:t>2018</w:t>
            </w:r>
          </w:p>
        </w:tc>
        <w:tc>
          <w:tcPr>
            <w:tcW w:w="921" w:type="dxa"/>
            <w:tcBorders>
              <w:top w:val="nil"/>
              <w:left w:val="nil"/>
              <w:bottom w:val="single" w:sz="8" w:space="0" w:color="9CC2E5"/>
              <w:right w:val="single" w:sz="8" w:space="0" w:color="9CC2E5"/>
            </w:tcBorders>
            <w:shd w:val="clear" w:color="000000" w:fill="FFFFFF"/>
            <w:noWrap/>
            <w:vAlign w:val="center"/>
          </w:tcPr>
          <w:p w14:paraId="355544E9" w14:textId="44ACA37E"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FFFFFF"/>
            <w:vAlign w:val="center"/>
          </w:tcPr>
          <w:p w14:paraId="234171E4" w14:textId="2E08EE3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19,13</w:t>
            </w:r>
          </w:p>
        </w:tc>
        <w:tc>
          <w:tcPr>
            <w:tcW w:w="787" w:type="dxa"/>
            <w:tcBorders>
              <w:top w:val="nil"/>
              <w:left w:val="nil"/>
              <w:bottom w:val="single" w:sz="8" w:space="0" w:color="9CC2E5"/>
              <w:right w:val="single" w:sz="8" w:space="0" w:color="9CC2E5"/>
            </w:tcBorders>
            <w:shd w:val="clear" w:color="000000" w:fill="FFFFFF"/>
            <w:vAlign w:val="center"/>
          </w:tcPr>
          <w:p w14:paraId="20BB0A1A" w14:textId="27A6AA5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10,00</w:t>
            </w:r>
          </w:p>
        </w:tc>
        <w:tc>
          <w:tcPr>
            <w:tcW w:w="0" w:type="auto"/>
            <w:tcBorders>
              <w:top w:val="nil"/>
              <w:left w:val="nil"/>
              <w:bottom w:val="single" w:sz="8" w:space="0" w:color="9CC2E5"/>
              <w:right w:val="single" w:sz="8" w:space="0" w:color="9CC2E5"/>
            </w:tcBorders>
            <w:shd w:val="clear" w:color="000000" w:fill="FFFFFF"/>
            <w:vAlign w:val="center"/>
          </w:tcPr>
          <w:p w14:paraId="427F4BDB" w14:textId="3FE18B9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0</w:t>
            </w:r>
          </w:p>
        </w:tc>
        <w:tc>
          <w:tcPr>
            <w:tcW w:w="0" w:type="auto"/>
            <w:tcBorders>
              <w:top w:val="nil"/>
              <w:left w:val="nil"/>
              <w:bottom w:val="single" w:sz="8" w:space="0" w:color="9CC2E5"/>
              <w:right w:val="single" w:sz="8" w:space="0" w:color="9CC2E5"/>
            </w:tcBorders>
            <w:shd w:val="clear" w:color="000000" w:fill="FFFFFF"/>
            <w:vAlign w:val="center"/>
          </w:tcPr>
          <w:p w14:paraId="288DE42E" w14:textId="4AB524B4"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51,52</w:t>
            </w:r>
          </w:p>
        </w:tc>
        <w:tc>
          <w:tcPr>
            <w:tcW w:w="0" w:type="auto"/>
            <w:tcBorders>
              <w:top w:val="nil"/>
              <w:left w:val="nil"/>
              <w:bottom w:val="single" w:sz="8" w:space="0" w:color="9CC2E5"/>
              <w:right w:val="single" w:sz="8" w:space="0" w:color="9CC2E5"/>
            </w:tcBorders>
            <w:shd w:val="clear" w:color="000000" w:fill="FFFFFF"/>
            <w:vAlign w:val="center"/>
          </w:tcPr>
          <w:p w14:paraId="66778775" w14:textId="224DE91B"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81,37</w:t>
            </w:r>
          </w:p>
        </w:tc>
        <w:tc>
          <w:tcPr>
            <w:tcW w:w="787" w:type="dxa"/>
            <w:tcBorders>
              <w:top w:val="nil"/>
              <w:left w:val="nil"/>
              <w:bottom w:val="single" w:sz="8" w:space="0" w:color="9CC2E5"/>
              <w:right w:val="single" w:sz="8" w:space="0" w:color="9CC2E5"/>
            </w:tcBorders>
            <w:shd w:val="clear" w:color="000000" w:fill="FFFFFF"/>
            <w:vAlign w:val="center"/>
          </w:tcPr>
          <w:p w14:paraId="1294900A" w14:textId="21F470E0"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21,19</w:t>
            </w:r>
          </w:p>
        </w:tc>
        <w:tc>
          <w:tcPr>
            <w:tcW w:w="787" w:type="dxa"/>
            <w:tcBorders>
              <w:top w:val="nil"/>
              <w:left w:val="nil"/>
              <w:bottom w:val="single" w:sz="8" w:space="0" w:color="9CC2E5"/>
              <w:right w:val="single" w:sz="8" w:space="0" w:color="9CC2E5"/>
            </w:tcBorders>
            <w:shd w:val="clear" w:color="000000" w:fill="FFFFFF"/>
            <w:vAlign w:val="center"/>
          </w:tcPr>
          <w:p w14:paraId="68667EC3" w14:textId="399B007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0,77</w:t>
            </w:r>
          </w:p>
        </w:tc>
        <w:tc>
          <w:tcPr>
            <w:tcW w:w="787" w:type="dxa"/>
            <w:tcBorders>
              <w:top w:val="nil"/>
              <w:left w:val="nil"/>
              <w:bottom w:val="single" w:sz="8" w:space="0" w:color="9CC2E5"/>
              <w:right w:val="single" w:sz="8" w:space="0" w:color="9CC2E5"/>
            </w:tcBorders>
            <w:shd w:val="clear" w:color="000000" w:fill="FFFFFF"/>
            <w:vAlign w:val="center"/>
          </w:tcPr>
          <w:p w14:paraId="3F19E258" w14:textId="0A6DACD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0,00</w:t>
            </w:r>
          </w:p>
        </w:tc>
        <w:tc>
          <w:tcPr>
            <w:tcW w:w="787" w:type="dxa"/>
            <w:tcBorders>
              <w:top w:val="nil"/>
              <w:left w:val="nil"/>
              <w:bottom w:val="single" w:sz="8" w:space="0" w:color="9CC2E5"/>
              <w:right w:val="single" w:sz="8" w:space="0" w:color="9CC2E5"/>
            </w:tcBorders>
            <w:shd w:val="clear" w:color="000000" w:fill="FFFFFF"/>
            <w:vAlign w:val="center"/>
          </w:tcPr>
          <w:p w14:paraId="5F0D2C33" w14:textId="2C8BDB18"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20,42</w:t>
            </w:r>
          </w:p>
        </w:tc>
        <w:tc>
          <w:tcPr>
            <w:tcW w:w="0" w:type="auto"/>
            <w:vMerge w:val="restart"/>
            <w:tcBorders>
              <w:top w:val="nil"/>
              <w:left w:val="single" w:sz="8" w:space="0" w:color="9CC2E5"/>
              <w:bottom w:val="single" w:sz="8" w:space="0" w:color="9CC2E5"/>
              <w:right w:val="single" w:sz="8" w:space="0" w:color="9CC2E5"/>
            </w:tcBorders>
            <w:shd w:val="clear" w:color="000000" w:fill="FFFFFF"/>
            <w:noWrap/>
            <w:vAlign w:val="center"/>
          </w:tcPr>
          <w:p w14:paraId="17657F64" w14:textId="65B4E5F3"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r w:rsidRPr="008C76AB">
              <w:rPr>
                <w:rFonts w:ascii="Times New Roman" w:hAnsi="Times New Roman" w:cs="Times New Roman"/>
                <w:sz w:val="18"/>
                <w:szCs w:val="18"/>
              </w:rPr>
              <w:t> </w:t>
            </w:r>
          </w:p>
        </w:tc>
      </w:tr>
      <w:tr w:rsidR="005174BA" w:rsidRPr="008C76AB" w14:paraId="24FB1013"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1E68BD5B"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DEBF7"/>
            <w:noWrap/>
            <w:vAlign w:val="center"/>
          </w:tcPr>
          <w:p w14:paraId="33350D06" w14:textId="0C60E34A"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DDEBF7"/>
            <w:vAlign w:val="center"/>
          </w:tcPr>
          <w:p w14:paraId="1541652A" w14:textId="7BFC50D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3,88</w:t>
            </w:r>
          </w:p>
        </w:tc>
        <w:tc>
          <w:tcPr>
            <w:tcW w:w="787" w:type="dxa"/>
            <w:tcBorders>
              <w:top w:val="nil"/>
              <w:left w:val="nil"/>
              <w:bottom w:val="single" w:sz="8" w:space="0" w:color="9CC2E5"/>
              <w:right w:val="single" w:sz="8" w:space="0" w:color="9CC2E5"/>
            </w:tcBorders>
            <w:shd w:val="clear" w:color="000000" w:fill="DDEBF7"/>
            <w:vAlign w:val="center"/>
          </w:tcPr>
          <w:p w14:paraId="08D2C8C3" w14:textId="19B73D5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9,24</w:t>
            </w:r>
          </w:p>
        </w:tc>
        <w:tc>
          <w:tcPr>
            <w:tcW w:w="0" w:type="auto"/>
            <w:tcBorders>
              <w:top w:val="nil"/>
              <w:left w:val="nil"/>
              <w:bottom w:val="single" w:sz="8" w:space="0" w:color="9CC2E5"/>
              <w:right w:val="single" w:sz="8" w:space="0" w:color="9CC2E5"/>
            </w:tcBorders>
            <w:shd w:val="clear" w:color="000000" w:fill="DDEBF7"/>
            <w:vAlign w:val="center"/>
          </w:tcPr>
          <w:p w14:paraId="196CA5C7" w14:textId="25B8698D"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0</w:t>
            </w:r>
          </w:p>
        </w:tc>
        <w:tc>
          <w:tcPr>
            <w:tcW w:w="0" w:type="auto"/>
            <w:tcBorders>
              <w:top w:val="nil"/>
              <w:left w:val="nil"/>
              <w:bottom w:val="single" w:sz="8" w:space="0" w:color="9CC2E5"/>
              <w:right w:val="single" w:sz="8" w:space="0" w:color="9CC2E5"/>
            </w:tcBorders>
            <w:shd w:val="clear" w:color="000000" w:fill="DDEBF7"/>
            <w:vAlign w:val="center"/>
          </w:tcPr>
          <w:p w14:paraId="78207AF6" w14:textId="2EB61C3E"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30,20</w:t>
            </w:r>
          </w:p>
        </w:tc>
        <w:tc>
          <w:tcPr>
            <w:tcW w:w="0" w:type="auto"/>
            <w:tcBorders>
              <w:top w:val="nil"/>
              <w:left w:val="nil"/>
              <w:bottom w:val="single" w:sz="8" w:space="0" w:color="9CC2E5"/>
              <w:right w:val="single" w:sz="8" w:space="0" w:color="9CC2E5"/>
            </w:tcBorders>
            <w:shd w:val="clear" w:color="000000" w:fill="DDEBF7"/>
            <w:vAlign w:val="center"/>
          </w:tcPr>
          <w:p w14:paraId="111A2E00" w14:textId="1B663E15"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60,00</w:t>
            </w:r>
          </w:p>
        </w:tc>
        <w:tc>
          <w:tcPr>
            <w:tcW w:w="787" w:type="dxa"/>
            <w:tcBorders>
              <w:top w:val="nil"/>
              <w:left w:val="nil"/>
              <w:bottom w:val="single" w:sz="8" w:space="0" w:color="9CC2E5"/>
              <w:right w:val="single" w:sz="8" w:space="0" w:color="9CC2E5"/>
            </w:tcBorders>
            <w:shd w:val="clear" w:color="000000" w:fill="DDEBF7"/>
            <w:vAlign w:val="center"/>
          </w:tcPr>
          <w:p w14:paraId="34636894" w14:textId="3C68710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17,16</w:t>
            </w:r>
          </w:p>
        </w:tc>
        <w:tc>
          <w:tcPr>
            <w:tcW w:w="787" w:type="dxa"/>
            <w:tcBorders>
              <w:top w:val="nil"/>
              <w:left w:val="nil"/>
              <w:bottom w:val="single" w:sz="8" w:space="0" w:color="9CC2E5"/>
              <w:right w:val="single" w:sz="8" w:space="0" w:color="9CC2E5"/>
            </w:tcBorders>
            <w:shd w:val="clear" w:color="000000" w:fill="DDEBF7"/>
            <w:vAlign w:val="center"/>
          </w:tcPr>
          <w:p w14:paraId="64AFC08B" w14:textId="0DC46193"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0,64</w:t>
            </w:r>
          </w:p>
        </w:tc>
        <w:tc>
          <w:tcPr>
            <w:tcW w:w="787" w:type="dxa"/>
            <w:tcBorders>
              <w:top w:val="nil"/>
              <w:left w:val="nil"/>
              <w:bottom w:val="single" w:sz="8" w:space="0" w:color="9CC2E5"/>
              <w:right w:val="single" w:sz="8" w:space="0" w:color="9CC2E5"/>
            </w:tcBorders>
            <w:shd w:val="clear" w:color="000000" w:fill="DDEBF7"/>
            <w:vAlign w:val="center"/>
          </w:tcPr>
          <w:p w14:paraId="457A78FA" w14:textId="41E003F1"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0,00</w:t>
            </w:r>
          </w:p>
        </w:tc>
        <w:tc>
          <w:tcPr>
            <w:tcW w:w="787" w:type="dxa"/>
            <w:tcBorders>
              <w:top w:val="nil"/>
              <w:left w:val="nil"/>
              <w:bottom w:val="single" w:sz="8" w:space="0" w:color="9CC2E5"/>
              <w:right w:val="single" w:sz="8" w:space="0" w:color="9CC2E5"/>
            </w:tcBorders>
            <w:shd w:val="clear" w:color="000000" w:fill="DDEBF7"/>
            <w:vAlign w:val="center"/>
          </w:tcPr>
          <w:p w14:paraId="067FD88E" w14:textId="4A040F97" w:rsidR="005174BA" w:rsidRPr="008C76AB" w:rsidRDefault="005174BA" w:rsidP="005174BA">
            <w:pPr>
              <w:spacing w:after="0" w:line="240" w:lineRule="auto"/>
              <w:jc w:val="center"/>
              <w:rPr>
                <w:rFonts w:ascii="Times New Roman" w:eastAsia="Times New Roman" w:hAnsi="Times New Roman" w:cs="Times New Roman"/>
                <w:bCs/>
                <w:sz w:val="18"/>
                <w:szCs w:val="18"/>
                <w:lang w:eastAsia="lv-LV"/>
              </w:rPr>
            </w:pPr>
            <w:r w:rsidRPr="008C76AB">
              <w:rPr>
                <w:rFonts w:ascii="Times New Roman" w:hAnsi="Times New Roman" w:cs="Times New Roman"/>
                <w:bCs/>
                <w:sz w:val="18"/>
                <w:szCs w:val="18"/>
              </w:rPr>
              <w:t>16,52</w:t>
            </w:r>
          </w:p>
        </w:tc>
        <w:tc>
          <w:tcPr>
            <w:tcW w:w="0" w:type="auto"/>
            <w:vMerge/>
            <w:tcBorders>
              <w:top w:val="nil"/>
              <w:left w:val="single" w:sz="8" w:space="0" w:color="9CC2E5"/>
              <w:bottom w:val="single" w:sz="8" w:space="0" w:color="9CC2E5"/>
              <w:right w:val="single" w:sz="8" w:space="0" w:color="9CC2E5"/>
            </w:tcBorders>
            <w:vAlign w:val="center"/>
          </w:tcPr>
          <w:p w14:paraId="71A368DE"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5174BA" w:rsidRPr="008C76AB" w14:paraId="5D0FBD86"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4EA47375"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FFFFFF"/>
            <w:noWrap/>
            <w:vAlign w:val="center"/>
          </w:tcPr>
          <w:p w14:paraId="15EE1F15" w14:textId="18D6E1EF"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8C76AB">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FFFFFF"/>
            <w:noWrap/>
            <w:vAlign w:val="center"/>
          </w:tcPr>
          <w:p w14:paraId="6B2B185B" w14:textId="06A64BA5"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-79,7%</w:t>
            </w:r>
          </w:p>
        </w:tc>
        <w:tc>
          <w:tcPr>
            <w:tcW w:w="787" w:type="dxa"/>
            <w:tcBorders>
              <w:top w:val="nil"/>
              <w:left w:val="nil"/>
              <w:bottom w:val="single" w:sz="8" w:space="0" w:color="9CC2E5"/>
              <w:right w:val="single" w:sz="8" w:space="0" w:color="9CC2E5"/>
            </w:tcBorders>
            <w:shd w:val="clear" w:color="000000" w:fill="FFFFFF"/>
            <w:noWrap/>
            <w:vAlign w:val="center"/>
          </w:tcPr>
          <w:p w14:paraId="6F524FF2" w14:textId="34B0A6CC"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-7,6%</w:t>
            </w:r>
          </w:p>
        </w:tc>
        <w:tc>
          <w:tcPr>
            <w:tcW w:w="0" w:type="auto"/>
            <w:tcBorders>
              <w:top w:val="nil"/>
              <w:left w:val="nil"/>
              <w:bottom w:val="single" w:sz="8" w:space="0" w:color="9CC2E5"/>
              <w:right w:val="single" w:sz="8" w:space="0" w:color="9CC2E5"/>
            </w:tcBorders>
            <w:shd w:val="clear" w:color="auto" w:fill="auto"/>
            <w:noWrap/>
            <w:vAlign w:val="center"/>
          </w:tcPr>
          <w:p w14:paraId="43D1DE8A" w14:textId="77FBC03D"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0,0%</w:t>
            </w:r>
          </w:p>
        </w:tc>
        <w:tc>
          <w:tcPr>
            <w:tcW w:w="0" w:type="auto"/>
            <w:tcBorders>
              <w:top w:val="nil"/>
              <w:left w:val="nil"/>
              <w:bottom w:val="single" w:sz="8" w:space="0" w:color="9CC2E5"/>
              <w:right w:val="single" w:sz="8" w:space="0" w:color="9CC2E5"/>
            </w:tcBorders>
            <w:shd w:val="clear" w:color="000000" w:fill="FFFFFF"/>
            <w:noWrap/>
            <w:vAlign w:val="center"/>
          </w:tcPr>
          <w:p w14:paraId="65533610" w14:textId="100AE617"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-41,4%</w:t>
            </w:r>
          </w:p>
        </w:tc>
        <w:tc>
          <w:tcPr>
            <w:tcW w:w="0" w:type="auto"/>
            <w:tcBorders>
              <w:top w:val="nil"/>
              <w:left w:val="nil"/>
              <w:bottom w:val="single" w:sz="8" w:space="0" w:color="9CC2E5"/>
              <w:right w:val="single" w:sz="8" w:space="0" w:color="9CC2E5"/>
            </w:tcBorders>
            <w:shd w:val="clear" w:color="000000" w:fill="FFFFFF"/>
            <w:noWrap/>
            <w:vAlign w:val="center"/>
          </w:tcPr>
          <w:p w14:paraId="444DED29" w14:textId="0D29B2A3"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-26,3%</w:t>
            </w:r>
          </w:p>
        </w:tc>
        <w:tc>
          <w:tcPr>
            <w:tcW w:w="787" w:type="dxa"/>
            <w:tcBorders>
              <w:top w:val="nil"/>
              <w:left w:val="nil"/>
              <w:bottom w:val="single" w:sz="8" w:space="0" w:color="9CC2E5"/>
              <w:right w:val="single" w:sz="8" w:space="0" w:color="9CC2E5"/>
            </w:tcBorders>
            <w:shd w:val="clear" w:color="000000" w:fill="FFFFFF"/>
            <w:noWrap/>
            <w:vAlign w:val="center"/>
          </w:tcPr>
          <w:p w14:paraId="7C902691" w14:textId="13B6C61F"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-19,0%</w:t>
            </w:r>
          </w:p>
        </w:tc>
        <w:tc>
          <w:tcPr>
            <w:tcW w:w="787" w:type="dxa"/>
            <w:tcBorders>
              <w:top w:val="nil"/>
              <w:left w:val="nil"/>
              <w:bottom w:val="single" w:sz="8" w:space="0" w:color="9CC2E5"/>
              <w:right w:val="single" w:sz="8" w:space="0" w:color="9CC2E5"/>
            </w:tcBorders>
            <w:shd w:val="clear" w:color="000000" w:fill="FFFFFF"/>
            <w:noWrap/>
            <w:vAlign w:val="center"/>
          </w:tcPr>
          <w:p w14:paraId="41247F5D" w14:textId="65DB61DC"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-16,9%</w:t>
            </w:r>
          </w:p>
        </w:tc>
        <w:tc>
          <w:tcPr>
            <w:tcW w:w="787" w:type="dxa"/>
            <w:tcBorders>
              <w:top w:val="nil"/>
              <w:left w:val="nil"/>
              <w:bottom w:val="single" w:sz="8" w:space="0" w:color="9CC2E5"/>
              <w:right w:val="single" w:sz="8" w:space="0" w:color="9CC2E5"/>
            </w:tcBorders>
            <w:shd w:val="clear" w:color="000000" w:fill="FFFFFF"/>
            <w:noWrap/>
            <w:vAlign w:val="center"/>
          </w:tcPr>
          <w:p w14:paraId="3036E1D6" w14:textId="2C462384"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0,0%</w:t>
            </w:r>
          </w:p>
        </w:tc>
        <w:tc>
          <w:tcPr>
            <w:tcW w:w="787" w:type="dxa"/>
            <w:tcBorders>
              <w:top w:val="nil"/>
              <w:left w:val="nil"/>
              <w:bottom w:val="single" w:sz="8" w:space="0" w:color="9CC2E5"/>
              <w:right w:val="single" w:sz="8" w:space="0" w:color="9CC2E5"/>
            </w:tcBorders>
            <w:shd w:val="clear" w:color="000000" w:fill="FFFFFF"/>
            <w:noWrap/>
            <w:vAlign w:val="center"/>
          </w:tcPr>
          <w:p w14:paraId="44829A6B" w14:textId="19CD5CB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-19,1%</w:t>
            </w:r>
          </w:p>
        </w:tc>
        <w:tc>
          <w:tcPr>
            <w:tcW w:w="0" w:type="auto"/>
            <w:tcBorders>
              <w:top w:val="nil"/>
              <w:left w:val="nil"/>
              <w:bottom w:val="single" w:sz="8" w:space="0" w:color="9CC2E5"/>
              <w:right w:val="single" w:sz="8" w:space="0" w:color="9CC2E5"/>
            </w:tcBorders>
            <w:shd w:val="clear" w:color="000000" w:fill="FFFFFF"/>
            <w:noWrap/>
            <w:vAlign w:val="center"/>
          </w:tcPr>
          <w:p w14:paraId="616AE63E" w14:textId="7669AEB1" w:rsidR="005174BA" w:rsidRPr="008C76AB" w:rsidRDefault="005174BA" w:rsidP="005174BA">
            <w:pPr>
              <w:spacing w:after="0" w:line="240" w:lineRule="auto"/>
              <w:jc w:val="center"/>
              <w:rPr>
                <w:rFonts w:ascii="Times New Roman" w:eastAsia="Times New Roman" w:hAnsi="Times New Roman" w:cs="Times New Roman"/>
                <w:i/>
                <w:iCs/>
                <w:sz w:val="18"/>
                <w:szCs w:val="18"/>
                <w:lang w:eastAsia="lv-LV"/>
              </w:rPr>
            </w:pPr>
            <w:r w:rsidRPr="008C76AB">
              <w:rPr>
                <w:rFonts w:ascii="Times New Roman" w:hAnsi="Times New Roman" w:cs="Times New Roman"/>
                <w:i/>
                <w:iCs/>
                <w:sz w:val="18"/>
                <w:szCs w:val="18"/>
              </w:rPr>
              <w:t>-32,7%</w:t>
            </w:r>
          </w:p>
        </w:tc>
      </w:tr>
      <w:tr w:rsidR="00D317E4" w:rsidRPr="008C76AB" w14:paraId="72800262" w14:textId="77777777" w:rsidTr="00BB69DC">
        <w:trPr>
          <w:trHeight w:val="330"/>
        </w:trPr>
        <w:tc>
          <w:tcPr>
            <w:tcW w:w="724" w:type="dxa"/>
            <w:vMerge w:val="restart"/>
            <w:tcBorders>
              <w:top w:val="nil"/>
              <w:left w:val="single" w:sz="8" w:space="0" w:color="9CC2E5"/>
              <w:bottom w:val="single" w:sz="8" w:space="0" w:color="9CC2E5"/>
              <w:right w:val="single" w:sz="8" w:space="0" w:color="9CC2E5"/>
            </w:tcBorders>
            <w:shd w:val="clear" w:color="000000" w:fill="DDEBF7"/>
            <w:noWrap/>
            <w:vAlign w:val="center"/>
          </w:tcPr>
          <w:p w14:paraId="3FE6B830" w14:textId="4F5FA593" w:rsidR="005174BA" w:rsidRPr="008C76AB" w:rsidRDefault="005174BA" w:rsidP="005174BA">
            <w:pPr>
              <w:spacing w:after="0" w:line="240" w:lineRule="auto"/>
              <w:jc w:val="center"/>
              <w:rPr>
                <w:rFonts w:ascii="Times New Roman" w:eastAsia="Times New Roman" w:hAnsi="Times New Roman" w:cs="Times New Roman"/>
                <w:b/>
                <w:bCs/>
                <w:sz w:val="18"/>
                <w:szCs w:val="18"/>
                <w:lang w:eastAsia="lv-LV"/>
              </w:rPr>
            </w:pPr>
            <w:r w:rsidRPr="00CB1C52">
              <w:rPr>
                <w:rFonts w:ascii="Times New Roman" w:eastAsia="Times New Roman" w:hAnsi="Times New Roman" w:cs="Times New Roman"/>
                <w:b/>
                <w:bCs/>
                <w:sz w:val="18"/>
                <w:szCs w:val="18"/>
                <w:lang w:eastAsia="lv-LV"/>
              </w:rPr>
              <w:lastRenderedPageBreak/>
              <w:t>2019</w:t>
            </w:r>
          </w:p>
        </w:tc>
        <w:tc>
          <w:tcPr>
            <w:tcW w:w="921" w:type="dxa"/>
            <w:tcBorders>
              <w:top w:val="nil"/>
              <w:left w:val="nil"/>
              <w:bottom w:val="single" w:sz="8" w:space="0" w:color="9CC2E5"/>
              <w:right w:val="single" w:sz="8" w:space="0" w:color="9CC2E5"/>
            </w:tcBorders>
            <w:shd w:val="clear" w:color="000000" w:fill="DDEBF7"/>
            <w:noWrap/>
            <w:vAlign w:val="center"/>
          </w:tcPr>
          <w:p w14:paraId="1134E29B" w14:textId="235FDA30"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CB1C52">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DDEBF7"/>
            <w:vAlign w:val="center"/>
          </w:tcPr>
          <w:p w14:paraId="34E60DA1" w14:textId="2F42187D" w:rsidR="005174BA" w:rsidRPr="008C76AB" w:rsidRDefault="00DB6F65" w:rsidP="00837FD1">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32,6</w:t>
            </w:r>
          </w:p>
        </w:tc>
        <w:tc>
          <w:tcPr>
            <w:tcW w:w="787" w:type="dxa"/>
            <w:tcBorders>
              <w:top w:val="nil"/>
              <w:left w:val="nil"/>
              <w:bottom w:val="single" w:sz="8" w:space="0" w:color="9CC2E5"/>
              <w:right w:val="single" w:sz="8" w:space="0" w:color="9CC2E5"/>
            </w:tcBorders>
            <w:shd w:val="clear" w:color="000000" w:fill="DDEBF7"/>
            <w:vAlign w:val="center"/>
          </w:tcPr>
          <w:p w14:paraId="78A5B19A" w14:textId="15B23DF7"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13,0</w:t>
            </w:r>
          </w:p>
        </w:tc>
        <w:tc>
          <w:tcPr>
            <w:tcW w:w="0" w:type="auto"/>
            <w:tcBorders>
              <w:top w:val="nil"/>
              <w:left w:val="nil"/>
              <w:bottom w:val="single" w:sz="8" w:space="0" w:color="9CC2E5"/>
              <w:right w:val="single" w:sz="8" w:space="0" w:color="9CC2E5"/>
            </w:tcBorders>
            <w:shd w:val="clear" w:color="000000" w:fill="DDEBF7"/>
            <w:vAlign w:val="center"/>
          </w:tcPr>
          <w:p w14:paraId="079B522A" w14:textId="71FFFC4D" w:rsidR="005174BA" w:rsidRPr="008C76AB" w:rsidRDefault="005174BA">
            <w:pPr>
              <w:spacing w:after="0" w:line="240" w:lineRule="auto"/>
              <w:jc w:val="center"/>
              <w:rPr>
                <w:rFonts w:ascii="Times New Roman" w:eastAsia="Times New Roman" w:hAnsi="Times New Roman" w:cs="Times New Roman"/>
                <w:bCs/>
                <w:sz w:val="18"/>
                <w:szCs w:val="18"/>
                <w:lang w:eastAsia="lv-LV"/>
              </w:rPr>
            </w:pPr>
            <w:r w:rsidRPr="00CB1C52">
              <w:rPr>
                <w:rFonts w:ascii="Times New Roman" w:hAnsi="Times New Roman" w:cs="Times New Roman"/>
                <w:bCs/>
                <w:sz w:val="18"/>
                <w:szCs w:val="18"/>
              </w:rPr>
              <w:t>0</w:t>
            </w:r>
          </w:p>
        </w:tc>
        <w:tc>
          <w:tcPr>
            <w:tcW w:w="0" w:type="auto"/>
            <w:tcBorders>
              <w:top w:val="nil"/>
              <w:left w:val="nil"/>
              <w:bottom w:val="single" w:sz="8" w:space="0" w:color="9CC2E5"/>
              <w:right w:val="single" w:sz="8" w:space="0" w:color="9CC2E5"/>
            </w:tcBorders>
            <w:shd w:val="clear" w:color="000000" w:fill="DDEBF7"/>
            <w:vAlign w:val="center"/>
          </w:tcPr>
          <w:p w14:paraId="6CABDA6A" w14:textId="047F126F"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65,4</w:t>
            </w:r>
          </w:p>
        </w:tc>
        <w:tc>
          <w:tcPr>
            <w:tcW w:w="0" w:type="auto"/>
            <w:tcBorders>
              <w:top w:val="nil"/>
              <w:left w:val="nil"/>
              <w:bottom w:val="single" w:sz="8" w:space="0" w:color="9CC2E5"/>
              <w:right w:val="single" w:sz="8" w:space="0" w:color="9CC2E5"/>
            </w:tcBorders>
            <w:shd w:val="clear" w:color="000000" w:fill="DDEBF7"/>
            <w:vAlign w:val="center"/>
          </w:tcPr>
          <w:p w14:paraId="17E70773" w14:textId="19F2D490"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105</w:t>
            </w:r>
          </w:p>
        </w:tc>
        <w:tc>
          <w:tcPr>
            <w:tcW w:w="787" w:type="dxa"/>
            <w:tcBorders>
              <w:top w:val="nil"/>
              <w:left w:val="nil"/>
              <w:bottom w:val="single" w:sz="8" w:space="0" w:color="9CC2E5"/>
              <w:right w:val="single" w:sz="8" w:space="0" w:color="9CC2E5"/>
            </w:tcBorders>
            <w:shd w:val="clear" w:color="000000" w:fill="DDEBF7"/>
            <w:vAlign w:val="center"/>
          </w:tcPr>
          <w:p w14:paraId="151592D5" w14:textId="13D1608C"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11,0</w:t>
            </w:r>
          </w:p>
        </w:tc>
        <w:tc>
          <w:tcPr>
            <w:tcW w:w="787" w:type="dxa"/>
            <w:tcBorders>
              <w:top w:val="nil"/>
              <w:left w:val="nil"/>
              <w:bottom w:val="single" w:sz="8" w:space="0" w:color="9CC2E5"/>
              <w:right w:val="single" w:sz="8" w:space="0" w:color="9CC2E5"/>
            </w:tcBorders>
            <w:shd w:val="clear" w:color="000000" w:fill="DDEBF7"/>
            <w:vAlign w:val="center"/>
          </w:tcPr>
          <w:p w14:paraId="77AEB6DD" w14:textId="6271923B"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2,5</w:t>
            </w:r>
          </w:p>
        </w:tc>
        <w:tc>
          <w:tcPr>
            <w:tcW w:w="787" w:type="dxa"/>
            <w:tcBorders>
              <w:top w:val="nil"/>
              <w:left w:val="nil"/>
              <w:bottom w:val="single" w:sz="8" w:space="0" w:color="9CC2E5"/>
              <w:right w:val="single" w:sz="8" w:space="0" w:color="9CC2E5"/>
            </w:tcBorders>
            <w:shd w:val="clear" w:color="000000" w:fill="DDEBF7"/>
            <w:vAlign w:val="center"/>
          </w:tcPr>
          <w:p w14:paraId="04AA330D" w14:textId="3A03C431" w:rsidR="005174BA" w:rsidRPr="008C76AB" w:rsidRDefault="005174BA">
            <w:pPr>
              <w:spacing w:after="0" w:line="240" w:lineRule="auto"/>
              <w:jc w:val="center"/>
              <w:rPr>
                <w:rFonts w:ascii="Times New Roman" w:eastAsia="Times New Roman" w:hAnsi="Times New Roman" w:cs="Times New Roman"/>
                <w:bCs/>
                <w:sz w:val="18"/>
                <w:szCs w:val="18"/>
                <w:lang w:eastAsia="lv-LV"/>
              </w:rPr>
            </w:pPr>
            <w:r w:rsidRPr="00CB1C52">
              <w:rPr>
                <w:rFonts w:ascii="Times New Roman" w:hAnsi="Times New Roman" w:cs="Times New Roman"/>
                <w:bCs/>
                <w:sz w:val="18"/>
                <w:szCs w:val="18"/>
              </w:rPr>
              <w:t>0,00</w:t>
            </w:r>
          </w:p>
        </w:tc>
        <w:tc>
          <w:tcPr>
            <w:tcW w:w="787" w:type="dxa"/>
            <w:tcBorders>
              <w:top w:val="nil"/>
              <w:left w:val="nil"/>
              <w:bottom w:val="single" w:sz="8" w:space="0" w:color="9CC2E5"/>
              <w:right w:val="single" w:sz="8" w:space="0" w:color="9CC2E5"/>
            </w:tcBorders>
            <w:shd w:val="clear" w:color="000000" w:fill="DDEBF7"/>
            <w:vAlign w:val="center"/>
          </w:tcPr>
          <w:p w14:paraId="10752975" w14:textId="3D8A4EB6"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8,5</w:t>
            </w:r>
          </w:p>
        </w:tc>
        <w:tc>
          <w:tcPr>
            <w:tcW w:w="0" w:type="auto"/>
            <w:vMerge w:val="restart"/>
            <w:tcBorders>
              <w:top w:val="nil"/>
              <w:left w:val="single" w:sz="8" w:space="0" w:color="9CC2E5"/>
              <w:bottom w:val="single" w:sz="8" w:space="0" w:color="9CC2E5"/>
              <w:right w:val="single" w:sz="8" w:space="0" w:color="9CC2E5"/>
            </w:tcBorders>
            <w:shd w:val="clear" w:color="000000" w:fill="DDEBF7"/>
            <w:noWrap/>
            <w:vAlign w:val="center"/>
          </w:tcPr>
          <w:p w14:paraId="79C415AA" w14:textId="7DFA7DD2"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r w:rsidRPr="00CB1C52">
              <w:rPr>
                <w:rFonts w:ascii="Times New Roman" w:hAnsi="Times New Roman" w:cs="Times New Roman"/>
                <w:bCs/>
                <w:sz w:val="18"/>
                <w:szCs w:val="18"/>
              </w:rPr>
              <w:t> </w:t>
            </w:r>
          </w:p>
        </w:tc>
      </w:tr>
      <w:tr w:rsidR="005174BA" w:rsidRPr="008C76AB" w14:paraId="7289202B"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33E84B89" w14:textId="77777777" w:rsidR="005174BA" w:rsidRPr="008C76AB"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FFFFFF"/>
            <w:noWrap/>
            <w:vAlign w:val="center"/>
          </w:tcPr>
          <w:p w14:paraId="71A689D4" w14:textId="0DB9DC1A" w:rsidR="005174BA" w:rsidRPr="008C76AB" w:rsidRDefault="005174BA" w:rsidP="005174BA">
            <w:pPr>
              <w:spacing w:after="0" w:line="240" w:lineRule="auto"/>
              <w:rPr>
                <w:rFonts w:ascii="Times New Roman" w:eastAsia="Times New Roman" w:hAnsi="Times New Roman" w:cs="Times New Roman"/>
                <w:sz w:val="18"/>
                <w:szCs w:val="18"/>
                <w:lang w:eastAsia="lv-LV"/>
              </w:rPr>
            </w:pPr>
            <w:r w:rsidRPr="00CB1C52">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FFFFFF"/>
            <w:vAlign w:val="center"/>
          </w:tcPr>
          <w:p w14:paraId="1D0279A9" w14:textId="2E3D79D5" w:rsidR="005174BA" w:rsidRPr="008C76AB" w:rsidRDefault="00DB6F65" w:rsidP="00837FD1">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13,3</w:t>
            </w:r>
          </w:p>
        </w:tc>
        <w:tc>
          <w:tcPr>
            <w:tcW w:w="787" w:type="dxa"/>
            <w:tcBorders>
              <w:top w:val="nil"/>
              <w:left w:val="nil"/>
              <w:bottom w:val="single" w:sz="8" w:space="0" w:color="9CC2E5"/>
              <w:right w:val="single" w:sz="8" w:space="0" w:color="9CC2E5"/>
            </w:tcBorders>
            <w:shd w:val="clear" w:color="000000" w:fill="FFFFFF"/>
            <w:vAlign w:val="center"/>
          </w:tcPr>
          <w:p w14:paraId="030214C0" w14:textId="0777B68D"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12,0</w:t>
            </w:r>
          </w:p>
        </w:tc>
        <w:tc>
          <w:tcPr>
            <w:tcW w:w="0" w:type="auto"/>
            <w:tcBorders>
              <w:top w:val="nil"/>
              <w:left w:val="nil"/>
              <w:bottom w:val="single" w:sz="8" w:space="0" w:color="9CC2E5"/>
              <w:right w:val="single" w:sz="8" w:space="0" w:color="9CC2E5"/>
            </w:tcBorders>
            <w:shd w:val="clear" w:color="000000" w:fill="FFFFFF"/>
            <w:vAlign w:val="center"/>
          </w:tcPr>
          <w:p w14:paraId="01E2C0C0" w14:textId="16A2EE5B" w:rsidR="005174BA" w:rsidRPr="008C76AB" w:rsidRDefault="005174BA">
            <w:pPr>
              <w:spacing w:after="0" w:line="240" w:lineRule="auto"/>
              <w:jc w:val="center"/>
              <w:rPr>
                <w:rFonts w:ascii="Times New Roman" w:eastAsia="Times New Roman" w:hAnsi="Times New Roman" w:cs="Times New Roman"/>
                <w:bCs/>
                <w:sz w:val="18"/>
                <w:szCs w:val="18"/>
                <w:lang w:eastAsia="lv-LV"/>
              </w:rPr>
            </w:pPr>
            <w:r w:rsidRPr="00CB1C52">
              <w:rPr>
                <w:rFonts w:ascii="Times New Roman" w:hAnsi="Times New Roman" w:cs="Times New Roman"/>
                <w:bCs/>
                <w:sz w:val="18"/>
                <w:szCs w:val="18"/>
              </w:rPr>
              <w:t>0</w:t>
            </w:r>
          </w:p>
        </w:tc>
        <w:tc>
          <w:tcPr>
            <w:tcW w:w="0" w:type="auto"/>
            <w:tcBorders>
              <w:top w:val="nil"/>
              <w:left w:val="nil"/>
              <w:bottom w:val="single" w:sz="8" w:space="0" w:color="9CC2E5"/>
              <w:right w:val="single" w:sz="8" w:space="0" w:color="9CC2E5"/>
            </w:tcBorders>
            <w:shd w:val="clear" w:color="000000" w:fill="FFFFFF"/>
            <w:vAlign w:val="center"/>
          </w:tcPr>
          <w:p w14:paraId="730945AA" w14:textId="039ED634"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44,1</w:t>
            </w:r>
          </w:p>
        </w:tc>
        <w:tc>
          <w:tcPr>
            <w:tcW w:w="0" w:type="auto"/>
            <w:tcBorders>
              <w:top w:val="nil"/>
              <w:left w:val="nil"/>
              <w:bottom w:val="single" w:sz="8" w:space="0" w:color="9CC2E5"/>
              <w:right w:val="single" w:sz="8" w:space="0" w:color="9CC2E5"/>
            </w:tcBorders>
            <w:shd w:val="clear" w:color="000000" w:fill="FFFFFF"/>
            <w:vAlign w:val="center"/>
          </w:tcPr>
          <w:p w14:paraId="45C27946" w14:textId="7F8C44C1"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82,3</w:t>
            </w:r>
          </w:p>
        </w:tc>
        <w:tc>
          <w:tcPr>
            <w:tcW w:w="787" w:type="dxa"/>
            <w:tcBorders>
              <w:top w:val="nil"/>
              <w:left w:val="nil"/>
              <w:bottom w:val="single" w:sz="8" w:space="0" w:color="9CC2E5"/>
              <w:right w:val="single" w:sz="8" w:space="0" w:color="9CC2E5"/>
            </w:tcBorders>
            <w:shd w:val="clear" w:color="000000" w:fill="FFFFFF"/>
            <w:vAlign w:val="center"/>
          </w:tcPr>
          <w:p w14:paraId="50B341A1" w14:textId="4336A556"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10,0</w:t>
            </w:r>
          </w:p>
        </w:tc>
        <w:tc>
          <w:tcPr>
            <w:tcW w:w="787" w:type="dxa"/>
            <w:tcBorders>
              <w:top w:val="nil"/>
              <w:left w:val="nil"/>
              <w:bottom w:val="single" w:sz="8" w:space="0" w:color="9CC2E5"/>
              <w:right w:val="single" w:sz="8" w:space="0" w:color="9CC2E5"/>
            </w:tcBorders>
            <w:shd w:val="clear" w:color="000000" w:fill="FFFFFF"/>
            <w:vAlign w:val="center"/>
          </w:tcPr>
          <w:p w14:paraId="07E9971B" w14:textId="2271AC96"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2,2</w:t>
            </w:r>
          </w:p>
        </w:tc>
        <w:tc>
          <w:tcPr>
            <w:tcW w:w="787" w:type="dxa"/>
            <w:tcBorders>
              <w:top w:val="nil"/>
              <w:left w:val="nil"/>
              <w:bottom w:val="single" w:sz="8" w:space="0" w:color="9CC2E5"/>
              <w:right w:val="single" w:sz="8" w:space="0" w:color="9CC2E5"/>
            </w:tcBorders>
            <w:shd w:val="clear" w:color="000000" w:fill="FFFFFF"/>
            <w:vAlign w:val="center"/>
          </w:tcPr>
          <w:p w14:paraId="2756A394" w14:textId="7DF6AFE2" w:rsidR="005174BA" w:rsidRPr="008C76AB" w:rsidRDefault="005174BA">
            <w:pPr>
              <w:spacing w:after="0" w:line="240" w:lineRule="auto"/>
              <w:jc w:val="center"/>
              <w:rPr>
                <w:rFonts w:ascii="Times New Roman" w:eastAsia="Times New Roman" w:hAnsi="Times New Roman" w:cs="Times New Roman"/>
                <w:bCs/>
                <w:sz w:val="18"/>
                <w:szCs w:val="18"/>
                <w:lang w:eastAsia="lv-LV"/>
              </w:rPr>
            </w:pPr>
            <w:r w:rsidRPr="00CB1C52">
              <w:rPr>
                <w:rFonts w:ascii="Times New Roman" w:hAnsi="Times New Roman" w:cs="Times New Roman"/>
                <w:bCs/>
                <w:sz w:val="18"/>
                <w:szCs w:val="18"/>
              </w:rPr>
              <w:t>0,00</w:t>
            </w:r>
          </w:p>
        </w:tc>
        <w:tc>
          <w:tcPr>
            <w:tcW w:w="787" w:type="dxa"/>
            <w:tcBorders>
              <w:top w:val="nil"/>
              <w:left w:val="nil"/>
              <w:bottom w:val="single" w:sz="8" w:space="0" w:color="9CC2E5"/>
              <w:right w:val="single" w:sz="8" w:space="0" w:color="9CC2E5"/>
            </w:tcBorders>
            <w:shd w:val="clear" w:color="000000" w:fill="FFFFFF"/>
            <w:vAlign w:val="center"/>
          </w:tcPr>
          <w:p w14:paraId="41CE2428" w14:textId="7BC6768C" w:rsidR="005174BA" w:rsidRPr="008C76AB" w:rsidRDefault="00DB6F65">
            <w:pPr>
              <w:spacing w:after="0" w:line="240" w:lineRule="auto"/>
              <w:jc w:val="center"/>
              <w:rPr>
                <w:rFonts w:ascii="Times New Roman" w:eastAsia="Times New Roman" w:hAnsi="Times New Roman" w:cs="Times New Roman"/>
                <w:bCs/>
                <w:sz w:val="18"/>
                <w:szCs w:val="18"/>
                <w:lang w:eastAsia="lv-LV"/>
              </w:rPr>
            </w:pPr>
            <w:r>
              <w:rPr>
                <w:rFonts w:ascii="Times New Roman" w:hAnsi="Times New Roman" w:cs="Times New Roman"/>
                <w:bCs/>
                <w:sz w:val="18"/>
                <w:szCs w:val="18"/>
              </w:rPr>
              <w:t>7,7</w:t>
            </w:r>
          </w:p>
        </w:tc>
        <w:tc>
          <w:tcPr>
            <w:tcW w:w="0" w:type="auto"/>
            <w:vMerge/>
            <w:tcBorders>
              <w:top w:val="nil"/>
              <w:left w:val="single" w:sz="8" w:space="0" w:color="9CC2E5"/>
              <w:bottom w:val="single" w:sz="8" w:space="0" w:color="9CC2E5"/>
              <w:right w:val="single" w:sz="8" w:space="0" w:color="9CC2E5"/>
            </w:tcBorders>
            <w:vAlign w:val="center"/>
          </w:tcPr>
          <w:p w14:paraId="1C4DDFA3" w14:textId="77777777" w:rsidR="005174BA" w:rsidRPr="008C76AB" w:rsidRDefault="005174BA" w:rsidP="005174BA">
            <w:pPr>
              <w:spacing w:after="0" w:line="240" w:lineRule="auto"/>
              <w:jc w:val="center"/>
              <w:rPr>
                <w:rFonts w:ascii="Times New Roman" w:eastAsia="Times New Roman" w:hAnsi="Times New Roman" w:cs="Times New Roman"/>
                <w:sz w:val="18"/>
                <w:szCs w:val="18"/>
                <w:lang w:eastAsia="lv-LV"/>
              </w:rPr>
            </w:pPr>
          </w:p>
        </w:tc>
      </w:tr>
      <w:tr w:rsidR="00672A66" w:rsidRPr="001054F7" w14:paraId="7522FD65" w14:textId="77777777" w:rsidTr="00BB69DC">
        <w:trPr>
          <w:trHeight w:val="330"/>
        </w:trPr>
        <w:tc>
          <w:tcPr>
            <w:tcW w:w="724" w:type="dxa"/>
            <w:vMerge/>
            <w:tcBorders>
              <w:top w:val="nil"/>
              <w:left w:val="single" w:sz="8" w:space="0" w:color="9CC2E5"/>
              <w:bottom w:val="single" w:sz="8" w:space="0" w:color="9CC2E5"/>
              <w:right w:val="single" w:sz="8" w:space="0" w:color="9CC2E5"/>
            </w:tcBorders>
            <w:vAlign w:val="center"/>
          </w:tcPr>
          <w:p w14:paraId="11A3F50E" w14:textId="77777777" w:rsidR="00672A66" w:rsidRPr="008C76AB" w:rsidRDefault="00672A66" w:rsidP="00672A66">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DEBF7"/>
            <w:noWrap/>
            <w:vAlign w:val="center"/>
          </w:tcPr>
          <w:p w14:paraId="59FCCF0F" w14:textId="07BEC609" w:rsidR="00672A66" w:rsidRPr="008C76AB" w:rsidRDefault="00672A66" w:rsidP="00672A66">
            <w:pPr>
              <w:spacing w:after="0" w:line="240" w:lineRule="auto"/>
              <w:rPr>
                <w:rFonts w:ascii="Times New Roman" w:eastAsia="Times New Roman" w:hAnsi="Times New Roman" w:cs="Times New Roman"/>
                <w:sz w:val="18"/>
                <w:szCs w:val="18"/>
                <w:lang w:eastAsia="lv-LV"/>
              </w:rPr>
            </w:pPr>
            <w:r w:rsidRPr="00CB1C52">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DDEBF7"/>
            <w:noWrap/>
            <w:vAlign w:val="center"/>
          </w:tcPr>
          <w:p w14:paraId="52A05C66" w14:textId="3CBFED69" w:rsidR="00672A66" w:rsidRPr="00837FD1" w:rsidRDefault="00672A66" w:rsidP="00837FD1">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-59,2%</w:t>
            </w:r>
          </w:p>
        </w:tc>
        <w:tc>
          <w:tcPr>
            <w:tcW w:w="787" w:type="dxa"/>
            <w:tcBorders>
              <w:top w:val="nil"/>
              <w:left w:val="nil"/>
              <w:bottom w:val="single" w:sz="8" w:space="0" w:color="9CC2E5"/>
              <w:right w:val="single" w:sz="8" w:space="0" w:color="9CC2E5"/>
            </w:tcBorders>
            <w:shd w:val="clear" w:color="000000" w:fill="DDEBF7"/>
            <w:noWrap/>
            <w:vAlign w:val="center"/>
          </w:tcPr>
          <w:p w14:paraId="6D0588BF" w14:textId="2A039A15" w:rsidR="00672A66" w:rsidRPr="00837FD1" w:rsidRDefault="00672A66" w:rsidP="00837FD1">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-7,7%</w:t>
            </w:r>
          </w:p>
        </w:tc>
        <w:tc>
          <w:tcPr>
            <w:tcW w:w="0" w:type="auto"/>
            <w:tcBorders>
              <w:top w:val="nil"/>
              <w:left w:val="nil"/>
              <w:bottom w:val="single" w:sz="8" w:space="0" w:color="9CC2E5"/>
              <w:right w:val="single" w:sz="8" w:space="0" w:color="9CC2E5"/>
            </w:tcBorders>
            <w:shd w:val="clear" w:color="auto" w:fill="DEEAF6" w:themeFill="accent1" w:themeFillTint="33"/>
            <w:noWrap/>
            <w:vAlign w:val="center"/>
          </w:tcPr>
          <w:p w14:paraId="085C0379" w14:textId="673ACF4C" w:rsidR="00672A66" w:rsidRPr="00837FD1"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0,0%</w:t>
            </w:r>
          </w:p>
        </w:tc>
        <w:tc>
          <w:tcPr>
            <w:tcW w:w="0" w:type="auto"/>
            <w:tcBorders>
              <w:top w:val="nil"/>
              <w:left w:val="nil"/>
              <w:bottom w:val="single" w:sz="8" w:space="0" w:color="9CC2E5"/>
              <w:right w:val="single" w:sz="8" w:space="0" w:color="9CC2E5"/>
            </w:tcBorders>
            <w:shd w:val="clear" w:color="auto" w:fill="DEEAF6" w:themeFill="accent1" w:themeFillTint="33"/>
            <w:noWrap/>
            <w:vAlign w:val="center"/>
          </w:tcPr>
          <w:p w14:paraId="4CFDE4A4" w14:textId="7A7D1DF2" w:rsidR="00672A66" w:rsidRPr="00672A66"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-32,6%</w:t>
            </w:r>
          </w:p>
        </w:tc>
        <w:tc>
          <w:tcPr>
            <w:tcW w:w="0" w:type="auto"/>
            <w:tcBorders>
              <w:top w:val="nil"/>
              <w:left w:val="nil"/>
              <w:bottom w:val="single" w:sz="8" w:space="0" w:color="9CC2E5"/>
              <w:right w:val="single" w:sz="8" w:space="0" w:color="9CC2E5"/>
            </w:tcBorders>
            <w:shd w:val="clear" w:color="auto" w:fill="DEEAF6" w:themeFill="accent1" w:themeFillTint="33"/>
            <w:noWrap/>
            <w:vAlign w:val="center"/>
          </w:tcPr>
          <w:p w14:paraId="43393D72" w14:textId="2CF2D67C" w:rsidR="00672A66" w:rsidRPr="00837FD1"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-21,6%</w:t>
            </w:r>
          </w:p>
        </w:tc>
        <w:tc>
          <w:tcPr>
            <w:tcW w:w="787" w:type="dxa"/>
            <w:tcBorders>
              <w:top w:val="nil"/>
              <w:left w:val="nil"/>
              <w:bottom w:val="single" w:sz="8" w:space="0" w:color="9CC2E5"/>
              <w:right w:val="single" w:sz="8" w:space="0" w:color="9CC2E5"/>
            </w:tcBorders>
            <w:shd w:val="clear" w:color="auto" w:fill="DEEAF6" w:themeFill="accent1" w:themeFillTint="33"/>
            <w:noWrap/>
            <w:vAlign w:val="center"/>
          </w:tcPr>
          <w:p w14:paraId="05F71E67" w14:textId="7B1B1967" w:rsidR="00672A66" w:rsidRPr="00837FD1"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-9,1%</w:t>
            </w:r>
          </w:p>
        </w:tc>
        <w:tc>
          <w:tcPr>
            <w:tcW w:w="787" w:type="dxa"/>
            <w:tcBorders>
              <w:top w:val="nil"/>
              <w:left w:val="nil"/>
              <w:bottom w:val="single" w:sz="8" w:space="0" w:color="9CC2E5"/>
              <w:right w:val="single" w:sz="8" w:space="0" w:color="9CC2E5"/>
            </w:tcBorders>
            <w:shd w:val="clear" w:color="auto" w:fill="DEEAF6" w:themeFill="accent1" w:themeFillTint="33"/>
            <w:noWrap/>
            <w:vAlign w:val="center"/>
          </w:tcPr>
          <w:p w14:paraId="7455FCAD" w14:textId="59AA73C3" w:rsidR="00672A66" w:rsidRPr="00837FD1"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-12,0%</w:t>
            </w:r>
          </w:p>
        </w:tc>
        <w:tc>
          <w:tcPr>
            <w:tcW w:w="787" w:type="dxa"/>
            <w:tcBorders>
              <w:top w:val="nil"/>
              <w:left w:val="nil"/>
              <w:bottom w:val="single" w:sz="8" w:space="0" w:color="9CC2E5"/>
              <w:right w:val="single" w:sz="8" w:space="0" w:color="9CC2E5"/>
            </w:tcBorders>
            <w:shd w:val="clear" w:color="auto" w:fill="DEEAF6" w:themeFill="accent1" w:themeFillTint="33"/>
            <w:noWrap/>
            <w:vAlign w:val="center"/>
          </w:tcPr>
          <w:p w14:paraId="21CB7FF2" w14:textId="7B27D6AE" w:rsidR="00672A66" w:rsidRPr="00837FD1"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0,0%</w:t>
            </w:r>
          </w:p>
        </w:tc>
        <w:tc>
          <w:tcPr>
            <w:tcW w:w="787" w:type="dxa"/>
            <w:tcBorders>
              <w:top w:val="nil"/>
              <w:left w:val="nil"/>
              <w:bottom w:val="single" w:sz="8" w:space="0" w:color="9CC2E5"/>
              <w:right w:val="single" w:sz="8" w:space="0" w:color="9CC2E5"/>
            </w:tcBorders>
            <w:shd w:val="clear" w:color="000000" w:fill="DDEBF7"/>
            <w:noWrap/>
            <w:vAlign w:val="center"/>
          </w:tcPr>
          <w:p w14:paraId="16F82D93" w14:textId="4263BF0E" w:rsidR="00672A66" w:rsidRPr="00837FD1"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-9,4%</w:t>
            </w:r>
          </w:p>
        </w:tc>
        <w:tc>
          <w:tcPr>
            <w:tcW w:w="0" w:type="auto"/>
            <w:tcBorders>
              <w:top w:val="nil"/>
              <w:left w:val="nil"/>
              <w:bottom w:val="single" w:sz="8" w:space="0" w:color="9CC2E5"/>
              <w:right w:val="single" w:sz="8" w:space="0" w:color="9CC2E5"/>
            </w:tcBorders>
            <w:shd w:val="clear" w:color="000000" w:fill="DDEBF7"/>
            <w:noWrap/>
            <w:vAlign w:val="center"/>
          </w:tcPr>
          <w:p w14:paraId="49F91EE4" w14:textId="07A56105"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-27,9%</w:t>
            </w:r>
          </w:p>
        </w:tc>
      </w:tr>
      <w:tr w:rsidR="00D317E4" w:rsidRPr="008C76AB" w14:paraId="780D2F43" w14:textId="77777777" w:rsidTr="00BB69DC">
        <w:trPr>
          <w:trHeight w:val="330"/>
        </w:trPr>
        <w:tc>
          <w:tcPr>
            <w:tcW w:w="724" w:type="dxa"/>
            <w:vMerge w:val="restart"/>
            <w:tcBorders>
              <w:top w:val="nil"/>
              <w:left w:val="single" w:sz="8" w:space="0" w:color="9CC2E5"/>
              <w:right w:val="single" w:sz="8" w:space="0" w:color="9CC2E5"/>
            </w:tcBorders>
            <w:shd w:val="clear" w:color="000000" w:fill="FFFFFF"/>
            <w:noWrap/>
            <w:vAlign w:val="center"/>
          </w:tcPr>
          <w:p w14:paraId="5DBD9F96" w14:textId="6E87A3A0" w:rsidR="005174BA" w:rsidRPr="00CB1C52" w:rsidRDefault="005174BA" w:rsidP="005174BA">
            <w:pPr>
              <w:spacing w:after="0" w:line="240" w:lineRule="auto"/>
              <w:jc w:val="center"/>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2020</w:t>
            </w:r>
          </w:p>
        </w:tc>
        <w:tc>
          <w:tcPr>
            <w:tcW w:w="921" w:type="dxa"/>
            <w:tcBorders>
              <w:top w:val="nil"/>
              <w:left w:val="nil"/>
              <w:bottom w:val="single" w:sz="8" w:space="0" w:color="9CC2E5"/>
              <w:right w:val="single" w:sz="8" w:space="0" w:color="9CC2E5"/>
            </w:tcBorders>
            <w:shd w:val="clear" w:color="000000" w:fill="FFFFFF"/>
            <w:noWrap/>
            <w:vAlign w:val="center"/>
          </w:tcPr>
          <w:p w14:paraId="4EA013CF" w14:textId="649D34C6" w:rsidR="005174BA" w:rsidRPr="00CB1C52" w:rsidRDefault="005174BA" w:rsidP="005174BA">
            <w:pPr>
              <w:spacing w:after="0" w:line="240" w:lineRule="auto"/>
              <w:rPr>
                <w:rFonts w:ascii="Times New Roman" w:eastAsia="Times New Roman" w:hAnsi="Times New Roman" w:cs="Times New Roman"/>
                <w:sz w:val="18"/>
                <w:szCs w:val="18"/>
                <w:lang w:eastAsia="lv-LV"/>
              </w:rPr>
            </w:pPr>
            <w:r w:rsidRPr="00CB1C52">
              <w:rPr>
                <w:rFonts w:ascii="Times New Roman" w:eastAsia="Times New Roman" w:hAnsi="Times New Roman" w:cs="Times New Roman"/>
                <w:sz w:val="18"/>
                <w:szCs w:val="18"/>
                <w:lang w:eastAsia="lv-LV"/>
              </w:rPr>
              <w:t>Plāns</w:t>
            </w:r>
          </w:p>
        </w:tc>
        <w:tc>
          <w:tcPr>
            <w:tcW w:w="787" w:type="dxa"/>
            <w:tcBorders>
              <w:top w:val="nil"/>
              <w:left w:val="nil"/>
              <w:bottom w:val="single" w:sz="8" w:space="0" w:color="9CC2E5"/>
              <w:right w:val="single" w:sz="8" w:space="0" w:color="9CC2E5"/>
            </w:tcBorders>
            <w:shd w:val="clear" w:color="000000" w:fill="FFFFFF"/>
            <w:vAlign w:val="center"/>
          </w:tcPr>
          <w:p w14:paraId="6E24CFA0" w14:textId="7DFE6F4F" w:rsidR="005174BA" w:rsidRPr="00F73063" w:rsidRDefault="00672A66" w:rsidP="00837FD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74,5</w:t>
            </w:r>
          </w:p>
        </w:tc>
        <w:tc>
          <w:tcPr>
            <w:tcW w:w="787" w:type="dxa"/>
            <w:tcBorders>
              <w:top w:val="nil"/>
              <w:left w:val="nil"/>
              <w:bottom w:val="single" w:sz="8" w:space="0" w:color="9CC2E5"/>
              <w:right w:val="single" w:sz="8" w:space="0" w:color="9CC2E5"/>
            </w:tcBorders>
            <w:shd w:val="clear" w:color="000000" w:fill="FFFFFF"/>
            <w:vAlign w:val="center"/>
          </w:tcPr>
          <w:p w14:paraId="153E2EC1" w14:textId="250132AC"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11,7</w:t>
            </w:r>
          </w:p>
        </w:tc>
        <w:tc>
          <w:tcPr>
            <w:tcW w:w="0" w:type="auto"/>
            <w:tcBorders>
              <w:top w:val="nil"/>
              <w:left w:val="nil"/>
              <w:bottom w:val="single" w:sz="8" w:space="0" w:color="9CC2E5"/>
              <w:right w:val="single" w:sz="8" w:space="0" w:color="9CC2E5"/>
            </w:tcBorders>
            <w:shd w:val="clear" w:color="000000" w:fill="FFFFFF"/>
            <w:vAlign w:val="center"/>
          </w:tcPr>
          <w:p w14:paraId="0D945EE2" w14:textId="3A01A576"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0" w:type="auto"/>
            <w:tcBorders>
              <w:top w:val="nil"/>
              <w:left w:val="nil"/>
              <w:bottom w:val="single" w:sz="8" w:space="0" w:color="9CC2E5"/>
              <w:right w:val="single" w:sz="8" w:space="0" w:color="9CC2E5"/>
            </w:tcBorders>
            <w:shd w:val="clear" w:color="000000" w:fill="FFFFFF"/>
            <w:vAlign w:val="center"/>
          </w:tcPr>
          <w:p w14:paraId="1008C37F" w14:textId="6C356373"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50,7</w:t>
            </w:r>
          </w:p>
        </w:tc>
        <w:tc>
          <w:tcPr>
            <w:tcW w:w="0" w:type="auto"/>
            <w:tcBorders>
              <w:top w:val="nil"/>
              <w:left w:val="nil"/>
              <w:bottom w:val="single" w:sz="8" w:space="0" w:color="9CC2E5"/>
              <w:right w:val="single" w:sz="8" w:space="0" w:color="9CC2E5"/>
            </w:tcBorders>
            <w:shd w:val="clear" w:color="000000" w:fill="FFFFFF"/>
            <w:vAlign w:val="center"/>
          </w:tcPr>
          <w:p w14:paraId="3B4085E0" w14:textId="57352CD6"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96,4</w:t>
            </w:r>
          </w:p>
        </w:tc>
        <w:tc>
          <w:tcPr>
            <w:tcW w:w="787" w:type="dxa"/>
            <w:tcBorders>
              <w:top w:val="nil"/>
              <w:left w:val="nil"/>
              <w:bottom w:val="single" w:sz="8" w:space="0" w:color="9CC2E5"/>
              <w:right w:val="single" w:sz="8" w:space="0" w:color="9CC2E5"/>
            </w:tcBorders>
            <w:shd w:val="clear" w:color="000000" w:fill="FFFFFF"/>
            <w:vAlign w:val="center"/>
          </w:tcPr>
          <w:p w14:paraId="355CB8B2" w14:textId="2E05E389"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8,6</w:t>
            </w:r>
          </w:p>
        </w:tc>
        <w:tc>
          <w:tcPr>
            <w:tcW w:w="787" w:type="dxa"/>
            <w:tcBorders>
              <w:top w:val="nil"/>
              <w:left w:val="nil"/>
              <w:bottom w:val="single" w:sz="8" w:space="0" w:color="9CC2E5"/>
              <w:right w:val="single" w:sz="8" w:space="0" w:color="9CC2E5"/>
            </w:tcBorders>
            <w:shd w:val="clear" w:color="000000" w:fill="FFFFFF"/>
            <w:vAlign w:val="center"/>
          </w:tcPr>
          <w:p w14:paraId="412641BB" w14:textId="32F6D7C9"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4,9</w:t>
            </w:r>
          </w:p>
        </w:tc>
        <w:tc>
          <w:tcPr>
            <w:tcW w:w="787" w:type="dxa"/>
            <w:tcBorders>
              <w:top w:val="nil"/>
              <w:left w:val="nil"/>
              <w:bottom w:val="single" w:sz="8" w:space="0" w:color="9CC2E5"/>
              <w:right w:val="single" w:sz="8" w:space="0" w:color="9CC2E5"/>
            </w:tcBorders>
            <w:shd w:val="clear" w:color="000000" w:fill="FFFFFF"/>
            <w:vAlign w:val="center"/>
          </w:tcPr>
          <w:p w14:paraId="73B47E32" w14:textId="42C10BC4"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0,0</w:t>
            </w:r>
          </w:p>
        </w:tc>
        <w:tc>
          <w:tcPr>
            <w:tcW w:w="787" w:type="dxa"/>
            <w:tcBorders>
              <w:top w:val="nil"/>
              <w:left w:val="nil"/>
              <w:bottom w:val="single" w:sz="8" w:space="0" w:color="9CC2E5"/>
              <w:right w:val="single" w:sz="8" w:space="0" w:color="9CC2E5"/>
            </w:tcBorders>
            <w:shd w:val="clear" w:color="000000" w:fill="FFFFFF"/>
            <w:vAlign w:val="center"/>
          </w:tcPr>
          <w:p w14:paraId="6E5A2724" w14:textId="02ED3E91"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3,8</w:t>
            </w:r>
          </w:p>
        </w:tc>
        <w:tc>
          <w:tcPr>
            <w:tcW w:w="0" w:type="auto"/>
            <w:vMerge w:val="restart"/>
            <w:tcBorders>
              <w:top w:val="nil"/>
              <w:left w:val="single" w:sz="8" w:space="0" w:color="9CC2E5"/>
              <w:bottom w:val="single" w:sz="8" w:space="0" w:color="9CC2E5"/>
              <w:right w:val="single" w:sz="8" w:space="0" w:color="9CC2E5"/>
            </w:tcBorders>
            <w:shd w:val="clear" w:color="000000" w:fill="FFFFFF"/>
            <w:noWrap/>
            <w:vAlign w:val="center"/>
          </w:tcPr>
          <w:p w14:paraId="139C8E56" w14:textId="6285E46A" w:rsidR="005174BA" w:rsidRPr="00CB1C52" w:rsidRDefault="005174BA" w:rsidP="005174BA">
            <w:pPr>
              <w:spacing w:after="0" w:line="240" w:lineRule="auto"/>
              <w:jc w:val="center"/>
              <w:rPr>
                <w:rFonts w:ascii="Times New Roman" w:hAnsi="Times New Roman" w:cs="Times New Roman"/>
                <w:bCs/>
                <w:sz w:val="18"/>
                <w:szCs w:val="18"/>
              </w:rPr>
            </w:pPr>
          </w:p>
        </w:tc>
      </w:tr>
      <w:tr w:rsidR="005174BA" w:rsidRPr="008C76AB" w14:paraId="7775752F" w14:textId="77777777" w:rsidTr="00BB69DC">
        <w:trPr>
          <w:trHeight w:val="330"/>
        </w:trPr>
        <w:tc>
          <w:tcPr>
            <w:tcW w:w="724" w:type="dxa"/>
            <w:vMerge/>
            <w:tcBorders>
              <w:left w:val="single" w:sz="8" w:space="0" w:color="9CC2E5"/>
              <w:right w:val="single" w:sz="8" w:space="0" w:color="9CC2E5"/>
            </w:tcBorders>
            <w:vAlign w:val="center"/>
          </w:tcPr>
          <w:p w14:paraId="2CDB1C1F" w14:textId="77777777" w:rsidR="005174BA" w:rsidRPr="00CB1C52" w:rsidRDefault="005174BA" w:rsidP="005174BA">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DDEBF7"/>
            <w:noWrap/>
            <w:vAlign w:val="center"/>
          </w:tcPr>
          <w:p w14:paraId="6CD2919F" w14:textId="4598A900" w:rsidR="005174BA" w:rsidRPr="00CB1C52" w:rsidRDefault="005174BA" w:rsidP="005174BA">
            <w:pPr>
              <w:spacing w:after="0" w:line="240" w:lineRule="auto"/>
              <w:rPr>
                <w:rFonts w:ascii="Times New Roman" w:eastAsia="Times New Roman" w:hAnsi="Times New Roman" w:cs="Times New Roman"/>
                <w:sz w:val="18"/>
                <w:szCs w:val="18"/>
                <w:lang w:eastAsia="lv-LV"/>
              </w:rPr>
            </w:pPr>
            <w:r w:rsidRPr="00CB1C52">
              <w:rPr>
                <w:rFonts w:ascii="Times New Roman" w:eastAsia="Times New Roman" w:hAnsi="Times New Roman" w:cs="Times New Roman"/>
                <w:sz w:val="18"/>
                <w:szCs w:val="18"/>
                <w:lang w:eastAsia="lv-LV"/>
              </w:rPr>
              <w:t>Izpilde</w:t>
            </w:r>
          </w:p>
        </w:tc>
        <w:tc>
          <w:tcPr>
            <w:tcW w:w="787" w:type="dxa"/>
            <w:tcBorders>
              <w:top w:val="nil"/>
              <w:left w:val="nil"/>
              <w:bottom w:val="single" w:sz="8" w:space="0" w:color="9CC2E5"/>
              <w:right w:val="single" w:sz="8" w:space="0" w:color="9CC2E5"/>
            </w:tcBorders>
            <w:shd w:val="clear" w:color="000000" w:fill="DDEBF7"/>
            <w:vAlign w:val="center"/>
          </w:tcPr>
          <w:p w14:paraId="65298216" w14:textId="0C984476" w:rsidR="005174BA" w:rsidRPr="00F73063" w:rsidRDefault="00672A66" w:rsidP="00837FD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38,7</w:t>
            </w:r>
          </w:p>
        </w:tc>
        <w:tc>
          <w:tcPr>
            <w:tcW w:w="787" w:type="dxa"/>
            <w:tcBorders>
              <w:top w:val="nil"/>
              <w:left w:val="nil"/>
              <w:bottom w:val="single" w:sz="8" w:space="0" w:color="9CC2E5"/>
              <w:right w:val="single" w:sz="8" w:space="0" w:color="9CC2E5"/>
            </w:tcBorders>
            <w:shd w:val="clear" w:color="000000" w:fill="DDEBF7"/>
            <w:vAlign w:val="center"/>
          </w:tcPr>
          <w:p w14:paraId="0470739E" w14:textId="48872614"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8,7</w:t>
            </w:r>
          </w:p>
        </w:tc>
        <w:tc>
          <w:tcPr>
            <w:tcW w:w="0" w:type="auto"/>
            <w:tcBorders>
              <w:top w:val="nil"/>
              <w:left w:val="nil"/>
              <w:bottom w:val="single" w:sz="8" w:space="0" w:color="9CC2E5"/>
              <w:right w:val="single" w:sz="8" w:space="0" w:color="9CC2E5"/>
            </w:tcBorders>
            <w:shd w:val="clear" w:color="000000" w:fill="DDEBF7"/>
            <w:vAlign w:val="center"/>
          </w:tcPr>
          <w:p w14:paraId="69101DE8" w14:textId="03CCA47C"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0" w:type="auto"/>
            <w:tcBorders>
              <w:top w:val="nil"/>
              <w:left w:val="nil"/>
              <w:bottom w:val="single" w:sz="8" w:space="0" w:color="9CC2E5"/>
              <w:right w:val="single" w:sz="8" w:space="0" w:color="9CC2E5"/>
            </w:tcBorders>
            <w:shd w:val="clear" w:color="000000" w:fill="DDEBF7"/>
            <w:vAlign w:val="center"/>
          </w:tcPr>
          <w:p w14:paraId="2A583F40" w14:textId="5CCEED01"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30,9</w:t>
            </w:r>
          </w:p>
        </w:tc>
        <w:tc>
          <w:tcPr>
            <w:tcW w:w="0" w:type="auto"/>
            <w:tcBorders>
              <w:top w:val="nil"/>
              <w:left w:val="nil"/>
              <w:bottom w:val="single" w:sz="8" w:space="0" w:color="9CC2E5"/>
              <w:right w:val="single" w:sz="8" w:space="0" w:color="9CC2E5"/>
            </w:tcBorders>
            <w:shd w:val="clear" w:color="000000" w:fill="DDEBF7"/>
            <w:vAlign w:val="center"/>
          </w:tcPr>
          <w:p w14:paraId="167F384B" w14:textId="096735E7"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75,1</w:t>
            </w:r>
          </w:p>
        </w:tc>
        <w:tc>
          <w:tcPr>
            <w:tcW w:w="787" w:type="dxa"/>
            <w:tcBorders>
              <w:top w:val="nil"/>
              <w:left w:val="nil"/>
              <w:bottom w:val="single" w:sz="8" w:space="0" w:color="9CC2E5"/>
              <w:right w:val="single" w:sz="8" w:space="0" w:color="9CC2E5"/>
            </w:tcBorders>
            <w:shd w:val="clear" w:color="000000" w:fill="DDEBF7"/>
            <w:vAlign w:val="center"/>
          </w:tcPr>
          <w:p w14:paraId="299F5802" w14:textId="578BA008"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6,6</w:t>
            </w:r>
          </w:p>
        </w:tc>
        <w:tc>
          <w:tcPr>
            <w:tcW w:w="787" w:type="dxa"/>
            <w:tcBorders>
              <w:top w:val="nil"/>
              <w:left w:val="nil"/>
              <w:bottom w:val="single" w:sz="8" w:space="0" w:color="9CC2E5"/>
              <w:right w:val="single" w:sz="8" w:space="0" w:color="9CC2E5"/>
            </w:tcBorders>
            <w:shd w:val="clear" w:color="000000" w:fill="DDEBF7"/>
            <w:vAlign w:val="center"/>
          </w:tcPr>
          <w:p w14:paraId="6100187F" w14:textId="228726D4"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4,1</w:t>
            </w:r>
          </w:p>
        </w:tc>
        <w:tc>
          <w:tcPr>
            <w:tcW w:w="787" w:type="dxa"/>
            <w:tcBorders>
              <w:top w:val="nil"/>
              <w:left w:val="nil"/>
              <w:bottom w:val="single" w:sz="8" w:space="0" w:color="9CC2E5"/>
              <w:right w:val="single" w:sz="8" w:space="0" w:color="9CC2E5"/>
            </w:tcBorders>
            <w:shd w:val="clear" w:color="000000" w:fill="DDEBF7"/>
            <w:vAlign w:val="center"/>
          </w:tcPr>
          <w:p w14:paraId="5BB89CD2" w14:textId="35E95747"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0,0</w:t>
            </w:r>
          </w:p>
        </w:tc>
        <w:tc>
          <w:tcPr>
            <w:tcW w:w="787" w:type="dxa"/>
            <w:tcBorders>
              <w:top w:val="nil"/>
              <w:left w:val="nil"/>
              <w:bottom w:val="single" w:sz="8" w:space="0" w:color="9CC2E5"/>
              <w:right w:val="single" w:sz="8" w:space="0" w:color="9CC2E5"/>
            </w:tcBorders>
            <w:shd w:val="clear" w:color="000000" w:fill="DDEBF7"/>
            <w:vAlign w:val="center"/>
          </w:tcPr>
          <w:p w14:paraId="54651894" w14:textId="53C6047A" w:rsidR="005174BA" w:rsidRPr="00F73063" w:rsidRDefault="00672A6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2,5</w:t>
            </w:r>
          </w:p>
        </w:tc>
        <w:tc>
          <w:tcPr>
            <w:tcW w:w="0" w:type="auto"/>
            <w:vMerge/>
            <w:tcBorders>
              <w:top w:val="nil"/>
              <w:left w:val="single" w:sz="8" w:space="0" w:color="9CC2E5"/>
              <w:bottom w:val="single" w:sz="8" w:space="0" w:color="9CC2E5"/>
              <w:right w:val="single" w:sz="8" w:space="0" w:color="9CC2E5"/>
            </w:tcBorders>
            <w:vAlign w:val="center"/>
          </w:tcPr>
          <w:p w14:paraId="456CBC02" w14:textId="77777777" w:rsidR="005174BA" w:rsidRPr="00CB1C52" w:rsidRDefault="005174BA" w:rsidP="005174BA">
            <w:pPr>
              <w:spacing w:after="0" w:line="240" w:lineRule="auto"/>
              <w:jc w:val="center"/>
              <w:rPr>
                <w:rFonts w:ascii="Times New Roman" w:hAnsi="Times New Roman" w:cs="Times New Roman"/>
                <w:bCs/>
                <w:sz w:val="18"/>
                <w:szCs w:val="18"/>
              </w:rPr>
            </w:pPr>
          </w:p>
        </w:tc>
      </w:tr>
      <w:tr w:rsidR="00672A66" w:rsidRPr="008C76AB" w14:paraId="6E9EEEDB" w14:textId="77777777" w:rsidTr="00BB69DC">
        <w:trPr>
          <w:trHeight w:val="330"/>
        </w:trPr>
        <w:tc>
          <w:tcPr>
            <w:tcW w:w="724" w:type="dxa"/>
            <w:vMerge/>
            <w:tcBorders>
              <w:left w:val="single" w:sz="8" w:space="0" w:color="9CC2E5"/>
              <w:bottom w:val="single" w:sz="8" w:space="0" w:color="9CC2E5"/>
              <w:right w:val="single" w:sz="8" w:space="0" w:color="9CC2E5"/>
            </w:tcBorders>
            <w:vAlign w:val="center"/>
          </w:tcPr>
          <w:p w14:paraId="701D91D2" w14:textId="77777777" w:rsidR="00672A66" w:rsidRPr="00CB1C52" w:rsidRDefault="00672A66" w:rsidP="00672A66">
            <w:pPr>
              <w:spacing w:after="0" w:line="240" w:lineRule="auto"/>
              <w:rPr>
                <w:rFonts w:ascii="Times New Roman" w:eastAsia="Times New Roman" w:hAnsi="Times New Roman" w:cs="Times New Roman"/>
                <w:b/>
                <w:bCs/>
                <w:sz w:val="18"/>
                <w:szCs w:val="18"/>
                <w:lang w:eastAsia="lv-LV"/>
              </w:rPr>
            </w:pPr>
          </w:p>
        </w:tc>
        <w:tc>
          <w:tcPr>
            <w:tcW w:w="921" w:type="dxa"/>
            <w:tcBorders>
              <w:top w:val="nil"/>
              <w:left w:val="nil"/>
              <w:bottom w:val="single" w:sz="8" w:space="0" w:color="9CC2E5"/>
              <w:right w:val="single" w:sz="8" w:space="0" w:color="9CC2E5"/>
            </w:tcBorders>
            <w:shd w:val="clear" w:color="000000" w:fill="FFFFFF"/>
            <w:noWrap/>
            <w:vAlign w:val="center"/>
          </w:tcPr>
          <w:p w14:paraId="397007F8" w14:textId="6EA6934F" w:rsidR="00672A66" w:rsidRPr="00CB1C52" w:rsidRDefault="00672A66" w:rsidP="00672A66">
            <w:pPr>
              <w:spacing w:after="0" w:line="240" w:lineRule="auto"/>
              <w:rPr>
                <w:rFonts w:ascii="Times New Roman" w:eastAsia="Times New Roman" w:hAnsi="Times New Roman" w:cs="Times New Roman"/>
                <w:sz w:val="18"/>
                <w:szCs w:val="18"/>
                <w:lang w:eastAsia="lv-LV"/>
              </w:rPr>
            </w:pPr>
            <w:r w:rsidRPr="00CB1C52">
              <w:rPr>
                <w:rFonts w:ascii="Times New Roman" w:eastAsia="Times New Roman" w:hAnsi="Times New Roman" w:cs="Times New Roman"/>
                <w:sz w:val="18"/>
                <w:szCs w:val="18"/>
                <w:lang w:eastAsia="lv-LV"/>
              </w:rPr>
              <w:t>Novirze no plāna %</w:t>
            </w:r>
          </w:p>
        </w:tc>
        <w:tc>
          <w:tcPr>
            <w:tcW w:w="787" w:type="dxa"/>
            <w:tcBorders>
              <w:top w:val="nil"/>
              <w:left w:val="nil"/>
              <w:bottom w:val="single" w:sz="8" w:space="0" w:color="9CC2E5"/>
              <w:right w:val="single" w:sz="8" w:space="0" w:color="9CC2E5"/>
            </w:tcBorders>
            <w:shd w:val="clear" w:color="000000" w:fill="FFFFFF"/>
            <w:noWrap/>
            <w:vAlign w:val="center"/>
          </w:tcPr>
          <w:p w14:paraId="19EE977A" w14:textId="076E397C" w:rsidR="00672A66" w:rsidRPr="00BB69DC" w:rsidRDefault="00672A66" w:rsidP="00837FD1">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-48,1%</w:t>
            </w:r>
          </w:p>
        </w:tc>
        <w:tc>
          <w:tcPr>
            <w:tcW w:w="787" w:type="dxa"/>
            <w:tcBorders>
              <w:top w:val="nil"/>
              <w:left w:val="nil"/>
              <w:bottom w:val="single" w:sz="8" w:space="0" w:color="9CC2E5"/>
              <w:right w:val="single" w:sz="8" w:space="0" w:color="9CC2E5"/>
            </w:tcBorders>
            <w:shd w:val="clear" w:color="000000" w:fill="FFFFFF"/>
            <w:noWrap/>
            <w:vAlign w:val="center"/>
          </w:tcPr>
          <w:p w14:paraId="7135E9C0" w14:textId="2AA00039" w:rsidR="00672A66" w:rsidRPr="00BB69DC" w:rsidRDefault="00672A66" w:rsidP="00837FD1">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-25,6%</w:t>
            </w:r>
          </w:p>
        </w:tc>
        <w:tc>
          <w:tcPr>
            <w:tcW w:w="0" w:type="auto"/>
            <w:tcBorders>
              <w:top w:val="nil"/>
              <w:left w:val="nil"/>
              <w:bottom w:val="single" w:sz="8" w:space="0" w:color="9CC2E5"/>
              <w:right w:val="single" w:sz="8" w:space="0" w:color="9CC2E5"/>
            </w:tcBorders>
            <w:shd w:val="clear" w:color="auto" w:fill="auto"/>
            <w:noWrap/>
            <w:vAlign w:val="center"/>
          </w:tcPr>
          <w:p w14:paraId="3C556110" w14:textId="57354AB2"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0,0%</w:t>
            </w:r>
          </w:p>
        </w:tc>
        <w:tc>
          <w:tcPr>
            <w:tcW w:w="0" w:type="auto"/>
            <w:tcBorders>
              <w:top w:val="nil"/>
              <w:left w:val="nil"/>
              <w:bottom w:val="single" w:sz="8" w:space="0" w:color="9CC2E5"/>
              <w:right w:val="single" w:sz="8" w:space="0" w:color="9CC2E5"/>
            </w:tcBorders>
            <w:shd w:val="clear" w:color="000000" w:fill="FFFFFF"/>
            <w:noWrap/>
            <w:vAlign w:val="center"/>
          </w:tcPr>
          <w:p w14:paraId="32797576" w14:textId="327F6D26"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-39,1%</w:t>
            </w:r>
          </w:p>
        </w:tc>
        <w:tc>
          <w:tcPr>
            <w:tcW w:w="0" w:type="auto"/>
            <w:tcBorders>
              <w:top w:val="nil"/>
              <w:left w:val="nil"/>
              <w:bottom w:val="single" w:sz="8" w:space="0" w:color="9CC2E5"/>
              <w:right w:val="single" w:sz="8" w:space="0" w:color="9CC2E5"/>
            </w:tcBorders>
            <w:shd w:val="clear" w:color="000000" w:fill="FFFFFF"/>
            <w:noWrap/>
            <w:vAlign w:val="center"/>
          </w:tcPr>
          <w:p w14:paraId="789BF0C1" w14:textId="5D8B2684"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-22,1%</w:t>
            </w:r>
          </w:p>
        </w:tc>
        <w:tc>
          <w:tcPr>
            <w:tcW w:w="787" w:type="dxa"/>
            <w:tcBorders>
              <w:top w:val="nil"/>
              <w:left w:val="nil"/>
              <w:bottom w:val="single" w:sz="8" w:space="0" w:color="9CC2E5"/>
              <w:right w:val="single" w:sz="8" w:space="0" w:color="9CC2E5"/>
            </w:tcBorders>
            <w:shd w:val="clear" w:color="000000" w:fill="FFFFFF"/>
            <w:noWrap/>
            <w:vAlign w:val="center"/>
          </w:tcPr>
          <w:p w14:paraId="1170017F" w14:textId="3E517C61"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-23,3%</w:t>
            </w:r>
          </w:p>
        </w:tc>
        <w:tc>
          <w:tcPr>
            <w:tcW w:w="787" w:type="dxa"/>
            <w:tcBorders>
              <w:top w:val="nil"/>
              <w:left w:val="nil"/>
              <w:bottom w:val="single" w:sz="8" w:space="0" w:color="9CC2E5"/>
              <w:right w:val="single" w:sz="8" w:space="0" w:color="9CC2E5"/>
            </w:tcBorders>
            <w:shd w:val="clear" w:color="000000" w:fill="FFFFFF"/>
            <w:noWrap/>
            <w:vAlign w:val="center"/>
          </w:tcPr>
          <w:p w14:paraId="10F60F79" w14:textId="571D7AB1"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-16,3%</w:t>
            </w:r>
          </w:p>
        </w:tc>
        <w:tc>
          <w:tcPr>
            <w:tcW w:w="787" w:type="dxa"/>
            <w:tcBorders>
              <w:top w:val="nil"/>
              <w:left w:val="nil"/>
              <w:bottom w:val="single" w:sz="8" w:space="0" w:color="9CC2E5"/>
              <w:right w:val="single" w:sz="8" w:space="0" w:color="9CC2E5"/>
            </w:tcBorders>
            <w:shd w:val="clear" w:color="000000" w:fill="FFFFFF"/>
            <w:noWrap/>
            <w:vAlign w:val="center"/>
          </w:tcPr>
          <w:p w14:paraId="4ABC607C" w14:textId="20F8AFE5"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0,0%</w:t>
            </w:r>
          </w:p>
        </w:tc>
        <w:tc>
          <w:tcPr>
            <w:tcW w:w="787" w:type="dxa"/>
            <w:tcBorders>
              <w:top w:val="nil"/>
              <w:left w:val="nil"/>
              <w:bottom w:val="single" w:sz="8" w:space="0" w:color="9CC2E5"/>
              <w:right w:val="single" w:sz="8" w:space="0" w:color="9CC2E5"/>
            </w:tcBorders>
            <w:shd w:val="clear" w:color="000000" w:fill="FFFFFF"/>
            <w:noWrap/>
            <w:vAlign w:val="center"/>
          </w:tcPr>
          <w:p w14:paraId="37CE527C" w14:textId="7F80A4A0"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-34,2%</w:t>
            </w:r>
          </w:p>
        </w:tc>
        <w:tc>
          <w:tcPr>
            <w:tcW w:w="0" w:type="auto"/>
            <w:tcBorders>
              <w:top w:val="nil"/>
              <w:left w:val="nil"/>
              <w:bottom w:val="single" w:sz="8" w:space="0" w:color="9CC2E5"/>
              <w:right w:val="single" w:sz="8" w:space="0" w:color="9CC2E5"/>
            </w:tcBorders>
            <w:shd w:val="clear" w:color="000000" w:fill="FFFFFF"/>
            <w:noWrap/>
            <w:vAlign w:val="center"/>
          </w:tcPr>
          <w:p w14:paraId="013F25EF" w14:textId="0538966C" w:rsidR="00672A66" w:rsidRPr="00BB69DC" w:rsidRDefault="00672A66">
            <w:pPr>
              <w:spacing w:after="0" w:line="240" w:lineRule="auto"/>
              <w:jc w:val="center"/>
              <w:rPr>
                <w:rFonts w:ascii="Times New Roman" w:hAnsi="Times New Roman" w:cs="Times New Roman"/>
                <w:i/>
                <w:iCs/>
                <w:sz w:val="18"/>
                <w:szCs w:val="18"/>
              </w:rPr>
            </w:pPr>
            <w:r w:rsidRPr="00BB69DC">
              <w:rPr>
                <w:rFonts w:ascii="Times New Roman" w:hAnsi="Times New Roman" w:cs="Times New Roman"/>
                <w:i/>
                <w:iCs/>
                <w:sz w:val="18"/>
                <w:szCs w:val="18"/>
              </w:rPr>
              <w:t>-33,5%</w:t>
            </w:r>
          </w:p>
        </w:tc>
      </w:tr>
    </w:tbl>
    <w:p w14:paraId="5E59F6EA" w14:textId="28DCA653" w:rsidR="005C32F2" w:rsidRPr="001054F7" w:rsidRDefault="005C32F2" w:rsidP="00481389">
      <w:pPr>
        <w:rPr>
          <w:sz w:val="4"/>
          <w:szCs w:val="4"/>
          <w:highlight w:val="yellow"/>
        </w:rPr>
      </w:pPr>
    </w:p>
    <w:p w14:paraId="5DC98069" w14:textId="77777777" w:rsidR="0020533D" w:rsidRPr="00FA4A22" w:rsidRDefault="0020533D" w:rsidP="00BB69DC">
      <w:pPr>
        <w:spacing w:after="0" w:line="240" w:lineRule="auto"/>
        <w:jc w:val="both"/>
        <w:rPr>
          <w:rFonts w:ascii="Times New Roman" w:hAnsi="Times New Roman" w:cs="Times New Roman"/>
          <w:color w:val="000000" w:themeColor="text1"/>
          <w:sz w:val="24"/>
          <w:szCs w:val="24"/>
        </w:rPr>
      </w:pPr>
    </w:p>
    <w:p w14:paraId="3C625450" w14:textId="77777777" w:rsidR="00822D84" w:rsidRPr="00623897" w:rsidRDefault="00822D84" w:rsidP="00623897">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sz w:val="24"/>
          <w:szCs w:val="24"/>
        </w:rPr>
      </w:pPr>
      <w:bookmarkStart w:id="36" w:name="_Toc405371083"/>
      <w:bookmarkStart w:id="37" w:name="_Toc536779066"/>
      <w:bookmarkStart w:id="38" w:name="_Toc80111856"/>
      <w:r w:rsidRPr="00623897">
        <w:rPr>
          <w:rFonts w:ascii="Times New Roman" w:hAnsi="Times New Roman" w:cs="Times New Roman"/>
          <w:color w:val="auto"/>
          <w:sz w:val="24"/>
          <w:szCs w:val="24"/>
        </w:rPr>
        <w:t>Kapitāls uz pieprasījumu</w:t>
      </w:r>
      <w:bookmarkEnd w:id="36"/>
      <w:bookmarkEnd w:id="37"/>
      <w:bookmarkEnd w:id="38"/>
    </w:p>
    <w:p w14:paraId="59DBD9E3" w14:textId="073A6A2A" w:rsidR="008A60AA" w:rsidRPr="008A60AA" w:rsidRDefault="004D1798" w:rsidP="008A60AA">
      <w:pPr>
        <w:spacing w:after="0" w:line="240" w:lineRule="auto"/>
        <w:ind w:firstLine="720"/>
        <w:jc w:val="both"/>
        <w:rPr>
          <w:rFonts w:ascii="Times New Roman" w:eastAsiaTheme="minorHAnsi" w:hAnsi="Times New Roman" w:cs="Times New Roman"/>
          <w:sz w:val="24"/>
          <w:szCs w:val="20"/>
        </w:rPr>
      </w:pPr>
      <w:r>
        <w:rPr>
          <w:rFonts w:ascii="Times New Roman" w:eastAsiaTheme="minorHAnsi" w:hAnsi="Times New Roman" w:cs="Times New Roman"/>
          <w:sz w:val="24"/>
          <w:szCs w:val="20"/>
        </w:rPr>
        <w:t>F</w:t>
      </w:r>
      <w:r w:rsidR="008A60AA" w:rsidRPr="008A60AA">
        <w:rPr>
          <w:rFonts w:ascii="Times New Roman" w:eastAsiaTheme="minorHAnsi" w:hAnsi="Times New Roman" w:cs="Times New Roman"/>
          <w:sz w:val="24"/>
          <w:szCs w:val="20"/>
        </w:rPr>
        <w:t>iskālais risks var īstenoties</w:t>
      </w:r>
      <w:r>
        <w:rPr>
          <w:rFonts w:ascii="Times New Roman" w:eastAsiaTheme="minorHAnsi" w:hAnsi="Times New Roman" w:cs="Times New Roman"/>
          <w:sz w:val="24"/>
          <w:szCs w:val="20"/>
        </w:rPr>
        <w:t xml:space="preserve"> </w:t>
      </w:r>
      <w:r w:rsidR="008A60AA" w:rsidRPr="008A60AA">
        <w:rPr>
          <w:rFonts w:ascii="Times New Roman" w:eastAsiaTheme="minorHAnsi" w:hAnsi="Times New Roman" w:cs="Times New Roman"/>
          <w:sz w:val="24"/>
          <w:szCs w:val="20"/>
        </w:rPr>
        <w:t>iestāj</w:t>
      </w:r>
      <w:r>
        <w:rPr>
          <w:rFonts w:ascii="Times New Roman" w:eastAsiaTheme="minorHAnsi" w:hAnsi="Times New Roman" w:cs="Times New Roman"/>
          <w:sz w:val="24"/>
          <w:szCs w:val="20"/>
        </w:rPr>
        <w:t>oties</w:t>
      </w:r>
      <w:r w:rsidR="008A60AA" w:rsidRPr="008A60AA">
        <w:rPr>
          <w:rFonts w:ascii="Times New Roman" w:eastAsiaTheme="minorHAnsi" w:hAnsi="Times New Roman" w:cs="Times New Roman"/>
          <w:sz w:val="24"/>
          <w:szCs w:val="20"/>
        </w:rPr>
        <w:t xml:space="preserve"> līgumā ar starptautisko finanšu institūciju </w:t>
      </w:r>
      <w:r w:rsidR="00DC6AA6">
        <w:rPr>
          <w:rFonts w:ascii="Times New Roman" w:eastAsiaTheme="minorHAnsi" w:hAnsi="Times New Roman" w:cs="Times New Roman"/>
          <w:sz w:val="24"/>
          <w:szCs w:val="20"/>
        </w:rPr>
        <w:br/>
      </w:r>
      <w:r w:rsidR="008A60AA" w:rsidRPr="008A60AA">
        <w:rPr>
          <w:rFonts w:ascii="Times New Roman" w:eastAsiaTheme="minorHAnsi" w:hAnsi="Times New Roman" w:cs="Times New Roman"/>
          <w:sz w:val="24"/>
          <w:szCs w:val="20"/>
        </w:rPr>
        <w:t xml:space="preserve">(turpmāk – </w:t>
      </w:r>
      <w:r w:rsidR="008A60AA" w:rsidRPr="009244B5">
        <w:rPr>
          <w:rFonts w:ascii="Times New Roman" w:eastAsiaTheme="minorHAnsi" w:hAnsi="Times New Roman" w:cs="Times New Roman"/>
          <w:sz w:val="24"/>
          <w:szCs w:val="20"/>
        </w:rPr>
        <w:t>SFI</w:t>
      </w:r>
      <w:r w:rsidR="008A60AA" w:rsidRPr="008A60AA">
        <w:rPr>
          <w:rFonts w:ascii="Times New Roman" w:eastAsiaTheme="minorHAnsi" w:hAnsi="Times New Roman" w:cs="Times New Roman"/>
          <w:sz w:val="24"/>
          <w:szCs w:val="20"/>
        </w:rPr>
        <w:t>), kurā Latvija ir kapitāla daļu turētāja, noteik</w:t>
      </w:r>
      <w:r>
        <w:rPr>
          <w:rFonts w:ascii="Times New Roman" w:eastAsiaTheme="minorHAnsi" w:hAnsi="Times New Roman" w:cs="Times New Roman"/>
          <w:sz w:val="24"/>
          <w:szCs w:val="20"/>
        </w:rPr>
        <w:t>tajiem</w:t>
      </w:r>
      <w:r w:rsidR="008A60AA" w:rsidRPr="008A60AA">
        <w:rPr>
          <w:rFonts w:ascii="Times New Roman" w:eastAsiaTheme="minorHAnsi" w:hAnsi="Times New Roman" w:cs="Times New Roman"/>
          <w:sz w:val="24"/>
          <w:szCs w:val="20"/>
        </w:rPr>
        <w:t xml:space="preserve"> apstākļi</w:t>
      </w:r>
      <w:r>
        <w:rPr>
          <w:rFonts w:ascii="Times New Roman" w:eastAsiaTheme="minorHAnsi" w:hAnsi="Times New Roman" w:cs="Times New Roman"/>
          <w:sz w:val="24"/>
          <w:szCs w:val="20"/>
        </w:rPr>
        <w:t xml:space="preserve">em un attiecīgi </w:t>
      </w:r>
      <w:r w:rsidR="008A60AA" w:rsidRPr="008A60AA">
        <w:rPr>
          <w:rFonts w:ascii="Times New Roman" w:eastAsiaTheme="minorHAnsi" w:hAnsi="Times New Roman" w:cs="Times New Roman"/>
          <w:sz w:val="24"/>
          <w:szCs w:val="20"/>
        </w:rPr>
        <w:t>var tikt pieprasīta kapitāla uz pieprasījumu apmaksa. Ar starptautiskajām institūcijām</w:t>
      </w:r>
      <w:r w:rsidR="00BA7CFE">
        <w:rPr>
          <w:rFonts w:ascii="Times New Roman" w:eastAsiaTheme="minorHAnsi" w:hAnsi="Times New Roman" w:cs="Times New Roman"/>
          <w:sz w:val="24"/>
          <w:szCs w:val="20"/>
        </w:rPr>
        <w:t xml:space="preserve"> </w:t>
      </w:r>
      <w:r w:rsidR="008A60AA" w:rsidRPr="008A60AA">
        <w:rPr>
          <w:rFonts w:ascii="Times New Roman" w:eastAsiaTheme="minorHAnsi" w:hAnsi="Times New Roman" w:cs="Times New Roman"/>
          <w:sz w:val="24"/>
          <w:szCs w:val="20"/>
        </w:rPr>
        <w:t xml:space="preserve">SFI noslēgto līgumu nosacījumu analīze liecina, ka tie ir salīdzinoši vienveidīgi un nosaka to, ka organizācija var pieprasīt apmaksāt kapitālu uz pieprasījumu situācijā, kad organizācijas rīcībā nav pietiekami finanšu resursi, lai nodrošinātu institūcijas mērķu izpildi straujas finanšu situācijas pasliktināšanās gadījumos. </w:t>
      </w:r>
    </w:p>
    <w:p w14:paraId="332BE03B" w14:textId="67076EE6" w:rsidR="004D1798" w:rsidRDefault="008A60AA" w:rsidP="008A60AA">
      <w:pPr>
        <w:spacing w:after="0" w:line="240" w:lineRule="auto"/>
        <w:ind w:firstLine="720"/>
        <w:jc w:val="both"/>
        <w:rPr>
          <w:rFonts w:ascii="Times New Roman" w:eastAsiaTheme="minorHAnsi" w:hAnsi="Times New Roman" w:cs="Times New Roman"/>
          <w:sz w:val="24"/>
          <w:szCs w:val="20"/>
        </w:rPr>
      </w:pPr>
      <w:r w:rsidRPr="008A60AA">
        <w:rPr>
          <w:rFonts w:ascii="Times New Roman" w:eastAsiaTheme="minorHAnsi" w:hAnsi="Times New Roman" w:cs="Times New Roman"/>
          <w:sz w:val="24"/>
          <w:szCs w:val="20"/>
        </w:rPr>
        <w:t>Situācija, kad SFI pieprasa neapmaksātā reģistrētā kapitāla apmaksu, pati par sevi nenosaka, ka ir īstenojies fiskālais risks. Gadījumā, ja V</w:t>
      </w:r>
      <w:r w:rsidR="00D11383">
        <w:rPr>
          <w:rFonts w:ascii="Times New Roman" w:eastAsiaTheme="minorHAnsi" w:hAnsi="Times New Roman" w:cs="Times New Roman"/>
          <w:sz w:val="24"/>
          <w:szCs w:val="20"/>
        </w:rPr>
        <w:t xml:space="preserve">K </w:t>
      </w:r>
      <w:r w:rsidRPr="008A60AA">
        <w:rPr>
          <w:rFonts w:ascii="Times New Roman" w:eastAsiaTheme="minorHAnsi" w:hAnsi="Times New Roman" w:cs="Times New Roman"/>
          <w:sz w:val="24"/>
          <w:szCs w:val="20"/>
        </w:rPr>
        <w:t>minētā pieprasījuma izpildei aizņemas finanšu resursus virs plānotā aizņēmuma apmēra, neplānota ietekme rodas uz valsts parādu piesaistīto līdzekļu apmērā, kā arī attiecīgi palielinās valsts budžeta izdevumi par valsts parāda vadību</w:t>
      </w:r>
      <w:r w:rsidR="004D1798">
        <w:rPr>
          <w:rFonts w:ascii="Times New Roman" w:eastAsiaTheme="minorHAnsi" w:hAnsi="Times New Roman" w:cs="Times New Roman"/>
          <w:sz w:val="24"/>
          <w:szCs w:val="20"/>
        </w:rPr>
        <w:t>.</w:t>
      </w:r>
    </w:p>
    <w:p w14:paraId="6242CD01" w14:textId="7790FA81" w:rsidR="008A60AA" w:rsidRDefault="004D1798" w:rsidP="008A60AA">
      <w:pPr>
        <w:spacing w:after="0" w:line="240" w:lineRule="auto"/>
        <w:ind w:firstLine="720"/>
        <w:jc w:val="both"/>
        <w:rPr>
          <w:rFonts w:ascii="Times New Roman" w:eastAsiaTheme="minorHAnsi" w:hAnsi="Times New Roman" w:cs="Times New Roman"/>
          <w:sz w:val="24"/>
          <w:szCs w:val="20"/>
        </w:rPr>
      </w:pPr>
      <w:r>
        <w:rPr>
          <w:rFonts w:ascii="Times New Roman" w:eastAsiaTheme="minorHAnsi" w:hAnsi="Times New Roman" w:cs="Times New Roman"/>
          <w:sz w:val="24"/>
          <w:szCs w:val="20"/>
        </w:rPr>
        <w:t>B</w:t>
      </w:r>
      <w:r w:rsidR="008A60AA" w:rsidRPr="008A60AA">
        <w:rPr>
          <w:rFonts w:ascii="Times New Roman" w:eastAsiaTheme="minorHAnsi" w:hAnsi="Times New Roman" w:cs="Times New Roman"/>
          <w:sz w:val="24"/>
          <w:szCs w:val="20"/>
        </w:rPr>
        <w:t>ūtiskāks fiskālais risks iestājas tajos gadījumos, kad ar kapitālu uz pieprasījumu tiek segti organizācijas SFI finansiālās darbības zaudējumi (piemēram, organizācija SFI noraksta izsniegto aizdevumu) un attiecīgi šāda kapitāla palielināšana tiktu uzskaitīta kā vispārējās valdības budžeta izdevumi, pasliktinot budžeta bilanci.</w:t>
      </w:r>
    </w:p>
    <w:p w14:paraId="37BF7CA6" w14:textId="61014F10" w:rsidR="008A60AA" w:rsidRDefault="008A60AA" w:rsidP="008A60AA">
      <w:pPr>
        <w:spacing w:after="0" w:line="240" w:lineRule="auto"/>
        <w:ind w:firstLine="720"/>
        <w:jc w:val="both"/>
        <w:rPr>
          <w:rFonts w:ascii="Times New Roman" w:eastAsiaTheme="minorHAnsi" w:hAnsi="Times New Roman" w:cs="Times New Roman"/>
          <w:sz w:val="24"/>
          <w:szCs w:val="20"/>
        </w:rPr>
      </w:pPr>
      <w:r w:rsidRPr="008A60AA">
        <w:rPr>
          <w:rFonts w:ascii="Times New Roman" w:eastAsiaTheme="minorHAnsi" w:hAnsi="Times New Roman" w:cs="Times New Roman"/>
          <w:sz w:val="24"/>
          <w:szCs w:val="20"/>
        </w:rPr>
        <w:t>Valsts iespējamās saistības saskaņā ar pašreiz spēkā esošajiem līgumiem ir apkopotas tabulā Nr.</w:t>
      </w:r>
      <w:r w:rsidR="00BA7CFE">
        <w:rPr>
          <w:rFonts w:ascii="Times New Roman" w:eastAsiaTheme="minorHAnsi" w:hAnsi="Times New Roman" w:cs="Times New Roman"/>
          <w:sz w:val="24"/>
          <w:szCs w:val="20"/>
        </w:rPr>
        <w:t>7</w:t>
      </w:r>
      <w:r w:rsidRPr="008A60AA">
        <w:rPr>
          <w:rFonts w:ascii="Times New Roman" w:eastAsiaTheme="minorHAnsi" w:hAnsi="Times New Roman" w:cs="Times New Roman"/>
          <w:sz w:val="24"/>
          <w:szCs w:val="20"/>
        </w:rPr>
        <w:t>.</w:t>
      </w:r>
    </w:p>
    <w:p w14:paraId="0F188F13" w14:textId="77777777" w:rsidR="00B70497" w:rsidRPr="008A60AA" w:rsidRDefault="00B70497" w:rsidP="008A60AA">
      <w:pPr>
        <w:spacing w:after="0" w:line="240" w:lineRule="auto"/>
        <w:ind w:firstLine="720"/>
        <w:jc w:val="both"/>
        <w:rPr>
          <w:rFonts w:ascii="Times New Roman" w:eastAsiaTheme="minorHAnsi" w:hAnsi="Times New Roman" w:cs="Times New Roman"/>
          <w:sz w:val="24"/>
          <w:szCs w:val="20"/>
        </w:rPr>
      </w:pPr>
    </w:p>
    <w:p w14:paraId="4DC43D86" w14:textId="59498CCE" w:rsidR="001F3A40" w:rsidRPr="00623897" w:rsidRDefault="001F3A40" w:rsidP="00623897">
      <w:pPr>
        <w:spacing w:after="240" w:line="240" w:lineRule="auto"/>
        <w:jc w:val="right"/>
        <w:rPr>
          <w:rFonts w:ascii="Times New Roman" w:eastAsiaTheme="minorHAnsi" w:hAnsi="Times New Roman" w:cs="Times New Roman"/>
          <w:b/>
          <w:sz w:val="24"/>
          <w:szCs w:val="20"/>
        </w:rPr>
      </w:pPr>
      <w:r w:rsidRPr="00623897">
        <w:rPr>
          <w:rFonts w:ascii="Times New Roman" w:eastAsiaTheme="minorHAnsi" w:hAnsi="Times New Roman" w:cs="Times New Roman"/>
          <w:b/>
          <w:sz w:val="24"/>
          <w:szCs w:val="20"/>
        </w:rPr>
        <w:t>Tabula Nr.</w:t>
      </w:r>
      <w:r w:rsidR="00BA7CFE">
        <w:rPr>
          <w:rFonts w:ascii="Times New Roman" w:eastAsiaTheme="minorHAnsi" w:hAnsi="Times New Roman" w:cs="Times New Roman"/>
          <w:b/>
          <w:sz w:val="24"/>
          <w:szCs w:val="20"/>
        </w:rPr>
        <w:t>7</w:t>
      </w:r>
      <w:r w:rsidR="00BA7CFE" w:rsidRPr="00623897">
        <w:rPr>
          <w:rFonts w:ascii="Times New Roman" w:eastAsiaTheme="minorHAnsi" w:hAnsi="Times New Roman" w:cs="Times New Roman"/>
          <w:b/>
          <w:sz w:val="24"/>
          <w:szCs w:val="20"/>
        </w:rPr>
        <w:t xml:space="preserve"> </w:t>
      </w:r>
      <w:r w:rsidRPr="00623897">
        <w:rPr>
          <w:rFonts w:ascii="Times New Roman" w:eastAsiaTheme="minorHAnsi" w:hAnsi="Times New Roman" w:cs="Times New Roman"/>
          <w:b/>
          <w:sz w:val="24"/>
          <w:szCs w:val="20"/>
        </w:rPr>
        <w:t>Kapitāls uz pieprasījumu sadalījumā pa starptautiskajām institūcijām</w:t>
      </w:r>
      <w:r w:rsidR="008A60AA" w:rsidRPr="008A60AA">
        <w:rPr>
          <w:rFonts w:ascii="Times New Roman" w:eastAsiaTheme="minorHAnsi" w:hAnsi="Times New Roman" w:cs="Times New Roman"/>
          <w:b/>
          <w:sz w:val="24"/>
          <w:szCs w:val="20"/>
        </w:rPr>
        <w:t xml:space="preserve"> </w:t>
      </w:r>
      <w:r w:rsidR="008A60AA" w:rsidRPr="00236D3A">
        <w:rPr>
          <w:rFonts w:ascii="Times New Roman" w:eastAsiaTheme="minorHAnsi" w:hAnsi="Times New Roman" w:cs="Times New Roman"/>
          <w:b/>
          <w:sz w:val="24"/>
          <w:szCs w:val="20"/>
        </w:rPr>
        <w:t>SFI</w:t>
      </w:r>
    </w:p>
    <w:tbl>
      <w:tblPr>
        <w:tblW w:w="9629" w:type="dxa"/>
        <w:tblLook w:val="04A0" w:firstRow="1" w:lastRow="0" w:firstColumn="1" w:lastColumn="0" w:noHBand="0" w:noVBand="1"/>
      </w:tblPr>
      <w:tblGrid>
        <w:gridCol w:w="4385"/>
        <w:gridCol w:w="2126"/>
        <w:gridCol w:w="883"/>
        <w:gridCol w:w="2235"/>
      </w:tblGrid>
      <w:tr w:rsidR="00FB16D6" w:rsidRPr="00623897" w14:paraId="4DA1CE50" w14:textId="77777777" w:rsidTr="008119F5">
        <w:trPr>
          <w:trHeight w:val="315"/>
        </w:trPr>
        <w:tc>
          <w:tcPr>
            <w:tcW w:w="9629" w:type="dxa"/>
            <w:gridSpan w:val="4"/>
            <w:tcBorders>
              <w:top w:val="single" w:sz="8" w:space="0" w:color="95B3D7"/>
              <w:left w:val="single" w:sz="8" w:space="0" w:color="95B3D7"/>
              <w:bottom w:val="single" w:sz="8" w:space="0" w:color="95B3D7"/>
              <w:right w:val="single" w:sz="8" w:space="0" w:color="95B3D7"/>
            </w:tcBorders>
            <w:shd w:val="clear" w:color="000000" w:fill="DBE5F1"/>
            <w:vAlign w:val="center"/>
            <w:hideMark/>
          </w:tcPr>
          <w:p w14:paraId="7C791EDC" w14:textId="06F1B351" w:rsidR="00FB16D6" w:rsidRPr="00623897" w:rsidRDefault="00FB16D6" w:rsidP="00236D3A">
            <w:pPr>
              <w:spacing w:after="0" w:line="240" w:lineRule="auto"/>
              <w:jc w:val="right"/>
              <w:rPr>
                <w:rFonts w:ascii="Times New Roman" w:eastAsiaTheme="minorHAnsi" w:hAnsi="Times New Roman" w:cs="Times New Roman"/>
                <w:b/>
                <w:bCs/>
              </w:rPr>
            </w:pPr>
            <w:r w:rsidRPr="00623897">
              <w:rPr>
                <w:rFonts w:ascii="Times New Roman" w:eastAsiaTheme="minorHAnsi" w:hAnsi="Times New Roman" w:cs="Times New Roman"/>
                <w:b/>
                <w:bCs/>
              </w:rPr>
              <w:t xml:space="preserve">Kapitāls uz pieprasījumu sadalījumā pa </w:t>
            </w:r>
            <w:r w:rsidR="008A60AA" w:rsidRPr="0037264A">
              <w:rPr>
                <w:rFonts w:ascii="Times New Roman" w:eastAsiaTheme="minorHAnsi" w:hAnsi="Times New Roman" w:cs="Times New Roman"/>
                <w:b/>
                <w:sz w:val="24"/>
                <w:szCs w:val="20"/>
              </w:rPr>
              <w:t>SFI</w:t>
            </w:r>
          </w:p>
        </w:tc>
      </w:tr>
      <w:tr w:rsidR="00FB16D6" w:rsidRPr="00623897" w14:paraId="7F4803F6" w14:textId="77777777" w:rsidTr="008119F5">
        <w:trPr>
          <w:trHeight w:val="315"/>
        </w:trPr>
        <w:tc>
          <w:tcPr>
            <w:tcW w:w="4385" w:type="dxa"/>
            <w:vMerge w:val="restart"/>
            <w:tcBorders>
              <w:top w:val="nil"/>
              <w:left w:val="single" w:sz="8" w:space="0" w:color="95B3D7"/>
              <w:bottom w:val="single" w:sz="8" w:space="0" w:color="95B3D7"/>
              <w:right w:val="single" w:sz="8" w:space="0" w:color="95B3D7"/>
            </w:tcBorders>
            <w:shd w:val="clear" w:color="auto" w:fill="auto"/>
            <w:vAlign w:val="center"/>
            <w:hideMark/>
          </w:tcPr>
          <w:p w14:paraId="5374BE95" w14:textId="4D2FEC46" w:rsidR="00FB16D6" w:rsidRPr="00623897" w:rsidRDefault="008A60AA" w:rsidP="00623897">
            <w:pPr>
              <w:spacing w:after="0" w:line="240" w:lineRule="auto"/>
              <w:jc w:val="both"/>
              <w:rPr>
                <w:rFonts w:ascii="Times New Roman" w:eastAsiaTheme="minorHAnsi" w:hAnsi="Times New Roman" w:cs="Times New Roman"/>
                <w:b/>
                <w:bCs/>
              </w:rPr>
            </w:pPr>
            <w:r w:rsidRPr="0037264A">
              <w:rPr>
                <w:rFonts w:ascii="Times New Roman" w:eastAsiaTheme="minorHAnsi" w:hAnsi="Times New Roman" w:cs="Times New Roman"/>
                <w:b/>
                <w:sz w:val="24"/>
                <w:szCs w:val="20"/>
              </w:rPr>
              <w:t>SFI</w:t>
            </w:r>
          </w:p>
        </w:tc>
        <w:tc>
          <w:tcPr>
            <w:tcW w:w="3009" w:type="dxa"/>
            <w:gridSpan w:val="2"/>
            <w:tcBorders>
              <w:top w:val="nil"/>
              <w:left w:val="nil"/>
              <w:bottom w:val="single" w:sz="8" w:space="0" w:color="95B3D7"/>
              <w:right w:val="single" w:sz="8" w:space="0" w:color="95B3D7"/>
            </w:tcBorders>
            <w:shd w:val="clear" w:color="auto" w:fill="auto"/>
            <w:vAlign w:val="center"/>
            <w:hideMark/>
          </w:tcPr>
          <w:p w14:paraId="40C04D12" w14:textId="77777777" w:rsidR="00FB16D6" w:rsidRPr="00623897" w:rsidRDefault="00FB16D6" w:rsidP="00623897">
            <w:pPr>
              <w:spacing w:after="0" w:line="240" w:lineRule="auto"/>
              <w:jc w:val="both"/>
              <w:rPr>
                <w:rFonts w:ascii="Times New Roman" w:eastAsiaTheme="minorHAnsi" w:hAnsi="Times New Roman" w:cs="Times New Roman"/>
                <w:b/>
                <w:bCs/>
              </w:rPr>
            </w:pPr>
            <w:r w:rsidRPr="00623897">
              <w:rPr>
                <w:rFonts w:ascii="Times New Roman" w:eastAsiaTheme="minorHAnsi" w:hAnsi="Times New Roman" w:cs="Times New Roman"/>
                <w:b/>
                <w:bCs/>
              </w:rPr>
              <w:t>Kapitāls uz pieprasījumu*</w:t>
            </w:r>
          </w:p>
        </w:tc>
        <w:tc>
          <w:tcPr>
            <w:tcW w:w="2235" w:type="dxa"/>
            <w:vMerge w:val="restart"/>
            <w:tcBorders>
              <w:top w:val="nil"/>
              <w:left w:val="single" w:sz="8" w:space="0" w:color="95B3D7"/>
              <w:bottom w:val="single" w:sz="8" w:space="0" w:color="95B3D7"/>
              <w:right w:val="single" w:sz="8" w:space="0" w:color="95B3D7"/>
            </w:tcBorders>
            <w:shd w:val="clear" w:color="auto" w:fill="auto"/>
            <w:vAlign w:val="center"/>
            <w:hideMark/>
          </w:tcPr>
          <w:p w14:paraId="2C597771" w14:textId="77777777" w:rsidR="00FB16D6" w:rsidRPr="00623897" w:rsidRDefault="00FB16D6" w:rsidP="00623897">
            <w:pPr>
              <w:spacing w:after="0" w:line="240" w:lineRule="auto"/>
              <w:jc w:val="center"/>
              <w:rPr>
                <w:rFonts w:ascii="Times New Roman" w:eastAsiaTheme="minorHAnsi" w:hAnsi="Times New Roman" w:cs="Times New Roman"/>
                <w:b/>
                <w:bCs/>
              </w:rPr>
            </w:pPr>
            <w:r w:rsidRPr="00623897">
              <w:rPr>
                <w:rFonts w:ascii="Times New Roman" w:eastAsiaTheme="minorHAnsi" w:hAnsi="Times New Roman" w:cs="Times New Roman"/>
                <w:b/>
                <w:bCs/>
                <w:i/>
              </w:rPr>
              <w:t>euro</w:t>
            </w:r>
            <w:r w:rsidRPr="00623897">
              <w:rPr>
                <w:rFonts w:ascii="Times New Roman" w:eastAsiaTheme="minorHAnsi" w:hAnsi="Times New Roman" w:cs="Times New Roman"/>
                <w:b/>
                <w:bCs/>
              </w:rPr>
              <w:t xml:space="preserve"> **</w:t>
            </w:r>
          </w:p>
        </w:tc>
      </w:tr>
      <w:tr w:rsidR="00FB16D6" w:rsidRPr="00623897" w14:paraId="6A8D9244" w14:textId="77777777" w:rsidTr="008119F5">
        <w:trPr>
          <w:trHeight w:val="315"/>
        </w:trPr>
        <w:tc>
          <w:tcPr>
            <w:tcW w:w="4385" w:type="dxa"/>
            <w:vMerge/>
            <w:tcBorders>
              <w:top w:val="nil"/>
              <w:left w:val="single" w:sz="8" w:space="0" w:color="95B3D7"/>
              <w:bottom w:val="single" w:sz="8" w:space="0" w:color="95B3D7"/>
              <w:right w:val="single" w:sz="8" w:space="0" w:color="95B3D7"/>
            </w:tcBorders>
            <w:vAlign w:val="center"/>
            <w:hideMark/>
          </w:tcPr>
          <w:p w14:paraId="08CCF360" w14:textId="77777777" w:rsidR="00FB16D6" w:rsidRPr="00623897" w:rsidRDefault="00FB16D6" w:rsidP="00623897">
            <w:pPr>
              <w:spacing w:after="0" w:line="240" w:lineRule="auto"/>
              <w:jc w:val="both"/>
              <w:rPr>
                <w:rFonts w:ascii="Times New Roman" w:eastAsiaTheme="minorHAnsi" w:hAnsi="Times New Roman" w:cs="Times New Roman"/>
                <w:b/>
                <w:bCs/>
              </w:rPr>
            </w:pPr>
          </w:p>
        </w:tc>
        <w:tc>
          <w:tcPr>
            <w:tcW w:w="2126" w:type="dxa"/>
            <w:tcBorders>
              <w:top w:val="nil"/>
              <w:left w:val="nil"/>
              <w:bottom w:val="single" w:sz="8" w:space="0" w:color="95B3D7"/>
              <w:right w:val="single" w:sz="8" w:space="0" w:color="95B3D7"/>
            </w:tcBorders>
            <w:shd w:val="clear" w:color="auto" w:fill="auto"/>
            <w:vAlign w:val="center"/>
            <w:hideMark/>
          </w:tcPr>
          <w:p w14:paraId="39A158DB" w14:textId="77777777" w:rsidR="00FB16D6" w:rsidRPr="00623897" w:rsidRDefault="00FB16D6" w:rsidP="00623897">
            <w:pPr>
              <w:spacing w:after="0" w:line="240" w:lineRule="auto"/>
              <w:jc w:val="both"/>
              <w:rPr>
                <w:rFonts w:ascii="Times New Roman" w:eastAsiaTheme="minorHAnsi" w:hAnsi="Times New Roman" w:cs="Times New Roman"/>
                <w:b/>
                <w:bCs/>
              </w:rPr>
            </w:pPr>
            <w:r w:rsidRPr="00623897">
              <w:rPr>
                <w:rFonts w:ascii="Times New Roman" w:eastAsiaTheme="minorHAnsi" w:hAnsi="Times New Roman" w:cs="Times New Roman"/>
                <w:b/>
                <w:bCs/>
              </w:rPr>
              <w:t>att.valūtas vienībās</w:t>
            </w:r>
          </w:p>
        </w:tc>
        <w:tc>
          <w:tcPr>
            <w:tcW w:w="883" w:type="dxa"/>
            <w:tcBorders>
              <w:top w:val="nil"/>
              <w:left w:val="nil"/>
              <w:bottom w:val="single" w:sz="8" w:space="0" w:color="95B3D7"/>
              <w:right w:val="single" w:sz="8" w:space="0" w:color="95B3D7"/>
            </w:tcBorders>
            <w:shd w:val="clear" w:color="auto" w:fill="auto"/>
            <w:vAlign w:val="center"/>
            <w:hideMark/>
          </w:tcPr>
          <w:p w14:paraId="7DDA9F20" w14:textId="77777777" w:rsidR="00FB16D6" w:rsidRPr="00623897" w:rsidRDefault="00FB16D6" w:rsidP="00623897">
            <w:pPr>
              <w:spacing w:after="0" w:line="240" w:lineRule="auto"/>
              <w:jc w:val="both"/>
              <w:rPr>
                <w:rFonts w:ascii="Times New Roman" w:eastAsiaTheme="minorHAnsi" w:hAnsi="Times New Roman" w:cs="Times New Roman"/>
                <w:b/>
                <w:bCs/>
                <w:i/>
                <w:iCs/>
              </w:rPr>
            </w:pPr>
            <w:r w:rsidRPr="00623897">
              <w:rPr>
                <w:rFonts w:ascii="Times New Roman" w:eastAsiaTheme="minorHAnsi" w:hAnsi="Times New Roman" w:cs="Times New Roman"/>
                <w:b/>
                <w:bCs/>
                <w:i/>
                <w:iCs/>
              </w:rPr>
              <w:t>Valūta</w:t>
            </w:r>
          </w:p>
        </w:tc>
        <w:tc>
          <w:tcPr>
            <w:tcW w:w="2235" w:type="dxa"/>
            <w:vMerge/>
            <w:tcBorders>
              <w:top w:val="nil"/>
              <w:left w:val="single" w:sz="8" w:space="0" w:color="95B3D7"/>
              <w:bottom w:val="single" w:sz="8" w:space="0" w:color="95B3D7"/>
              <w:right w:val="single" w:sz="8" w:space="0" w:color="95B3D7"/>
            </w:tcBorders>
            <w:vAlign w:val="center"/>
            <w:hideMark/>
          </w:tcPr>
          <w:p w14:paraId="47177919" w14:textId="77777777" w:rsidR="00FB16D6" w:rsidRPr="00623897" w:rsidRDefault="00FB16D6" w:rsidP="00623897">
            <w:pPr>
              <w:spacing w:after="0" w:line="240" w:lineRule="auto"/>
              <w:jc w:val="both"/>
              <w:rPr>
                <w:rFonts w:ascii="Times New Roman" w:eastAsiaTheme="minorHAnsi" w:hAnsi="Times New Roman" w:cs="Times New Roman"/>
                <w:b/>
                <w:bCs/>
              </w:rPr>
            </w:pPr>
          </w:p>
        </w:tc>
      </w:tr>
      <w:tr w:rsidR="00FB16D6" w:rsidRPr="00623897" w14:paraId="403A90CE"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14:paraId="543120E8"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Eiropas Padomes Attīstības banka</w:t>
            </w:r>
          </w:p>
        </w:tc>
        <w:tc>
          <w:tcPr>
            <w:tcW w:w="2126" w:type="dxa"/>
            <w:tcBorders>
              <w:top w:val="nil"/>
              <w:left w:val="nil"/>
              <w:bottom w:val="single" w:sz="8" w:space="0" w:color="95B3D7"/>
              <w:right w:val="single" w:sz="8" w:space="0" w:color="95B3D7"/>
            </w:tcBorders>
            <w:shd w:val="clear" w:color="000000" w:fill="DBE5F1"/>
            <w:vAlign w:val="center"/>
            <w:hideMark/>
          </w:tcPr>
          <w:p w14:paraId="7BC834D3" w14:textId="677D47C0"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11 386 632,00</w:t>
            </w:r>
          </w:p>
        </w:tc>
        <w:tc>
          <w:tcPr>
            <w:tcW w:w="883" w:type="dxa"/>
            <w:tcBorders>
              <w:top w:val="nil"/>
              <w:left w:val="nil"/>
              <w:bottom w:val="single" w:sz="8" w:space="0" w:color="95B3D7"/>
              <w:right w:val="single" w:sz="8" w:space="0" w:color="95B3D7"/>
            </w:tcBorders>
            <w:shd w:val="clear" w:color="000000" w:fill="DBE5F1"/>
            <w:vAlign w:val="center"/>
            <w:hideMark/>
          </w:tcPr>
          <w:p w14:paraId="4A9F8CF8"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EUR</w:t>
            </w:r>
          </w:p>
        </w:tc>
        <w:tc>
          <w:tcPr>
            <w:tcW w:w="2235" w:type="dxa"/>
            <w:tcBorders>
              <w:top w:val="nil"/>
              <w:left w:val="nil"/>
              <w:bottom w:val="single" w:sz="8" w:space="0" w:color="95B3D7"/>
              <w:right w:val="single" w:sz="8" w:space="0" w:color="95B3D7"/>
            </w:tcBorders>
            <w:shd w:val="clear" w:color="000000" w:fill="DBE5F1"/>
            <w:vAlign w:val="center"/>
            <w:hideMark/>
          </w:tcPr>
          <w:p w14:paraId="65EFEBEB" w14:textId="271A5446"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11 386 632,00</w:t>
            </w:r>
          </w:p>
        </w:tc>
      </w:tr>
      <w:tr w:rsidR="00FB16D6" w:rsidRPr="00623897" w14:paraId="3E552F4D"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14:paraId="21D20109" w14:textId="381FC743"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Eiropas Rekonstrukcijas un attīstības banka</w:t>
            </w:r>
          </w:p>
        </w:tc>
        <w:tc>
          <w:tcPr>
            <w:tcW w:w="2126" w:type="dxa"/>
            <w:tcBorders>
              <w:top w:val="nil"/>
              <w:left w:val="nil"/>
              <w:bottom w:val="single" w:sz="8" w:space="0" w:color="95B3D7"/>
              <w:right w:val="single" w:sz="8" w:space="0" w:color="95B3D7"/>
            </w:tcBorders>
            <w:shd w:val="clear" w:color="auto" w:fill="auto"/>
            <w:vAlign w:val="center"/>
            <w:hideMark/>
          </w:tcPr>
          <w:p w14:paraId="107E73B7" w14:textId="5761C5CF"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23 750 000,00 </w:t>
            </w:r>
          </w:p>
        </w:tc>
        <w:tc>
          <w:tcPr>
            <w:tcW w:w="883" w:type="dxa"/>
            <w:tcBorders>
              <w:top w:val="nil"/>
              <w:left w:val="nil"/>
              <w:bottom w:val="single" w:sz="8" w:space="0" w:color="95B3D7"/>
              <w:right w:val="single" w:sz="8" w:space="0" w:color="95B3D7"/>
            </w:tcBorders>
            <w:shd w:val="clear" w:color="auto" w:fill="auto"/>
            <w:vAlign w:val="center"/>
            <w:hideMark/>
          </w:tcPr>
          <w:p w14:paraId="5E29E4DB"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EUR</w:t>
            </w:r>
          </w:p>
        </w:tc>
        <w:tc>
          <w:tcPr>
            <w:tcW w:w="2235" w:type="dxa"/>
            <w:tcBorders>
              <w:top w:val="nil"/>
              <w:left w:val="nil"/>
              <w:bottom w:val="single" w:sz="8" w:space="0" w:color="95B3D7"/>
              <w:right w:val="single" w:sz="8" w:space="0" w:color="95B3D7"/>
            </w:tcBorders>
            <w:shd w:val="clear" w:color="auto" w:fill="auto"/>
            <w:vAlign w:val="center"/>
            <w:hideMark/>
          </w:tcPr>
          <w:p w14:paraId="083D9A4D" w14:textId="2F5E1A99"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23 750 000,00</w:t>
            </w:r>
          </w:p>
        </w:tc>
      </w:tr>
      <w:tr w:rsidR="00FB16D6" w:rsidRPr="00623897" w14:paraId="03749067"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14:paraId="650460B5"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Eiropas Investīciju banka</w:t>
            </w:r>
          </w:p>
        </w:tc>
        <w:tc>
          <w:tcPr>
            <w:tcW w:w="2126" w:type="dxa"/>
            <w:tcBorders>
              <w:top w:val="nil"/>
              <w:left w:val="nil"/>
              <w:bottom w:val="single" w:sz="8" w:space="0" w:color="95B3D7"/>
              <w:right w:val="single" w:sz="8" w:space="0" w:color="95B3D7"/>
            </w:tcBorders>
            <w:shd w:val="clear" w:color="000000" w:fill="DBE5F1"/>
            <w:vAlign w:val="center"/>
            <w:hideMark/>
          </w:tcPr>
          <w:p w14:paraId="0600F894" w14:textId="77777777" w:rsidR="00685E60" w:rsidRDefault="00685E60" w:rsidP="00623897">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243 254 895,00</w:t>
            </w:r>
          </w:p>
          <w:p w14:paraId="73FEE162" w14:textId="0FE70F04" w:rsidR="00FB16D6" w:rsidRPr="00623897" w:rsidRDefault="00FB16D6" w:rsidP="00623897">
            <w:pPr>
              <w:spacing w:after="0" w:line="240" w:lineRule="auto"/>
              <w:jc w:val="both"/>
              <w:rPr>
                <w:rFonts w:ascii="Times New Roman" w:eastAsiaTheme="minorHAnsi" w:hAnsi="Times New Roman" w:cs="Times New Roman"/>
              </w:rPr>
            </w:pPr>
          </w:p>
        </w:tc>
        <w:tc>
          <w:tcPr>
            <w:tcW w:w="883" w:type="dxa"/>
            <w:tcBorders>
              <w:top w:val="nil"/>
              <w:left w:val="nil"/>
              <w:bottom w:val="single" w:sz="8" w:space="0" w:color="95B3D7"/>
              <w:right w:val="single" w:sz="8" w:space="0" w:color="95B3D7"/>
            </w:tcBorders>
            <w:shd w:val="clear" w:color="000000" w:fill="DBE5F1"/>
            <w:vAlign w:val="center"/>
            <w:hideMark/>
          </w:tcPr>
          <w:p w14:paraId="14196072"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EUR</w:t>
            </w:r>
          </w:p>
        </w:tc>
        <w:tc>
          <w:tcPr>
            <w:tcW w:w="2235" w:type="dxa"/>
            <w:tcBorders>
              <w:top w:val="nil"/>
              <w:left w:val="nil"/>
              <w:bottom w:val="single" w:sz="8" w:space="0" w:color="95B3D7"/>
              <w:right w:val="single" w:sz="8" w:space="0" w:color="95B3D7"/>
            </w:tcBorders>
            <w:shd w:val="clear" w:color="000000" w:fill="DBE5F1"/>
            <w:vAlign w:val="center"/>
            <w:hideMark/>
          </w:tcPr>
          <w:p w14:paraId="40B08CFA" w14:textId="77777777" w:rsidR="00685E60" w:rsidRDefault="00685E60" w:rsidP="00623897">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243 254 895,00</w:t>
            </w:r>
          </w:p>
          <w:p w14:paraId="2C95A1FF" w14:textId="2E37D283" w:rsidR="00FB16D6" w:rsidRPr="00623897" w:rsidRDefault="00FB16D6" w:rsidP="00623897">
            <w:pPr>
              <w:spacing w:after="0" w:line="240" w:lineRule="auto"/>
              <w:jc w:val="both"/>
              <w:rPr>
                <w:rFonts w:ascii="Times New Roman" w:eastAsiaTheme="minorHAnsi" w:hAnsi="Times New Roman" w:cs="Times New Roman"/>
              </w:rPr>
            </w:pPr>
          </w:p>
        </w:tc>
      </w:tr>
      <w:tr w:rsidR="00FB16D6" w:rsidRPr="00623897" w14:paraId="52A8B84D"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14:paraId="29D46DF3" w14:textId="18338F8D"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Daudzpusējā investīciju garantiju aģentūra</w:t>
            </w:r>
          </w:p>
        </w:tc>
        <w:tc>
          <w:tcPr>
            <w:tcW w:w="2126" w:type="dxa"/>
            <w:tcBorders>
              <w:top w:val="nil"/>
              <w:left w:val="nil"/>
              <w:bottom w:val="single" w:sz="8" w:space="0" w:color="95B3D7"/>
              <w:right w:val="single" w:sz="8" w:space="0" w:color="95B3D7"/>
            </w:tcBorders>
            <w:shd w:val="clear" w:color="auto" w:fill="auto"/>
            <w:vAlign w:val="center"/>
            <w:hideMark/>
          </w:tcPr>
          <w:p w14:paraId="558AD566" w14:textId="2E93BF10"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1 498 99</w:t>
            </w:r>
            <w:r w:rsidR="00685E60">
              <w:rPr>
                <w:rFonts w:ascii="Times New Roman" w:eastAsiaTheme="minorHAnsi" w:hAnsi="Times New Roman" w:cs="Times New Roman"/>
              </w:rPr>
              <w:t>2</w:t>
            </w:r>
            <w:r w:rsidRPr="00623897">
              <w:rPr>
                <w:rFonts w:ascii="Times New Roman" w:eastAsiaTheme="minorHAnsi" w:hAnsi="Times New Roman" w:cs="Times New Roman"/>
              </w:rPr>
              <w:t xml:space="preserve">,00 </w:t>
            </w:r>
          </w:p>
        </w:tc>
        <w:tc>
          <w:tcPr>
            <w:tcW w:w="883" w:type="dxa"/>
            <w:tcBorders>
              <w:top w:val="nil"/>
              <w:left w:val="nil"/>
              <w:bottom w:val="single" w:sz="8" w:space="0" w:color="95B3D7"/>
              <w:right w:val="single" w:sz="8" w:space="0" w:color="95B3D7"/>
            </w:tcBorders>
            <w:shd w:val="clear" w:color="auto" w:fill="auto"/>
            <w:vAlign w:val="center"/>
            <w:hideMark/>
          </w:tcPr>
          <w:p w14:paraId="4A2986E4"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USD</w:t>
            </w:r>
          </w:p>
        </w:tc>
        <w:tc>
          <w:tcPr>
            <w:tcW w:w="2235" w:type="dxa"/>
            <w:tcBorders>
              <w:top w:val="nil"/>
              <w:left w:val="nil"/>
              <w:bottom w:val="single" w:sz="8" w:space="0" w:color="95B3D7"/>
              <w:right w:val="single" w:sz="8" w:space="0" w:color="95B3D7"/>
            </w:tcBorders>
            <w:shd w:val="clear" w:color="auto" w:fill="auto"/>
            <w:vAlign w:val="center"/>
            <w:hideMark/>
          </w:tcPr>
          <w:p w14:paraId="3628B4B1" w14:textId="564D9D89"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1 421 04</w:t>
            </w:r>
            <w:r w:rsidR="00685E60">
              <w:rPr>
                <w:rFonts w:ascii="Times New Roman" w:eastAsiaTheme="minorHAnsi" w:hAnsi="Times New Roman" w:cs="Times New Roman"/>
              </w:rPr>
              <w:t>4</w:t>
            </w:r>
            <w:r w:rsidRPr="00623897">
              <w:rPr>
                <w:rFonts w:ascii="Times New Roman" w:eastAsiaTheme="minorHAnsi" w:hAnsi="Times New Roman" w:cs="Times New Roman"/>
              </w:rPr>
              <w:t>,4</w:t>
            </w:r>
            <w:r w:rsidR="00685E60">
              <w:rPr>
                <w:rFonts w:ascii="Times New Roman" w:eastAsiaTheme="minorHAnsi" w:hAnsi="Times New Roman" w:cs="Times New Roman"/>
              </w:rPr>
              <w:t>2</w:t>
            </w:r>
            <w:r w:rsidRPr="00623897">
              <w:rPr>
                <w:rFonts w:ascii="Times New Roman" w:eastAsiaTheme="minorHAnsi" w:hAnsi="Times New Roman" w:cs="Times New Roman"/>
              </w:rPr>
              <w:t xml:space="preserve"> </w:t>
            </w:r>
          </w:p>
        </w:tc>
      </w:tr>
      <w:tr w:rsidR="00623897" w:rsidRPr="00623897" w14:paraId="18FEAF1E"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14:paraId="2DB33F2F" w14:textId="77777777" w:rsidR="00623897" w:rsidRPr="00623897" w:rsidRDefault="00623897"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Ziemeļu Investīciju banka</w:t>
            </w:r>
          </w:p>
        </w:tc>
        <w:tc>
          <w:tcPr>
            <w:tcW w:w="2126" w:type="dxa"/>
            <w:tcBorders>
              <w:top w:val="nil"/>
              <w:left w:val="nil"/>
              <w:bottom w:val="single" w:sz="8" w:space="0" w:color="95B3D7"/>
              <w:right w:val="single" w:sz="8" w:space="0" w:color="95B3D7"/>
            </w:tcBorders>
            <w:shd w:val="clear" w:color="000000" w:fill="DBE5F1"/>
            <w:vAlign w:val="center"/>
            <w:hideMark/>
          </w:tcPr>
          <w:p w14:paraId="508BC66A" w14:textId="398CE16F" w:rsidR="00623897" w:rsidRPr="00623897" w:rsidRDefault="00623897"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100 532 025,22  </w:t>
            </w:r>
          </w:p>
        </w:tc>
        <w:tc>
          <w:tcPr>
            <w:tcW w:w="883" w:type="dxa"/>
            <w:tcBorders>
              <w:top w:val="nil"/>
              <w:left w:val="nil"/>
              <w:bottom w:val="single" w:sz="8" w:space="0" w:color="95B3D7"/>
              <w:right w:val="single" w:sz="8" w:space="0" w:color="95B3D7"/>
            </w:tcBorders>
            <w:shd w:val="clear" w:color="000000" w:fill="DBE5F1"/>
            <w:vAlign w:val="center"/>
            <w:hideMark/>
          </w:tcPr>
          <w:p w14:paraId="1D47B045" w14:textId="65B43463" w:rsidR="00623897" w:rsidRPr="00623897" w:rsidRDefault="00623897"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EUR</w:t>
            </w:r>
          </w:p>
        </w:tc>
        <w:tc>
          <w:tcPr>
            <w:tcW w:w="2235" w:type="dxa"/>
            <w:tcBorders>
              <w:top w:val="nil"/>
              <w:left w:val="nil"/>
              <w:bottom w:val="single" w:sz="8" w:space="0" w:color="95B3D7"/>
              <w:right w:val="single" w:sz="8" w:space="0" w:color="95B3D7"/>
            </w:tcBorders>
            <w:shd w:val="clear" w:color="000000" w:fill="DBE5F1"/>
            <w:vAlign w:val="center"/>
            <w:hideMark/>
          </w:tcPr>
          <w:p w14:paraId="6241FFC9" w14:textId="41431570" w:rsidR="00623897" w:rsidRPr="00623897" w:rsidRDefault="00623897"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100 532 025,22  </w:t>
            </w:r>
          </w:p>
        </w:tc>
      </w:tr>
      <w:tr w:rsidR="00FB16D6" w:rsidRPr="00623897" w14:paraId="5245CE6A"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14:paraId="7D90D75B" w14:textId="7779DE34"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Starptautiskā Rekonstrukcijas un attīstības banka (Pasaules Banka)</w:t>
            </w:r>
          </w:p>
        </w:tc>
        <w:tc>
          <w:tcPr>
            <w:tcW w:w="2126" w:type="dxa"/>
            <w:tcBorders>
              <w:top w:val="nil"/>
              <w:left w:val="nil"/>
              <w:bottom w:val="single" w:sz="8" w:space="0" w:color="95B3D7"/>
              <w:right w:val="single" w:sz="8" w:space="0" w:color="95B3D7"/>
            </w:tcBorders>
            <w:shd w:val="clear" w:color="auto" w:fill="auto"/>
            <w:vAlign w:val="center"/>
            <w:hideMark/>
          </w:tcPr>
          <w:p w14:paraId="38A2A682" w14:textId="7AA16583" w:rsidR="00FB16D6" w:rsidRPr="00623897" w:rsidRDefault="00685E60" w:rsidP="00623897">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229 276 166,71 </w:t>
            </w:r>
          </w:p>
        </w:tc>
        <w:tc>
          <w:tcPr>
            <w:tcW w:w="883" w:type="dxa"/>
            <w:tcBorders>
              <w:top w:val="nil"/>
              <w:left w:val="nil"/>
              <w:bottom w:val="single" w:sz="8" w:space="0" w:color="95B3D7"/>
              <w:right w:val="single" w:sz="8" w:space="0" w:color="95B3D7"/>
            </w:tcBorders>
            <w:shd w:val="clear" w:color="auto" w:fill="auto"/>
            <w:vAlign w:val="center"/>
            <w:hideMark/>
          </w:tcPr>
          <w:p w14:paraId="52DAAB28"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USD</w:t>
            </w:r>
          </w:p>
        </w:tc>
        <w:tc>
          <w:tcPr>
            <w:tcW w:w="2235" w:type="dxa"/>
            <w:tcBorders>
              <w:top w:val="nil"/>
              <w:left w:val="nil"/>
              <w:bottom w:val="single" w:sz="8" w:space="0" w:color="95B3D7"/>
              <w:right w:val="single" w:sz="8" w:space="0" w:color="95B3D7"/>
            </w:tcBorders>
            <w:shd w:val="clear" w:color="auto" w:fill="auto"/>
            <w:vAlign w:val="center"/>
            <w:hideMark/>
          </w:tcPr>
          <w:p w14:paraId="29E506E2" w14:textId="1CC03D24" w:rsidR="00FB16D6" w:rsidRPr="00623897" w:rsidRDefault="00685E60" w:rsidP="00623897">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217 353 806,04 </w:t>
            </w:r>
          </w:p>
        </w:tc>
      </w:tr>
      <w:tr w:rsidR="00FB16D6" w:rsidRPr="00623897" w14:paraId="0A4EC080"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000000" w:fill="DBE5F1"/>
            <w:vAlign w:val="center"/>
            <w:hideMark/>
          </w:tcPr>
          <w:p w14:paraId="5B0C88D4"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Starptautiskais Valūtas fonds</w:t>
            </w:r>
          </w:p>
        </w:tc>
        <w:tc>
          <w:tcPr>
            <w:tcW w:w="2126" w:type="dxa"/>
            <w:tcBorders>
              <w:top w:val="nil"/>
              <w:left w:val="nil"/>
              <w:bottom w:val="single" w:sz="8" w:space="0" w:color="95B3D7"/>
              <w:right w:val="single" w:sz="8" w:space="0" w:color="95B3D7"/>
            </w:tcBorders>
            <w:shd w:val="clear" w:color="000000" w:fill="DBE5F1"/>
            <w:vAlign w:val="center"/>
            <w:hideMark/>
          </w:tcPr>
          <w:p w14:paraId="0AEA226F" w14:textId="455657AD"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331 413 882,00 </w:t>
            </w:r>
          </w:p>
        </w:tc>
        <w:tc>
          <w:tcPr>
            <w:tcW w:w="883" w:type="dxa"/>
            <w:tcBorders>
              <w:top w:val="nil"/>
              <w:left w:val="nil"/>
              <w:bottom w:val="single" w:sz="8" w:space="0" w:color="95B3D7"/>
              <w:right w:val="single" w:sz="8" w:space="0" w:color="95B3D7"/>
            </w:tcBorders>
            <w:shd w:val="clear" w:color="000000" w:fill="DBE5F1"/>
            <w:vAlign w:val="center"/>
            <w:hideMark/>
          </w:tcPr>
          <w:p w14:paraId="5337A1A3"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XDR</w:t>
            </w:r>
          </w:p>
        </w:tc>
        <w:tc>
          <w:tcPr>
            <w:tcW w:w="2235" w:type="dxa"/>
            <w:tcBorders>
              <w:top w:val="nil"/>
              <w:left w:val="nil"/>
              <w:bottom w:val="single" w:sz="8" w:space="0" w:color="95B3D7"/>
              <w:right w:val="single" w:sz="8" w:space="0" w:color="95B3D7"/>
            </w:tcBorders>
            <w:shd w:val="clear" w:color="000000" w:fill="DBE5F1"/>
            <w:vAlign w:val="center"/>
            <w:hideMark/>
          </w:tcPr>
          <w:p w14:paraId="1840D597" w14:textId="773E932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426 198 252,77 </w:t>
            </w:r>
          </w:p>
        </w:tc>
      </w:tr>
      <w:tr w:rsidR="00FB16D6" w:rsidRPr="00623897" w14:paraId="2DAF31C2" w14:textId="77777777" w:rsidTr="008119F5">
        <w:trPr>
          <w:trHeight w:val="315"/>
        </w:trPr>
        <w:tc>
          <w:tcPr>
            <w:tcW w:w="4385" w:type="dxa"/>
            <w:tcBorders>
              <w:top w:val="nil"/>
              <w:left w:val="single" w:sz="8" w:space="0" w:color="95B3D7"/>
              <w:bottom w:val="single" w:sz="8" w:space="0" w:color="95B3D7"/>
              <w:right w:val="single" w:sz="8" w:space="0" w:color="95B3D7"/>
            </w:tcBorders>
            <w:shd w:val="clear" w:color="auto" w:fill="auto"/>
            <w:vAlign w:val="center"/>
            <w:hideMark/>
          </w:tcPr>
          <w:p w14:paraId="0A3B9C49"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Eiropas Stabilitātes mehānisms</w:t>
            </w:r>
          </w:p>
        </w:tc>
        <w:tc>
          <w:tcPr>
            <w:tcW w:w="2126" w:type="dxa"/>
            <w:tcBorders>
              <w:top w:val="nil"/>
              <w:left w:val="nil"/>
              <w:bottom w:val="single" w:sz="8" w:space="0" w:color="95B3D7"/>
              <w:right w:val="single" w:sz="8" w:space="0" w:color="95B3D7"/>
            </w:tcBorders>
            <w:shd w:val="clear" w:color="auto" w:fill="auto"/>
            <w:vAlign w:val="center"/>
            <w:hideMark/>
          </w:tcPr>
          <w:p w14:paraId="2BE74F53"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1 714 100 000,00 </w:t>
            </w:r>
          </w:p>
        </w:tc>
        <w:tc>
          <w:tcPr>
            <w:tcW w:w="883" w:type="dxa"/>
            <w:tcBorders>
              <w:top w:val="nil"/>
              <w:left w:val="nil"/>
              <w:bottom w:val="single" w:sz="8" w:space="0" w:color="95B3D7"/>
              <w:right w:val="single" w:sz="8" w:space="0" w:color="95B3D7"/>
            </w:tcBorders>
            <w:shd w:val="clear" w:color="auto" w:fill="auto"/>
            <w:vAlign w:val="center"/>
            <w:hideMark/>
          </w:tcPr>
          <w:p w14:paraId="63DADC78" w14:textId="77777777"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EUR</w:t>
            </w:r>
          </w:p>
        </w:tc>
        <w:tc>
          <w:tcPr>
            <w:tcW w:w="2235" w:type="dxa"/>
            <w:tcBorders>
              <w:top w:val="nil"/>
              <w:left w:val="nil"/>
              <w:bottom w:val="single" w:sz="8" w:space="0" w:color="95B3D7"/>
              <w:right w:val="single" w:sz="8" w:space="0" w:color="95B3D7"/>
            </w:tcBorders>
            <w:shd w:val="clear" w:color="auto" w:fill="auto"/>
            <w:vAlign w:val="center"/>
            <w:hideMark/>
          </w:tcPr>
          <w:p w14:paraId="5E48E612" w14:textId="2BF9324D" w:rsidR="00FB16D6" w:rsidRPr="00623897" w:rsidRDefault="00FB16D6"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rPr>
              <w:t xml:space="preserve">1 714 100 000,00 </w:t>
            </w:r>
          </w:p>
        </w:tc>
      </w:tr>
      <w:tr w:rsidR="00623897" w:rsidRPr="00623897" w14:paraId="562946C2" w14:textId="77777777" w:rsidTr="008119F5">
        <w:trPr>
          <w:trHeight w:val="315"/>
        </w:trPr>
        <w:tc>
          <w:tcPr>
            <w:tcW w:w="7394" w:type="dxa"/>
            <w:gridSpan w:val="3"/>
            <w:tcBorders>
              <w:top w:val="single" w:sz="8" w:space="0" w:color="95B3D7"/>
              <w:left w:val="single" w:sz="8" w:space="0" w:color="95B3D7"/>
              <w:bottom w:val="single" w:sz="8" w:space="0" w:color="95B3D7"/>
              <w:right w:val="single" w:sz="8" w:space="0" w:color="95B3D7"/>
            </w:tcBorders>
            <w:shd w:val="clear" w:color="000000" w:fill="DBE5F1"/>
            <w:vAlign w:val="center"/>
            <w:hideMark/>
          </w:tcPr>
          <w:p w14:paraId="3514A490" w14:textId="77777777" w:rsidR="00623897" w:rsidRPr="00623897" w:rsidRDefault="00623897" w:rsidP="00623897">
            <w:pPr>
              <w:spacing w:after="0" w:line="240" w:lineRule="auto"/>
              <w:jc w:val="right"/>
              <w:rPr>
                <w:rFonts w:ascii="Times New Roman" w:eastAsiaTheme="minorHAnsi" w:hAnsi="Times New Roman" w:cs="Times New Roman"/>
                <w:b/>
                <w:bCs/>
              </w:rPr>
            </w:pPr>
            <w:r w:rsidRPr="00623897">
              <w:rPr>
                <w:rFonts w:ascii="Times New Roman" w:eastAsiaTheme="minorHAnsi" w:hAnsi="Times New Roman" w:cs="Times New Roman"/>
                <w:b/>
                <w:bCs/>
              </w:rPr>
              <w:t>Kopā</w:t>
            </w:r>
          </w:p>
        </w:tc>
        <w:tc>
          <w:tcPr>
            <w:tcW w:w="2235" w:type="dxa"/>
            <w:tcBorders>
              <w:top w:val="nil"/>
              <w:left w:val="nil"/>
              <w:bottom w:val="single" w:sz="8" w:space="0" w:color="95B3D7"/>
              <w:right w:val="single" w:sz="8" w:space="0" w:color="95B3D7"/>
            </w:tcBorders>
            <w:shd w:val="clear" w:color="000000" w:fill="DBE5F1"/>
            <w:vAlign w:val="center"/>
            <w:hideMark/>
          </w:tcPr>
          <w:p w14:paraId="73F9EDEB" w14:textId="15F64CF2" w:rsidR="00623897" w:rsidRPr="00623897" w:rsidRDefault="00685E60" w:rsidP="00623897">
            <w:pPr>
              <w:spacing w:after="0" w:line="240" w:lineRule="auto"/>
              <w:jc w:val="both"/>
              <w:rPr>
                <w:rFonts w:ascii="Times New Roman" w:eastAsiaTheme="minorHAnsi" w:hAnsi="Times New Roman" w:cs="Times New Roman"/>
                <w:b/>
                <w:bCs/>
              </w:rPr>
            </w:pPr>
            <w:r>
              <w:rPr>
                <w:rFonts w:ascii="Times New Roman" w:eastAsiaTheme="minorHAnsi" w:hAnsi="Times New Roman" w:cs="Times New Roman"/>
                <w:b/>
                <w:bCs/>
              </w:rPr>
              <w:t>2 737 996 655,45</w:t>
            </w:r>
          </w:p>
        </w:tc>
      </w:tr>
      <w:tr w:rsidR="00623897" w:rsidRPr="00623897" w14:paraId="0B66279E" w14:textId="77777777" w:rsidTr="008119F5">
        <w:trPr>
          <w:trHeight w:val="300"/>
        </w:trPr>
        <w:tc>
          <w:tcPr>
            <w:tcW w:w="9629" w:type="dxa"/>
            <w:gridSpan w:val="4"/>
            <w:tcBorders>
              <w:top w:val="nil"/>
              <w:left w:val="nil"/>
              <w:bottom w:val="nil"/>
              <w:right w:val="nil"/>
            </w:tcBorders>
            <w:shd w:val="clear" w:color="auto" w:fill="auto"/>
            <w:noWrap/>
            <w:vAlign w:val="center"/>
            <w:hideMark/>
          </w:tcPr>
          <w:p w14:paraId="088C5A05" w14:textId="77777777" w:rsidR="00623897" w:rsidRPr="00623897" w:rsidRDefault="00623897" w:rsidP="00623897">
            <w:pPr>
              <w:spacing w:after="0" w:line="240" w:lineRule="auto"/>
              <w:jc w:val="both"/>
              <w:rPr>
                <w:rFonts w:ascii="Times New Roman" w:eastAsiaTheme="minorHAnsi" w:hAnsi="Times New Roman" w:cs="Times New Roman"/>
              </w:rPr>
            </w:pPr>
            <w:r w:rsidRPr="00623897">
              <w:rPr>
                <w:rFonts w:ascii="Times New Roman" w:eastAsiaTheme="minorHAnsi" w:hAnsi="Times New Roman" w:cs="Times New Roman"/>
                <w:i/>
                <w:iCs/>
              </w:rPr>
              <w:t>*saskaņā ar spēkā esošiem līgumiem</w:t>
            </w:r>
          </w:p>
        </w:tc>
      </w:tr>
      <w:tr w:rsidR="00623897" w:rsidRPr="00623897" w14:paraId="570C065F" w14:textId="77777777" w:rsidTr="008119F5">
        <w:trPr>
          <w:trHeight w:val="300"/>
        </w:trPr>
        <w:tc>
          <w:tcPr>
            <w:tcW w:w="9629" w:type="dxa"/>
            <w:gridSpan w:val="4"/>
            <w:tcBorders>
              <w:top w:val="nil"/>
              <w:left w:val="nil"/>
              <w:bottom w:val="nil"/>
              <w:right w:val="nil"/>
            </w:tcBorders>
            <w:shd w:val="clear" w:color="auto" w:fill="auto"/>
            <w:noWrap/>
            <w:vAlign w:val="center"/>
            <w:hideMark/>
          </w:tcPr>
          <w:p w14:paraId="690A9BE8" w14:textId="24F2A29A" w:rsidR="00623897" w:rsidRPr="00623897" w:rsidRDefault="00623897" w:rsidP="00623897">
            <w:pPr>
              <w:spacing w:after="0" w:line="240" w:lineRule="auto"/>
              <w:jc w:val="both"/>
              <w:rPr>
                <w:rFonts w:ascii="Times New Roman" w:eastAsiaTheme="minorHAnsi" w:hAnsi="Times New Roman" w:cs="Times New Roman"/>
                <w:i/>
                <w:iCs/>
              </w:rPr>
            </w:pPr>
            <w:r w:rsidRPr="00623897">
              <w:rPr>
                <w:rFonts w:ascii="Times New Roman" w:eastAsiaTheme="minorHAnsi" w:hAnsi="Times New Roman" w:cs="Times New Roman"/>
                <w:i/>
                <w:iCs/>
              </w:rPr>
              <w:t>**aprēķinā izmantoti valsts budžeta pieprasījumu 202</w:t>
            </w:r>
            <w:r w:rsidR="00685E60">
              <w:rPr>
                <w:rFonts w:ascii="Times New Roman" w:eastAsiaTheme="minorHAnsi" w:hAnsi="Times New Roman" w:cs="Times New Roman"/>
                <w:i/>
                <w:iCs/>
              </w:rPr>
              <w:t>1</w:t>
            </w:r>
            <w:r w:rsidRPr="00623897">
              <w:rPr>
                <w:rFonts w:ascii="Times New Roman" w:eastAsiaTheme="minorHAnsi" w:hAnsi="Times New Roman" w:cs="Times New Roman"/>
                <w:i/>
                <w:iCs/>
              </w:rPr>
              <w:t>.</w:t>
            </w:r>
            <w:r w:rsidRPr="00623897">
              <w:rPr>
                <w:rFonts w:ascii="Times New Roman" w:hAnsi="Times New Roman" w:cs="Times New Roman"/>
                <w:color w:val="000000"/>
                <w:sz w:val="24"/>
                <w:szCs w:val="24"/>
              </w:rPr>
              <w:t>–</w:t>
            </w:r>
            <w:r w:rsidRPr="00623897">
              <w:rPr>
                <w:rFonts w:ascii="Times New Roman" w:eastAsiaTheme="minorHAnsi" w:hAnsi="Times New Roman" w:cs="Times New Roman"/>
                <w:i/>
                <w:iCs/>
              </w:rPr>
              <w:t>2022.gadam sagatavošanai izmantojamie ārvalstu valūtu maiņas kursi</w:t>
            </w:r>
          </w:p>
        </w:tc>
      </w:tr>
    </w:tbl>
    <w:p w14:paraId="035D445B" w14:textId="77777777" w:rsidR="001F3A40" w:rsidRPr="00623897" w:rsidRDefault="001F3A40" w:rsidP="00623897">
      <w:pPr>
        <w:spacing w:after="0" w:line="240" w:lineRule="auto"/>
        <w:jc w:val="both"/>
        <w:rPr>
          <w:rFonts w:ascii="Times New Roman" w:eastAsiaTheme="minorHAnsi" w:hAnsi="Times New Roman" w:cs="Times New Roman"/>
          <w:sz w:val="24"/>
          <w:szCs w:val="20"/>
        </w:rPr>
      </w:pPr>
    </w:p>
    <w:p w14:paraId="72CDD602" w14:textId="4C8D1232" w:rsidR="008A60AA" w:rsidRDefault="008A60AA" w:rsidP="008A60AA">
      <w:pPr>
        <w:spacing w:after="0" w:line="240" w:lineRule="auto"/>
        <w:ind w:firstLine="720"/>
        <w:jc w:val="both"/>
        <w:rPr>
          <w:rFonts w:ascii="Times New Roman" w:eastAsiaTheme="minorHAnsi" w:hAnsi="Times New Roman" w:cs="Times New Roman"/>
          <w:sz w:val="24"/>
          <w:szCs w:val="20"/>
        </w:rPr>
      </w:pPr>
      <w:r w:rsidRPr="0089209F">
        <w:rPr>
          <w:rFonts w:ascii="Times New Roman" w:eastAsiaTheme="minorHAnsi" w:hAnsi="Times New Roman" w:cs="Times New Roman"/>
          <w:sz w:val="24"/>
          <w:szCs w:val="20"/>
        </w:rPr>
        <w:t xml:space="preserve">Līgumos paredzētā kapitāla uz pieprasījumu kopējā summa ir </w:t>
      </w:r>
      <w:r>
        <w:rPr>
          <w:rFonts w:ascii="Times New Roman" w:eastAsiaTheme="minorHAnsi" w:hAnsi="Times New Roman" w:cs="Times New Roman"/>
          <w:sz w:val="24"/>
          <w:szCs w:val="20"/>
        </w:rPr>
        <w:t>2 </w:t>
      </w:r>
      <w:r w:rsidR="00685E60">
        <w:rPr>
          <w:rFonts w:ascii="Times New Roman" w:eastAsiaTheme="minorHAnsi" w:hAnsi="Times New Roman" w:cs="Times New Roman"/>
          <w:sz w:val="24"/>
          <w:szCs w:val="20"/>
        </w:rPr>
        <w:t>738</w:t>
      </w:r>
      <w:r>
        <w:rPr>
          <w:rFonts w:ascii="Times New Roman" w:eastAsiaTheme="minorHAnsi" w:hAnsi="Times New Roman" w:cs="Times New Roman"/>
          <w:sz w:val="24"/>
          <w:szCs w:val="20"/>
        </w:rPr>
        <w:t xml:space="preserve"> </w:t>
      </w:r>
      <w:r w:rsidRPr="0089209F">
        <w:rPr>
          <w:rFonts w:ascii="Times New Roman" w:eastAsiaTheme="minorHAnsi" w:hAnsi="Times New Roman" w:cs="Times New Roman"/>
          <w:sz w:val="24"/>
          <w:szCs w:val="20"/>
        </w:rPr>
        <w:t xml:space="preserve">milj. </w:t>
      </w:r>
      <w:r w:rsidRPr="0089209F">
        <w:rPr>
          <w:rFonts w:ascii="Times New Roman" w:eastAsiaTheme="minorHAnsi" w:hAnsi="Times New Roman" w:cs="Times New Roman"/>
          <w:i/>
          <w:sz w:val="24"/>
          <w:szCs w:val="20"/>
        </w:rPr>
        <w:t>euro</w:t>
      </w:r>
      <w:r w:rsidRPr="0089209F">
        <w:rPr>
          <w:rFonts w:ascii="Times New Roman" w:eastAsiaTheme="minorHAnsi" w:hAnsi="Times New Roman" w:cs="Times New Roman"/>
          <w:sz w:val="24"/>
          <w:szCs w:val="20"/>
        </w:rPr>
        <w:t>.</w:t>
      </w:r>
      <w:r w:rsidR="00D11383">
        <w:rPr>
          <w:rFonts w:ascii="Times New Roman" w:eastAsiaTheme="minorHAnsi" w:hAnsi="Times New Roman" w:cs="Times New Roman"/>
          <w:sz w:val="24"/>
          <w:szCs w:val="20"/>
        </w:rPr>
        <w:t xml:space="preserve"> </w:t>
      </w:r>
    </w:p>
    <w:p w14:paraId="0B3E180F" w14:textId="313AE697" w:rsidR="006D6C33" w:rsidRDefault="008A60AA" w:rsidP="008A60AA">
      <w:pPr>
        <w:spacing w:after="0" w:line="240" w:lineRule="auto"/>
        <w:ind w:firstLine="720"/>
        <w:jc w:val="both"/>
        <w:rPr>
          <w:rFonts w:ascii="Times New Roman" w:eastAsiaTheme="minorHAnsi" w:hAnsi="Times New Roman" w:cs="Times New Roman"/>
          <w:sz w:val="24"/>
          <w:szCs w:val="20"/>
        </w:rPr>
      </w:pPr>
      <w:r w:rsidRPr="0089209F">
        <w:rPr>
          <w:rFonts w:ascii="Times New Roman" w:eastAsiaTheme="minorHAnsi" w:hAnsi="Times New Roman" w:cs="Times New Roman"/>
          <w:sz w:val="24"/>
          <w:szCs w:val="20"/>
        </w:rPr>
        <w:t xml:space="preserve">Līdzšinējā pieredze Latvijas dalībā </w:t>
      </w:r>
      <w:r w:rsidR="006D42CF">
        <w:rPr>
          <w:rFonts w:ascii="Times New Roman" w:eastAsiaTheme="minorHAnsi" w:hAnsi="Times New Roman" w:cs="Times New Roman"/>
          <w:sz w:val="24"/>
          <w:szCs w:val="20"/>
        </w:rPr>
        <w:t>SFI</w:t>
      </w:r>
      <w:r w:rsidRPr="0089209F">
        <w:rPr>
          <w:rFonts w:ascii="Times New Roman" w:eastAsiaTheme="minorHAnsi" w:hAnsi="Times New Roman" w:cs="Times New Roman"/>
          <w:sz w:val="24"/>
          <w:szCs w:val="20"/>
        </w:rPr>
        <w:t xml:space="preserve"> rāda, ka situācija, kad jāveic maksājumu kapitālā uz pieprasījumu, kas palielina defic</w:t>
      </w:r>
      <w:r>
        <w:rPr>
          <w:rFonts w:ascii="Times New Roman" w:eastAsiaTheme="minorHAnsi" w:hAnsi="Times New Roman" w:cs="Times New Roman"/>
          <w:sz w:val="24"/>
          <w:szCs w:val="20"/>
        </w:rPr>
        <w:t xml:space="preserve">ītu, ir </w:t>
      </w:r>
      <w:r w:rsidR="00685E60">
        <w:rPr>
          <w:rFonts w:ascii="Times New Roman" w:eastAsiaTheme="minorHAnsi" w:hAnsi="Times New Roman" w:cs="Times New Roman"/>
          <w:sz w:val="24"/>
          <w:szCs w:val="20"/>
        </w:rPr>
        <w:t>maz ticama</w:t>
      </w:r>
      <w:r w:rsidR="002A15FA">
        <w:rPr>
          <w:rFonts w:ascii="Times New Roman" w:eastAsiaTheme="minorHAnsi" w:hAnsi="Times New Roman" w:cs="Times New Roman"/>
          <w:sz w:val="24"/>
          <w:szCs w:val="20"/>
        </w:rPr>
        <w:t>.</w:t>
      </w:r>
      <w:r w:rsidRPr="0089209F">
        <w:rPr>
          <w:rFonts w:ascii="Times New Roman" w:eastAsiaTheme="minorHAnsi" w:hAnsi="Times New Roman" w:cs="Times New Roman"/>
          <w:sz w:val="24"/>
          <w:szCs w:val="20"/>
        </w:rPr>
        <w:t xml:space="preserve"> </w:t>
      </w:r>
      <w:r w:rsidR="00685E60">
        <w:rPr>
          <w:rFonts w:ascii="Times New Roman" w:eastAsiaTheme="minorHAnsi" w:hAnsi="Times New Roman" w:cs="Times New Roman"/>
          <w:sz w:val="24"/>
          <w:szCs w:val="20"/>
        </w:rPr>
        <w:t>Līdz šim</w:t>
      </w:r>
      <w:r w:rsidR="00685E60" w:rsidRPr="0089209F">
        <w:rPr>
          <w:rFonts w:ascii="Times New Roman" w:eastAsiaTheme="minorHAnsi" w:hAnsi="Times New Roman" w:cs="Times New Roman"/>
          <w:sz w:val="24"/>
          <w:szCs w:val="20"/>
        </w:rPr>
        <w:t xml:space="preserve"> šādu maksājumu nepieciešamība nav bijusi. </w:t>
      </w:r>
      <w:r w:rsidRPr="0089209F">
        <w:rPr>
          <w:rFonts w:ascii="Times New Roman" w:eastAsiaTheme="minorHAnsi" w:hAnsi="Times New Roman" w:cs="Times New Roman"/>
          <w:sz w:val="24"/>
          <w:szCs w:val="20"/>
        </w:rPr>
        <w:t xml:space="preserve">Jāatzīmē, ka kapitāla uz pieprasījuma jēga ir nodrošināt </w:t>
      </w:r>
      <w:r>
        <w:rPr>
          <w:rFonts w:ascii="Times New Roman" w:eastAsiaTheme="minorHAnsi" w:hAnsi="Times New Roman" w:cs="Times New Roman"/>
          <w:sz w:val="24"/>
          <w:szCs w:val="20"/>
        </w:rPr>
        <w:t>SFI</w:t>
      </w:r>
      <w:r w:rsidRPr="0089209F">
        <w:rPr>
          <w:rFonts w:ascii="Times New Roman" w:eastAsiaTheme="minorHAnsi" w:hAnsi="Times New Roman" w:cs="Times New Roman"/>
          <w:sz w:val="24"/>
          <w:szCs w:val="20"/>
        </w:rPr>
        <w:t xml:space="preserve"> augstu </w:t>
      </w:r>
      <w:r w:rsidR="00685E60">
        <w:rPr>
          <w:rFonts w:ascii="Times New Roman" w:eastAsiaTheme="minorHAnsi" w:hAnsi="Times New Roman" w:cs="Times New Roman"/>
          <w:sz w:val="24"/>
          <w:szCs w:val="20"/>
        </w:rPr>
        <w:t>kredīt</w:t>
      </w:r>
      <w:r w:rsidRPr="0089209F">
        <w:rPr>
          <w:rFonts w:ascii="Times New Roman" w:eastAsiaTheme="minorHAnsi" w:hAnsi="Times New Roman" w:cs="Times New Roman"/>
          <w:sz w:val="24"/>
          <w:szCs w:val="20"/>
        </w:rPr>
        <w:t>reitingu, lai varētu no starptautiskajiem finanšu tirgiem piesaistīt lēt</w:t>
      </w:r>
      <w:r>
        <w:rPr>
          <w:rFonts w:ascii="Times New Roman" w:eastAsiaTheme="minorHAnsi" w:hAnsi="Times New Roman" w:cs="Times New Roman"/>
          <w:sz w:val="24"/>
          <w:szCs w:val="20"/>
        </w:rPr>
        <w:t>ākus</w:t>
      </w:r>
      <w:r w:rsidRPr="0089209F">
        <w:rPr>
          <w:rFonts w:ascii="Times New Roman" w:eastAsiaTheme="minorHAnsi" w:hAnsi="Times New Roman" w:cs="Times New Roman"/>
          <w:sz w:val="24"/>
          <w:szCs w:val="20"/>
        </w:rPr>
        <w:t xml:space="preserve"> finanšu resursus. Kapitāls uz pieprasījumu darbojas kā pēdējā garantija, ja </w:t>
      </w:r>
      <w:r>
        <w:rPr>
          <w:rFonts w:ascii="Times New Roman" w:eastAsiaTheme="minorHAnsi" w:hAnsi="Times New Roman" w:cs="Times New Roman"/>
          <w:sz w:val="24"/>
          <w:szCs w:val="20"/>
        </w:rPr>
        <w:t>SFI</w:t>
      </w:r>
      <w:r w:rsidRPr="0089209F">
        <w:rPr>
          <w:rFonts w:ascii="Times New Roman" w:eastAsiaTheme="minorHAnsi" w:hAnsi="Times New Roman" w:cs="Times New Roman"/>
          <w:sz w:val="24"/>
          <w:szCs w:val="20"/>
        </w:rPr>
        <w:t xml:space="preserve"> cieš zaudējumus, ko nav iespējams segt ar pašas </w:t>
      </w:r>
      <w:r>
        <w:rPr>
          <w:rFonts w:ascii="Times New Roman" w:eastAsiaTheme="minorHAnsi" w:hAnsi="Times New Roman" w:cs="Times New Roman"/>
          <w:sz w:val="24"/>
          <w:szCs w:val="20"/>
        </w:rPr>
        <w:t>SFI</w:t>
      </w:r>
      <w:r w:rsidRPr="0089209F">
        <w:rPr>
          <w:rFonts w:ascii="Times New Roman" w:eastAsiaTheme="minorHAnsi" w:hAnsi="Times New Roman" w:cs="Times New Roman"/>
          <w:sz w:val="24"/>
          <w:szCs w:val="20"/>
        </w:rPr>
        <w:t xml:space="preserve"> uzkrātajām rezervēm. </w:t>
      </w:r>
    </w:p>
    <w:p w14:paraId="66968DC4" w14:textId="78C03FFF" w:rsidR="006D6C33" w:rsidRDefault="006D6C33" w:rsidP="006D6C33">
      <w:pPr>
        <w:spacing w:after="0" w:line="240" w:lineRule="auto"/>
        <w:ind w:firstLine="720"/>
        <w:jc w:val="both"/>
        <w:rPr>
          <w:rFonts w:ascii="Times New Roman" w:eastAsiaTheme="minorHAnsi" w:hAnsi="Times New Roman" w:cs="Times New Roman"/>
          <w:sz w:val="24"/>
          <w:szCs w:val="20"/>
        </w:rPr>
      </w:pPr>
      <w:r>
        <w:rPr>
          <w:rFonts w:ascii="Times New Roman" w:eastAsiaTheme="minorHAnsi" w:hAnsi="Times New Roman" w:cs="Times New Roman"/>
          <w:sz w:val="24"/>
          <w:szCs w:val="20"/>
        </w:rPr>
        <w:t>Balstoties uz VK apkopoto informāciju, līdz 202</w:t>
      </w:r>
      <w:r w:rsidR="00685E60">
        <w:rPr>
          <w:rFonts w:ascii="Times New Roman" w:eastAsiaTheme="minorHAnsi" w:hAnsi="Times New Roman" w:cs="Times New Roman"/>
          <w:sz w:val="24"/>
          <w:szCs w:val="20"/>
        </w:rPr>
        <w:t>1</w:t>
      </w:r>
      <w:r>
        <w:rPr>
          <w:rFonts w:ascii="Times New Roman" w:eastAsiaTheme="minorHAnsi" w:hAnsi="Times New Roman" w:cs="Times New Roman"/>
          <w:sz w:val="24"/>
          <w:szCs w:val="20"/>
        </w:rPr>
        <w:t xml:space="preserve">.gada jūlijam nav identificēts, ka varētu būt </w:t>
      </w:r>
      <w:r w:rsidRPr="009A6955">
        <w:rPr>
          <w:rFonts w:ascii="Times New Roman" w:eastAsiaTheme="minorHAnsi" w:hAnsi="Times New Roman" w:cs="Times New Roman"/>
          <w:sz w:val="24"/>
          <w:szCs w:val="20"/>
        </w:rPr>
        <w:t>mainī</w:t>
      </w:r>
      <w:r>
        <w:rPr>
          <w:rFonts w:ascii="Times New Roman" w:eastAsiaTheme="minorHAnsi" w:hAnsi="Times New Roman" w:cs="Times New Roman"/>
          <w:sz w:val="24"/>
          <w:szCs w:val="20"/>
        </w:rPr>
        <w:t>jusies</w:t>
      </w:r>
      <w:r w:rsidRPr="009A6955">
        <w:rPr>
          <w:rFonts w:ascii="Times New Roman" w:eastAsiaTheme="minorHAnsi" w:hAnsi="Times New Roman" w:cs="Times New Roman"/>
          <w:sz w:val="24"/>
          <w:szCs w:val="20"/>
        </w:rPr>
        <w:t xml:space="preserve"> </w:t>
      </w:r>
      <w:r>
        <w:rPr>
          <w:rFonts w:ascii="Times New Roman" w:eastAsiaTheme="minorHAnsi" w:hAnsi="Times New Roman" w:cs="Times New Roman"/>
          <w:sz w:val="24"/>
          <w:szCs w:val="20"/>
        </w:rPr>
        <w:t xml:space="preserve">Latvijas </w:t>
      </w:r>
      <w:r w:rsidRPr="009A6955">
        <w:rPr>
          <w:rFonts w:ascii="Times New Roman" w:eastAsiaTheme="minorHAnsi" w:hAnsi="Times New Roman" w:cs="Times New Roman"/>
          <w:sz w:val="24"/>
          <w:szCs w:val="20"/>
        </w:rPr>
        <w:t xml:space="preserve">ieguldījumu </w:t>
      </w:r>
      <w:r>
        <w:rPr>
          <w:rFonts w:ascii="Times New Roman" w:eastAsiaTheme="minorHAnsi" w:hAnsi="Times New Roman" w:cs="Times New Roman"/>
          <w:sz w:val="24"/>
          <w:szCs w:val="20"/>
        </w:rPr>
        <w:t>vērtība augstāk minētajās SFI. Visu SFI, kurās Latvija ir kapitāldaļu turētāja, 20</w:t>
      </w:r>
      <w:r w:rsidR="00685E60">
        <w:rPr>
          <w:rFonts w:ascii="Times New Roman" w:eastAsiaTheme="minorHAnsi" w:hAnsi="Times New Roman" w:cs="Times New Roman"/>
          <w:sz w:val="24"/>
          <w:szCs w:val="20"/>
        </w:rPr>
        <w:t>20</w:t>
      </w:r>
      <w:r>
        <w:rPr>
          <w:rFonts w:ascii="Times New Roman" w:eastAsiaTheme="minorHAnsi" w:hAnsi="Times New Roman" w:cs="Times New Roman"/>
          <w:sz w:val="24"/>
          <w:szCs w:val="20"/>
        </w:rPr>
        <w:t xml:space="preserve">.gada pārskati apliecina attiecīgo SFI finanšu stabilitāti. Visas minētās SFI darbojas ar peļņu un arī nākamajā pārskata periodā zaudējumi netiek prognozēti. </w:t>
      </w:r>
    </w:p>
    <w:p w14:paraId="5D980ADA" w14:textId="2E7BB1D5" w:rsidR="008A60AA" w:rsidRDefault="008A60AA" w:rsidP="008A60AA">
      <w:pPr>
        <w:spacing w:after="0" w:line="240" w:lineRule="auto"/>
        <w:ind w:firstLine="720"/>
        <w:jc w:val="both"/>
        <w:rPr>
          <w:rFonts w:ascii="Times New Roman" w:eastAsiaTheme="minorHAnsi" w:hAnsi="Times New Roman" w:cs="Times New Roman"/>
          <w:sz w:val="24"/>
          <w:szCs w:val="20"/>
        </w:rPr>
      </w:pPr>
      <w:r w:rsidRPr="0089209F">
        <w:rPr>
          <w:rFonts w:ascii="Times New Roman" w:eastAsiaTheme="minorHAnsi" w:hAnsi="Times New Roman" w:cs="Times New Roman"/>
          <w:sz w:val="24"/>
          <w:szCs w:val="20"/>
        </w:rPr>
        <w:t>Ņemot vērā zemo riska iestāšanās varbūtību, fiskālo risku nodrošinājuma reze</w:t>
      </w:r>
      <w:r>
        <w:rPr>
          <w:rFonts w:ascii="Times New Roman" w:eastAsiaTheme="minorHAnsi" w:hAnsi="Times New Roman" w:cs="Times New Roman"/>
          <w:sz w:val="24"/>
          <w:szCs w:val="20"/>
        </w:rPr>
        <w:t xml:space="preserve">rve šim riskam netiek veidota. </w:t>
      </w:r>
    </w:p>
    <w:p w14:paraId="74204E7D" w14:textId="5F790608" w:rsidR="00597AED" w:rsidRDefault="00597AED" w:rsidP="008A60AA">
      <w:pPr>
        <w:spacing w:after="0" w:line="240" w:lineRule="auto"/>
        <w:ind w:firstLine="720"/>
        <w:jc w:val="both"/>
        <w:rPr>
          <w:rFonts w:ascii="Times New Roman" w:eastAsiaTheme="minorHAnsi" w:hAnsi="Times New Roman" w:cs="Times New Roman"/>
          <w:sz w:val="24"/>
          <w:szCs w:val="20"/>
        </w:rPr>
      </w:pPr>
    </w:p>
    <w:p w14:paraId="16ABA98A" w14:textId="74D46046" w:rsidR="0030420E" w:rsidRPr="00B70497" w:rsidRDefault="0030420E" w:rsidP="00F01C66">
      <w:pPr>
        <w:pStyle w:val="Heading2"/>
        <w:numPr>
          <w:ilvl w:val="1"/>
          <w:numId w:val="4"/>
        </w:numPr>
        <w:tabs>
          <w:tab w:val="left" w:pos="3261"/>
          <w:tab w:val="left" w:pos="5103"/>
          <w:tab w:val="left" w:pos="5245"/>
        </w:tabs>
        <w:spacing w:before="120" w:after="120" w:line="240" w:lineRule="auto"/>
        <w:ind w:left="567" w:hanging="555"/>
        <w:jc w:val="center"/>
        <w:rPr>
          <w:rFonts w:ascii="Times New Roman" w:hAnsi="Times New Roman" w:cs="Times New Roman"/>
          <w:color w:val="auto"/>
          <w:sz w:val="24"/>
          <w:szCs w:val="24"/>
        </w:rPr>
      </w:pPr>
      <w:bookmarkStart w:id="39" w:name="_Toc405371086"/>
      <w:bookmarkStart w:id="40" w:name="_Toc536779067"/>
      <w:bookmarkStart w:id="41" w:name="_Toc80111857"/>
      <w:r w:rsidRPr="00B70497">
        <w:rPr>
          <w:rFonts w:ascii="Times New Roman" w:hAnsi="Times New Roman" w:cs="Times New Roman"/>
          <w:color w:val="auto"/>
          <w:sz w:val="24"/>
          <w:szCs w:val="24"/>
        </w:rPr>
        <w:t xml:space="preserve">Valsts </w:t>
      </w:r>
      <w:r w:rsidR="00BD417F" w:rsidRPr="00B70497">
        <w:rPr>
          <w:rFonts w:ascii="Times New Roman" w:hAnsi="Times New Roman" w:cs="Times New Roman"/>
          <w:color w:val="auto"/>
          <w:sz w:val="24"/>
          <w:szCs w:val="24"/>
        </w:rPr>
        <w:t xml:space="preserve">un pašvaldību </w:t>
      </w:r>
      <w:r w:rsidRPr="00B70497">
        <w:rPr>
          <w:rFonts w:ascii="Times New Roman" w:hAnsi="Times New Roman" w:cs="Times New Roman"/>
          <w:color w:val="auto"/>
          <w:sz w:val="24"/>
          <w:szCs w:val="24"/>
        </w:rPr>
        <w:t>kapitālsabiedrības</w:t>
      </w:r>
      <w:bookmarkEnd w:id="39"/>
      <w:bookmarkEnd w:id="40"/>
      <w:bookmarkEnd w:id="41"/>
    </w:p>
    <w:p w14:paraId="6B09D5EC" w14:textId="77777777" w:rsidR="001D3D94" w:rsidRPr="0037264A" w:rsidRDefault="001D3D94" w:rsidP="001D3D94">
      <w:pPr>
        <w:spacing w:after="0" w:line="240" w:lineRule="auto"/>
        <w:ind w:firstLine="567"/>
        <w:jc w:val="both"/>
        <w:rPr>
          <w:rFonts w:ascii="Times New Roman" w:eastAsiaTheme="minorHAnsi" w:hAnsi="Times New Roman" w:cs="Times New Roman"/>
          <w:sz w:val="24"/>
          <w:szCs w:val="20"/>
        </w:rPr>
      </w:pPr>
      <w:r w:rsidRPr="0037264A">
        <w:rPr>
          <w:rFonts w:ascii="Times New Roman" w:eastAsiaTheme="minorHAnsi" w:hAnsi="Times New Roman" w:cs="Times New Roman"/>
          <w:sz w:val="24"/>
          <w:szCs w:val="20"/>
        </w:rPr>
        <w:t xml:space="preserve">Šī specifiskā fiskālā riska avots attiecas uz valsts kapitālsabiedrībām, kuras ir iekļautas vispārējās valdības sektorā (apakšsektors S130130 “Valsts struktūru kontrolēti un finansēti komersanti” un S130330 “Pašvaldību struktūru kontrolētas un finansētas komercsabiedrības”) ieņēmumu un izdevumu rezultātu un parādu atbilstoši Eiropas kontu sistēmas (turpmāk – </w:t>
      </w:r>
      <w:r w:rsidRPr="00396F3A">
        <w:rPr>
          <w:rFonts w:ascii="Times New Roman" w:eastAsiaTheme="minorHAnsi" w:hAnsi="Times New Roman" w:cs="Times New Roman"/>
          <w:sz w:val="24"/>
          <w:szCs w:val="20"/>
        </w:rPr>
        <w:t>EKS</w:t>
      </w:r>
      <w:r w:rsidRPr="0037264A">
        <w:rPr>
          <w:rFonts w:ascii="Times New Roman" w:eastAsiaTheme="minorHAnsi" w:hAnsi="Times New Roman" w:cs="Times New Roman"/>
          <w:sz w:val="24"/>
          <w:szCs w:val="20"/>
        </w:rPr>
        <w:t xml:space="preserve">) uzskaites metodoloģijai (turpmāk – saimnieciskās darbības rezultāts) attiecīgajā pārskata periodā. Vispārīga gadījumā </w:t>
      </w:r>
      <w:r w:rsidRPr="0037264A">
        <w:rPr>
          <w:rFonts w:ascii="Times New Roman" w:eastAsiaTheme="minorHAnsi" w:hAnsi="Times New Roman" w:cs="Times New Roman"/>
          <w:sz w:val="24"/>
        </w:rPr>
        <w:t>valsts un pašvaldību kapitālsabiedrības</w:t>
      </w:r>
      <w:r w:rsidRPr="0037264A">
        <w:rPr>
          <w:rFonts w:ascii="Times New Roman" w:eastAsiaTheme="minorHAnsi" w:hAnsi="Times New Roman"/>
          <w:sz w:val="24"/>
          <w:szCs w:val="24"/>
          <w:lang w:eastAsia="lv-LV"/>
        </w:rPr>
        <w:t xml:space="preserve"> tiek iekļautas </w:t>
      </w:r>
      <w:r w:rsidRPr="0037264A">
        <w:rPr>
          <w:rFonts w:ascii="Times New Roman" w:eastAsiaTheme="minorHAnsi" w:hAnsi="Times New Roman" w:cs="Times New Roman"/>
          <w:sz w:val="24"/>
          <w:szCs w:val="24"/>
          <w:lang w:eastAsia="lv-LV"/>
        </w:rPr>
        <w:t>vispārējās valdības sektorā, ja atbilstoši EKS metodoloģiskajiem kritērijiem tiek konstatēts, ka:</w:t>
      </w:r>
    </w:p>
    <w:p w14:paraId="7360BA97" w14:textId="77777777" w:rsidR="001D3D94" w:rsidRPr="0037264A" w:rsidRDefault="001D3D94" w:rsidP="001D3D94">
      <w:pPr>
        <w:numPr>
          <w:ilvl w:val="0"/>
          <w:numId w:val="18"/>
        </w:numPr>
        <w:spacing w:after="0" w:line="240" w:lineRule="auto"/>
        <w:ind w:left="1134" w:firstLine="0"/>
        <w:jc w:val="both"/>
        <w:rPr>
          <w:rFonts w:ascii="Times New Roman" w:eastAsia="Calibri" w:hAnsi="Times New Roman" w:cs="Times New Roman"/>
          <w:sz w:val="24"/>
          <w:szCs w:val="24"/>
          <w:lang w:eastAsia="lv-LV"/>
        </w:rPr>
      </w:pPr>
      <w:r w:rsidRPr="0037264A">
        <w:rPr>
          <w:rFonts w:ascii="Times New Roman" w:eastAsia="Calibri" w:hAnsi="Times New Roman" w:cs="Times New Roman"/>
          <w:sz w:val="24"/>
          <w:szCs w:val="24"/>
          <w:lang w:eastAsia="lv-LV"/>
        </w:rPr>
        <w:t>valsts vai pašvaldības kontrolē komercsabiedrību;</w:t>
      </w:r>
    </w:p>
    <w:p w14:paraId="60E3166F" w14:textId="537291E9" w:rsidR="001D3D94" w:rsidRPr="0037264A" w:rsidRDefault="001D3D94" w:rsidP="001D3D94">
      <w:pPr>
        <w:numPr>
          <w:ilvl w:val="0"/>
          <w:numId w:val="18"/>
        </w:numPr>
        <w:spacing w:after="0" w:line="240" w:lineRule="auto"/>
        <w:ind w:left="1418" w:hanging="284"/>
        <w:jc w:val="both"/>
        <w:rPr>
          <w:rFonts w:ascii="Times New Roman" w:eastAsia="Calibri" w:hAnsi="Times New Roman" w:cs="Times New Roman"/>
          <w:sz w:val="24"/>
          <w:szCs w:val="24"/>
          <w:lang w:eastAsia="lv-LV"/>
        </w:rPr>
      </w:pPr>
      <w:r w:rsidRPr="0037264A">
        <w:rPr>
          <w:rFonts w:ascii="Times New Roman" w:eastAsia="Calibri" w:hAnsi="Times New Roman" w:cs="Times New Roman"/>
          <w:sz w:val="24"/>
          <w:szCs w:val="24"/>
          <w:lang w:eastAsia="lv-LV"/>
        </w:rPr>
        <w:t>komercsabiedrība ir ārpus</w:t>
      </w:r>
      <w:r w:rsidR="00D35A3A" w:rsidRPr="0037264A">
        <w:rPr>
          <w:rFonts w:ascii="Times New Roman" w:eastAsiaTheme="minorHAnsi" w:hAnsi="Times New Roman" w:cs="Times New Roman"/>
          <w:sz w:val="24"/>
          <w:szCs w:val="20"/>
        </w:rPr>
        <w:t>–</w:t>
      </w:r>
      <w:r w:rsidRPr="0037264A">
        <w:rPr>
          <w:rFonts w:ascii="Times New Roman" w:eastAsia="Calibri" w:hAnsi="Times New Roman" w:cs="Times New Roman"/>
          <w:sz w:val="24"/>
          <w:szCs w:val="24"/>
          <w:lang w:eastAsia="lv-LV"/>
        </w:rPr>
        <w:t xml:space="preserve">tirgus ražotājs. </w:t>
      </w:r>
    </w:p>
    <w:p w14:paraId="02E0899A" w14:textId="77777777" w:rsidR="001D3D94" w:rsidRPr="0037264A" w:rsidRDefault="001D3D94" w:rsidP="001D3D94">
      <w:pPr>
        <w:spacing w:after="0" w:line="240" w:lineRule="auto"/>
        <w:ind w:firstLine="720"/>
        <w:jc w:val="both"/>
        <w:rPr>
          <w:rFonts w:ascii="Times New Roman" w:hAnsi="Times New Roman"/>
          <w:sz w:val="24"/>
        </w:rPr>
      </w:pPr>
      <w:r w:rsidRPr="0037264A">
        <w:rPr>
          <w:rFonts w:ascii="Times New Roman" w:hAnsi="Times New Roman"/>
          <w:sz w:val="24"/>
        </w:rPr>
        <w:t>Fiskālais risks iestājas gadījumā, kad saimnieciskās darbības rezultāts</w:t>
      </w:r>
      <w:r w:rsidRPr="0037264A" w:rsidDel="00A66465">
        <w:rPr>
          <w:rFonts w:ascii="Times New Roman" w:hAnsi="Times New Roman"/>
          <w:sz w:val="24"/>
        </w:rPr>
        <w:t xml:space="preserve"> </w:t>
      </w:r>
      <w:r w:rsidRPr="0037264A">
        <w:rPr>
          <w:rFonts w:ascii="Times New Roman" w:hAnsi="Times New Roman"/>
          <w:sz w:val="24"/>
        </w:rPr>
        <w:t>pārskata periodā negatīvi novirzās no vispārējās valdības budžeta prognozēs plānotā apmēra, tādējādi pasliktinot vispārējās valdības budžeta bilanci un/vai parādu. Risks iestājas arī gadījumā, ja iepriekš vispārējās valdības sektorā neklasificēta kapitālsabiedrība tiek klasificēta vispārējās valdības sektorā un tās saimnieciskās darbības rezultāts (ņemot vērā konsolidācijas efektus sektora ietvaros) ir negatīvs.</w:t>
      </w:r>
    </w:p>
    <w:p w14:paraId="7B0B9449" w14:textId="77777777" w:rsidR="001D3D94" w:rsidRPr="0037264A" w:rsidRDefault="001D3D94" w:rsidP="001D3D94">
      <w:pPr>
        <w:spacing w:after="0" w:line="240" w:lineRule="auto"/>
        <w:ind w:firstLine="720"/>
        <w:jc w:val="both"/>
      </w:pPr>
      <w:r w:rsidRPr="0037264A">
        <w:rPr>
          <w:rFonts w:ascii="Times New Roman" w:hAnsi="Times New Roman"/>
          <w:sz w:val="24"/>
        </w:rPr>
        <w:t>Sagatavojot vispārējās valdības budžeta prognozes, tiek izmantoti aptaujās iegūtie rezultāti un tiek aptaujāti pilnīgi visi centrālai valdībai pieklasificēti komersanti un selektīvi tiek izvēlētas pašvaldībām pieklasificētās komercsabiedrības ar lielāko ietekmi uz vispārējās valdības budžeta bilanci.</w:t>
      </w:r>
    </w:p>
    <w:p w14:paraId="0644AF55" w14:textId="02640F47" w:rsidR="001D3D94" w:rsidRPr="002F02DC" w:rsidRDefault="001D3D94" w:rsidP="001D3D94">
      <w:pPr>
        <w:shd w:val="clear" w:color="auto" w:fill="FFFFFF"/>
        <w:spacing w:after="0" w:line="240" w:lineRule="auto"/>
        <w:ind w:left="57" w:right="57" w:firstLine="720"/>
        <w:jc w:val="both"/>
        <w:rPr>
          <w:rFonts w:ascii="Calibri" w:eastAsia="Times New Roman" w:hAnsi="Calibri" w:cs="Calibri"/>
          <w:color w:val="000000"/>
          <w:lang w:eastAsia="lv-LV"/>
        </w:rPr>
      </w:pPr>
      <w:r w:rsidRPr="0037264A">
        <w:rPr>
          <w:rFonts w:ascii="Times New Roman" w:eastAsiaTheme="minorHAnsi" w:hAnsi="Times New Roman" w:cs="Times New Roman"/>
          <w:sz w:val="24"/>
        </w:rPr>
        <w:t xml:space="preserve">Lai novērstu </w:t>
      </w:r>
      <w:r w:rsidRPr="002F02DC">
        <w:rPr>
          <w:rFonts w:ascii="Times New Roman" w:eastAsia="Times New Roman" w:hAnsi="Times New Roman" w:cs="Times New Roman"/>
          <w:color w:val="000000"/>
          <w:sz w:val="24"/>
          <w:szCs w:val="24"/>
          <w:lang w:eastAsia="lv-LV"/>
        </w:rPr>
        <w:t xml:space="preserve">vispārējās valdības sektorā iekļauto valsts un pašvaldību kapitālsabiedrību nekontrolētu ietekmi uz vispārējās valdības budžeta bilanci, </w:t>
      </w:r>
      <w:r>
        <w:rPr>
          <w:rFonts w:ascii="Times New Roman" w:eastAsia="Times New Roman" w:hAnsi="Times New Roman" w:cs="Times New Roman"/>
          <w:color w:val="000000"/>
          <w:sz w:val="24"/>
          <w:szCs w:val="24"/>
          <w:lang w:eastAsia="lv-LV"/>
        </w:rPr>
        <w:t>likumā “Par vidēja termiņa budžeta ietvaru 2020., 2021. un 2022.gadam”</w:t>
      </w:r>
      <w:r w:rsidR="00DC4D6C">
        <w:rPr>
          <w:rFonts w:ascii="Times New Roman" w:eastAsia="Times New Roman" w:hAnsi="Times New Roman" w:cs="Times New Roman"/>
          <w:color w:val="000000"/>
          <w:sz w:val="24"/>
          <w:szCs w:val="24"/>
          <w:lang w:eastAsia="lv-LV"/>
        </w:rPr>
        <w:t xml:space="preserve"> un likumā “Par vidēja termiņa budžeta ietvaru 2021., 2022. un 2023.gadam”</w:t>
      </w:r>
      <w:r w:rsidR="00630E31" w:rsidRPr="002F02DC">
        <w:rPr>
          <w:rFonts w:ascii="Times New Roman" w:eastAsia="Times New Roman" w:hAnsi="Times New Roman" w:cs="Times New Roman"/>
          <w:color w:val="000000"/>
          <w:sz w:val="24"/>
          <w:szCs w:val="24"/>
          <w:lang w:eastAsia="lv-LV"/>
        </w:rPr>
        <w:t xml:space="preserve"> </w:t>
      </w:r>
      <w:r w:rsidRPr="002F02DC">
        <w:rPr>
          <w:rFonts w:ascii="Times New Roman" w:eastAsia="Times New Roman" w:hAnsi="Times New Roman" w:cs="Times New Roman"/>
          <w:color w:val="000000"/>
          <w:sz w:val="24"/>
          <w:szCs w:val="24"/>
          <w:lang w:eastAsia="lv-LV"/>
        </w:rPr>
        <w:t>ir iekļauts regulējums, kas paredz, ka:</w:t>
      </w:r>
    </w:p>
    <w:p w14:paraId="14070F32" w14:textId="5B26FED7" w:rsidR="001D3D94" w:rsidRPr="002F02DC" w:rsidRDefault="001D3D94" w:rsidP="001D3D94">
      <w:pPr>
        <w:numPr>
          <w:ilvl w:val="0"/>
          <w:numId w:val="36"/>
        </w:numPr>
        <w:shd w:val="clear" w:color="auto" w:fill="FFFFFF"/>
        <w:spacing w:after="0" w:line="240" w:lineRule="auto"/>
        <w:ind w:right="57"/>
        <w:jc w:val="both"/>
        <w:rPr>
          <w:rFonts w:ascii="Times New Roman" w:eastAsia="Times New Roman" w:hAnsi="Times New Roman" w:cs="Times New Roman"/>
          <w:color w:val="000000"/>
          <w:sz w:val="27"/>
          <w:szCs w:val="27"/>
          <w:lang w:eastAsia="lv-LV"/>
        </w:rPr>
      </w:pPr>
      <w:r w:rsidRPr="002F02DC">
        <w:rPr>
          <w:rFonts w:ascii="Times New Roman" w:eastAsia="Times New Roman" w:hAnsi="Times New Roman" w:cs="Times New Roman"/>
          <w:color w:val="000000"/>
          <w:sz w:val="24"/>
          <w:szCs w:val="24"/>
          <w:lang w:eastAsia="lv-LV"/>
        </w:rPr>
        <w:t>vispārējās valdības sektorā iekļautās valsts kapitālsabiedrības negatīvā ietekme uz vispārējās valdības</w:t>
      </w:r>
      <w:r w:rsidR="00BA7CFE">
        <w:rPr>
          <w:rFonts w:ascii="Times New Roman" w:eastAsia="Times New Roman" w:hAnsi="Times New Roman" w:cs="Times New Roman"/>
          <w:color w:val="000000"/>
          <w:sz w:val="24"/>
          <w:szCs w:val="24"/>
          <w:lang w:eastAsia="lv-LV"/>
        </w:rPr>
        <w:t xml:space="preserve"> budžeta bilanci </w:t>
      </w:r>
      <w:r w:rsidR="00DC4D6C">
        <w:rPr>
          <w:rFonts w:ascii="Times New Roman" w:eastAsia="Times New Roman" w:hAnsi="Times New Roman" w:cs="Times New Roman"/>
          <w:color w:val="000000"/>
          <w:sz w:val="24"/>
          <w:szCs w:val="24"/>
          <w:lang w:eastAsia="lv-LV"/>
        </w:rPr>
        <w:t>noteiktajos gados</w:t>
      </w:r>
      <w:r w:rsidRPr="002F02DC">
        <w:rPr>
          <w:rFonts w:ascii="Times New Roman" w:eastAsia="Times New Roman" w:hAnsi="Times New Roman" w:cs="Times New Roman"/>
          <w:color w:val="000000"/>
          <w:sz w:val="24"/>
          <w:szCs w:val="24"/>
          <w:lang w:eastAsia="lv-LV"/>
        </w:rPr>
        <w:t xml:space="preserve"> drīkst pārsniegt 5 milj</w:t>
      </w:r>
      <w:r w:rsidR="00B70497">
        <w:rPr>
          <w:rFonts w:ascii="Times New Roman" w:eastAsia="Times New Roman" w:hAnsi="Times New Roman" w:cs="Times New Roman"/>
          <w:color w:val="000000"/>
          <w:sz w:val="24"/>
          <w:szCs w:val="24"/>
          <w:lang w:eastAsia="lv-LV"/>
        </w:rPr>
        <w:t>.</w:t>
      </w:r>
      <w:r w:rsidRPr="002F02DC">
        <w:rPr>
          <w:rFonts w:ascii="Times New Roman" w:eastAsia="Times New Roman" w:hAnsi="Times New Roman" w:cs="Times New Roman"/>
          <w:color w:val="000000"/>
          <w:sz w:val="24"/>
          <w:szCs w:val="24"/>
          <w:lang w:eastAsia="lv-LV"/>
        </w:rPr>
        <w:t> </w:t>
      </w:r>
      <w:r w:rsidRPr="002F02DC">
        <w:rPr>
          <w:rFonts w:ascii="Times New Roman" w:eastAsia="Times New Roman" w:hAnsi="Times New Roman" w:cs="Times New Roman"/>
          <w:i/>
          <w:iCs/>
          <w:color w:val="000000"/>
          <w:sz w:val="24"/>
          <w:szCs w:val="24"/>
          <w:lang w:eastAsia="lv-LV"/>
        </w:rPr>
        <w:t>euro</w:t>
      </w:r>
      <w:r w:rsidRPr="002F02DC">
        <w:rPr>
          <w:rFonts w:ascii="Times New Roman" w:eastAsia="Times New Roman" w:hAnsi="Times New Roman" w:cs="Times New Roman"/>
          <w:color w:val="000000"/>
          <w:sz w:val="24"/>
          <w:szCs w:val="24"/>
          <w:lang w:eastAsia="lv-LV"/>
        </w:rPr>
        <w:t xml:space="preserve"> tikai tad, ja ir saņemta </w:t>
      </w:r>
      <w:r w:rsidR="00F96C1A">
        <w:rPr>
          <w:rFonts w:ascii="Times New Roman" w:eastAsia="Times New Roman" w:hAnsi="Times New Roman" w:cs="Times New Roman"/>
          <w:color w:val="000000"/>
          <w:sz w:val="24"/>
          <w:szCs w:val="24"/>
          <w:lang w:eastAsia="lv-LV"/>
        </w:rPr>
        <w:t>MK</w:t>
      </w:r>
      <w:r w:rsidRPr="002F02DC">
        <w:rPr>
          <w:rFonts w:ascii="Times New Roman" w:eastAsia="Times New Roman" w:hAnsi="Times New Roman" w:cs="Times New Roman"/>
          <w:color w:val="000000"/>
          <w:sz w:val="24"/>
          <w:szCs w:val="24"/>
          <w:lang w:eastAsia="lv-LV"/>
        </w:rPr>
        <w:t xml:space="preserve"> piekrišana;</w:t>
      </w:r>
    </w:p>
    <w:p w14:paraId="6DDEB74B" w14:textId="0C4761E7" w:rsidR="001D3D94" w:rsidRPr="002F02DC" w:rsidRDefault="001D3D94" w:rsidP="001D3D94">
      <w:pPr>
        <w:numPr>
          <w:ilvl w:val="0"/>
          <w:numId w:val="37"/>
        </w:numPr>
        <w:shd w:val="clear" w:color="auto" w:fill="FFFFFF"/>
        <w:spacing w:after="0" w:line="240" w:lineRule="auto"/>
        <w:ind w:right="57"/>
        <w:jc w:val="both"/>
        <w:rPr>
          <w:rFonts w:ascii="Times New Roman" w:eastAsia="Times New Roman" w:hAnsi="Times New Roman" w:cs="Times New Roman"/>
          <w:color w:val="000000"/>
          <w:sz w:val="27"/>
          <w:szCs w:val="27"/>
          <w:lang w:eastAsia="lv-LV"/>
        </w:rPr>
      </w:pPr>
      <w:r w:rsidRPr="002F02DC">
        <w:rPr>
          <w:rFonts w:ascii="Times New Roman" w:eastAsia="Times New Roman" w:hAnsi="Times New Roman" w:cs="Times New Roman"/>
          <w:color w:val="000000"/>
          <w:sz w:val="24"/>
          <w:szCs w:val="24"/>
          <w:lang w:eastAsia="lv-LV"/>
        </w:rPr>
        <w:t>pašvaldībām ir jāpārvalda to kapitālsab</w:t>
      </w:r>
      <w:r w:rsidR="00BA7CFE">
        <w:rPr>
          <w:rFonts w:ascii="Times New Roman" w:eastAsia="Times New Roman" w:hAnsi="Times New Roman" w:cs="Times New Roman"/>
          <w:color w:val="000000"/>
          <w:sz w:val="24"/>
          <w:szCs w:val="24"/>
          <w:lang w:eastAsia="lv-LV"/>
        </w:rPr>
        <w:t xml:space="preserve">iedrības tā, lai </w:t>
      </w:r>
      <w:r w:rsidR="00DC4D6C">
        <w:rPr>
          <w:rFonts w:ascii="Times New Roman" w:eastAsia="Times New Roman" w:hAnsi="Times New Roman" w:cs="Times New Roman"/>
          <w:color w:val="000000"/>
          <w:sz w:val="24"/>
          <w:szCs w:val="24"/>
          <w:lang w:eastAsia="lv-LV"/>
        </w:rPr>
        <w:t>noteiktajos gados</w:t>
      </w:r>
      <w:r w:rsidRPr="002F02DC">
        <w:rPr>
          <w:rFonts w:ascii="Times New Roman" w:eastAsia="Times New Roman" w:hAnsi="Times New Roman" w:cs="Times New Roman"/>
          <w:color w:val="000000"/>
          <w:sz w:val="24"/>
          <w:szCs w:val="24"/>
          <w:lang w:eastAsia="lv-LV"/>
        </w:rPr>
        <w:t xml:space="preserve"> konkrētas pašvaldības katras atsevišķās kapitālsabiedrības negatīvā ietekme uz vispārējās valdības</w:t>
      </w:r>
      <w:r>
        <w:rPr>
          <w:rFonts w:ascii="Times New Roman" w:eastAsia="Times New Roman" w:hAnsi="Times New Roman" w:cs="Times New Roman"/>
          <w:color w:val="000000"/>
          <w:sz w:val="24"/>
          <w:szCs w:val="24"/>
          <w:lang w:eastAsia="lv-LV"/>
        </w:rPr>
        <w:t xml:space="preserve"> budžeta bilanci nepārsniegtu 5 </w:t>
      </w:r>
      <w:r w:rsidRPr="002F02DC">
        <w:rPr>
          <w:rFonts w:ascii="Times New Roman" w:eastAsia="Times New Roman" w:hAnsi="Times New Roman" w:cs="Times New Roman"/>
          <w:color w:val="000000"/>
          <w:sz w:val="24"/>
          <w:szCs w:val="24"/>
          <w:lang w:eastAsia="lv-LV"/>
        </w:rPr>
        <w:t>milj</w:t>
      </w:r>
      <w:r w:rsidR="00B70497">
        <w:rPr>
          <w:rFonts w:ascii="Times New Roman" w:eastAsia="Times New Roman" w:hAnsi="Times New Roman" w:cs="Times New Roman"/>
          <w:color w:val="000000"/>
          <w:sz w:val="24"/>
          <w:szCs w:val="24"/>
          <w:lang w:eastAsia="lv-LV"/>
        </w:rPr>
        <w:t>.</w:t>
      </w:r>
      <w:r w:rsidRPr="002F02DC">
        <w:rPr>
          <w:rFonts w:ascii="Times New Roman" w:eastAsia="Times New Roman" w:hAnsi="Times New Roman" w:cs="Times New Roman"/>
          <w:color w:val="000000"/>
          <w:sz w:val="24"/>
          <w:szCs w:val="24"/>
          <w:lang w:eastAsia="lv-LV"/>
        </w:rPr>
        <w:t> </w:t>
      </w:r>
      <w:r w:rsidRPr="002F02DC">
        <w:rPr>
          <w:rFonts w:ascii="Times New Roman" w:eastAsia="Times New Roman" w:hAnsi="Times New Roman" w:cs="Times New Roman"/>
          <w:i/>
          <w:iCs/>
          <w:color w:val="000000"/>
          <w:sz w:val="24"/>
          <w:szCs w:val="24"/>
          <w:lang w:eastAsia="lv-LV"/>
        </w:rPr>
        <w:t>euro.</w:t>
      </w:r>
      <w:r w:rsidR="00B74150">
        <w:rPr>
          <w:rFonts w:ascii="Times New Roman" w:eastAsia="Times New Roman" w:hAnsi="Times New Roman" w:cs="Times New Roman"/>
          <w:color w:val="000000"/>
          <w:sz w:val="24"/>
          <w:szCs w:val="24"/>
          <w:lang w:eastAsia="lv-LV"/>
        </w:rPr>
        <w:t xml:space="preserve"> </w:t>
      </w:r>
      <w:r w:rsidRPr="002F02DC">
        <w:rPr>
          <w:rFonts w:ascii="Times New Roman" w:eastAsia="Times New Roman" w:hAnsi="Times New Roman" w:cs="Times New Roman"/>
          <w:color w:val="000000"/>
          <w:sz w:val="24"/>
          <w:szCs w:val="24"/>
          <w:lang w:eastAsia="lv-LV"/>
        </w:rPr>
        <w:t>Negatīvā ietekme var pārsniegt 5 milj</w:t>
      </w:r>
      <w:r w:rsidR="00BA7CFE">
        <w:rPr>
          <w:rFonts w:ascii="Times New Roman" w:eastAsia="Times New Roman" w:hAnsi="Times New Roman" w:cs="Times New Roman"/>
          <w:color w:val="000000"/>
          <w:sz w:val="24"/>
          <w:szCs w:val="24"/>
          <w:lang w:eastAsia="lv-LV"/>
        </w:rPr>
        <w:t>.</w:t>
      </w:r>
      <w:r w:rsidRPr="002F02DC">
        <w:rPr>
          <w:rFonts w:ascii="Times New Roman" w:eastAsia="Times New Roman" w:hAnsi="Times New Roman" w:cs="Times New Roman"/>
          <w:color w:val="000000"/>
          <w:sz w:val="24"/>
          <w:szCs w:val="24"/>
          <w:lang w:eastAsia="lv-LV"/>
        </w:rPr>
        <w:t> </w:t>
      </w:r>
      <w:r w:rsidRPr="002F02DC">
        <w:rPr>
          <w:rFonts w:ascii="Times New Roman" w:eastAsia="Times New Roman" w:hAnsi="Times New Roman" w:cs="Times New Roman"/>
          <w:i/>
          <w:iCs/>
          <w:color w:val="000000"/>
          <w:sz w:val="24"/>
          <w:szCs w:val="24"/>
          <w:lang w:eastAsia="lv-LV"/>
        </w:rPr>
        <w:t>euro</w:t>
      </w:r>
      <w:r w:rsidRPr="002F02DC">
        <w:rPr>
          <w:rFonts w:ascii="Times New Roman" w:eastAsia="Times New Roman" w:hAnsi="Times New Roman" w:cs="Times New Roman"/>
          <w:color w:val="000000"/>
          <w:sz w:val="24"/>
          <w:szCs w:val="24"/>
          <w:lang w:eastAsia="lv-LV"/>
        </w:rPr>
        <w:t>, ja pašvaldība nodrošina, ka tā kopā ar savām vispārējās valdības sektorā iekļautajām kapitālsabiedrībām un citām institūcijām nodrošin</w:t>
      </w:r>
      <w:r>
        <w:rPr>
          <w:rFonts w:ascii="Times New Roman" w:eastAsia="Times New Roman" w:hAnsi="Times New Roman" w:cs="Times New Roman"/>
          <w:color w:val="000000"/>
          <w:sz w:val="24"/>
          <w:szCs w:val="24"/>
          <w:lang w:eastAsia="lv-LV"/>
        </w:rPr>
        <w:t xml:space="preserve">a neitrālu vai pozitīvu ietekmi vai arī ir saņemta </w:t>
      </w:r>
      <w:r w:rsidR="00F96C1A">
        <w:rPr>
          <w:rFonts w:ascii="Times New Roman" w:eastAsia="Times New Roman" w:hAnsi="Times New Roman" w:cs="Times New Roman"/>
          <w:color w:val="000000"/>
          <w:sz w:val="24"/>
          <w:szCs w:val="24"/>
          <w:lang w:eastAsia="lv-LV"/>
        </w:rPr>
        <w:t>MK</w:t>
      </w:r>
      <w:r>
        <w:rPr>
          <w:rFonts w:ascii="Times New Roman" w:eastAsia="Times New Roman" w:hAnsi="Times New Roman" w:cs="Times New Roman"/>
          <w:color w:val="000000"/>
          <w:sz w:val="24"/>
          <w:szCs w:val="24"/>
          <w:lang w:eastAsia="lv-LV"/>
        </w:rPr>
        <w:t xml:space="preserve"> piekrišana negatīvās ietekmes pārsniegšanai.</w:t>
      </w:r>
    </w:p>
    <w:p w14:paraId="65D28E79" w14:textId="77777777" w:rsidR="00C240CB" w:rsidRDefault="00C240CB" w:rsidP="001D3D94">
      <w:pPr>
        <w:spacing w:after="0" w:line="240" w:lineRule="auto"/>
        <w:ind w:firstLine="720"/>
        <w:jc w:val="both"/>
        <w:rPr>
          <w:rFonts w:ascii="Times New Roman" w:eastAsiaTheme="minorHAnsi" w:hAnsi="Times New Roman" w:cs="Times New Roman"/>
          <w:sz w:val="24"/>
        </w:rPr>
      </w:pPr>
    </w:p>
    <w:p w14:paraId="4609E47D" w14:textId="5CD80206" w:rsidR="001D3D94" w:rsidRPr="0037264A" w:rsidRDefault="001D3D94" w:rsidP="002A762C">
      <w:pPr>
        <w:spacing w:after="0" w:line="240" w:lineRule="auto"/>
        <w:ind w:firstLine="720"/>
        <w:jc w:val="both"/>
        <w:rPr>
          <w:rFonts w:ascii="Times New Roman" w:eastAsiaTheme="minorHAnsi" w:hAnsi="Times New Roman" w:cs="Times New Roman"/>
          <w:sz w:val="24"/>
        </w:rPr>
      </w:pPr>
      <w:r w:rsidRPr="0037264A">
        <w:rPr>
          <w:rFonts w:ascii="Times New Roman" w:eastAsiaTheme="minorHAnsi" w:hAnsi="Times New Roman" w:cs="Times New Roman"/>
          <w:sz w:val="24"/>
        </w:rPr>
        <w:t>Savukārt attiecībā uz kapitālsabiedrībām, kuras Centrālā statistikas pārvalde</w:t>
      </w:r>
      <w:r w:rsidR="00A760C1">
        <w:rPr>
          <w:rFonts w:ascii="Times New Roman" w:eastAsiaTheme="minorHAnsi" w:hAnsi="Times New Roman" w:cs="Times New Roman"/>
          <w:sz w:val="24"/>
        </w:rPr>
        <w:t xml:space="preserve"> (turpmāk – </w:t>
      </w:r>
      <w:r w:rsidR="00A760C1" w:rsidRPr="00396F3A">
        <w:rPr>
          <w:rFonts w:ascii="Times New Roman" w:eastAsiaTheme="minorHAnsi" w:hAnsi="Times New Roman" w:cs="Times New Roman"/>
          <w:sz w:val="24"/>
        </w:rPr>
        <w:t>CSP</w:t>
      </w:r>
      <w:r w:rsidR="00A760C1">
        <w:rPr>
          <w:rFonts w:ascii="Times New Roman" w:eastAsiaTheme="minorHAnsi" w:hAnsi="Times New Roman" w:cs="Times New Roman"/>
          <w:sz w:val="24"/>
        </w:rPr>
        <w:t>)</w:t>
      </w:r>
      <w:r w:rsidRPr="0037264A">
        <w:rPr>
          <w:rFonts w:ascii="Times New Roman" w:eastAsiaTheme="minorHAnsi" w:hAnsi="Times New Roman" w:cs="Times New Roman"/>
          <w:sz w:val="24"/>
        </w:rPr>
        <w:t xml:space="preserve"> pieklasificē vispārējās valdības sektorā notifikācijas sagatavošanas procesā, ir nošķirami divi </w:t>
      </w:r>
      <w:r w:rsidRPr="0037264A">
        <w:rPr>
          <w:rFonts w:ascii="Times New Roman" w:eastAsiaTheme="minorHAnsi" w:hAnsi="Times New Roman" w:cs="Times New Roman"/>
          <w:sz w:val="24"/>
        </w:rPr>
        <w:lastRenderedPageBreak/>
        <w:t xml:space="preserve">gadījumi. Pirmajā gadījumā FM, pamatojoties uz tās rīcībā esošo informāciju par konkrētās kapitālsabiedrības darbību un savu novērtējumu par sabiedrības ietekmi uz vispārējās valdības sektora fiskālajiem rādītājiem, var gadskārtējā valsts budžeta likumprojekta un </w:t>
      </w:r>
      <w:r w:rsidR="00630E31">
        <w:rPr>
          <w:rFonts w:ascii="Times New Roman" w:eastAsiaTheme="minorHAnsi" w:hAnsi="Times New Roman" w:cs="Times New Roman"/>
          <w:sz w:val="24"/>
        </w:rPr>
        <w:t>VTBIL</w:t>
      </w:r>
      <w:r w:rsidRPr="0037264A">
        <w:rPr>
          <w:rFonts w:ascii="Times New Roman" w:eastAsiaTheme="minorHAnsi" w:hAnsi="Times New Roman" w:cs="Times New Roman"/>
          <w:sz w:val="24"/>
        </w:rPr>
        <w:t xml:space="preserve"> sagatavošanas procesā ietvert kapitālsabiedrības ietekmi fiskālajās prognozēs. Otrajā gadījumā, kad nav bijis iespējams paredzēt kādas kapitālsabiedrības klasificēšanu vispārējās valdības sektorā, tikai tās sabiedrības, kuru saimnieciskās darbības rezultāts (ņemot vērā konsolidācijas efektus sektora ietvaros) ir negatīvs, rada negatīvu fiskālo ietekmi. </w:t>
      </w:r>
    </w:p>
    <w:p w14:paraId="048F752B" w14:textId="469F1EBB" w:rsidR="001D3D94" w:rsidRPr="0037264A" w:rsidRDefault="001D3D94" w:rsidP="002A762C">
      <w:pPr>
        <w:spacing w:after="0" w:line="240" w:lineRule="auto"/>
        <w:ind w:firstLine="720"/>
        <w:jc w:val="both"/>
        <w:rPr>
          <w:rFonts w:ascii="Times New Roman" w:eastAsiaTheme="minorHAnsi" w:hAnsi="Times New Roman" w:cs="Times New Roman"/>
          <w:sz w:val="24"/>
        </w:rPr>
      </w:pPr>
      <w:r w:rsidRPr="0037264A">
        <w:rPr>
          <w:rFonts w:ascii="Times New Roman" w:eastAsiaTheme="minorHAnsi" w:hAnsi="Times New Roman" w:cs="Times New Roman"/>
          <w:sz w:val="24"/>
        </w:rPr>
        <w:t xml:space="preserve">Iepriekšminētā riska mazināšanai tiek īstenots aktīvs dialogs ar kompetentajām statistikas iestādēm (t.i. </w:t>
      </w:r>
      <w:r w:rsidR="00B46098">
        <w:rPr>
          <w:rFonts w:ascii="Times New Roman" w:eastAsiaTheme="minorHAnsi" w:hAnsi="Times New Roman" w:cs="Times New Roman"/>
          <w:sz w:val="24"/>
        </w:rPr>
        <w:t>CSP</w:t>
      </w:r>
      <w:r w:rsidRPr="0037264A">
        <w:rPr>
          <w:rFonts w:ascii="Times New Roman" w:eastAsiaTheme="minorHAnsi" w:hAnsi="Times New Roman" w:cs="Times New Roman"/>
          <w:sz w:val="24"/>
        </w:rPr>
        <w:t xml:space="preserve"> un ES statistikas biroju </w:t>
      </w:r>
      <w:r w:rsidRPr="0037264A">
        <w:rPr>
          <w:rFonts w:ascii="Times New Roman" w:eastAsiaTheme="minorHAnsi" w:hAnsi="Times New Roman" w:cs="Times New Roman"/>
          <w:i/>
          <w:sz w:val="24"/>
        </w:rPr>
        <w:t>Eurostat</w:t>
      </w:r>
      <w:r w:rsidRPr="0037264A">
        <w:rPr>
          <w:rFonts w:ascii="Times New Roman" w:eastAsiaTheme="minorHAnsi" w:hAnsi="Times New Roman" w:cs="Times New Roman"/>
          <w:sz w:val="24"/>
        </w:rPr>
        <w:t xml:space="preserve">), lai iespējamie pieklasificēšanās gadījumi tiktu savlaicīgi apzināti, lai gan ne vienmēr objektīvu iemeslu dēļ tas ir iespējams. </w:t>
      </w:r>
    </w:p>
    <w:p w14:paraId="32B70905" w14:textId="17CAFC6A" w:rsidR="00A07DFA" w:rsidRPr="00DD34DC" w:rsidRDefault="001D3D94" w:rsidP="00BB69DC">
      <w:pPr>
        <w:pStyle w:val="BodyText2"/>
        <w:tabs>
          <w:tab w:val="left" w:pos="709"/>
          <w:tab w:val="left" w:pos="1134"/>
        </w:tabs>
        <w:spacing w:before="120" w:line="240" w:lineRule="auto"/>
        <w:ind w:firstLine="709"/>
        <w:jc w:val="both"/>
        <w:rPr>
          <w:szCs w:val="28"/>
        </w:rPr>
      </w:pPr>
      <w:r w:rsidRPr="0037264A">
        <w:rPr>
          <w:rFonts w:ascii="Times New Roman" w:hAnsi="Times New Roman" w:cs="Times New Roman"/>
          <w:bCs/>
          <w:sz w:val="24"/>
          <w:szCs w:val="24"/>
        </w:rPr>
        <w:t>Pašlaik VAS “Latvijas dzelzceļš” (</w:t>
      </w:r>
      <w:r w:rsidRPr="0031485E">
        <w:rPr>
          <w:rFonts w:ascii="Times New Roman" w:hAnsi="Times New Roman" w:cs="Times New Roman"/>
          <w:bCs/>
          <w:sz w:val="24"/>
          <w:szCs w:val="24"/>
        </w:rPr>
        <w:t xml:space="preserve">turpmāk – </w:t>
      </w:r>
      <w:r w:rsidRPr="00396F3A">
        <w:rPr>
          <w:rFonts w:ascii="Times New Roman" w:hAnsi="Times New Roman" w:cs="Times New Roman"/>
          <w:bCs/>
          <w:sz w:val="24"/>
          <w:szCs w:val="24"/>
        </w:rPr>
        <w:t>LDz</w:t>
      </w:r>
      <w:r w:rsidRPr="0037264A">
        <w:rPr>
          <w:rFonts w:ascii="Times New Roman" w:hAnsi="Times New Roman" w:cs="Times New Roman"/>
          <w:bCs/>
          <w:sz w:val="24"/>
          <w:szCs w:val="24"/>
        </w:rPr>
        <w:t xml:space="preserve">) atbilstoši </w:t>
      </w:r>
      <w:r w:rsidR="00A760C1">
        <w:rPr>
          <w:rFonts w:ascii="Times New Roman" w:eastAsiaTheme="minorHAnsi" w:hAnsi="Times New Roman" w:cs="Times New Roman"/>
          <w:sz w:val="24"/>
        </w:rPr>
        <w:t>CSP</w:t>
      </w:r>
      <w:r w:rsidR="00A760C1" w:rsidRPr="0037264A">
        <w:rPr>
          <w:rFonts w:ascii="Times New Roman" w:hAnsi="Times New Roman" w:cs="Times New Roman"/>
          <w:bCs/>
          <w:sz w:val="24"/>
          <w:szCs w:val="24"/>
        </w:rPr>
        <w:t xml:space="preserve"> </w:t>
      </w:r>
      <w:r w:rsidRPr="0037264A">
        <w:rPr>
          <w:rFonts w:ascii="Times New Roman" w:hAnsi="Times New Roman" w:cs="Times New Roman"/>
          <w:bCs/>
          <w:sz w:val="24"/>
          <w:szCs w:val="24"/>
        </w:rPr>
        <w:t>izveidotajam un uzturētajam institucionālo sektoru klasifikācijas vienību sarakstam ir klasificēts nefinanšu sabiedrību sektorā jeb ārpus vispārējās valdības sektora</w:t>
      </w:r>
      <w:r w:rsidRPr="0037264A">
        <w:rPr>
          <w:rStyle w:val="FootnoteReference"/>
          <w:rFonts w:ascii="Times New Roman" w:hAnsi="Times New Roman" w:cs="Times New Roman"/>
          <w:bCs/>
          <w:sz w:val="24"/>
          <w:szCs w:val="24"/>
        </w:rPr>
        <w:footnoteReference w:id="9"/>
      </w:r>
      <w:r w:rsidRPr="0037264A">
        <w:rPr>
          <w:rFonts w:ascii="Times New Roman" w:hAnsi="Times New Roman" w:cs="Times New Roman"/>
          <w:bCs/>
          <w:sz w:val="24"/>
          <w:szCs w:val="24"/>
        </w:rPr>
        <w:t xml:space="preserve">. Tomēr, ņemot vērā, ka lielā daļā citu ES dalībvalstu dzelzceļa infrastruktūras pārvaldītāji ir klasificēti vispārējās valdības sektorā, ES statistikas birojs </w:t>
      </w:r>
      <w:r w:rsidRPr="0037264A">
        <w:rPr>
          <w:rFonts w:ascii="Times New Roman" w:hAnsi="Times New Roman" w:cs="Times New Roman"/>
          <w:bCs/>
          <w:i/>
          <w:iCs/>
          <w:sz w:val="24"/>
          <w:szCs w:val="24"/>
        </w:rPr>
        <w:t>Eurostat</w:t>
      </w:r>
      <w:r w:rsidRPr="0037264A">
        <w:rPr>
          <w:rFonts w:ascii="Times New Roman" w:hAnsi="Times New Roman" w:cs="Times New Roman"/>
          <w:bCs/>
          <w:sz w:val="24"/>
          <w:szCs w:val="24"/>
        </w:rPr>
        <w:t xml:space="preserve"> sadarbībā ar </w:t>
      </w:r>
      <w:r w:rsidR="00B46098">
        <w:rPr>
          <w:rFonts w:ascii="Times New Roman" w:eastAsiaTheme="minorHAnsi" w:hAnsi="Times New Roman" w:cs="Times New Roman"/>
          <w:sz w:val="24"/>
        </w:rPr>
        <w:t>CSP</w:t>
      </w:r>
      <w:r w:rsidR="00B46098" w:rsidRPr="0037264A">
        <w:rPr>
          <w:rFonts w:ascii="Times New Roman" w:hAnsi="Times New Roman" w:cs="Times New Roman"/>
          <w:bCs/>
          <w:sz w:val="24"/>
          <w:szCs w:val="24"/>
        </w:rPr>
        <w:t xml:space="preserve"> </w:t>
      </w:r>
      <w:r w:rsidR="00DC4D6C">
        <w:rPr>
          <w:rFonts w:ascii="Times New Roman" w:hAnsi="Times New Roman" w:cs="Times New Roman"/>
          <w:bCs/>
          <w:sz w:val="24"/>
          <w:szCs w:val="24"/>
        </w:rPr>
        <w:t>veic</w:t>
      </w:r>
      <w:r w:rsidRPr="0037264A">
        <w:rPr>
          <w:rFonts w:ascii="Times New Roman" w:hAnsi="Times New Roman" w:cs="Times New Roman"/>
          <w:bCs/>
          <w:sz w:val="24"/>
          <w:szCs w:val="24"/>
        </w:rPr>
        <w:t xml:space="preserve"> padziļinātu analīzi par LDz</w:t>
      </w:r>
      <w:r w:rsidR="00DC4D6C">
        <w:rPr>
          <w:rFonts w:ascii="Times New Roman" w:hAnsi="Times New Roman" w:cs="Times New Roman"/>
          <w:bCs/>
          <w:sz w:val="24"/>
          <w:szCs w:val="24"/>
        </w:rPr>
        <w:t xml:space="preserve">, lai </w:t>
      </w:r>
      <w:r w:rsidRPr="0037264A">
        <w:rPr>
          <w:rFonts w:ascii="Times New Roman" w:hAnsi="Times New Roman" w:cs="Times New Roman"/>
          <w:bCs/>
          <w:sz w:val="24"/>
          <w:szCs w:val="24"/>
        </w:rPr>
        <w:t>pārbaud</w:t>
      </w:r>
      <w:r w:rsidR="00DC4D6C">
        <w:rPr>
          <w:rFonts w:ascii="Times New Roman" w:hAnsi="Times New Roman" w:cs="Times New Roman"/>
          <w:bCs/>
          <w:sz w:val="24"/>
          <w:szCs w:val="24"/>
        </w:rPr>
        <w:t>ītu</w:t>
      </w:r>
      <w:r w:rsidRPr="0037264A">
        <w:rPr>
          <w:rFonts w:ascii="Times New Roman" w:hAnsi="Times New Roman" w:cs="Times New Roman"/>
          <w:bCs/>
          <w:sz w:val="24"/>
          <w:szCs w:val="24"/>
        </w:rPr>
        <w:t xml:space="preserve">, vai kapitālsabiedrības klasifikācija ārpus vispārējās valdības sektora ir korekta. Pamatojoties uz </w:t>
      </w:r>
      <w:r w:rsidRPr="0037264A">
        <w:rPr>
          <w:rFonts w:ascii="Times New Roman" w:hAnsi="Times New Roman" w:cs="Times New Roman"/>
          <w:bCs/>
          <w:i/>
          <w:iCs/>
          <w:sz w:val="24"/>
          <w:szCs w:val="24"/>
        </w:rPr>
        <w:t>Eurostat</w:t>
      </w:r>
      <w:r w:rsidRPr="0037264A">
        <w:rPr>
          <w:rFonts w:ascii="Times New Roman" w:hAnsi="Times New Roman" w:cs="Times New Roman"/>
          <w:bCs/>
          <w:sz w:val="24"/>
          <w:szCs w:val="24"/>
        </w:rPr>
        <w:t xml:space="preserve"> metodoloģiju, kas nosaka šādu institūciju klasifikāciju vispārējās valdības sektorā, kā arī, ņemot vērā nozarē pastāvošās kravu apgrozījuma tendences, pastāv risks, ka LDz klasifikācija var tikt pārskatīta un uzņēmums var tikt klasificēts vispārējās valdības sektorā. </w:t>
      </w:r>
      <w:r w:rsidR="00837FD1">
        <w:rPr>
          <w:rFonts w:ascii="Times New Roman" w:hAnsi="Times New Roman" w:cs="Times New Roman"/>
          <w:bCs/>
          <w:sz w:val="24"/>
          <w:szCs w:val="24"/>
        </w:rPr>
        <w:t>Atbilstoši Satiksmes ministrijas sniegtajai informācijai, kas pamatota ar analīzi, šāda riska iestāšanās nav paredzama tuvāko gadu laikā. Vienlaicīgi, ņemot vērā esošās tendences un apzinoties iesp</w:t>
      </w:r>
      <w:r w:rsidR="00A07DFA">
        <w:rPr>
          <w:rFonts w:ascii="Times New Roman" w:hAnsi="Times New Roman" w:cs="Times New Roman"/>
          <w:bCs/>
          <w:sz w:val="24"/>
          <w:szCs w:val="24"/>
        </w:rPr>
        <w:t>ējamo</w:t>
      </w:r>
      <w:r w:rsidR="00837FD1">
        <w:rPr>
          <w:rFonts w:ascii="Times New Roman" w:hAnsi="Times New Roman" w:cs="Times New Roman"/>
          <w:bCs/>
          <w:sz w:val="24"/>
          <w:szCs w:val="24"/>
        </w:rPr>
        <w:t xml:space="preserve"> negat</w:t>
      </w:r>
      <w:r w:rsidR="00A07DFA">
        <w:rPr>
          <w:rFonts w:ascii="Times New Roman" w:hAnsi="Times New Roman" w:cs="Times New Roman"/>
          <w:bCs/>
          <w:sz w:val="24"/>
          <w:szCs w:val="24"/>
        </w:rPr>
        <w:t>īvo</w:t>
      </w:r>
      <w:r w:rsidR="00837FD1">
        <w:rPr>
          <w:rFonts w:ascii="Times New Roman" w:hAnsi="Times New Roman" w:cs="Times New Roman"/>
          <w:bCs/>
          <w:sz w:val="24"/>
          <w:szCs w:val="24"/>
        </w:rPr>
        <w:t xml:space="preserve"> </w:t>
      </w:r>
      <w:r w:rsidR="00A07DFA">
        <w:rPr>
          <w:rFonts w:ascii="Times New Roman" w:hAnsi="Times New Roman" w:cs="Times New Roman"/>
          <w:bCs/>
          <w:sz w:val="24"/>
          <w:szCs w:val="24"/>
        </w:rPr>
        <w:t>šoku potenciālo ietekmi</w:t>
      </w:r>
      <w:r w:rsidR="00837FD1">
        <w:rPr>
          <w:rFonts w:ascii="Times New Roman" w:hAnsi="Times New Roman" w:cs="Times New Roman"/>
          <w:bCs/>
          <w:sz w:val="24"/>
          <w:szCs w:val="24"/>
        </w:rPr>
        <w:t xml:space="preserve"> uz uzņēmuma darbību, dot</w:t>
      </w:r>
      <w:r w:rsidR="00A07DFA">
        <w:rPr>
          <w:rFonts w:ascii="Times New Roman" w:hAnsi="Times New Roman" w:cs="Times New Roman"/>
          <w:bCs/>
          <w:sz w:val="24"/>
          <w:szCs w:val="24"/>
        </w:rPr>
        <w:t xml:space="preserve">ajam fiskālajam riskam ir jānosaka pastiprinātas uzraudzības turpināšana. Šajā kontekstā </w:t>
      </w:r>
      <w:r w:rsidR="009E2FBA">
        <w:rPr>
          <w:rFonts w:ascii="Times New Roman" w:hAnsi="Times New Roman" w:cs="Times New Roman"/>
          <w:bCs/>
          <w:sz w:val="24"/>
          <w:szCs w:val="24"/>
        </w:rPr>
        <w:t xml:space="preserve">MK </w:t>
      </w:r>
      <w:r w:rsidR="00A07DFA">
        <w:rPr>
          <w:rFonts w:ascii="Times New Roman" w:hAnsi="Times New Roman" w:cs="Times New Roman"/>
          <w:bCs/>
          <w:sz w:val="24"/>
          <w:szCs w:val="24"/>
        </w:rPr>
        <w:t xml:space="preserve">protokollēmuma projektā tiek noteikts, ka, lai </w:t>
      </w:r>
      <w:r w:rsidR="00A07DFA" w:rsidRPr="00BB69DC">
        <w:rPr>
          <w:rFonts w:ascii="Times New Roman" w:hAnsi="Times New Roman" w:cs="Times New Roman"/>
          <w:bCs/>
          <w:sz w:val="24"/>
          <w:szCs w:val="24"/>
        </w:rPr>
        <w:t xml:space="preserve">nodrošinātu savlaicīgu fiskālā riska vadību, kas rodas no iespējamās </w:t>
      </w:r>
      <w:r w:rsidR="009C5AC7">
        <w:rPr>
          <w:rFonts w:ascii="Times New Roman" w:hAnsi="Times New Roman" w:cs="Times New Roman"/>
          <w:bCs/>
          <w:sz w:val="24"/>
          <w:szCs w:val="24"/>
        </w:rPr>
        <w:t>LDz</w:t>
      </w:r>
      <w:r w:rsidR="00A07DFA" w:rsidRPr="00BB69DC">
        <w:rPr>
          <w:rFonts w:ascii="Times New Roman" w:hAnsi="Times New Roman" w:cs="Times New Roman"/>
          <w:bCs/>
          <w:sz w:val="24"/>
          <w:szCs w:val="24"/>
        </w:rPr>
        <w:t xml:space="preserve"> klasificēšanas vispārējās valdības sektorā, Satiksmes ministrijai saskaņā ar </w:t>
      </w:r>
      <w:r w:rsidR="009C5AC7">
        <w:rPr>
          <w:rFonts w:ascii="Times New Roman" w:hAnsi="Times New Roman" w:cs="Times New Roman"/>
          <w:bCs/>
          <w:sz w:val="24"/>
          <w:szCs w:val="24"/>
        </w:rPr>
        <w:t>FM</w:t>
      </w:r>
      <w:r w:rsidR="00A07DFA" w:rsidRPr="00BB69DC">
        <w:rPr>
          <w:rFonts w:ascii="Times New Roman" w:hAnsi="Times New Roman" w:cs="Times New Roman"/>
          <w:bCs/>
          <w:sz w:val="24"/>
          <w:szCs w:val="24"/>
        </w:rPr>
        <w:t xml:space="preserve"> pieprasījumu noteiktajā termiņā un apjomā, kas nepieciešams </w:t>
      </w:r>
      <w:r w:rsidR="00396F3A">
        <w:rPr>
          <w:rFonts w:ascii="Times New Roman" w:hAnsi="Times New Roman" w:cs="Times New Roman"/>
          <w:bCs/>
          <w:sz w:val="24"/>
          <w:szCs w:val="24"/>
        </w:rPr>
        <w:t>EKS</w:t>
      </w:r>
      <w:r w:rsidR="00A07DFA" w:rsidRPr="00BB69DC">
        <w:rPr>
          <w:rFonts w:ascii="Times New Roman" w:hAnsi="Times New Roman" w:cs="Times New Roman"/>
          <w:bCs/>
          <w:sz w:val="24"/>
          <w:szCs w:val="24"/>
        </w:rPr>
        <w:t xml:space="preserve"> metodoloģijas institucionālo vienību klasificēšanas kritēriju novērtēšanai, sniegt nepieciešamo informāciju un veikt analītiskos aprēķinus.</w:t>
      </w:r>
    </w:p>
    <w:p w14:paraId="78201197" w14:textId="77777777" w:rsidR="005B7184" w:rsidRDefault="005B7184" w:rsidP="00BA7CFE">
      <w:pPr>
        <w:spacing w:after="0" w:line="240" w:lineRule="auto"/>
        <w:ind w:firstLine="720"/>
        <w:jc w:val="both"/>
        <w:rPr>
          <w:rFonts w:ascii="Times New Roman" w:eastAsiaTheme="minorHAnsi" w:hAnsi="Times New Roman" w:cs="Times New Roman"/>
          <w:sz w:val="24"/>
        </w:rPr>
      </w:pPr>
    </w:p>
    <w:tbl>
      <w:tblPr>
        <w:tblStyle w:val="TableGrid"/>
        <w:tblW w:w="0" w:type="auto"/>
        <w:tblLook w:val="04A0" w:firstRow="1" w:lastRow="0" w:firstColumn="1" w:lastColumn="0" w:noHBand="0" w:noVBand="1"/>
      </w:tblPr>
      <w:tblGrid>
        <w:gridCol w:w="9628"/>
      </w:tblGrid>
      <w:tr w:rsidR="005B7184" w14:paraId="6C0A4E5F" w14:textId="77777777" w:rsidTr="006D6BF4">
        <w:tc>
          <w:tcPr>
            <w:tcW w:w="9628" w:type="dxa"/>
            <w:tcBorders>
              <w:bottom w:val="single" w:sz="4" w:space="0" w:color="auto"/>
            </w:tcBorders>
            <w:shd w:val="clear" w:color="auto" w:fill="DEEAF6" w:themeFill="accent1" w:themeFillTint="33"/>
          </w:tcPr>
          <w:p w14:paraId="0B876DE2" w14:textId="77777777" w:rsidR="005B7184" w:rsidRPr="00C47A7A" w:rsidRDefault="005B7184" w:rsidP="00D75116">
            <w:pPr>
              <w:jc w:val="center"/>
              <w:rPr>
                <w:rFonts w:cs="Times New Roman"/>
              </w:rPr>
            </w:pPr>
            <w:bookmarkStart w:id="42" w:name="_Toc47532075"/>
            <w:r w:rsidRPr="00C47A7A">
              <w:rPr>
                <w:rFonts w:eastAsiaTheme="minorEastAsia" w:cs="Times New Roman"/>
                <w:b/>
              </w:rPr>
              <w:t>Attīstības finanšu institūcija Altum</w:t>
            </w:r>
            <w:bookmarkEnd w:id="42"/>
          </w:p>
          <w:p w14:paraId="10BA13FA" w14:textId="77777777" w:rsidR="001D0D36" w:rsidRPr="00330ED5" w:rsidRDefault="001D0D36" w:rsidP="00A01E7A">
            <w:pPr>
              <w:pStyle w:val="ListParagraph"/>
              <w:ind w:left="4430"/>
              <w:rPr>
                <w:rFonts w:ascii="Times New Roman" w:hAnsi="Times New Roman"/>
                <w:sz w:val="20"/>
                <w:szCs w:val="20"/>
                <w:highlight w:val="yellow"/>
              </w:rPr>
            </w:pPr>
          </w:p>
          <w:p w14:paraId="3E16DBD2" w14:textId="43F4F0D6" w:rsidR="005B7184" w:rsidRDefault="005B7184" w:rsidP="00A01E7A">
            <w:pPr>
              <w:ind w:firstLine="720"/>
              <w:jc w:val="both"/>
              <w:rPr>
                <w:rFonts w:cs="Times New Roman"/>
              </w:rPr>
            </w:pPr>
            <w:r>
              <w:rPr>
                <w:rFonts w:cs="Times New Roman"/>
              </w:rPr>
              <w:t xml:space="preserve">Deklarācijas ietvaros, kā īpašu sabiedrību, kas klasificēta vispārējās valdības sektorā, ir jāizdala </w:t>
            </w:r>
            <w:r w:rsidR="00B6062F">
              <w:rPr>
                <w:rFonts w:cs="Times New Roman"/>
              </w:rPr>
              <w:t>Altum</w:t>
            </w:r>
            <w:r>
              <w:rPr>
                <w:rFonts w:cs="Times New Roman"/>
              </w:rPr>
              <w:t xml:space="preserve">, jo tajā tiek koncentrēti paaugstināti finanšu riski, lai </w:t>
            </w:r>
            <w:r w:rsidRPr="00C974D7">
              <w:rPr>
                <w:rFonts w:cs="Times New Roman"/>
              </w:rPr>
              <w:t xml:space="preserve">vienuviet </w:t>
            </w:r>
            <w:r>
              <w:rPr>
                <w:rFonts w:cs="Times New Roman"/>
              </w:rPr>
              <w:t xml:space="preserve">efektīvi izmantotu </w:t>
            </w:r>
            <w:r w:rsidRPr="00C974D7">
              <w:rPr>
                <w:rFonts w:cs="Times New Roman"/>
              </w:rPr>
              <w:t>ierobežotos valsts resursus finanšu instrumentu valsts atbalsta un attīstības programmu īstenošanai</w:t>
            </w:r>
            <w:r>
              <w:rPr>
                <w:rFonts w:cs="Times New Roman"/>
              </w:rPr>
              <w:t>.</w:t>
            </w:r>
          </w:p>
          <w:p w14:paraId="0DFBDD63" w14:textId="589BD153" w:rsidR="005B7184" w:rsidRDefault="005B7184" w:rsidP="00A01E7A">
            <w:pPr>
              <w:ind w:firstLine="720"/>
              <w:jc w:val="both"/>
              <w:rPr>
                <w:rFonts w:cs="Times New Roman"/>
              </w:rPr>
            </w:pPr>
            <w:r w:rsidRPr="00064769">
              <w:rPr>
                <w:rFonts w:cs="Times New Roman"/>
              </w:rPr>
              <w:t>A</w:t>
            </w:r>
            <w:r>
              <w:rPr>
                <w:rFonts w:cs="Times New Roman"/>
              </w:rPr>
              <w:t>ltum</w:t>
            </w:r>
            <w:r>
              <w:rPr>
                <w:rStyle w:val="FootnoteReference"/>
                <w:rFonts w:cs="Times New Roman"/>
              </w:rPr>
              <w:footnoteReference w:id="10"/>
            </w:r>
            <w:r>
              <w:rPr>
                <w:rFonts w:cs="Times New Roman"/>
              </w:rPr>
              <w:t xml:space="preserve"> dibināta 2013.gada 27.decembrī un </w:t>
            </w:r>
            <w:r w:rsidRPr="00064769">
              <w:rPr>
                <w:rFonts w:cs="Times New Roman"/>
              </w:rPr>
              <w:t>kā valsts kapitālsabiedrība fokusējas uz uzņēmējdarbības atbalstu ar finanšu instrumentu palīdzību. A</w:t>
            </w:r>
            <w:r>
              <w:rPr>
                <w:rFonts w:cs="Times New Roman"/>
              </w:rPr>
              <w:t>ltum</w:t>
            </w:r>
            <w:r w:rsidRPr="00064769">
              <w:rPr>
                <w:rFonts w:cs="Times New Roman"/>
              </w:rPr>
              <w:t xml:space="preserve"> ir </w:t>
            </w:r>
            <w:r w:rsidRPr="00146C29">
              <w:rPr>
                <w:rFonts w:cs="Times New Roman"/>
              </w:rPr>
              <w:t>vienota valsts mēroga</w:t>
            </w:r>
            <w:r w:rsidRPr="00064769">
              <w:rPr>
                <w:rFonts w:cs="Times New Roman"/>
              </w:rPr>
              <w:t xml:space="preserve"> attīstības finanšu institūcija, kas ar finanšu instrumentiem (aizdevumiem, garantijām, ieguldījumiem riska kapitāla fondos u.c.) nodrošina finansējumu jomās, kuras valsts ir izvirzījusi kā svarīgas un atbalstāmas, un kurās pietiekamā apjomā nav pieejams kredītiestāžu finansējums. Programmu īstenošanai tiek izmantots Latvijas un ES fondu finansējums.</w:t>
            </w:r>
          </w:p>
          <w:p w14:paraId="02DD8DF7" w14:textId="05D3B2CD" w:rsidR="00E813BA" w:rsidRDefault="00E813BA" w:rsidP="00E813BA">
            <w:pPr>
              <w:jc w:val="both"/>
              <w:rPr>
                <w:rFonts w:cs="Times New Roman"/>
              </w:rPr>
            </w:pPr>
          </w:p>
          <w:p w14:paraId="58ABFE40" w14:textId="05D3B2CD" w:rsidR="005B7184" w:rsidRPr="004172F5" w:rsidRDefault="005B7184" w:rsidP="00A01E7A">
            <w:pPr>
              <w:autoSpaceDE w:val="0"/>
              <w:autoSpaceDN w:val="0"/>
              <w:adjustRightInd w:val="0"/>
              <w:jc w:val="right"/>
              <w:rPr>
                <w:rFonts w:cs="Times New Roman"/>
                <w:color w:val="000000"/>
                <w:szCs w:val="24"/>
              </w:rPr>
            </w:pPr>
            <w:r w:rsidRPr="004172F5">
              <w:rPr>
                <w:rFonts w:cs="Times New Roman"/>
                <w:b/>
                <w:color w:val="000000"/>
                <w:szCs w:val="20"/>
              </w:rPr>
              <w:t>Tabula Nr.</w:t>
            </w:r>
            <w:r>
              <w:rPr>
                <w:rFonts w:cs="Times New Roman"/>
                <w:b/>
                <w:color w:val="000000"/>
                <w:szCs w:val="20"/>
              </w:rPr>
              <w:t>8</w:t>
            </w:r>
            <w:r w:rsidRPr="004172F5">
              <w:rPr>
                <w:rFonts w:cs="Times New Roman"/>
                <w:b/>
                <w:color w:val="000000"/>
                <w:szCs w:val="20"/>
              </w:rPr>
              <w:t xml:space="preserve"> </w:t>
            </w:r>
            <w:r>
              <w:rPr>
                <w:rFonts w:cs="Times New Roman"/>
                <w:b/>
                <w:color w:val="000000"/>
                <w:szCs w:val="20"/>
              </w:rPr>
              <w:t xml:space="preserve">Altum plānotā un faktiskā ietekme uz vispārējās valdības budžeta bilanci </w:t>
            </w:r>
            <w:r w:rsidRPr="004172F5">
              <w:rPr>
                <w:rFonts w:cs="Times New Roman"/>
                <w:b/>
                <w:color w:val="000000"/>
                <w:szCs w:val="20"/>
              </w:rPr>
              <w:t xml:space="preserve">(milj. </w:t>
            </w:r>
            <w:r w:rsidRPr="004172F5">
              <w:rPr>
                <w:rFonts w:cs="Times New Roman"/>
                <w:b/>
                <w:i/>
                <w:color w:val="000000"/>
                <w:szCs w:val="20"/>
              </w:rPr>
              <w:t>euro</w:t>
            </w:r>
            <w:r w:rsidRPr="004172F5">
              <w:rPr>
                <w:rFonts w:cs="Times New Roman"/>
                <w:b/>
                <w:color w:val="000000"/>
                <w:szCs w:val="20"/>
              </w:rPr>
              <w:t xml:space="preserve">) </w:t>
            </w:r>
          </w:p>
          <w:tbl>
            <w:tblPr>
              <w:tblStyle w:val="GridTable6Colorful-Accent11"/>
              <w:tblW w:w="8545" w:type="dxa"/>
              <w:jc w:val="center"/>
              <w:tblLook w:val="04A0" w:firstRow="1" w:lastRow="0" w:firstColumn="1" w:lastColumn="0" w:noHBand="0" w:noVBand="1"/>
            </w:tblPr>
            <w:tblGrid>
              <w:gridCol w:w="2332"/>
              <w:gridCol w:w="1242"/>
              <w:gridCol w:w="1243"/>
              <w:gridCol w:w="1242"/>
              <w:gridCol w:w="1243"/>
              <w:gridCol w:w="1243"/>
            </w:tblGrid>
            <w:tr w:rsidR="00215098" w:rsidRPr="004172F5" w14:paraId="40BB5049" w14:textId="28B34AF0" w:rsidTr="00BB69D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32" w:type="dxa"/>
                  <w:tcBorders>
                    <w:top w:val="single" w:sz="12" w:space="0" w:color="5B9BD5" w:themeColor="accent1"/>
                    <w:left w:val="single" w:sz="12" w:space="0" w:color="5B9BD5" w:themeColor="accent1"/>
                    <w:right w:val="single" w:sz="12" w:space="0" w:color="5B9BD5" w:themeColor="accent1"/>
                  </w:tcBorders>
                  <w:shd w:val="clear" w:color="auto" w:fill="DEEAF6" w:themeFill="accent1" w:themeFillTint="33"/>
                  <w:vAlign w:val="center"/>
                </w:tcPr>
                <w:p w14:paraId="5945BF1B" w14:textId="77777777" w:rsidR="00215098" w:rsidRPr="004172F5" w:rsidRDefault="00215098" w:rsidP="00A01E7A">
                  <w:pPr>
                    <w:jc w:val="right"/>
                    <w:rPr>
                      <w:b w:val="0"/>
                      <w:color w:val="auto"/>
                      <w:sz w:val="22"/>
                    </w:rPr>
                  </w:pPr>
                </w:p>
              </w:tc>
              <w:tc>
                <w:tcPr>
                  <w:tcW w:w="1242" w:type="dxa"/>
                  <w:tcBorders>
                    <w:top w:val="single" w:sz="12" w:space="0" w:color="5B9BD5" w:themeColor="accent1"/>
                    <w:left w:val="single" w:sz="12" w:space="0" w:color="5B9BD5" w:themeColor="accent1"/>
                    <w:right w:val="single" w:sz="12" w:space="0" w:color="5B9BD5" w:themeColor="accent1"/>
                  </w:tcBorders>
                  <w:shd w:val="clear" w:color="auto" w:fill="DEEAF6" w:themeFill="accent1" w:themeFillTint="33"/>
                  <w:vAlign w:val="center"/>
                </w:tcPr>
                <w:p w14:paraId="63C15130" w14:textId="77777777" w:rsidR="00215098" w:rsidRPr="002A00F3" w:rsidRDefault="00215098" w:rsidP="002A00F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2A00F3">
                    <w:rPr>
                      <w:rFonts w:eastAsia="Times New Roman" w:cs="Times New Roman"/>
                      <w:bCs w:val="0"/>
                      <w:color w:val="auto"/>
                      <w:sz w:val="22"/>
                      <w:lang w:eastAsia="lv-LV"/>
                    </w:rPr>
                    <w:t>2016</w:t>
                  </w:r>
                </w:p>
              </w:tc>
              <w:tc>
                <w:tcPr>
                  <w:tcW w:w="1243" w:type="dxa"/>
                  <w:tcBorders>
                    <w:top w:val="single" w:sz="12" w:space="0" w:color="5B9BD5" w:themeColor="accent1"/>
                    <w:left w:val="single" w:sz="12" w:space="0" w:color="5B9BD5" w:themeColor="accent1"/>
                    <w:right w:val="single" w:sz="12" w:space="0" w:color="5B9BD5" w:themeColor="accent1"/>
                  </w:tcBorders>
                  <w:shd w:val="clear" w:color="auto" w:fill="DEEAF6" w:themeFill="accent1" w:themeFillTint="33"/>
                  <w:vAlign w:val="center"/>
                </w:tcPr>
                <w:p w14:paraId="0A548B3D" w14:textId="77777777" w:rsidR="00215098" w:rsidRPr="002A00F3" w:rsidRDefault="00215098" w:rsidP="002A00F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2A00F3">
                    <w:rPr>
                      <w:rFonts w:eastAsia="Times New Roman" w:cs="Times New Roman"/>
                      <w:bCs w:val="0"/>
                      <w:color w:val="auto"/>
                      <w:sz w:val="22"/>
                      <w:lang w:eastAsia="lv-LV"/>
                    </w:rPr>
                    <w:t>2017</w:t>
                  </w:r>
                </w:p>
              </w:tc>
              <w:tc>
                <w:tcPr>
                  <w:tcW w:w="1242" w:type="dxa"/>
                  <w:tcBorders>
                    <w:top w:val="single" w:sz="12" w:space="0" w:color="5B9BD5" w:themeColor="accent1"/>
                    <w:left w:val="single" w:sz="12" w:space="0" w:color="5B9BD5" w:themeColor="accent1"/>
                    <w:right w:val="single" w:sz="12" w:space="0" w:color="5B9BD5" w:themeColor="accent1"/>
                  </w:tcBorders>
                  <w:shd w:val="clear" w:color="auto" w:fill="DEEAF6" w:themeFill="accent1" w:themeFillTint="33"/>
                  <w:vAlign w:val="center"/>
                </w:tcPr>
                <w:p w14:paraId="686E4CBE" w14:textId="77777777" w:rsidR="00215098" w:rsidRPr="002A00F3" w:rsidRDefault="00215098" w:rsidP="002A00F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lang w:eastAsia="lv-LV"/>
                    </w:rPr>
                  </w:pPr>
                  <w:r w:rsidRPr="002A00F3">
                    <w:rPr>
                      <w:rFonts w:eastAsia="Times New Roman" w:cs="Times New Roman"/>
                      <w:bCs w:val="0"/>
                      <w:color w:val="auto"/>
                      <w:sz w:val="22"/>
                      <w:lang w:eastAsia="lv-LV"/>
                    </w:rPr>
                    <w:t>2018</w:t>
                  </w:r>
                </w:p>
              </w:tc>
              <w:tc>
                <w:tcPr>
                  <w:tcW w:w="1243" w:type="dxa"/>
                  <w:tcBorders>
                    <w:top w:val="single" w:sz="12" w:space="0" w:color="5B9BD5" w:themeColor="accent1"/>
                    <w:left w:val="single" w:sz="12" w:space="0" w:color="5B9BD5" w:themeColor="accent1"/>
                    <w:right w:val="single" w:sz="12" w:space="0" w:color="5B9BD5" w:themeColor="accent1"/>
                  </w:tcBorders>
                  <w:shd w:val="clear" w:color="auto" w:fill="DEEAF6" w:themeFill="accent1" w:themeFillTint="33"/>
                  <w:vAlign w:val="center"/>
                </w:tcPr>
                <w:p w14:paraId="6A830DF5" w14:textId="77777777" w:rsidR="00215098" w:rsidRPr="002A00F3" w:rsidRDefault="00215098" w:rsidP="002A00F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2A00F3">
                    <w:rPr>
                      <w:rFonts w:eastAsia="Times New Roman" w:cs="Times New Roman"/>
                      <w:color w:val="000000" w:themeColor="text1"/>
                      <w:sz w:val="22"/>
                      <w:lang w:eastAsia="lv-LV"/>
                    </w:rPr>
                    <w:t>2019</w:t>
                  </w:r>
                </w:p>
              </w:tc>
              <w:tc>
                <w:tcPr>
                  <w:tcW w:w="1243" w:type="dxa"/>
                  <w:tcBorders>
                    <w:top w:val="single" w:sz="12" w:space="0" w:color="5B9BD5" w:themeColor="accent1"/>
                    <w:left w:val="single" w:sz="12" w:space="0" w:color="5B9BD5" w:themeColor="accent1"/>
                    <w:right w:val="single" w:sz="12" w:space="0" w:color="5B9BD5" w:themeColor="accent1"/>
                  </w:tcBorders>
                  <w:shd w:val="clear" w:color="auto" w:fill="DEEAF6" w:themeFill="accent1" w:themeFillTint="33"/>
                </w:tcPr>
                <w:p w14:paraId="014EA758" w14:textId="5877233A" w:rsidR="00215098" w:rsidRPr="002A00F3" w:rsidRDefault="00215098" w:rsidP="002A00F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eastAsia="lv-LV"/>
                    </w:rPr>
                  </w:pPr>
                  <w:r w:rsidRPr="00215098">
                    <w:rPr>
                      <w:rFonts w:eastAsia="Times New Roman" w:cs="Times New Roman"/>
                      <w:color w:val="000000" w:themeColor="text1"/>
                      <w:lang w:eastAsia="lv-LV"/>
                    </w:rPr>
                    <w:t>2020</w:t>
                  </w:r>
                </w:p>
              </w:tc>
            </w:tr>
            <w:tr w:rsidR="00215098" w:rsidRPr="004172F5" w14:paraId="03999BE8" w14:textId="41767964" w:rsidTr="00BB69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32" w:type="dxa"/>
                  <w:tcBorders>
                    <w:top w:val="single" w:sz="12" w:space="0" w:color="9CC2E5" w:themeColor="accent1" w:themeTint="99"/>
                    <w:left w:val="single" w:sz="12" w:space="0" w:color="5B9BD5" w:themeColor="accent1"/>
                    <w:bottom w:val="single" w:sz="12" w:space="0" w:color="5B9BD5" w:themeColor="accent1"/>
                    <w:right w:val="single" w:sz="12" w:space="0" w:color="5B9BD5" w:themeColor="accent1"/>
                  </w:tcBorders>
                </w:tcPr>
                <w:p w14:paraId="6D03EA04" w14:textId="77777777" w:rsidR="00215098" w:rsidRPr="004172F5" w:rsidRDefault="00215098" w:rsidP="00A01E7A">
                  <w:pPr>
                    <w:jc w:val="right"/>
                    <w:rPr>
                      <w:rFonts w:eastAsia="Times New Roman" w:cs="Times New Roman"/>
                      <w:b w:val="0"/>
                      <w:bCs w:val="0"/>
                      <w:sz w:val="22"/>
                      <w:lang w:eastAsia="lv-LV"/>
                    </w:rPr>
                  </w:pPr>
                  <w:r>
                    <w:rPr>
                      <w:rFonts w:eastAsia="Times New Roman" w:cs="Times New Roman"/>
                      <w:b w:val="0"/>
                      <w:bCs w:val="0"/>
                      <w:color w:val="auto"/>
                      <w:sz w:val="22"/>
                      <w:lang w:eastAsia="lv-LV"/>
                    </w:rPr>
                    <w:lastRenderedPageBreak/>
                    <w:t>Altum ietekme</w:t>
                  </w:r>
                  <w:r w:rsidRPr="004172F5">
                    <w:rPr>
                      <w:rFonts w:eastAsia="Times New Roman" w:cs="Times New Roman"/>
                      <w:b w:val="0"/>
                      <w:bCs w:val="0"/>
                      <w:color w:val="auto"/>
                      <w:sz w:val="22"/>
                      <w:lang w:eastAsia="lv-LV"/>
                    </w:rPr>
                    <w:t xml:space="preserve"> (</w:t>
                  </w:r>
                  <w:r>
                    <w:rPr>
                      <w:rFonts w:eastAsia="Times New Roman" w:cs="Times New Roman"/>
                      <w:b w:val="0"/>
                      <w:bCs w:val="0"/>
                      <w:color w:val="auto"/>
                      <w:sz w:val="22"/>
                      <w:lang w:eastAsia="lv-LV"/>
                    </w:rPr>
                    <w:t>plāns</w:t>
                  </w:r>
                  <w:r w:rsidRPr="004172F5">
                    <w:rPr>
                      <w:rFonts w:eastAsia="Times New Roman" w:cs="Times New Roman"/>
                      <w:b w:val="0"/>
                      <w:bCs w:val="0"/>
                      <w:color w:val="auto"/>
                      <w:sz w:val="22"/>
                      <w:lang w:eastAsia="lv-LV"/>
                    </w:rPr>
                    <w:t>)</w:t>
                  </w:r>
                </w:p>
              </w:tc>
              <w:tc>
                <w:tcPr>
                  <w:tcW w:w="1242" w:type="dxa"/>
                  <w:tcBorders>
                    <w:top w:val="single" w:sz="12" w:space="0" w:color="9CC2E5" w:themeColor="accent1" w:themeTint="99"/>
                    <w:left w:val="single" w:sz="12" w:space="0" w:color="5B9BD5" w:themeColor="accent1"/>
                    <w:bottom w:val="single" w:sz="12" w:space="0" w:color="5B9BD5" w:themeColor="accent1"/>
                    <w:right w:val="single" w:sz="12" w:space="0" w:color="5B9BD5" w:themeColor="accent1"/>
                  </w:tcBorders>
                  <w:vAlign w:val="center"/>
                </w:tcPr>
                <w:p w14:paraId="4A359210" w14:textId="77777777" w:rsidR="00215098" w:rsidRPr="002A00F3" w:rsidRDefault="00215098" w:rsidP="002A00F3">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A00F3">
                    <w:rPr>
                      <w:color w:val="auto"/>
                      <w:sz w:val="22"/>
                    </w:rPr>
                    <w:t>2,269</w:t>
                  </w:r>
                </w:p>
              </w:tc>
              <w:tc>
                <w:tcPr>
                  <w:tcW w:w="1243" w:type="dxa"/>
                  <w:tcBorders>
                    <w:top w:val="single" w:sz="12" w:space="0" w:color="9CC2E5" w:themeColor="accent1" w:themeTint="99"/>
                    <w:left w:val="single" w:sz="12" w:space="0" w:color="5B9BD5" w:themeColor="accent1"/>
                    <w:bottom w:val="single" w:sz="12" w:space="0" w:color="5B9BD5" w:themeColor="accent1"/>
                    <w:right w:val="single" w:sz="12" w:space="0" w:color="5B9BD5" w:themeColor="accent1"/>
                  </w:tcBorders>
                  <w:vAlign w:val="center"/>
                </w:tcPr>
                <w:p w14:paraId="04315E56" w14:textId="77777777" w:rsidR="00215098" w:rsidRPr="002A00F3" w:rsidRDefault="00215098" w:rsidP="002A00F3">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A00F3">
                    <w:rPr>
                      <w:color w:val="auto"/>
                      <w:sz w:val="22"/>
                    </w:rPr>
                    <w:t>6,223</w:t>
                  </w:r>
                </w:p>
              </w:tc>
              <w:tc>
                <w:tcPr>
                  <w:tcW w:w="1242" w:type="dxa"/>
                  <w:tcBorders>
                    <w:top w:val="single" w:sz="12" w:space="0" w:color="9CC2E5" w:themeColor="accent1" w:themeTint="99"/>
                    <w:left w:val="single" w:sz="12" w:space="0" w:color="5B9BD5" w:themeColor="accent1"/>
                    <w:bottom w:val="single" w:sz="12" w:space="0" w:color="5B9BD5" w:themeColor="accent1"/>
                    <w:right w:val="single" w:sz="12" w:space="0" w:color="5B9BD5" w:themeColor="accent1"/>
                  </w:tcBorders>
                  <w:vAlign w:val="center"/>
                </w:tcPr>
                <w:p w14:paraId="74FCB9A5" w14:textId="77777777" w:rsidR="00215098" w:rsidRPr="002A00F3" w:rsidRDefault="00215098" w:rsidP="002A00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eastAsia="lv-LV"/>
                    </w:rPr>
                  </w:pPr>
                  <w:r w:rsidRPr="002A00F3">
                    <w:rPr>
                      <w:rFonts w:eastAsia="Times New Roman" w:cs="Times New Roman"/>
                      <w:color w:val="auto"/>
                      <w:sz w:val="22"/>
                      <w:lang w:eastAsia="lv-LV"/>
                    </w:rPr>
                    <w:t>4,073</w:t>
                  </w:r>
                </w:p>
              </w:tc>
              <w:tc>
                <w:tcPr>
                  <w:tcW w:w="1243" w:type="dxa"/>
                  <w:tcBorders>
                    <w:top w:val="single" w:sz="12" w:space="0" w:color="9CC2E5" w:themeColor="accent1" w:themeTint="99"/>
                    <w:left w:val="single" w:sz="12" w:space="0" w:color="5B9BD5" w:themeColor="accent1"/>
                    <w:bottom w:val="single" w:sz="12" w:space="0" w:color="5B9BD5" w:themeColor="accent1"/>
                    <w:right w:val="single" w:sz="12" w:space="0" w:color="5B9BD5" w:themeColor="accent1"/>
                  </w:tcBorders>
                  <w:vAlign w:val="center"/>
                </w:tcPr>
                <w:p w14:paraId="1E6AD5D2" w14:textId="77777777" w:rsidR="00215098" w:rsidRPr="002A00F3" w:rsidRDefault="00215098" w:rsidP="002A00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2A00F3">
                    <w:rPr>
                      <w:rFonts w:eastAsia="Times New Roman" w:cs="Times New Roman"/>
                      <w:color w:val="000000" w:themeColor="text1"/>
                      <w:sz w:val="22"/>
                      <w:lang w:eastAsia="lv-LV"/>
                    </w:rPr>
                    <w:t>3,798</w:t>
                  </w:r>
                </w:p>
              </w:tc>
              <w:tc>
                <w:tcPr>
                  <w:tcW w:w="1243" w:type="dxa"/>
                  <w:tcBorders>
                    <w:top w:val="single" w:sz="12" w:space="0" w:color="9CC2E5" w:themeColor="accent1" w:themeTint="99"/>
                    <w:left w:val="single" w:sz="12" w:space="0" w:color="5B9BD5" w:themeColor="accent1"/>
                    <w:bottom w:val="single" w:sz="12" w:space="0" w:color="5B9BD5" w:themeColor="accent1"/>
                    <w:right w:val="single" w:sz="12" w:space="0" w:color="5B9BD5" w:themeColor="accent1"/>
                  </w:tcBorders>
                </w:tcPr>
                <w:p w14:paraId="791BC16D" w14:textId="2A55F72D" w:rsidR="00215098" w:rsidRPr="00BB69DC" w:rsidRDefault="00215098" w:rsidP="002A00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2C44A2">
                    <w:rPr>
                      <w:rFonts w:eastAsia="Times New Roman" w:cs="Times New Roman"/>
                      <w:color w:val="000000" w:themeColor="text1"/>
                      <w:lang w:eastAsia="lv-LV"/>
                    </w:rPr>
                    <w:t>4,890</w:t>
                  </w:r>
                </w:p>
              </w:tc>
            </w:tr>
            <w:tr w:rsidR="00215098" w:rsidRPr="004172F5" w14:paraId="3864A696" w14:textId="38D85E92" w:rsidTr="00BB69DC">
              <w:trPr>
                <w:trHeight w:val="315"/>
                <w:jc w:val="center"/>
              </w:trPr>
              <w:tc>
                <w:tcPr>
                  <w:cnfStyle w:val="001000000000" w:firstRow="0" w:lastRow="0" w:firstColumn="1" w:lastColumn="0" w:oddVBand="0" w:evenVBand="0" w:oddHBand="0" w:evenHBand="0" w:firstRowFirstColumn="0" w:firstRowLastColumn="0" w:lastRowFirstColumn="0" w:lastRowLastColumn="0"/>
                  <w:tcW w:w="233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6FEB2C1" w14:textId="77777777" w:rsidR="00215098" w:rsidRPr="004172F5" w:rsidRDefault="00215098" w:rsidP="00215098">
                  <w:pPr>
                    <w:jc w:val="right"/>
                    <w:rPr>
                      <w:rFonts w:eastAsia="Times New Roman" w:cs="Times New Roman"/>
                      <w:sz w:val="22"/>
                      <w:lang w:eastAsia="lv-LV"/>
                    </w:rPr>
                  </w:pPr>
                  <w:r>
                    <w:rPr>
                      <w:rFonts w:eastAsia="Times New Roman" w:cs="Times New Roman"/>
                      <w:b w:val="0"/>
                      <w:bCs w:val="0"/>
                      <w:color w:val="auto"/>
                      <w:sz w:val="22"/>
                      <w:lang w:eastAsia="lv-LV"/>
                    </w:rPr>
                    <w:t>Altum ietekme (izpilde)</w:t>
                  </w:r>
                </w:p>
              </w:tc>
              <w:tc>
                <w:tcPr>
                  <w:tcW w:w="12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41C54AD" w14:textId="61423829" w:rsidR="00215098" w:rsidRPr="002A00F3" w:rsidRDefault="00215098" w:rsidP="00215098">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A00F3">
                    <w:rPr>
                      <w:color w:val="auto"/>
                      <w:sz w:val="22"/>
                    </w:rPr>
                    <w:t>5,61</w:t>
                  </w:r>
                  <w:r>
                    <w:rPr>
                      <w:color w:val="auto"/>
                      <w:sz w:val="22"/>
                    </w:rPr>
                    <w:t>9</w:t>
                  </w:r>
                </w:p>
              </w:tc>
              <w:tc>
                <w:tcPr>
                  <w:tcW w:w="124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DE96463" w14:textId="77777777" w:rsidR="00215098" w:rsidRPr="002A00F3" w:rsidRDefault="00215098" w:rsidP="00215098">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A00F3">
                    <w:rPr>
                      <w:color w:val="auto"/>
                      <w:sz w:val="22"/>
                    </w:rPr>
                    <w:t>3,775</w:t>
                  </w:r>
                </w:p>
              </w:tc>
              <w:tc>
                <w:tcPr>
                  <w:tcW w:w="12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DBD0740" w14:textId="44716BF0" w:rsidR="00215098" w:rsidRPr="002A00F3" w:rsidRDefault="00215098" w:rsidP="002150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2A00F3">
                    <w:rPr>
                      <w:rFonts w:eastAsia="Times New Roman" w:cs="Times New Roman"/>
                      <w:color w:val="auto"/>
                      <w:sz w:val="22"/>
                      <w:lang w:eastAsia="lv-LV"/>
                    </w:rPr>
                    <w:t>-0,</w:t>
                  </w:r>
                  <w:r>
                    <w:rPr>
                      <w:rFonts w:eastAsia="Times New Roman" w:cs="Times New Roman"/>
                      <w:color w:val="auto"/>
                      <w:sz w:val="22"/>
                      <w:lang w:eastAsia="lv-LV"/>
                    </w:rPr>
                    <w:t>499</w:t>
                  </w:r>
                </w:p>
              </w:tc>
              <w:tc>
                <w:tcPr>
                  <w:tcW w:w="124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7CC0190" w14:textId="4E46B75E" w:rsidR="00215098" w:rsidRPr="002A00F3" w:rsidRDefault="00215098" w:rsidP="001D0B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2A00F3">
                    <w:rPr>
                      <w:rFonts w:eastAsia="Times New Roman" w:cs="Times New Roman"/>
                      <w:color w:val="000000" w:themeColor="text1"/>
                      <w:sz w:val="22"/>
                      <w:lang w:eastAsia="lv-LV"/>
                    </w:rPr>
                    <w:t>9,</w:t>
                  </w:r>
                  <w:r>
                    <w:rPr>
                      <w:rFonts w:eastAsia="Times New Roman" w:cs="Times New Roman"/>
                      <w:color w:val="000000" w:themeColor="text1"/>
                      <w:sz w:val="22"/>
                      <w:lang w:eastAsia="lv-LV"/>
                    </w:rPr>
                    <w:t>388</w:t>
                  </w:r>
                </w:p>
              </w:tc>
              <w:tc>
                <w:tcPr>
                  <w:tcW w:w="124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FB0D723" w14:textId="0ABFB9B7" w:rsidR="00215098" w:rsidRPr="00BB69DC" w:rsidRDefault="00215098" w:rsidP="002150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Pr>
                      <w:rFonts w:eastAsia="Times New Roman" w:cs="Times New Roman"/>
                      <w:color w:val="000000" w:themeColor="text1"/>
                      <w:sz w:val="22"/>
                      <w:lang w:eastAsia="lv-LV"/>
                    </w:rPr>
                    <w:t>-7,808</w:t>
                  </w:r>
                </w:p>
              </w:tc>
            </w:tr>
          </w:tbl>
          <w:p w14:paraId="0857A7F4" w14:textId="77777777" w:rsidR="005B7184" w:rsidRPr="004172F5" w:rsidRDefault="005B7184" w:rsidP="00A01E7A">
            <w:pPr>
              <w:ind w:firstLine="720"/>
              <w:jc w:val="both"/>
              <w:rPr>
                <w:rFonts w:cs="Times New Roman"/>
                <w:szCs w:val="24"/>
              </w:rPr>
            </w:pPr>
          </w:p>
          <w:p w14:paraId="25D2FEDA" w14:textId="748EF971" w:rsidR="005B7184" w:rsidRDefault="005B7184" w:rsidP="00A01E7A">
            <w:pPr>
              <w:ind w:firstLine="720"/>
              <w:jc w:val="both"/>
              <w:rPr>
                <w:rFonts w:cs="Times New Roman"/>
              </w:rPr>
            </w:pPr>
            <w:r>
              <w:rPr>
                <w:rFonts w:cs="Times New Roman"/>
              </w:rPr>
              <w:t>Lai gan Altum ietekme un tās novirze no plānotā apmēra līdz šim ir bijusi simetriska (skat. tabulu Nr.8), negatīvie riski potenciāli var iestāties gan no Altum administrēto atbalsta instrumentu puses, gan no tā, ka Altum diversificējot finansējuma avotus, piesaista aizņemtos līdzekļus no citām finanšu institūcijām</w:t>
            </w:r>
            <w:r w:rsidR="00DB0148">
              <w:rPr>
                <w:rFonts w:cs="Times New Roman"/>
              </w:rPr>
              <w:t>.</w:t>
            </w:r>
          </w:p>
          <w:p w14:paraId="2A87C86A" w14:textId="70DCE989" w:rsidR="005B7184" w:rsidRDefault="005B7184" w:rsidP="00A01E7A">
            <w:pPr>
              <w:ind w:firstLine="720"/>
              <w:jc w:val="both"/>
              <w:rPr>
                <w:rFonts w:eastAsia="Times New Roman" w:cs="Times New Roman"/>
                <w:szCs w:val="24"/>
                <w:lang w:eastAsia="en-GB"/>
              </w:rPr>
            </w:pPr>
            <w:r>
              <w:rPr>
                <w:rFonts w:cs="Times New Roman"/>
              </w:rPr>
              <w:t>Attiecībā uz Altum administrēta</w:t>
            </w:r>
            <w:r w:rsidR="00330ED5">
              <w:rPr>
                <w:rFonts w:cs="Times New Roman"/>
              </w:rPr>
              <w:t>jiem</w:t>
            </w:r>
            <w:r>
              <w:rPr>
                <w:rFonts w:cs="Times New Roman"/>
              </w:rPr>
              <w:t xml:space="preserve"> atbalsta instrumentiem sabiedrība pirms katras atbalsta programmas ieviešanas aplēš sagaidāmos zaudējumus, ja tādi ir paredzēti, un izveido segumu </w:t>
            </w:r>
            <w:r w:rsidR="00330ED5">
              <w:rPr>
                <w:rFonts w:cs="Times New Roman"/>
              </w:rPr>
              <w:t>zaudējumu kompensēšanai</w:t>
            </w:r>
            <w:r>
              <w:rPr>
                <w:rFonts w:cs="Times New Roman"/>
              </w:rPr>
              <w:t xml:space="preserve"> riska seguma vai rezerves kapitāla veidā. </w:t>
            </w:r>
            <w:r w:rsidRPr="00F27F2F">
              <w:rPr>
                <w:rFonts w:eastAsia="Times New Roman" w:cs="Times New Roman"/>
                <w:szCs w:val="24"/>
                <w:lang w:eastAsia="en-GB"/>
              </w:rPr>
              <w:t>Aplēses par klientu saistību nepildīšanas varbūtību un iespējamiem zaudējumiem saistību nepildīšanas gadījumā ir veiktas uz pieņēmumu pamata, kas ir balstīti uz vēsturiskiem datiem par iepriekš realizētām valsts atbalsta programmām, kas ir īstenotas programmai pielīdzināmās jomās, pielīdzināmos klientu</w:t>
            </w:r>
            <w:r>
              <w:rPr>
                <w:rFonts w:eastAsia="Times New Roman" w:cs="Times New Roman"/>
                <w:szCs w:val="24"/>
                <w:lang w:eastAsia="en-GB"/>
              </w:rPr>
              <w:t xml:space="preserve"> un </w:t>
            </w:r>
            <w:r w:rsidRPr="00F27F2F">
              <w:rPr>
                <w:rFonts w:eastAsia="Times New Roman" w:cs="Times New Roman"/>
                <w:szCs w:val="24"/>
                <w:lang w:eastAsia="en-GB"/>
              </w:rPr>
              <w:t>projektu segmentos</w:t>
            </w:r>
            <w:r>
              <w:rPr>
                <w:rFonts w:eastAsia="Times New Roman" w:cs="Times New Roman"/>
                <w:szCs w:val="24"/>
                <w:lang w:eastAsia="en-GB"/>
              </w:rPr>
              <w:t xml:space="preserve">. Fiskālais risks dotajā gadījumā iestātos, ja klientu saistību nepildīšanas apmērs pārsniegs prognozētos sagaidāmos zaudējumus. Ņemot vērā, ka laika rinda sagaidāmo zaudējumu novērtēšanai ietver periodu ar salīdzinoši augstu saistību nepildīšanas līmenī, tad nav sagaidāms, ka risku līmenis būs tikt liels, lai būtu nepieciešams palielināt risku segumu un/vai rezerves kapitālu (kas savukārt radītu negatīvu ietekmi uz vispārējās valdības budžeta bilanci un parādu). </w:t>
            </w:r>
          </w:p>
          <w:p w14:paraId="2650278F" w14:textId="632D1F91" w:rsidR="005B7184" w:rsidRDefault="005B7184" w:rsidP="00D75116">
            <w:pPr>
              <w:ind w:firstLine="741"/>
              <w:jc w:val="both"/>
              <w:rPr>
                <w:rFonts w:cs="Times New Roman"/>
                <w:sz w:val="20"/>
                <w:szCs w:val="20"/>
                <w:highlight w:val="yellow"/>
              </w:rPr>
            </w:pPr>
            <w:r>
              <w:rPr>
                <w:rFonts w:cs="Times New Roman"/>
              </w:rPr>
              <w:t>FM turpina padziļināti uzraudzīt Altum darbību un nepieciešamības gadījumā ir gatava sniegt priekšlikumus specifisko risku mazināšanai. Vienlaicīgi jāatzīmē, ka visticamāk, ja fiskālais risks (gan no tradicionālajām programmā, gan Covid</w:t>
            </w:r>
            <w:r w:rsidRPr="00146C29">
              <w:rPr>
                <w:rFonts w:cs="Times New Roman"/>
              </w:rPr>
              <w:t>–</w:t>
            </w:r>
            <w:r>
              <w:rPr>
                <w:rFonts w:cs="Times New Roman"/>
              </w:rPr>
              <w:t>19 programmām) iestāsies, tad tas notiks dziļas un neparedzamas ekonomiskās un/vai finanšu krīzes dēļ un tādi riski ir vadāmi ārpus fiskālo risku vadības ietvara.</w:t>
            </w:r>
          </w:p>
        </w:tc>
      </w:tr>
    </w:tbl>
    <w:p w14:paraId="0C328793" w14:textId="77777777" w:rsidR="005B7184" w:rsidRDefault="005B7184" w:rsidP="00BA7CFE">
      <w:pPr>
        <w:spacing w:after="0" w:line="240" w:lineRule="auto"/>
        <w:ind w:firstLine="720"/>
        <w:jc w:val="both"/>
        <w:rPr>
          <w:rFonts w:ascii="Times New Roman" w:eastAsiaTheme="minorHAnsi" w:hAnsi="Times New Roman" w:cs="Times New Roman"/>
          <w:sz w:val="24"/>
        </w:rPr>
      </w:pPr>
    </w:p>
    <w:p w14:paraId="5C299F83" w14:textId="061493E6" w:rsidR="00330ED5" w:rsidRDefault="001D3D94" w:rsidP="00BA7CFE">
      <w:pPr>
        <w:spacing w:after="0" w:line="240" w:lineRule="auto"/>
        <w:ind w:firstLine="720"/>
        <w:jc w:val="both"/>
        <w:rPr>
          <w:rFonts w:ascii="Times New Roman" w:eastAsiaTheme="minorHAnsi" w:hAnsi="Times New Roman" w:cs="Times New Roman"/>
          <w:sz w:val="24"/>
        </w:rPr>
      </w:pPr>
      <w:r w:rsidRPr="0037264A">
        <w:rPr>
          <w:rFonts w:ascii="Times New Roman" w:eastAsiaTheme="minorHAnsi" w:hAnsi="Times New Roman" w:cs="Times New Roman"/>
          <w:sz w:val="24"/>
        </w:rPr>
        <w:t>Vēsturiskie dati norāda, ka vidējā faktiskā kapitālsabiedrību saimnieciskās darbības ietekme, salīdzinot ar plānoto, laika posmā no 2013.gada līdz 20</w:t>
      </w:r>
      <w:r w:rsidR="003B1E37">
        <w:rPr>
          <w:rFonts w:ascii="Times New Roman" w:eastAsiaTheme="minorHAnsi" w:hAnsi="Times New Roman" w:cs="Times New Roman"/>
          <w:sz w:val="24"/>
        </w:rPr>
        <w:t>20</w:t>
      </w:r>
      <w:r w:rsidRPr="0037264A">
        <w:rPr>
          <w:rFonts w:ascii="Times New Roman" w:eastAsiaTheme="minorHAnsi" w:hAnsi="Times New Roman" w:cs="Times New Roman"/>
          <w:sz w:val="24"/>
        </w:rPr>
        <w:t>.gadam ir bijusi svārstīga, vienlaicīgi identificējams, ka negatīvās novirzes no plāna gan pēc skaita, gan apmēra ir bijušas novērotas biežāk, nekā pozitīvās novirzes (sk</w:t>
      </w:r>
      <w:r w:rsidR="00427FC8">
        <w:rPr>
          <w:rFonts w:ascii="Times New Roman" w:eastAsiaTheme="minorHAnsi" w:hAnsi="Times New Roman" w:cs="Times New Roman"/>
          <w:sz w:val="24"/>
        </w:rPr>
        <w:t>at</w:t>
      </w:r>
      <w:r w:rsidRPr="0037264A">
        <w:rPr>
          <w:rFonts w:ascii="Times New Roman" w:eastAsiaTheme="minorHAnsi" w:hAnsi="Times New Roman" w:cs="Times New Roman"/>
          <w:sz w:val="24"/>
        </w:rPr>
        <w:t>. tabulu Nr.</w:t>
      </w:r>
      <w:r w:rsidR="00CD5476">
        <w:rPr>
          <w:rFonts w:ascii="Times New Roman" w:eastAsiaTheme="minorHAnsi" w:hAnsi="Times New Roman" w:cs="Times New Roman"/>
          <w:sz w:val="24"/>
        </w:rPr>
        <w:t>8</w:t>
      </w:r>
      <w:r w:rsidRPr="0037264A">
        <w:rPr>
          <w:rFonts w:ascii="Times New Roman" w:eastAsiaTheme="minorHAnsi" w:hAnsi="Times New Roman" w:cs="Times New Roman"/>
          <w:sz w:val="24"/>
        </w:rPr>
        <w:t>). Tomēr jāņem vērā, ka tādi gadījumi, kad vispārējās valdības sektorā tiek klasificēti būtiski ekonomiskie subjekti (piemēram, SIA “Rīgas Satiksme” 2019./2020.gadā), ievērojami palielina novirzes no plānotās vispārējās valdības sektorā klasificēto komercsabiedrību bilances. Tas gan nedod pārliecību, ka šie gadījumi ir sistemātiski un nākotnē ir sagaidām</w:t>
      </w:r>
      <w:r w:rsidR="003B1E37">
        <w:rPr>
          <w:rFonts w:ascii="Times New Roman" w:eastAsiaTheme="minorHAnsi" w:hAnsi="Times New Roman" w:cs="Times New Roman"/>
          <w:sz w:val="24"/>
        </w:rPr>
        <w:t>a</w:t>
      </w:r>
      <w:r w:rsidRPr="0037264A">
        <w:rPr>
          <w:rFonts w:ascii="Times New Roman" w:eastAsiaTheme="minorHAnsi" w:hAnsi="Times New Roman" w:cs="Times New Roman"/>
          <w:sz w:val="24"/>
        </w:rPr>
        <w:t xml:space="preserve"> jaunu komercsabiedrību klasificēšana gadījumi vispārējās valdības sektorā. Vienlaicīgi jāņem vērā, ka, lai gan šādu komercsabiedrību pieklasificēšana pasliktina iepriekšējo gadu izpildi, izstrādājot attiecīgi nākamā gada valsts budžetu un </w:t>
      </w:r>
      <w:r w:rsidR="00E950D6">
        <w:rPr>
          <w:rFonts w:ascii="Times New Roman" w:eastAsiaTheme="minorHAnsi" w:hAnsi="Times New Roman" w:cs="Times New Roman"/>
          <w:sz w:val="24"/>
        </w:rPr>
        <w:t>VTBIL</w:t>
      </w:r>
      <w:r w:rsidRPr="0037264A">
        <w:rPr>
          <w:rFonts w:ascii="Times New Roman" w:eastAsiaTheme="minorHAnsi" w:hAnsi="Times New Roman" w:cs="Times New Roman"/>
          <w:sz w:val="24"/>
        </w:rPr>
        <w:t xml:space="preserve">, FM ņem vērā attiecīgās komercsabiedrības ietekmi uz budžeta bilanci. </w:t>
      </w:r>
      <w:r>
        <w:rPr>
          <w:rFonts w:ascii="Times New Roman" w:eastAsiaTheme="minorHAnsi" w:hAnsi="Times New Roman" w:cs="Times New Roman"/>
          <w:sz w:val="24"/>
        </w:rPr>
        <w:t>Vienlaicīgi</w:t>
      </w:r>
      <w:r w:rsidRPr="0037264A">
        <w:rPr>
          <w:rFonts w:ascii="Times New Roman" w:eastAsiaTheme="minorHAnsi" w:hAnsi="Times New Roman" w:cs="Times New Roman"/>
          <w:sz w:val="24"/>
        </w:rPr>
        <w:t xml:space="preserve"> </w:t>
      </w:r>
      <w:r w:rsidR="00630E31">
        <w:rPr>
          <w:rFonts w:ascii="Times New Roman" w:eastAsiaTheme="minorHAnsi" w:hAnsi="Times New Roman" w:cs="Times New Roman"/>
          <w:sz w:val="24"/>
        </w:rPr>
        <w:t xml:space="preserve">VTBIL </w:t>
      </w:r>
      <w:r w:rsidRPr="0037264A">
        <w:rPr>
          <w:rFonts w:ascii="Times New Roman" w:eastAsiaTheme="minorHAnsi" w:hAnsi="Times New Roman" w:cs="Times New Roman"/>
          <w:sz w:val="24"/>
        </w:rPr>
        <w:t>ietvertais pieklasificēto kapitālsabiedrību regulējums, kas ierobežo to neplānotas darbības ietekmi uz budžeta izpildes datiem, ir būtisks elements, kas turpmākos gados varētu uz</w:t>
      </w:r>
      <w:r w:rsidRPr="006504B6">
        <w:rPr>
          <w:rFonts w:ascii="Times New Roman" w:eastAsiaTheme="minorHAnsi" w:hAnsi="Times New Roman" w:cs="Times New Roman"/>
          <w:sz w:val="24"/>
        </w:rPr>
        <w:t>r</w:t>
      </w:r>
      <w:r>
        <w:rPr>
          <w:rFonts w:ascii="Times New Roman" w:eastAsiaTheme="minorHAnsi" w:hAnsi="Times New Roman" w:cs="Times New Roman"/>
          <w:sz w:val="24"/>
        </w:rPr>
        <w:t>ā</w:t>
      </w:r>
      <w:r w:rsidRPr="006504B6">
        <w:rPr>
          <w:rFonts w:ascii="Times New Roman" w:eastAsiaTheme="minorHAnsi" w:hAnsi="Times New Roman" w:cs="Times New Roman"/>
          <w:sz w:val="24"/>
        </w:rPr>
        <w:t>dīt</w:t>
      </w:r>
      <w:r w:rsidRPr="0037264A">
        <w:rPr>
          <w:rFonts w:ascii="Times New Roman" w:eastAsiaTheme="minorHAnsi" w:hAnsi="Times New Roman" w:cs="Times New Roman"/>
          <w:sz w:val="24"/>
        </w:rPr>
        <w:t xml:space="preserve"> pozitīvu pienesumu dotā riska mazināšanai. </w:t>
      </w:r>
    </w:p>
    <w:p w14:paraId="0303C819" w14:textId="2608D6CF" w:rsidR="005050BC" w:rsidRDefault="005050BC">
      <w:pPr>
        <w:rPr>
          <w:rFonts w:ascii="Times New Roman" w:eastAsiaTheme="minorHAnsi" w:hAnsi="Times New Roman" w:cs="Times New Roman"/>
          <w:b/>
          <w:color w:val="000000"/>
          <w:sz w:val="24"/>
          <w:szCs w:val="20"/>
        </w:rPr>
      </w:pPr>
    </w:p>
    <w:p w14:paraId="52E810D6" w14:textId="5E7A8A76" w:rsidR="001C02DC" w:rsidRPr="001054F7" w:rsidRDefault="001C02DC" w:rsidP="001C02DC">
      <w:pPr>
        <w:autoSpaceDE w:val="0"/>
        <w:autoSpaceDN w:val="0"/>
        <w:adjustRightInd w:val="0"/>
        <w:spacing w:line="240" w:lineRule="auto"/>
        <w:jc w:val="right"/>
        <w:rPr>
          <w:rFonts w:ascii="Times New Roman" w:hAnsi="Times New Roman" w:cs="Times New Roman"/>
          <w:color w:val="000000"/>
          <w:sz w:val="24"/>
          <w:szCs w:val="24"/>
          <w:highlight w:val="yellow"/>
        </w:rPr>
      </w:pPr>
      <w:r w:rsidRPr="00075814">
        <w:rPr>
          <w:rFonts w:ascii="Times New Roman" w:eastAsiaTheme="minorHAnsi" w:hAnsi="Times New Roman" w:cs="Times New Roman"/>
          <w:b/>
          <w:color w:val="000000"/>
          <w:sz w:val="24"/>
          <w:szCs w:val="20"/>
        </w:rPr>
        <w:t>Tabula Nr.</w:t>
      </w:r>
      <w:r w:rsidR="00CD5476">
        <w:rPr>
          <w:rFonts w:ascii="Times New Roman" w:eastAsiaTheme="minorHAnsi" w:hAnsi="Times New Roman" w:cs="Times New Roman"/>
          <w:b/>
          <w:color w:val="000000"/>
          <w:sz w:val="24"/>
          <w:szCs w:val="20"/>
        </w:rPr>
        <w:t>8</w:t>
      </w:r>
      <w:r w:rsidRPr="00075814">
        <w:rPr>
          <w:rFonts w:ascii="Times New Roman" w:eastAsiaTheme="minorHAnsi" w:hAnsi="Times New Roman" w:cs="Times New Roman"/>
          <w:b/>
          <w:color w:val="000000"/>
          <w:sz w:val="24"/>
          <w:szCs w:val="20"/>
        </w:rPr>
        <w:t xml:space="preserve"> Vispārējās valdības sektorā klasificēto komercsabiedrību plānotā un faktiskā ietekme uz budžeta bilanci (milj. </w:t>
      </w:r>
      <w:r w:rsidRPr="00075814">
        <w:rPr>
          <w:rFonts w:ascii="Times New Roman" w:eastAsiaTheme="minorHAnsi" w:hAnsi="Times New Roman" w:cs="Times New Roman"/>
          <w:b/>
          <w:i/>
          <w:color w:val="000000"/>
          <w:sz w:val="24"/>
          <w:szCs w:val="20"/>
        </w:rPr>
        <w:t>euro</w:t>
      </w:r>
      <w:r w:rsidRPr="00075814">
        <w:rPr>
          <w:rFonts w:ascii="Times New Roman" w:eastAsiaTheme="minorHAnsi" w:hAnsi="Times New Roman" w:cs="Times New Roman"/>
          <w:b/>
          <w:color w:val="000000"/>
          <w:sz w:val="24"/>
          <w:szCs w:val="20"/>
        </w:rPr>
        <w:t>)*</w:t>
      </w:r>
      <w:r w:rsidRPr="001054F7">
        <w:rPr>
          <w:rFonts w:ascii="Times New Roman" w:eastAsiaTheme="minorHAnsi" w:hAnsi="Times New Roman" w:cs="Times New Roman"/>
          <w:b/>
          <w:color w:val="000000"/>
          <w:sz w:val="24"/>
          <w:szCs w:val="20"/>
          <w:highlight w:val="yellow"/>
        </w:rPr>
        <w:t xml:space="preserve"> </w:t>
      </w:r>
    </w:p>
    <w:tbl>
      <w:tblPr>
        <w:tblStyle w:val="GridTable6Colorful-Accent11"/>
        <w:tblW w:w="10201" w:type="dxa"/>
        <w:jc w:val="center"/>
        <w:tblLayout w:type="fixed"/>
        <w:tblLook w:val="04A0" w:firstRow="1" w:lastRow="0" w:firstColumn="1" w:lastColumn="0" w:noHBand="0" w:noVBand="1"/>
      </w:tblPr>
      <w:tblGrid>
        <w:gridCol w:w="2830"/>
        <w:gridCol w:w="921"/>
        <w:gridCol w:w="921"/>
        <w:gridCol w:w="922"/>
        <w:gridCol w:w="921"/>
        <w:gridCol w:w="921"/>
        <w:gridCol w:w="922"/>
        <w:gridCol w:w="921"/>
        <w:gridCol w:w="922"/>
      </w:tblGrid>
      <w:tr w:rsidR="00F90C7A" w:rsidRPr="00B63917" w14:paraId="2322D528" w14:textId="7688D4A7" w:rsidTr="00BB69DC">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BDAC0FA" w14:textId="77777777" w:rsidR="00F90C7A" w:rsidRPr="00B63917" w:rsidRDefault="00F90C7A" w:rsidP="00D75116">
            <w:pPr>
              <w:jc w:val="center"/>
              <w:rPr>
                <w:rFonts w:eastAsia="Times New Roman" w:cs="Times New Roman"/>
                <w:bCs w:val="0"/>
                <w:color w:val="auto"/>
                <w:sz w:val="22"/>
                <w:lang w:eastAsia="lv-LV"/>
              </w:rPr>
            </w:pPr>
          </w:p>
        </w:tc>
        <w:tc>
          <w:tcPr>
            <w:tcW w:w="921" w:type="dxa"/>
            <w:vAlign w:val="center"/>
          </w:tcPr>
          <w:p w14:paraId="022A0B7E" w14:textId="77777777" w:rsidR="00F90C7A" w:rsidRPr="00B63917"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B63917">
              <w:rPr>
                <w:rFonts w:eastAsia="Times New Roman" w:cs="Times New Roman"/>
                <w:bCs w:val="0"/>
                <w:color w:val="auto"/>
                <w:sz w:val="22"/>
                <w:lang w:eastAsia="lv-LV"/>
              </w:rPr>
              <w:t>2013</w:t>
            </w:r>
          </w:p>
        </w:tc>
        <w:tc>
          <w:tcPr>
            <w:tcW w:w="921" w:type="dxa"/>
            <w:vAlign w:val="center"/>
          </w:tcPr>
          <w:p w14:paraId="22079DFE" w14:textId="77777777" w:rsidR="00F90C7A" w:rsidRPr="00B63917"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B63917">
              <w:rPr>
                <w:rFonts w:eastAsia="Times New Roman" w:cs="Times New Roman"/>
                <w:bCs w:val="0"/>
                <w:color w:val="auto"/>
                <w:sz w:val="22"/>
                <w:lang w:eastAsia="lv-LV"/>
              </w:rPr>
              <w:t>2014</w:t>
            </w:r>
          </w:p>
        </w:tc>
        <w:tc>
          <w:tcPr>
            <w:tcW w:w="922" w:type="dxa"/>
            <w:vAlign w:val="center"/>
          </w:tcPr>
          <w:p w14:paraId="1944DC1D" w14:textId="77777777" w:rsidR="00F90C7A" w:rsidRPr="00B63917"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B63917">
              <w:rPr>
                <w:rFonts w:eastAsia="Times New Roman" w:cs="Times New Roman"/>
                <w:bCs w:val="0"/>
                <w:color w:val="auto"/>
                <w:sz w:val="22"/>
                <w:lang w:eastAsia="lv-LV"/>
              </w:rPr>
              <w:t>2015</w:t>
            </w:r>
          </w:p>
        </w:tc>
        <w:tc>
          <w:tcPr>
            <w:tcW w:w="921" w:type="dxa"/>
            <w:vAlign w:val="center"/>
          </w:tcPr>
          <w:p w14:paraId="01BD0FEB" w14:textId="77777777" w:rsidR="00F90C7A" w:rsidRPr="00B63917"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B63917">
              <w:rPr>
                <w:rFonts w:eastAsia="Times New Roman" w:cs="Times New Roman"/>
                <w:bCs w:val="0"/>
                <w:color w:val="auto"/>
                <w:sz w:val="22"/>
                <w:lang w:eastAsia="lv-LV"/>
              </w:rPr>
              <w:t>2016</w:t>
            </w:r>
          </w:p>
        </w:tc>
        <w:tc>
          <w:tcPr>
            <w:tcW w:w="921" w:type="dxa"/>
            <w:vAlign w:val="center"/>
          </w:tcPr>
          <w:p w14:paraId="4D185382" w14:textId="77777777" w:rsidR="00F90C7A" w:rsidRPr="00B63917"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highlight w:val="yellow"/>
                <w:lang w:eastAsia="lv-LV"/>
              </w:rPr>
            </w:pPr>
            <w:r w:rsidRPr="00B63917">
              <w:rPr>
                <w:rFonts w:eastAsia="Times New Roman" w:cs="Times New Roman"/>
                <w:bCs w:val="0"/>
                <w:color w:val="auto"/>
                <w:sz w:val="22"/>
                <w:lang w:eastAsia="lv-LV"/>
              </w:rPr>
              <w:t>2017</w:t>
            </w:r>
          </w:p>
        </w:tc>
        <w:tc>
          <w:tcPr>
            <w:tcW w:w="922" w:type="dxa"/>
            <w:vAlign w:val="center"/>
          </w:tcPr>
          <w:p w14:paraId="3948715B" w14:textId="77777777" w:rsidR="00F90C7A" w:rsidRPr="00B63917"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B63917">
              <w:rPr>
                <w:rFonts w:eastAsia="Times New Roman" w:cs="Times New Roman"/>
                <w:bCs w:val="0"/>
                <w:color w:val="auto"/>
                <w:sz w:val="22"/>
                <w:lang w:eastAsia="lv-LV"/>
              </w:rPr>
              <w:t>2018</w:t>
            </w:r>
          </w:p>
        </w:tc>
        <w:tc>
          <w:tcPr>
            <w:tcW w:w="921" w:type="dxa"/>
            <w:vAlign w:val="center"/>
          </w:tcPr>
          <w:p w14:paraId="2B317359" w14:textId="5201A569" w:rsidR="00F90C7A" w:rsidRPr="00F10536" w:rsidRDefault="00F90C7A" w:rsidP="00D7511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F10536">
              <w:rPr>
                <w:rFonts w:eastAsia="Times New Roman" w:cs="Times New Roman"/>
                <w:lang w:eastAsia="lv-LV"/>
              </w:rPr>
              <w:t>2019</w:t>
            </w:r>
          </w:p>
        </w:tc>
        <w:tc>
          <w:tcPr>
            <w:tcW w:w="922" w:type="dxa"/>
            <w:vAlign w:val="center"/>
          </w:tcPr>
          <w:p w14:paraId="7A52FE81" w14:textId="43194780" w:rsidR="00F90C7A" w:rsidRPr="00BB69DC" w:rsidRDefault="00F90C7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sz w:val="22"/>
                <w:lang w:eastAsia="lv-LV"/>
              </w:rPr>
            </w:pPr>
            <w:r w:rsidRPr="00F10536">
              <w:rPr>
                <w:rFonts w:eastAsia="Times New Roman" w:cs="Times New Roman"/>
                <w:lang w:eastAsia="lv-LV"/>
              </w:rPr>
              <w:t>2020</w:t>
            </w:r>
          </w:p>
        </w:tc>
      </w:tr>
      <w:tr w:rsidR="00F90C7A" w:rsidRPr="00B63917" w14:paraId="5DD70B23" w14:textId="5CFA942C" w:rsidTr="00BB69DC">
        <w:trPr>
          <w:cnfStyle w:val="000000100000" w:firstRow="0" w:lastRow="0" w:firstColumn="0" w:lastColumn="0" w:oddVBand="0" w:evenVBand="0" w:oddHBand="1" w:evenHBand="0" w:firstRowFirstColumn="0" w:firstRowLastColumn="0" w:lastRowFirstColumn="0" w:lastRowLastColumn="0"/>
          <w:trHeight w:val="759"/>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0A581F60" w14:textId="77777777" w:rsidR="00F90C7A" w:rsidRPr="00191E2E" w:rsidRDefault="00F90C7A" w:rsidP="00F90C7A">
            <w:pPr>
              <w:rPr>
                <w:rFonts w:eastAsia="Times New Roman" w:cs="Times New Roman"/>
                <w:color w:val="auto"/>
                <w:sz w:val="22"/>
                <w:lang w:eastAsia="lv-LV"/>
              </w:rPr>
            </w:pPr>
            <w:r w:rsidRPr="00191E2E">
              <w:rPr>
                <w:rFonts w:eastAsia="Times New Roman" w:cs="Times New Roman"/>
                <w:bCs w:val="0"/>
                <w:color w:val="auto"/>
                <w:sz w:val="22"/>
                <w:lang w:eastAsia="lv-LV"/>
              </w:rPr>
              <w:t>Vispārējās valdības sektorā klasificēto komercsabiedrību bilance (budžeta plāns)</w:t>
            </w:r>
          </w:p>
        </w:tc>
        <w:tc>
          <w:tcPr>
            <w:tcW w:w="921" w:type="dxa"/>
            <w:vAlign w:val="center"/>
          </w:tcPr>
          <w:p w14:paraId="71B8500F"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-69,6</w:t>
            </w:r>
          </w:p>
        </w:tc>
        <w:tc>
          <w:tcPr>
            <w:tcW w:w="921" w:type="dxa"/>
            <w:vAlign w:val="center"/>
          </w:tcPr>
          <w:p w14:paraId="46E43367"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-36,0</w:t>
            </w:r>
          </w:p>
        </w:tc>
        <w:tc>
          <w:tcPr>
            <w:tcW w:w="922" w:type="dxa"/>
            <w:vAlign w:val="center"/>
          </w:tcPr>
          <w:p w14:paraId="3B94DC3F"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-44,6</w:t>
            </w:r>
          </w:p>
        </w:tc>
        <w:tc>
          <w:tcPr>
            <w:tcW w:w="921" w:type="dxa"/>
            <w:vAlign w:val="center"/>
          </w:tcPr>
          <w:p w14:paraId="58D230F4"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20,3</w:t>
            </w:r>
          </w:p>
        </w:tc>
        <w:tc>
          <w:tcPr>
            <w:tcW w:w="921" w:type="dxa"/>
            <w:vAlign w:val="center"/>
          </w:tcPr>
          <w:p w14:paraId="12ACF934"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33,7</w:t>
            </w:r>
          </w:p>
        </w:tc>
        <w:tc>
          <w:tcPr>
            <w:tcW w:w="922" w:type="dxa"/>
            <w:vAlign w:val="center"/>
          </w:tcPr>
          <w:p w14:paraId="10E0FD56"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18,9</w:t>
            </w:r>
          </w:p>
        </w:tc>
        <w:tc>
          <w:tcPr>
            <w:tcW w:w="921" w:type="dxa"/>
            <w:vAlign w:val="center"/>
          </w:tcPr>
          <w:p w14:paraId="22637D9F" w14:textId="77777777"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14,3</w:t>
            </w:r>
          </w:p>
        </w:tc>
        <w:tc>
          <w:tcPr>
            <w:tcW w:w="922" w:type="dxa"/>
            <w:vAlign w:val="center"/>
          </w:tcPr>
          <w:p w14:paraId="141338D3" w14:textId="49254F31"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color w:val="000000"/>
              </w:rPr>
            </w:pPr>
            <w:r w:rsidRPr="00BB69DC">
              <w:rPr>
                <w:rFonts w:eastAsiaTheme="minorEastAsia"/>
                <w:color w:val="000000"/>
              </w:rPr>
              <w:t>-57,1</w:t>
            </w:r>
          </w:p>
        </w:tc>
      </w:tr>
      <w:tr w:rsidR="00F90C7A" w:rsidRPr="00B63917" w14:paraId="7D537900" w14:textId="4077AC27" w:rsidTr="00BB69DC">
        <w:trPr>
          <w:trHeight w:val="315"/>
          <w:jc w:val="center"/>
        </w:trPr>
        <w:tc>
          <w:tcPr>
            <w:cnfStyle w:val="001000000000" w:firstRow="0" w:lastRow="0" w:firstColumn="1" w:lastColumn="0" w:oddVBand="0" w:evenVBand="0" w:oddHBand="0" w:evenHBand="0" w:firstRowFirstColumn="0" w:firstRowLastColumn="0" w:lastRowFirstColumn="0" w:lastRowLastColumn="0"/>
            <w:tcW w:w="2830" w:type="dxa"/>
          </w:tcPr>
          <w:p w14:paraId="1DD31768" w14:textId="77777777" w:rsidR="00F90C7A" w:rsidRPr="00191E2E" w:rsidRDefault="00F90C7A" w:rsidP="00F90C7A">
            <w:pPr>
              <w:rPr>
                <w:rFonts w:eastAsia="Times New Roman" w:cs="Times New Roman"/>
                <w:bCs w:val="0"/>
                <w:color w:val="auto"/>
                <w:sz w:val="22"/>
                <w:lang w:eastAsia="lv-LV"/>
              </w:rPr>
            </w:pPr>
            <w:r w:rsidRPr="00191E2E">
              <w:rPr>
                <w:rFonts w:eastAsia="Times New Roman" w:cs="Times New Roman"/>
                <w:bCs w:val="0"/>
                <w:color w:val="auto"/>
                <w:sz w:val="22"/>
                <w:lang w:eastAsia="lv-LV"/>
              </w:rPr>
              <w:t xml:space="preserve">Vispārējās valdības sektorā klasificēto komercsabiedrību bilance (izpilde) </w:t>
            </w:r>
          </w:p>
        </w:tc>
        <w:tc>
          <w:tcPr>
            <w:tcW w:w="921" w:type="dxa"/>
            <w:vAlign w:val="center"/>
          </w:tcPr>
          <w:p w14:paraId="4635B484" w14:textId="77777777" w:rsidR="00F90C7A" w:rsidRPr="00B63917" w:rsidRDefault="00F90C7A" w:rsidP="00F90C7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A51183">
              <w:rPr>
                <w:color w:val="000000"/>
              </w:rPr>
              <w:t>-91,8</w:t>
            </w:r>
          </w:p>
        </w:tc>
        <w:tc>
          <w:tcPr>
            <w:tcW w:w="921" w:type="dxa"/>
            <w:vAlign w:val="center"/>
          </w:tcPr>
          <w:p w14:paraId="155B0D96" w14:textId="77777777" w:rsidR="00F90C7A" w:rsidRPr="00B63917" w:rsidRDefault="00F90C7A" w:rsidP="00F90C7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A51183">
              <w:rPr>
                <w:color w:val="000000"/>
              </w:rPr>
              <w:t>-50,5</w:t>
            </w:r>
          </w:p>
        </w:tc>
        <w:tc>
          <w:tcPr>
            <w:tcW w:w="922" w:type="dxa"/>
            <w:vAlign w:val="center"/>
          </w:tcPr>
          <w:p w14:paraId="612500F7" w14:textId="77777777" w:rsidR="00F90C7A" w:rsidRPr="00B63917" w:rsidRDefault="00F90C7A" w:rsidP="00F90C7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A51183">
              <w:rPr>
                <w:color w:val="000000"/>
              </w:rPr>
              <w:t>-24,1</w:t>
            </w:r>
          </w:p>
        </w:tc>
        <w:tc>
          <w:tcPr>
            <w:tcW w:w="921" w:type="dxa"/>
            <w:vAlign w:val="center"/>
          </w:tcPr>
          <w:p w14:paraId="63A2FCE3" w14:textId="77777777" w:rsidR="00F90C7A" w:rsidRPr="00B63917" w:rsidRDefault="00F90C7A" w:rsidP="00F90C7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A51183">
              <w:rPr>
                <w:color w:val="000000"/>
              </w:rPr>
              <w:t>19,2</w:t>
            </w:r>
          </w:p>
        </w:tc>
        <w:tc>
          <w:tcPr>
            <w:tcW w:w="921" w:type="dxa"/>
            <w:vAlign w:val="center"/>
          </w:tcPr>
          <w:p w14:paraId="7ECC85A6" w14:textId="77777777" w:rsidR="00F90C7A" w:rsidRPr="00B63917" w:rsidRDefault="00F90C7A" w:rsidP="00F90C7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lang w:eastAsia="lv-LV"/>
              </w:rPr>
            </w:pPr>
            <w:r w:rsidRPr="00A51183">
              <w:rPr>
                <w:color w:val="000000"/>
              </w:rPr>
              <w:t>-40,9</w:t>
            </w:r>
          </w:p>
        </w:tc>
        <w:tc>
          <w:tcPr>
            <w:tcW w:w="922" w:type="dxa"/>
            <w:vAlign w:val="center"/>
          </w:tcPr>
          <w:p w14:paraId="073034CF" w14:textId="77777777" w:rsidR="00F90C7A" w:rsidRPr="00B63917" w:rsidRDefault="00F90C7A" w:rsidP="00F90C7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eastAsia="lv-LV"/>
              </w:rPr>
            </w:pPr>
            <w:r w:rsidRPr="00A51183">
              <w:rPr>
                <w:color w:val="000000"/>
              </w:rPr>
              <w:t>-65,4</w:t>
            </w:r>
          </w:p>
        </w:tc>
        <w:tc>
          <w:tcPr>
            <w:tcW w:w="921" w:type="dxa"/>
            <w:vAlign w:val="center"/>
          </w:tcPr>
          <w:p w14:paraId="5F669448" w14:textId="1E1EBBA4" w:rsidR="00F90C7A" w:rsidRPr="00BB69DC" w:rsidRDefault="00F90C7A" w:rsidP="00F90C7A">
            <w:pPr>
              <w:jc w:val="center"/>
              <w:cnfStyle w:val="000000000000" w:firstRow="0" w:lastRow="0" w:firstColumn="0" w:lastColumn="0" w:oddVBand="0" w:evenVBand="0" w:oddHBand="0" w:evenHBand="0" w:firstRowFirstColumn="0" w:firstRowLastColumn="0" w:lastRowFirstColumn="0" w:lastRowLastColumn="0"/>
              <w:rPr>
                <w:color w:val="000000"/>
              </w:rPr>
            </w:pPr>
            <w:r w:rsidRPr="00F90C7A">
              <w:rPr>
                <w:color w:val="000000"/>
              </w:rPr>
              <w:t>40,8</w:t>
            </w:r>
          </w:p>
        </w:tc>
        <w:tc>
          <w:tcPr>
            <w:tcW w:w="922" w:type="dxa"/>
            <w:vAlign w:val="center"/>
          </w:tcPr>
          <w:p w14:paraId="4A14222B" w14:textId="375BDFD8" w:rsidR="00F90C7A" w:rsidRPr="00A51183" w:rsidRDefault="00F90C7A" w:rsidP="00F90C7A">
            <w:pPr>
              <w:jc w:val="center"/>
              <w:cnfStyle w:val="000000000000" w:firstRow="0" w:lastRow="0" w:firstColumn="0" w:lastColumn="0" w:oddVBand="0" w:evenVBand="0" w:oddHBand="0" w:evenHBand="0" w:firstRowFirstColumn="0" w:firstRowLastColumn="0" w:lastRowFirstColumn="0" w:lastRowLastColumn="0"/>
              <w:rPr>
                <w:color w:val="000000"/>
              </w:rPr>
            </w:pPr>
            <w:r w:rsidRPr="00BB69DC">
              <w:rPr>
                <w:color w:val="000000"/>
              </w:rPr>
              <w:t>20,3**</w:t>
            </w:r>
          </w:p>
        </w:tc>
      </w:tr>
      <w:tr w:rsidR="00F90C7A" w:rsidRPr="00B63917" w14:paraId="3AC28108" w14:textId="016FA8D6" w:rsidTr="00BB69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tcPr>
          <w:p w14:paraId="0655F5F5" w14:textId="77777777" w:rsidR="00F90C7A" w:rsidRPr="00191E2E" w:rsidRDefault="00F90C7A" w:rsidP="00F90C7A">
            <w:pPr>
              <w:rPr>
                <w:rFonts w:eastAsia="Times New Roman" w:cs="Times New Roman"/>
                <w:bCs w:val="0"/>
                <w:color w:val="auto"/>
                <w:sz w:val="22"/>
                <w:lang w:eastAsia="lv-LV"/>
              </w:rPr>
            </w:pPr>
            <w:r w:rsidRPr="00191E2E">
              <w:rPr>
                <w:rFonts w:eastAsia="Times New Roman" w:cs="Times New Roman"/>
                <w:bCs w:val="0"/>
                <w:color w:val="auto"/>
                <w:sz w:val="22"/>
                <w:lang w:eastAsia="lv-LV"/>
              </w:rPr>
              <w:lastRenderedPageBreak/>
              <w:t>Faktiskās bilances novirze no plāna</w:t>
            </w:r>
          </w:p>
        </w:tc>
        <w:tc>
          <w:tcPr>
            <w:tcW w:w="921" w:type="dxa"/>
            <w:vAlign w:val="center"/>
          </w:tcPr>
          <w:p w14:paraId="2AC95C59" w14:textId="77777777" w:rsidR="00F90C7A" w:rsidRPr="00B63917" w:rsidRDefault="00F90C7A" w:rsidP="00F90C7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eastAsia="lv-LV"/>
              </w:rPr>
            </w:pPr>
            <w:r w:rsidRPr="00F27F2F">
              <w:rPr>
                <w:b/>
                <w:color w:val="000000"/>
              </w:rPr>
              <w:t>-22,2</w:t>
            </w:r>
          </w:p>
        </w:tc>
        <w:tc>
          <w:tcPr>
            <w:tcW w:w="921" w:type="dxa"/>
            <w:vAlign w:val="center"/>
          </w:tcPr>
          <w:p w14:paraId="09E8797C" w14:textId="77777777" w:rsidR="00F90C7A" w:rsidRPr="00B63917" w:rsidRDefault="00F90C7A" w:rsidP="00F90C7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eastAsia="lv-LV"/>
              </w:rPr>
            </w:pPr>
            <w:r w:rsidRPr="00F27F2F">
              <w:rPr>
                <w:b/>
                <w:color w:val="000000"/>
              </w:rPr>
              <w:t>-14,5</w:t>
            </w:r>
          </w:p>
        </w:tc>
        <w:tc>
          <w:tcPr>
            <w:tcW w:w="922" w:type="dxa"/>
            <w:vAlign w:val="center"/>
          </w:tcPr>
          <w:p w14:paraId="36893189" w14:textId="77777777" w:rsidR="00F90C7A" w:rsidRPr="00B63917" w:rsidRDefault="00F90C7A" w:rsidP="00F90C7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eastAsia="lv-LV"/>
              </w:rPr>
            </w:pPr>
            <w:r w:rsidRPr="00F27F2F">
              <w:rPr>
                <w:b/>
                <w:color w:val="000000"/>
              </w:rPr>
              <w:t>20,6</w:t>
            </w:r>
          </w:p>
        </w:tc>
        <w:tc>
          <w:tcPr>
            <w:tcW w:w="921" w:type="dxa"/>
            <w:vAlign w:val="center"/>
          </w:tcPr>
          <w:p w14:paraId="483E240B" w14:textId="77777777" w:rsidR="00F90C7A" w:rsidRPr="00B63917" w:rsidRDefault="00F90C7A" w:rsidP="00F90C7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eastAsia="lv-LV"/>
              </w:rPr>
            </w:pPr>
            <w:r w:rsidRPr="00F27F2F">
              <w:rPr>
                <w:b/>
                <w:color w:val="000000"/>
              </w:rPr>
              <w:t>-1,0</w:t>
            </w:r>
          </w:p>
        </w:tc>
        <w:tc>
          <w:tcPr>
            <w:tcW w:w="921" w:type="dxa"/>
            <w:vAlign w:val="center"/>
          </w:tcPr>
          <w:p w14:paraId="12F99A95" w14:textId="77777777" w:rsidR="00F90C7A" w:rsidRPr="00B63917" w:rsidRDefault="00F90C7A" w:rsidP="00F90C7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eastAsia="lv-LV"/>
              </w:rPr>
            </w:pPr>
            <w:r w:rsidRPr="00F27F2F">
              <w:rPr>
                <w:b/>
                <w:color w:val="000000"/>
              </w:rPr>
              <w:t>-74,6</w:t>
            </w:r>
          </w:p>
        </w:tc>
        <w:tc>
          <w:tcPr>
            <w:tcW w:w="922" w:type="dxa"/>
            <w:vAlign w:val="center"/>
          </w:tcPr>
          <w:p w14:paraId="0CABFEC7" w14:textId="77777777" w:rsidR="00F90C7A" w:rsidRPr="00B63917" w:rsidRDefault="00F90C7A" w:rsidP="00F90C7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eastAsia="lv-LV"/>
              </w:rPr>
            </w:pPr>
            <w:r w:rsidRPr="00F27F2F">
              <w:rPr>
                <w:b/>
                <w:color w:val="000000"/>
              </w:rPr>
              <w:t>-84,4</w:t>
            </w:r>
          </w:p>
        </w:tc>
        <w:tc>
          <w:tcPr>
            <w:tcW w:w="921" w:type="dxa"/>
            <w:vAlign w:val="center"/>
          </w:tcPr>
          <w:p w14:paraId="3D59D80F" w14:textId="1C115633" w:rsidR="00F90C7A" w:rsidRPr="00BB69DC" w:rsidRDefault="00F90C7A" w:rsidP="00F90C7A">
            <w:pPr>
              <w:jc w:val="center"/>
              <w:cnfStyle w:val="000000100000" w:firstRow="0" w:lastRow="0" w:firstColumn="0" w:lastColumn="0" w:oddVBand="0" w:evenVBand="0" w:oddHBand="1" w:evenHBand="0" w:firstRowFirstColumn="0" w:firstRowLastColumn="0" w:lastRowFirstColumn="0" w:lastRowLastColumn="0"/>
              <w:rPr>
                <w:b/>
                <w:color w:val="000000"/>
              </w:rPr>
            </w:pPr>
            <w:r w:rsidRPr="00F90C7A">
              <w:rPr>
                <w:b/>
                <w:color w:val="000000"/>
              </w:rPr>
              <w:t>26,5</w:t>
            </w:r>
          </w:p>
        </w:tc>
        <w:tc>
          <w:tcPr>
            <w:tcW w:w="922" w:type="dxa"/>
            <w:vAlign w:val="center"/>
          </w:tcPr>
          <w:p w14:paraId="33ACCBB8" w14:textId="5AA74187" w:rsidR="00F90C7A" w:rsidRPr="00F27F2F" w:rsidRDefault="00F90C7A" w:rsidP="00F90C7A">
            <w:pPr>
              <w:jc w:val="center"/>
              <w:cnfStyle w:val="000000100000" w:firstRow="0" w:lastRow="0" w:firstColumn="0" w:lastColumn="0" w:oddVBand="0" w:evenVBand="0" w:oddHBand="1" w:evenHBand="0" w:firstRowFirstColumn="0" w:firstRowLastColumn="0" w:lastRowFirstColumn="0" w:lastRowLastColumn="0"/>
              <w:rPr>
                <w:b/>
                <w:color w:val="000000"/>
              </w:rPr>
            </w:pPr>
            <w:r w:rsidRPr="00BB69DC">
              <w:rPr>
                <w:b/>
                <w:color w:val="000000"/>
              </w:rPr>
              <w:t>77,4</w:t>
            </w:r>
          </w:p>
        </w:tc>
      </w:tr>
    </w:tbl>
    <w:p w14:paraId="7C627FB3" w14:textId="77777777" w:rsidR="001C02DC" w:rsidRPr="0037264A" w:rsidRDefault="001C02DC" w:rsidP="00E46133">
      <w:pPr>
        <w:spacing w:after="0" w:line="240" w:lineRule="auto"/>
        <w:jc w:val="both"/>
        <w:rPr>
          <w:rFonts w:ascii="Times New Roman" w:hAnsi="Times New Roman" w:cs="Times New Roman"/>
          <w:sz w:val="20"/>
          <w:szCs w:val="20"/>
        </w:rPr>
      </w:pPr>
      <w:r w:rsidRPr="0037264A">
        <w:rPr>
          <w:rFonts w:ascii="Times New Roman" w:hAnsi="Times New Roman" w:cs="Times New Roman"/>
          <w:sz w:val="20"/>
          <w:szCs w:val="20"/>
        </w:rPr>
        <w:t>*Neskaitot akciju sabiedrības “Enerģijas publiskais tirgotājs” (turpmāk – EPT) ietekmi.</w:t>
      </w:r>
    </w:p>
    <w:p w14:paraId="69C9E60B" w14:textId="6024B146" w:rsidR="001C02DC" w:rsidRPr="0037264A" w:rsidRDefault="001C02DC" w:rsidP="00E46133">
      <w:pPr>
        <w:spacing w:after="0" w:line="240" w:lineRule="auto"/>
        <w:jc w:val="both"/>
        <w:rPr>
          <w:rFonts w:ascii="Times New Roman" w:hAnsi="Times New Roman" w:cs="Times New Roman"/>
          <w:sz w:val="20"/>
          <w:szCs w:val="20"/>
        </w:rPr>
      </w:pPr>
      <w:r w:rsidRPr="0037264A">
        <w:rPr>
          <w:rFonts w:ascii="Times New Roman" w:hAnsi="Times New Roman" w:cs="Times New Roman"/>
          <w:sz w:val="20"/>
          <w:szCs w:val="20"/>
        </w:rPr>
        <w:t>**Atbilstoši 20</w:t>
      </w:r>
      <w:r w:rsidR="00105538">
        <w:rPr>
          <w:rFonts w:ascii="Times New Roman" w:hAnsi="Times New Roman" w:cs="Times New Roman"/>
          <w:sz w:val="20"/>
          <w:szCs w:val="20"/>
        </w:rPr>
        <w:t>2</w:t>
      </w:r>
      <w:r w:rsidR="00F90C7A">
        <w:rPr>
          <w:rFonts w:ascii="Times New Roman" w:hAnsi="Times New Roman" w:cs="Times New Roman"/>
          <w:sz w:val="20"/>
          <w:szCs w:val="20"/>
        </w:rPr>
        <w:t>1</w:t>
      </w:r>
      <w:r w:rsidR="00753BB0">
        <w:rPr>
          <w:rFonts w:ascii="Times New Roman" w:hAnsi="Times New Roman" w:cs="Times New Roman"/>
          <w:sz w:val="20"/>
          <w:szCs w:val="20"/>
        </w:rPr>
        <w:t xml:space="preserve">.gada aprīļa (operatīvajiem) </w:t>
      </w:r>
      <w:r w:rsidRPr="0037264A">
        <w:rPr>
          <w:rFonts w:ascii="Times New Roman" w:hAnsi="Times New Roman" w:cs="Times New Roman"/>
          <w:sz w:val="20"/>
          <w:szCs w:val="20"/>
        </w:rPr>
        <w:t>notifikācijas datiem.</w:t>
      </w:r>
    </w:p>
    <w:p w14:paraId="6FE22D12" w14:textId="77777777" w:rsidR="001C02DC" w:rsidRDefault="001C02DC" w:rsidP="00BA7CFE">
      <w:pPr>
        <w:spacing w:after="0" w:line="240" w:lineRule="auto"/>
        <w:ind w:firstLine="720"/>
        <w:jc w:val="both"/>
        <w:rPr>
          <w:rFonts w:ascii="Times New Roman" w:eastAsiaTheme="minorHAnsi" w:hAnsi="Times New Roman" w:cs="Times New Roman"/>
          <w:sz w:val="24"/>
        </w:rPr>
      </w:pPr>
    </w:p>
    <w:p w14:paraId="09B7902F" w14:textId="2BBC520D" w:rsidR="004C6E61" w:rsidRDefault="004C6E61" w:rsidP="004C6E61">
      <w:pPr>
        <w:spacing w:after="0" w:line="240" w:lineRule="auto"/>
        <w:ind w:firstLine="709"/>
        <w:jc w:val="both"/>
        <w:rPr>
          <w:rFonts w:ascii="Times New Roman" w:eastAsia="Calibri" w:hAnsi="Times New Roman" w:cs="Times New Roman"/>
          <w:color w:val="000000" w:themeColor="text1"/>
          <w:sz w:val="24"/>
          <w:szCs w:val="24"/>
        </w:rPr>
      </w:pPr>
      <w:r w:rsidRPr="00E21995">
        <w:rPr>
          <w:rFonts w:ascii="Times New Roman" w:hAnsi="Times New Roman" w:cs="Times New Roman"/>
          <w:color w:val="000000" w:themeColor="text1"/>
          <w:sz w:val="24"/>
        </w:rPr>
        <w:t xml:space="preserve">2020.gada vispārējās valdības klasificēto komercsabiedrību ietekme uz vispārējās valdības budžeta bilanci bija par 77,4 milj. </w:t>
      </w:r>
      <w:r w:rsidRPr="00E21995">
        <w:rPr>
          <w:rFonts w:ascii="Times New Roman" w:hAnsi="Times New Roman" w:cs="Times New Roman"/>
          <w:i/>
          <w:color w:val="000000" w:themeColor="text1"/>
          <w:sz w:val="24"/>
        </w:rPr>
        <w:t>euro</w:t>
      </w:r>
      <w:r w:rsidRPr="00E21995">
        <w:rPr>
          <w:rFonts w:ascii="Times New Roman" w:hAnsi="Times New Roman" w:cs="Times New Roman"/>
          <w:color w:val="000000" w:themeColor="text1"/>
          <w:sz w:val="24"/>
        </w:rPr>
        <w:t xml:space="preserve"> pozitīvāka kā sākotnēji plānots. Taču atsevišķi jānodala SIA “Rīgas satiksme” plānotā un faktiskā bilance. SIA “Rīgas satiksme” plānoja </w:t>
      </w:r>
      <w:r>
        <w:rPr>
          <w:rFonts w:ascii="Times New Roman" w:hAnsi="Times New Roman" w:cs="Times New Roman"/>
          <w:color w:val="000000" w:themeColor="text1"/>
          <w:sz w:val="24"/>
        </w:rPr>
        <w:t xml:space="preserve">nozīmīgu </w:t>
      </w:r>
      <w:r w:rsidRPr="00E21995">
        <w:rPr>
          <w:rFonts w:ascii="Times New Roman" w:hAnsi="Times New Roman" w:cs="Times New Roman"/>
          <w:color w:val="000000" w:themeColor="text1"/>
          <w:sz w:val="24"/>
        </w:rPr>
        <w:t>sabiedriskā transporta vienību piegādi</w:t>
      </w:r>
      <w:r>
        <w:rPr>
          <w:rFonts w:ascii="Times New Roman" w:hAnsi="Times New Roman" w:cs="Times New Roman"/>
          <w:color w:val="000000" w:themeColor="text1"/>
          <w:sz w:val="24"/>
        </w:rPr>
        <w:t>,</w:t>
      </w:r>
      <w:r w:rsidRPr="00E21995">
        <w:rPr>
          <w:rFonts w:ascii="Times New Roman" w:hAnsi="Times New Roman" w:cs="Times New Roman"/>
          <w:color w:val="000000" w:themeColor="text1"/>
          <w:sz w:val="24"/>
        </w:rPr>
        <w:t xml:space="preserve"> kā rezultātā plānotā ietekme uz vispārējās valdības budžeta bilanci </w:t>
      </w:r>
      <w:r>
        <w:rPr>
          <w:rFonts w:ascii="Times New Roman" w:hAnsi="Times New Roman" w:cs="Times New Roman"/>
          <w:color w:val="000000" w:themeColor="text1"/>
          <w:sz w:val="24"/>
        </w:rPr>
        <w:t>2020.gadā tika paredzēta</w:t>
      </w:r>
      <w:r w:rsidRPr="00E21995">
        <w:rPr>
          <w:rFonts w:ascii="Times New Roman" w:hAnsi="Times New Roman" w:cs="Times New Roman"/>
          <w:color w:val="000000" w:themeColor="text1"/>
          <w:sz w:val="24"/>
        </w:rPr>
        <w:t xml:space="preserve"> -71,9 milj. </w:t>
      </w:r>
      <w:r w:rsidRPr="00E21995">
        <w:rPr>
          <w:rFonts w:ascii="Times New Roman" w:hAnsi="Times New Roman" w:cs="Times New Roman"/>
          <w:i/>
          <w:color w:val="000000" w:themeColor="text1"/>
          <w:sz w:val="24"/>
        </w:rPr>
        <w:t xml:space="preserve">euro </w:t>
      </w:r>
      <w:r w:rsidRPr="00E21995">
        <w:rPr>
          <w:rFonts w:ascii="Times New Roman" w:hAnsi="Times New Roman" w:cs="Times New Roman"/>
          <w:color w:val="000000" w:themeColor="text1"/>
          <w:sz w:val="24"/>
        </w:rPr>
        <w:t>(negatīva)</w:t>
      </w:r>
      <w:r>
        <w:rPr>
          <w:rFonts w:ascii="Times New Roman" w:hAnsi="Times New Roman" w:cs="Times New Roman"/>
          <w:color w:val="000000" w:themeColor="text1"/>
          <w:sz w:val="24"/>
        </w:rPr>
        <w:t xml:space="preserve"> apmērā</w:t>
      </w:r>
      <w:r w:rsidRPr="00E21995">
        <w:rPr>
          <w:rFonts w:ascii="Times New Roman" w:hAnsi="Times New Roman" w:cs="Times New Roman"/>
          <w:color w:val="000000" w:themeColor="text1"/>
          <w:sz w:val="24"/>
        </w:rPr>
        <w:t xml:space="preserve">. Taču, ņemot vērā Covid-19 pandēmijas ietekmi un </w:t>
      </w:r>
      <w:r w:rsidRPr="00B411E9">
        <w:rPr>
          <w:rFonts w:ascii="Times New Roman" w:eastAsia="Calibri" w:hAnsi="Times New Roman" w:cs="Times New Roman"/>
          <w:color w:val="000000" w:themeColor="text1"/>
          <w:sz w:val="24"/>
          <w:szCs w:val="24"/>
        </w:rPr>
        <w:t>piegādātāja iespējas saražot sabiedriskā transporta vienības</w:t>
      </w:r>
      <w:r>
        <w:rPr>
          <w:rFonts w:ascii="Times New Roman" w:eastAsia="Calibri" w:hAnsi="Times New Roman" w:cs="Times New Roman"/>
          <w:color w:val="000000" w:themeColor="text1"/>
          <w:sz w:val="24"/>
          <w:szCs w:val="24"/>
        </w:rPr>
        <w:t>, 2020.</w:t>
      </w:r>
      <w:r w:rsidRPr="00B411E9">
        <w:rPr>
          <w:rFonts w:ascii="Times New Roman" w:eastAsia="Calibri" w:hAnsi="Times New Roman" w:cs="Times New Roman"/>
          <w:color w:val="000000" w:themeColor="text1"/>
          <w:sz w:val="24"/>
          <w:szCs w:val="24"/>
        </w:rPr>
        <w:t xml:space="preserve">gadā sabiedriskā transporta vienības netika piegādātas un SIA “Rīgas Satiksme” noslēdza gadu ar 11,8 milj. </w:t>
      </w:r>
      <w:r w:rsidRPr="00E21995">
        <w:rPr>
          <w:rFonts w:ascii="Times New Roman" w:eastAsia="Calibri" w:hAnsi="Times New Roman" w:cs="Times New Roman"/>
          <w:i/>
          <w:color w:val="000000" w:themeColor="text1"/>
          <w:sz w:val="24"/>
          <w:szCs w:val="24"/>
        </w:rPr>
        <w:t>euro</w:t>
      </w:r>
      <w:r w:rsidRPr="00B411E9">
        <w:rPr>
          <w:rFonts w:ascii="Times New Roman" w:eastAsia="Calibri" w:hAnsi="Times New Roman" w:cs="Times New Roman"/>
          <w:i/>
          <w:color w:val="000000" w:themeColor="text1"/>
          <w:sz w:val="24"/>
          <w:szCs w:val="24"/>
        </w:rPr>
        <w:t xml:space="preserve"> </w:t>
      </w:r>
      <w:r w:rsidRPr="00B411E9">
        <w:rPr>
          <w:rFonts w:ascii="Times New Roman" w:eastAsia="Calibri" w:hAnsi="Times New Roman" w:cs="Times New Roman"/>
          <w:color w:val="000000" w:themeColor="text1"/>
          <w:sz w:val="24"/>
          <w:szCs w:val="24"/>
        </w:rPr>
        <w:t xml:space="preserve">pozitīvu ietekmi uz vispārējās valdības budžeta bilanci. Pārējo vispārējās valdības klasificēto komercsabiedrību faktiskā bilance kopumā būtiski neatšķīrās no plānotās bilances. </w:t>
      </w:r>
    </w:p>
    <w:p w14:paraId="72A47B49" w14:textId="45A61352" w:rsidR="004C6E61" w:rsidRPr="00E21995" w:rsidRDefault="00E17975" w:rsidP="004C6E61">
      <w:pPr>
        <w:spacing w:after="0" w:line="240" w:lineRule="auto"/>
        <w:ind w:firstLine="709"/>
        <w:jc w:val="both"/>
        <w:rPr>
          <w:rFonts w:ascii="Times New Roman" w:hAnsi="Times New Roman" w:cs="Times New Roman"/>
          <w:color w:val="000000" w:themeColor="text1"/>
          <w:sz w:val="24"/>
        </w:rPr>
      </w:pPr>
      <w:r>
        <w:rPr>
          <w:rFonts w:ascii="Times New Roman" w:eastAsia="Calibri" w:hAnsi="Times New Roman" w:cs="Times New Roman"/>
          <w:color w:val="000000" w:themeColor="text1"/>
          <w:sz w:val="24"/>
          <w:szCs w:val="24"/>
        </w:rPr>
        <w:t>Lai uzlabotu fiskālā riska vad</w:t>
      </w:r>
      <w:r w:rsidR="002A63B8">
        <w:rPr>
          <w:rFonts w:ascii="Times New Roman" w:eastAsia="Calibri" w:hAnsi="Times New Roman" w:cs="Times New Roman"/>
          <w:color w:val="000000" w:themeColor="text1"/>
          <w:sz w:val="24"/>
          <w:szCs w:val="24"/>
        </w:rPr>
        <w:t>ību</w:t>
      </w:r>
      <w:r>
        <w:rPr>
          <w:rFonts w:ascii="Times New Roman" w:eastAsia="Calibri" w:hAnsi="Times New Roman" w:cs="Times New Roman"/>
          <w:color w:val="000000" w:themeColor="text1"/>
          <w:sz w:val="24"/>
          <w:szCs w:val="24"/>
        </w:rPr>
        <w:t xml:space="preserve">, </w:t>
      </w:r>
      <w:r w:rsidR="00761C53">
        <w:rPr>
          <w:rFonts w:ascii="Times New Roman" w:eastAsia="Calibri" w:hAnsi="Times New Roman" w:cs="Times New Roman"/>
          <w:color w:val="000000" w:themeColor="text1"/>
          <w:sz w:val="24"/>
          <w:szCs w:val="24"/>
        </w:rPr>
        <w:t>FM</w:t>
      </w:r>
      <w:r>
        <w:rPr>
          <w:rFonts w:ascii="Times New Roman" w:eastAsia="Calibri" w:hAnsi="Times New Roman" w:cs="Times New Roman"/>
          <w:color w:val="000000" w:themeColor="text1"/>
          <w:sz w:val="24"/>
          <w:szCs w:val="24"/>
        </w:rPr>
        <w:t xml:space="preserve"> šogad ir veikusi analīzi par </w:t>
      </w:r>
      <w:r w:rsidR="002A63B8">
        <w:rPr>
          <w:rFonts w:ascii="Times New Roman" w:eastAsia="Calibri" w:hAnsi="Times New Roman" w:cs="Times New Roman"/>
          <w:color w:val="000000" w:themeColor="text1"/>
          <w:sz w:val="24"/>
          <w:szCs w:val="24"/>
        </w:rPr>
        <w:t>faktiskās saimnieciskās darb</w:t>
      </w:r>
      <w:r w:rsidR="009E311E">
        <w:rPr>
          <w:rFonts w:ascii="Times New Roman" w:eastAsia="Calibri" w:hAnsi="Times New Roman" w:cs="Times New Roman"/>
          <w:color w:val="000000" w:themeColor="text1"/>
          <w:sz w:val="24"/>
          <w:szCs w:val="24"/>
        </w:rPr>
        <w:t xml:space="preserve">ības </w:t>
      </w:r>
      <w:r w:rsidR="002A63B8">
        <w:rPr>
          <w:rFonts w:ascii="Times New Roman" w:eastAsia="Calibri" w:hAnsi="Times New Roman" w:cs="Times New Roman"/>
          <w:color w:val="000000" w:themeColor="text1"/>
          <w:sz w:val="24"/>
          <w:szCs w:val="24"/>
        </w:rPr>
        <w:t>novirzēm no to prognozētājām vērtībām individuālo komersantu līmenī</w:t>
      </w:r>
      <w:r w:rsidR="009E311E">
        <w:rPr>
          <w:rFonts w:ascii="Times New Roman" w:eastAsia="Calibri" w:hAnsi="Times New Roman" w:cs="Times New Roman"/>
          <w:color w:val="000000" w:themeColor="text1"/>
          <w:sz w:val="24"/>
          <w:szCs w:val="24"/>
        </w:rPr>
        <w:t xml:space="preserve">. </w:t>
      </w:r>
      <w:r w:rsidR="00761C53">
        <w:rPr>
          <w:rFonts w:ascii="Times New Roman" w:eastAsia="Calibri" w:hAnsi="Times New Roman" w:cs="Times New Roman"/>
          <w:color w:val="000000" w:themeColor="text1"/>
          <w:sz w:val="24"/>
          <w:szCs w:val="24"/>
        </w:rPr>
        <w:t>Analīze uzrāda</w:t>
      </w:r>
      <w:r w:rsidR="009E311E">
        <w:rPr>
          <w:rFonts w:ascii="Times New Roman" w:eastAsia="Calibri" w:hAnsi="Times New Roman" w:cs="Times New Roman"/>
          <w:color w:val="000000" w:themeColor="text1"/>
          <w:sz w:val="24"/>
          <w:szCs w:val="24"/>
        </w:rPr>
        <w:t xml:space="preserve">, ka attiecībā uz absolūti lielāko daļu kapitālsabiedrību, kuru potenciālā ietekme varētu būt nozīmīga, novirzes </w:t>
      </w:r>
      <w:r w:rsidR="00761C53">
        <w:rPr>
          <w:rFonts w:ascii="Times New Roman" w:eastAsia="Calibri" w:hAnsi="Times New Roman" w:cs="Times New Roman"/>
          <w:color w:val="000000" w:themeColor="text1"/>
          <w:sz w:val="24"/>
          <w:szCs w:val="24"/>
        </w:rPr>
        <w:t xml:space="preserve">individuālo kapitālsabiedrību līmenī </w:t>
      </w:r>
      <w:r w:rsidR="009E311E">
        <w:rPr>
          <w:rFonts w:ascii="Times New Roman" w:eastAsia="Calibri" w:hAnsi="Times New Roman" w:cs="Times New Roman"/>
          <w:color w:val="000000" w:themeColor="text1"/>
          <w:sz w:val="24"/>
          <w:szCs w:val="24"/>
        </w:rPr>
        <w:t>uzrāda simetrijas principa ievērošanu.</w:t>
      </w:r>
      <w:r w:rsidR="00761C53">
        <w:rPr>
          <w:rFonts w:ascii="Times New Roman" w:eastAsia="Calibri" w:hAnsi="Times New Roman" w:cs="Times New Roman"/>
          <w:color w:val="000000" w:themeColor="text1"/>
          <w:sz w:val="24"/>
          <w:szCs w:val="24"/>
        </w:rPr>
        <w:t xml:space="preserve"> Un tikai viena kapitālsabiedrība ar potenciāli nozīmīgu ietekmi uzrādīja sistemātiski neizskaidrojamas negatīvas novirzes, kā </w:t>
      </w:r>
      <w:r w:rsidR="00C21B7F">
        <w:rPr>
          <w:rFonts w:ascii="Times New Roman" w:eastAsia="Calibri" w:hAnsi="Times New Roman" w:cs="Times New Roman"/>
          <w:color w:val="000000" w:themeColor="text1"/>
          <w:sz w:val="24"/>
          <w:szCs w:val="24"/>
        </w:rPr>
        <w:t>rezultātā</w:t>
      </w:r>
      <w:r w:rsidR="00761C53">
        <w:rPr>
          <w:rFonts w:ascii="Times New Roman" w:eastAsia="Calibri" w:hAnsi="Times New Roman" w:cs="Times New Roman"/>
          <w:color w:val="000000" w:themeColor="text1"/>
          <w:sz w:val="24"/>
          <w:szCs w:val="24"/>
        </w:rPr>
        <w:t xml:space="preserve"> tika veikta </w:t>
      </w:r>
      <w:r w:rsidR="00C21B7F">
        <w:rPr>
          <w:rFonts w:ascii="Times New Roman" w:eastAsia="Calibri" w:hAnsi="Times New Roman" w:cs="Times New Roman"/>
          <w:color w:val="000000" w:themeColor="text1"/>
          <w:sz w:val="24"/>
          <w:szCs w:val="24"/>
        </w:rPr>
        <w:t>padziļināta</w:t>
      </w:r>
      <w:r w:rsidR="00761C53">
        <w:rPr>
          <w:rFonts w:ascii="Times New Roman" w:eastAsia="Calibri" w:hAnsi="Times New Roman" w:cs="Times New Roman"/>
          <w:color w:val="000000" w:themeColor="text1"/>
          <w:sz w:val="24"/>
          <w:szCs w:val="24"/>
        </w:rPr>
        <w:t xml:space="preserve"> </w:t>
      </w:r>
      <w:r w:rsidR="00C21B7F">
        <w:rPr>
          <w:rFonts w:ascii="Times New Roman" w:eastAsia="Calibri" w:hAnsi="Times New Roman" w:cs="Times New Roman"/>
          <w:color w:val="000000" w:themeColor="text1"/>
          <w:sz w:val="24"/>
          <w:szCs w:val="24"/>
        </w:rPr>
        <w:t>analīze</w:t>
      </w:r>
      <w:r w:rsidR="00761C53">
        <w:rPr>
          <w:rFonts w:ascii="Times New Roman" w:eastAsia="Calibri" w:hAnsi="Times New Roman" w:cs="Times New Roman"/>
          <w:color w:val="000000" w:themeColor="text1"/>
          <w:sz w:val="24"/>
          <w:szCs w:val="24"/>
        </w:rPr>
        <w:t xml:space="preserve">, identificējot, ka </w:t>
      </w:r>
      <w:r w:rsidR="00C21B7F">
        <w:rPr>
          <w:rFonts w:ascii="Times New Roman" w:eastAsia="Calibri" w:hAnsi="Times New Roman" w:cs="Times New Roman"/>
          <w:color w:val="000000" w:themeColor="text1"/>
          <w:sz w:val="24"/>
          <w:szCs w:val="24"/>
        </w:rPr>
        <w:t>novirzes rodas faktisko datu apkopošanā un tālākā darbā šis jautājums ir risināms ar iesaistītajām kompetentajām iestādēm.</w:t>
      </w:r>
    </w:p>
    <w:p w14:paraId="0F9E34BE" w14:textId="46960E45" w:rsidR="001D3D94" w:rsidRPr="0037264A" w:rsidRDefault="001D3D94">
      <w:pPr>
        <w:spacing w:after="0" w:line="240" w:lineRule="auto"/>
        <w:ind w:firstLine="720"/>
        <w:jc w:val="both"/>
        <w:rPr>
          <w:rFonts w:ascii="Times New Roman" w:eastAsiaTheme="minorHAnsi" w:hAnsi="Times New Roman" w:cs="Times New Roman"/>
          <w:sz w:val="24"/>
        </w:rPr>
      </w:pPr>
      <w:r w:rsidRPr="0037264A">
        <w:rPr>
          <w:rFonts w:ascii="Times New Roman" w:eastAsiaTheme="minorHAnsi" w:hAnsi="Times New Roman" w:cs="Times New Roman"/>
          <w:sz w:val="24"/>
        </w:rPr>
        <w:t>Ņemot vērā</w:t>
      </w:r>
      <w:r w:rsidR="004C6E61">
        <w:rPr>
          <w:rFonts w:ascii="Times New Roman" w:eastAsiaTheme="minorHAnsi" w:hAnsi="Times New Roman" w:cs="Times New Roman"/>
          <w:sz w:val="24"/>
        </w:rPr>
        <w:t>, ka pēdējo gadu tendences, papildu uzraudzības pa</w:t>
      </w:r>
      <w:r w:rsidR="00046FAC">
        <w:rPr>
          <w:rFonts w:ascii="Times New Roman" w:eastAsiaTheme="minorHAnsi" w:hAnsi="Times New Roman" w:cs="Times New Roman"/>
          <w:sz w:val="24"/>
        </w:rPr>
        <w:t>sākumus un ierobežojumus, kā arī</w:t>
      </w:r>
      <w:r w:rsidR="004C6E61">
        <w:rPr>
          <w:rFonts w:ascii="Times New Roman" w:eastAsiaTheme="minorHAnsi" w:hAnsi="Times New Roman" w:cs="Times New Roman"/>
          <w:sz w:val="24"/>
        </w:rPr>
        <w:t xml:space="preserve"> to, ka laika rinda zināmā mērā sāk uzrādīt </w:t>
      </w:r>
      <w:r w:rsidR="00C21B7F">
        <w:rPr>
          <w:rFonts w:ascii="Times New Roman" w:eastAsiaTheme="minorHAnsi" w:hAnsi="Times New Roman" w:cs="Times New Roman"/>
          <w:sz w:val="24"/>
        </w:rPr>
        <w:t>simetriskuma</w:t>
      </w:r>
      <w:r w:rsidR="004C6E61">
        <w:rPr>
          <w:rFonts w:ascii="Times New Roman" w:eastAsiaTheme="minorHAnsi" w:hAnsi="Times New Roman" w:cs="Times New Roman"/>
          <w:sz w:val="24"/>
        </w:rPr>
        <w:t xml:space="preserve"> principu</w:t>
      </w:r>
      <w:r w:rsidRPr="0037264A">
        <w:rPr>
          <w:rFonts w:ascii="Times New Roman" w:eastAsiaTheme="minorHAnsi" w:hAnsi="Times New Roman" w:cs="Times New Roman"/>
          <w:sz w:val="24"/>
        </w:rPr>
        <w:t xml:space="preserve">, </w:t>
      </w:r>
      <w:r w:rsidR="004C6E61">
        <w:rPr>
          <w:rFonts w:ascii="Times New Roman" w:eastAsiaTheme="minorHAnsi" w:hAnsi="Times New Roman" w:cs="Times New Roman"/>
          <w:sz w:val="24"/>
        </w:rPr>
        <w:t xml:space="preserve">dotais </w:t>
      </w:r>
      <w:r w:rsidRPr="0037264A">
        <w:rPr>
          <w:rFonts w:ascii="Times New Roman" w:eastAsiaTheme="minorHAnsi" w:hAnsi="Times New Roman" w:cs="Times New Roman"/>
          <w:sz w:val="24"/>
        </w:rPr>
        <w:t xml:space="preserve">risks netiek ietverts fiskālās nodrošinājuma rezerves aprēķinā. </w:t>
      </w:r>
    </w:p>
    <w:p w14:paraId="5D686ACA" w14:textId="77052E4C" w:rsidR="00591A2F" w:rsidRPr="00075814" w:rsidRDefault="00591A2F" w:rsidP="0030420E">
      <w:pPr>
        <w:spacing w:after="0" w:line="240" w:lineRule="auto"/>
        <w:ind w:firstLine="720"/>
        <w:jc w:val="both"/>
        <w:rPr>
          <w:rFonts w:ascii="Times New Roman" w:hAnsi="Times New Roman" w:cs="Times New Roman"/>
          <w:sz w:val="24"/>
          <w:szCs w:val="24"/>
        </w:rPr>
      </w:pPr>
    </w:p>
    <w:p w14:paraId="07F57861" w14:textId="41E8DDBA" w:rsidR="00691BC6" w:rsidRPr="00075814" w:rsidRDefault="001034C2" w:rsidP="00191E2E">
      <w:pPr>
        <w:pStyle w:val="Heading2"/>
        <w:numPr>
          <w:ilvl w:val="1"/>
          <w:numId w:val="4"/>
        </w:numPr>
        <w:spacing w:before="120" w:after="120" w:line="240" w:lineRule="auto"/>
        <w:ind w:left="0" w:firstLine="0"/>
        <w:jc w:val="center"/>
        <w:rPr>
          <w:rFonts w:ascii="Times New Roman" w:hAnsi="Times New Roman" w:cs="Times New Roman"/>
          <w:bCs w:val="0"/>
          <w:sz w:val="24"/>
          <w:szCs w:val="24"/>
        </w:rPr>
      </w:pPr>
      <w:bookmarkStart w:id="43" w:name="_Toc80111858"/>
      <w:r w:rsidRPr="00075814">
        <w:rPr>
          <w:rFonts w:ascii="Times New Roman" w:hAnsi="Times New Roman" w:cs="Times New Roman"/>
          <w:bCs w:val="0"/>
          <w:sz w:val="24"/>
          <w:szCs w:val="24"/>
        </w:rPr>
        <w:t>Superdividendes</w:t>
      </w:r>
      <w:bookmarkEnd w:id="43"/>
    </w:p>
    <w:p w14:paraId="2DDB1783" w14:textId="77777777" w:rsidR="00FC3626" w:rsidRPr="0037264A" w:rsidRDefault="00FC3626" w:rsidP="0066213A">
      <w:pPr>
        <w:spacing w:after="0" w:line="240" w:lineRule="auto"/>
        <w:ind w:firstLine="720"/>
        <w:jc w:val="both"/>
        <w:rPr>
          <w:rFonts w:eastAsiaTheme="minorHAnsi"/>
        </w:rPr>
      </w:pPr>
      <w:r w:rsidRPr="0037264A">
        <w:rPr>
          <w:rFonts w:ascii="Times New Roman" w:eastAsiaTheme="minorHAnsi" w:hAnsi="Times New Roman"/>
          <w:sz w:val="24"/>
        </w:rPr>
        <w:t xml:space="preserve">Maksājumus, kurus komercsabiedrības (t.i. publiskā sektora institūcijas) veic valdībai un/vai pašvaldībai kā akcionāram, parasti dēvē par dividendēm, atsaucoties uz komerctiesībām un saimnieciskās darbības grāmatvedības uzskaiti. Lielākajā daļā gadījumu šos maksājumus iegrāmato kā īpašuma ienākumus un tie veido vispārējās valdības budžeta ieņēmumus. </w:t>
      </w:r>
    </w:p>
    <w:p w14:paraId="4921D228" w14:textId="77777777" w:rsidR="00FC3626" w:rsidRPr="0037264A" w:rsidRDefault="00FC3626" w:rsidP="0066213A">
      <w:pPr>
        <w:spacing w:after="0" w:line="240" w:lineRule="auto"/>
        <w:ind w:firstLine="720"/>
        <w:jc w:val="both"/>
        <w:rPr>
          <w:rFonts w:ascii="Times New Roman" w:eastAsiaTheme="minorHAnsi" w:hAnsi="Times New Roman"/>
          <w:sz w:val="24"/>
        </w:rPr>
      </w:pPr>
      <w:r w:rsidRPr="0037264A">
        <w:rPr>
          <w:rFonts w:ascii="Times New Roman" w:eastAsiaTheme="minorHAnsi" w:hAnsi="Times New Roman"/>
          <w:sz w:val="24"/>
        </w:rPr>
        <w:t>Vienlaicīgi atbilstoši EKS metodoloģijai svarīgi noteikt vai komercsabiedrību veiktie maksājumi var tikt atzīti kā patiesas dividendes un tādējādi tie ir uzskatāmi par vispārējās valdības budžeta ieņēmumiem, vai arī tās ir jāuzskaita kā tā saucamās “superdividendes” un sekojoši tās nevar tikt uzskaitītas kā vispārējās valdības budžeta ieņēmumi.</w:t>
      </w:r>
    </w:p>
    <w:p w14:paraId="31883301" w14:textId="7DF63A74" w:rsidR="00FC3626" w:rsidRPr="0037264A" w:rsidRDefault="00FC3626" w:rsidP="0066213A">
      <w:pPr>
        <w:spacing w:after="0" w:line="240" w:lineRule="auto"/>
        <w:ind w:firstLine="720"/>
        <w:jc w:val="both"/>
        <w:rPr>
          <w:rFonts w:ascii="Times New Roman" w:eastAsiaTheme="minorHAnsi" w:hAnsi="Times New Roman"/>
          <w:sz w:val="24"/>
        </w:rPr>
      </w:pPr>
      <w:r w:rsidRPr="0037264A">
        <w:rPr>
          <w:rFonts w:ascii="Times New Roman" w:eastAsiaTheme="minorHAnsi" w:hAnsi="Times New Roman"/>
          <w:sz w:val="24"/>
        </w:rPr>
        <w:t xml:space="preserve">Saskaņā ar EKS uzskaites principiem par dividendēm var atzīt tikai tos sadalei pieejamos komercsabiedrības ienākumus, kas gūti no saimnieciskās darbības jeb pamatdarbības. </w:t>
      </w:r>
      <w:r w:rsidR="00504BA6">
        <w:rPr>
          <w:rFonts w:ascii="Times New Roman" w:eastAsiaTheme="minorHAnsi" w:hAnsi="Times New Roman"/>
          <w:sz w:val="24"/>
        </w:rPr>
        <w:t>Attiecīgi</w:t>
      </w:r>
      <w:r w:rsidRPr="0037264A">
        <w:rPr>
          <w:rFonts w:ascii="Times New Roman" w:eastAsiaTheme="minorHAnsi" w:hAnsi="Times New Roman"/>
          <w:sz w:val="24"/>
        </w:rPr>
        <w:t xml:space="preserve"> ieņēmumus, kas veidojas no uzkrāto rezervju izmaksas, aktīvu pārdošanas vai pārvērtēšanas uzskaita kā superdividendes.</w:t>
      </w:r>
    </w:p>
    <w:p w14:paraId="51198B79" w14:textId="6A2D7624" w:rsidR="00FC3626" w:rsidRPr="0037264A" w:rsidRDefault="00FC3626" w:rsidP="0066213A">
      <w:pPr>
        <w:spacing w:after="0" w:line="240" w:lineRule="auto"/>
        <w:ind w:firstLine="720"/>
        <w:jc w:val="both"/>
        <w:rPr>
          <w:rFonts w:ascii="Times New Roman" w:eastAsiaTheme="minorHAnsi" w:hAnsi="Times New Roman"/>
          <w:sz w:val="24"/>
        </w:rPr>
      </w:pPr>
      <w:r w:rsidRPr="0037264A">
        <w:rPr>
          <w:rFonts w:ascii="Times New Roman" w:eastAsiaTheme="minorHAnsi" w:hAnsi="Times New Roman"/>
          <w:sz w:val="24"/>
        </w:rPr>
        <w:t>Lai gan superdividendes ir novērotas salīdzinoši bieži un to apmēri ir bijuši nozīmīgi (sk</w:t>
      </w:r>
      <w:r>
        <w:rPr>
          <w:rFonts w:ascii="Times New Roman" w:eastAsiaTheme="minorHAnsi" w:hAnsi="Times New Roman"/>
          <w:sz w:val="24"/>
        </w:rPr>
        <w:t>at</w:t>
      </w:r>
      <w:r w:rsidRPr="0037264A">
        <w:rPr>
          <w:rFonts w:ascii="Times New Roman" w:eastAsiaTheme="minorHAnsi" w:hAnsi="Times New Roman"/>
          <w:sz w:val="24"/>
        </w:rPr>
        <w:t>. tabulu Nr.</w:t>
      </w:r>
      <w:r w:rsidR="00CD5476">
        <w:rPr>
          <w:rFonts w:ascii="Times New Roman" w:eastAsiaTheme="minorHAnsi" w:hAnsi="Times New Roman"/>
          <w:sz w:val="24"/>
        </w:rPr>
        <w:t>9</w:t>
      </w:r>
      <w:r w:rsidRPr="0037264A">
        <w:rPr>
          <w:rFonts w:ascii="Times New Roman" w:eastAsiaTheme="minorHAnsi" w:hAnsi="Times New Roman"/>
          <w:sz w:val="24"/>
        </w:rPr>
        <w:t>), ir svarīgi novērtēt vai tās ir tik lielas, lai veidotu prognozēto ieņēmu iztrūkumu valsts pamatbudžetā. Tādējādi dotais fiskālais risks iestājas tajos gadījumos, kad faktiskie ieņēmumi (atbilstoši EKS) par valsts kapitāla izmantošanu (t.i. dividendes) ir mazāki par plānoto apmēru, kā rezultātā tiek radīta negatīva ietekme uz attiecīgā gada vispārējās valdības budžeta bilanci.</w:t>
      </w:r>
    </w:p>
    <w:p w14:paraId="7FBC0B0C" w14:textId="77777777" w:rsidR="00FC3626" w:rsidRDefault="00FC3626" w:rsidP="008920DE">
      <w:pPr>
        <w:autoSpaceDE w:val="0"/>
        <w:autoSpaceDN w:val="0"/>
        <w:adjustRightInd w:val="0"/>
        <w:spacing w:line="240" w:lineRule="auto"/>
        <w:jc w:val="right"/>
        <w:rPr>
          <w:rFonts w:ascii="Times New Roman" w:eastAsiaTheme="minorHAnsi" w:hAnsi="Times New Roman" w:cs="Times New Roman"/>
          <w:b/>
          <w:color w:val="000000"/>
          <w:sz w:val="24"/>
          <w:szCs w:val="20"/>
        </w:rPr>
      </w:pPr>
    </w:p>
    <w:p w14:paraId="72522AA5" w14:textId="6D1A229C" w:rsidR="008920DE" w:rsidRPr="0037264A" w:rsidRDefault="008920DE" w:rsidP="008920DE">
      <w:pPr>
        <w:autoSpaceDE w:val="0"/>
        <w:autoSpaceDN w:val="0"/>
        <w:adjustRightInd w:val="0"/>
        <w:spacing w:line="240" w:lineRule="auto"/>
        <w:jc w:val="right"/>
        <w:rPr>
          <w:rFonts w:ascii="Times New Roman" w:eastAsiaTheme="minorHAnsi" w:hAnsi="Times New Roman" w:cs="Times New Roman"/>
          <w:b/>
          <w:color w:val="000000"/>
          <w:sz w:val="24"/>
          <w:szCs w:val="20"/>
        </w:rPr>
      </w:pPr>
      <w:r w:rsidRPr="0037264A">
        <w:rPr>
          <w:rFonts w:ascii="Times New Roman" w:eastAsiaTheme="minorHAnsi" w:hAnsi="Times New Roman" w:cs="Times New Roman"/>
          <w:b/>
          <w:color w:val="000000"/>
          <w:sz w:val="24"/>
          <w:szCs w:val="20"/>
        </w:rPr>
        <w:t>Tabula Nr.</w:t>
      </w:r>
      <w:r w:rsidR="00CD5476">
        <w:rPr>
          <w:rFonts w:ascii="Times New Roman" w:eastAsiaTheme="minorHAnsi" w:hAnsi="Times New Roman" w:cs="Times New Roman"/>
          <w:b/>
          <w:color w:val="000000"/>
          <w:sz w:val="24"/>
          <w:szCs w:val="20"/>
        </w:rPr>
        <w:t>9</w:t>
      </w:r>
      <w:r w:rsidRPr="0037264A">
        <w:rPr>
          <w:rFonts w:ascii="Times New Roman" w:eastAsiaTheme="minorHAnsi" w:hAnsi="Times New Roman" w:cs="Times New Roman"/>
          <w:b/>
          <w:color w:val="000000"/>
          <w:sz w:val="24"/>
          <w:szCs w:val="20"/>
        </w:rPr>
        <w:t xml:space="preserve"> Maksājumu par valsts kapitāla izmantošanu (dividendes) plānotais apmērs un faktiskā izpilde (milj. </w:t>
      </w:r>
      <w:r w:rsidRPr="0037264A">
        <w:rPr>
          <w:rFonts w:ascii="Times New Roman" w:eastAsiaTheme="minorHAnsi" w:hAnsi="Times New Roman" w:cs="Times New Roman"/>
          <w:b/>
          <w:i/>
          <w:color w:val="000000"/>
          <w:sz w:val="24"/>
          <w:szCs w:val="20"/>
        </w:rPr>
        <w:t>euro</w:t>
      </w:r>
      <w:r w:rsidRPr="0037264A">
        <w:rPr>
          <w:rFonts w:ascii="Times New Roman" w:eastAsiaTheme="minorHAnsi" w:hAnsi="Times New Roman" w:cs="Times New Roman"/>
          <w:b/>
          <w:color w:val="000000"/>
          <w:sz w:val="24"/>
          <w:szCs w:val="20"/>
        </w:rPr>
        <w:t>)</w:t>
      </w:r>
    </w:p>
    <w:tbl>
      <w:tblPr>
        <w:tblStyle w:val="TableGrid"/>
        <w:tblW w:w="963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2122"/>
        <w:gridCol w:w="939"/>
        <w:gridCol w:w="939"/>
        <w:gridCol w:w="939"/>
        <w:gridCol w:w="939"/>
        <w:gridCol w:w="939"/>
        <w:gridCol w:w="939"/>
        <w:gridCol w:w="939"/>
        <w:gridCol w:w="939"/>
      </w:tblGrid>
      <w:tr w:rsidR="004F32F0" w:rsidRPr="00533BC5" w14:paraId="1EC6D6EC" w14:textId="7071E3AD" w:rsidTr="00BB69DC">
        <w:tc>
          <w:tcPr>
            <w:tcW w:w="2122" w:type="dxa"/>
            <w:shd w:val="clear" w:color="auto" w:fill="DEEAF6" w:themeFill="accent1" w:themeFillTint="33"/>
          </w:tcPr>
          <w:p w14:paraId="553AF087" w14:textId="77777777" w:rsidR="004F32F0" w:rsidRPr="00365C21" w:rsidRDefault="004F32F0" w:rsidP="00B97861">
            <w:pPr>
              <w:autoSpaceDE w:val="0"/>
              <w:autoSpaceDN w:val="0"/>
              <w:adjustRightInd w:val="0"/>
              <w:jc w:val="right"/>
              <w:rPr>
                <w:rFonts w:cs="Times New Roman"/>
                <w:b/>
                <w:color w:val="000000" w:themeColor="text1"/>
                <w:sz w:val="22"/>
              </w:rPr>
            </w:pPr>
          </w:p>
        </w:tc>
        <w:tc>
          <w:tcPr>
            <w:tcW w:w="939" w:type="dxa"/>
            <w:shd w:val="clear" w:color="auto" w:fill="DEEAF6" w:themeFill="accent1" w:themeFillTint="33"/>
            <w:vAlign w:val="center"/>
          </w:tcPr>
          <w:p w14:paraId="512A5D28" w14:textId="77777777" w:rsidR="004F32F0" w:rsidRPr="00365C21" w:rsidRDefault="004F32F0" w:rsidP="00B97861">
            <w:pPr>
              <w:autoSpaceDE w:val="0"/>
              <w:autoSpaceDN w:val="0"/>
              <w:adjustRightInd w:val="0"/>
              <w:jc w:val="center"/>
              <w:rPr>
                <w:rFonts w:cs="Times New Roman"/>
                <w:b/>
                <w:color w:val="000000" w:themeColor="text1"/>
                <w:sz w:val="22"/>
              </w:rPr>
            </w:pPr>
            <w:r w:rsidRPr="00365C21">
              <w:rPr>
                <w:rFonts w:cs="Times New Roman"/>
                <w:b/>
                <w:sz w:val="22"/>
              </w:rPr>
              <w:t>2013</w:t>
            </w:r>
          </w:p>
        </w:tc>
        <w:tc>
          <w:tcPr>
            <w:tcW w:w="939" w:type="dxa"/>
            <w:shd w:val="clear" w:color="auto" w:fill="DEEAF6" w:themeFill="accent1" w:themeFillTint="33"/>
            <w:vAlign w:val="center"/>
          </w:tcPr>
          <w:p w14:paraId="6144B9DF" w14:textId="77777777" w:rsidR="004F32F0" w:rsidRPr="00365C21" w:rsidRDefault="004F32F0" w:rsidP="00B97861">
            <w:pPr>
              <w:autoSpaceDE w:val="0"/>
              <w:autoSpaceDN w:val="0"/>
              <w:adjustRightInd w:val="0"/>
              <w:jc w:val="center"/>
              <w:rPr>
                <w:rFonts w:cs="Times New Roman"/>
                <w:b/>
                <w:color w:val="000000" w:themeColor="text1"/>
                <w:sz w:val="22"/>
              </w:rPr>
            </w:pPr>
            <w:r w:rsidRPr="00365C21">
              <w:rPr>
                <w:rFonts w:cs="Times New Roman"/>
                <w:b/>
                <w:sz w:val="22"/>
              </w:rPr>
              <w:t>2014</w:t>
            </w:r>
          </w:p>
        </w:tc>
        <w:tc>
          <w:tcPr>
            <w:tcW w:w="939" w:type="dxa"/>
            <w:shd w:val="clear" w:color="auto" w:fill="DEEAF6" w:themeFill="accent1" w:themeFillTint="33"/>
            <w:vAlign w:val="center"/>
          </w:tcPr>
          <w:p w14:paraId="249B80E5" w14:textId="77777777" w:rsidR="004F32F0" w:rsidRPr="00365C21" w:rsidRDefault="004F32F0" w:rsidP="00B97861">
            <w:pPr>
              <w:autoSpaceDE w:val="0"/>
              <w:autoSpaceDN w:val="0"/>
              <w:adjustRightInd w:val="0"/>
              <w:jc w:val="center"/>
              <w:rPr>
                <w:rFonts w:cs="Times New Roman"/>
                <w:b/>
                <w:color w:val="000000" w:themeColor="text1"/>
                <w:sz w:val="22"/>
              </w:rPr>
            </w:pPr>
            <w:r w:rsidRPr="00365C21">
              <w:rPr>
                <w:rFonts w:cs="Times New Roman"/>
                <w:b/>
                <w:sz w:val="22"/>
              </w:rPr>
              <w:t>2015</w:t>
            </w:r>
          </w:p>
        </w:tc>
        <w:tc>
          <w:tcPr>
            <w:tcW w:w="939" w:type="dxa"/>
            <w:shd w:val="clear" w:color="auto" w:fill="DEEAF6" w:themeFill="accent1" w:themeFillTint="33"/>
            <w:vAlign w:val="center"/>
          </w:tcPr>
          <w:p w14:paraId="7CACA5B5" w14:textId="77777777" w:rsidR="004F32F0" w:rsidRPr="00365C21" w:rsidRDefault="004F32F0" w:rsidP="00B97861">
            <w:pPr>
              <w:autoSpaceDE w:val="0"/>
              <w:autoSpaceDN w:val="0"/>
              <w:adjustRightInd w:val="0"/>
              <w:jc w:val="center"/>
              <w:rPr>
                <w:rFonts w:cs="Times New Roman"/>
                <w:b/>
                <w:color w:val="000000" w:themeColor="text1"/>
                <w:sz w:val="22"/>
              </w:rPr>
            </w:pPr>
            <w:r w:rsidRPr="00365C21">
              <w:rPr>
                <w:rFonts w:cs="Times New Roman"/>
                <w:b/>
                <w:sz w:val="22"/>
              </w:rPr>
              <w:t>2016</w:t>
            </w:r>
          </w:p>
        </w:tc>
        <w:tc>
          <w:tcPr>
            <w:tcW w:w="939" w:type="dxa"/>
            <w:shd w:val="clear" w:color="auto" w:fill="DEEAF6" w:themeFill="accent1" w:themeFillTint="33"/>
            <w:vAlign w:val="center"/>
          </w:tcPr>
          <w:p w14:paraId="065E0CC4" w14:textId="77777777" w:rsidR="004F32F0" w:rsidRPr="00365C21" w:rsidRDefault="004F32F0" w:rsidP="00B97861">
            <w:pPr>
              <w:autoSpaceDE w:val="0"/>
              <w:autoSpaceDN w:val="0"/>
              <w:adjustRightInd w:val="0"/>
              <w:jc w:val="center"/>
              <w:rPr>
                <w:rFonts w:cs="Times New Roman"/>
                <w:b/>
                <w:color w:val="000000" w:themeColor="text1"/>
                <w:sz w:val="22"/>
              </w:rPr>
            </w:pPr>
            <w:r w:rsidRPr="00365C21">
              <w:rPr>
                <w:rFonts w:cs="Times New Roman"/>
                <w:b/>
                <w:sz w:val="22"/>
              </w:rPr>
              <w:t>2017</w:t>
            </w:r>
          </w:p>
        </w:tc>
        <w:tc>
          <w:tcPr>
            <w:tcW w:w="939" w:type="dxa"/>
            <w:shd w:val="clear" w:color="auto" w:fill="DEEAF6" w:themeFill="accent1" w:themeFillTint="33"/>
            <w:vAlign w:val="center"/>
          </w:tcPr>
          <w:p w14:paraId="611C5FFE" w14:textId="77777777" w:rsidR="004F32F0" w:rsidRPr="00365C21" w:rsidRDefault="004F32F0" w:rsidP="00B97861">
            <w:pPr>
              <w:autoSpaceDE w:val="0"/>
              <w:autoSpaceDN w:val="0"/>
              <w:adjustRightInd w:val="0"/>
              <w:jc w:val="center"/>
              <w:rPr>
                <w:rFonts w:cs="Times New Roman"/>
                <w:b/>
                <w:color w:val="000000" w:themeColor="text1"/>
                <w:sz w:val="22"/>
              </w:rPr>
            </w:pPr>
            <w:r w:rsidRPr="00365C21">
              <w:rPr>
                <w:rFonts w:cs="Times New Roman"/>
                <w:b/>
                <w:sz w:val="22"/>
              </w:rPr>
              <w:t>2018</w:t>
            </w:r>
          </w:p>
        </w:tc>
        <w:tc>
          <w:tcPr>
            <w:tcW w:w="939" w:type="dxa"/>
            <w:shd w:val="clear" w:color="auto" w:fill="DEEAF6" w:themeFill="accent1" w:themeFillTint="33"/>
          </w:tcPr>
          <w:p w14:paraId="189B743C" w14:textId="77777777" w:rsidR="004F32F0" w:rsidRPr="00365C21" w:rsidRDefault="004F32F0" w:rsidP="00B97861">
            <w:pPr>
              <w:autoSpaceDE w:val="0"/>
              <w:autoSpaceDN w:val="0"/>
              <w:adjustRightInd w:val="0"/>
              <w:jc w:val="center"/>
              <w:rPr>
                <w:rFonts w:cs="Times New Roman"/>
                <w:b/>
                <w:sz w:val="22"/>
              </w:rPr>
            </w:pPr>
            <w:r w:rsidRPr="00365C21">
              <w:rPr>
                <w:rFonts w:cs="Times New Roman"/>
                <w:b/>
                <w:sz w:val="22"/>
              </w:rPr>
              <w:t>2019</w:t>
            </w:r>
          </w:p>
        </w:tc>
        <w:tc>
          <w:tcPr>
            <w:tcW w:w="939" w:type="dxa"/>
            <w:shd w:val="clear" w:color="auto" w:fill="DEEAF6" w:themeFill="accent1" w:themeFillTint="33"/>
          </w:tcPr>
          <w:p w14:paraId="5C384A6C" w14:textId="2B7E4457" w:rsidR="004F32F0" w:rsidRPr="00365C21" w:rsidRDefault="004F32F0" w:rsidP="00B97861">
            <w:pPr>
              <w:autoSpaceDE w:val="0"/>
              <w:autoSpaceDN w:val="0"/>
              <w:adjustRightInd w:val="0"/>
              <w:jc w:val="center"/>
              <w:rPr>
                <w:rFonts w:cs="Times New Roman"/>
                <w:b/>
              </w:rPr>
            </w:pPr>
            <w:r w:rsidRPr="00E157CD">
              <w:rPr>
                <w:rFonts w:cs="Times New Roman"/>
                <w:b/>
              </w:rPr>
              <w:t>2020</w:t>
            </w:r>
          </w:p>
        </w:tc>
      </w:tr>
      <w:tr w:rsidR="004F32F0" w:rsidRPr="00533BC5" w14:paraId="0D3B9A51" w14:textId="768C04B2" w:rsidTr="00BB69DC">
        <w:tc>
          <w:tcPr>
            <w:tcW w:w="2122" w:type="dxa"/>
          </w:tcPr>
          <w:p w14:paraId="4D2FED42" w14:textId="77777777" w:rsidR="004F32F0" w:rsidRPr="00365C21" w:rsidRDefault="004F32F0" w:rsidP="00FC3626">
            <w:pPr>
              <w:autoSpaceDE w:val="0"/>
              <w:autoSpaceDN w:val="0"/>
              <w:adjustRightInd w:val="0"/>
              <w:jc w:val="right"/>
              <w:rPr>
                <w:rFonts w:cs="Times New Roman"/>
                <w:color w:val="000000" w:themeColor="text1"/>
                <w:sz w:val="22"/>
              </w:rPr>
            </w:pPr>
            <w:r w:rsidRPr="00365C21">
              <w:rPr>
                <w:rFonts w:cs="Times New Roman"/>
                <w:sz w:val="22"/>
              </w:rPr>
              <w:t xml:space="preserve">Maksājumu par valsts kapitāla izmantošanu </w:t>
            </w:r>
            <w:r w:rsidRPr="00365C21">
              <w:rPr>
                <w:rFonts w:cs="Times New Roman"/>
                <w:sz w:val="22"/>
              </w:rPr>
              <w:lastRenderedPageBreak/>
              <w:t>(dividendes) plānotais apmērs</w:t>
            </w:r>
          </w:p>
        </w:tc>
        <w:tc>
          <w:tcPr>
            <w:tcW w:w="939" w:type="dxa"/>
            <w:vAlign w:val="center"/>
          </w:tcPr>
          <w:p w14:paraId="42ADC86E" w14:textId="24D7DA8C"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lastRenderedPageBreak/>
              <w:t>-</w:t>
            </w:r>
          </w:p>
        </w:tc>
        <w:tc>
          <w:tcPr>
            <w:tcW w:w="939" w:type="dxa"/>
            <w:vAlign w:val="center"/>
          </w:tcPr>
          <w:p w14:paraId="1FEEFA6E" w14:textId="68F46E1D"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w:t>
            </w:r>
          </w:p>
        </w:tc>
        <w:tc>
          <w:tcPr>
            <w:tcW w:w="939" w:type="dxa"/>
            <w:vAlign w:val="center"/>
          </w:tcPr>
          <w:p w14:paraId="2E0A18F7" w14:textId="7147CA1B"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117,8</w:t>
            </w:r>
          </w:p>
        </w:tc>
        <w:tc>
          <w:tcPr>
            <w:tcW w:w="939" w:type="dxa"/>
            <w:vAlign w:val="center"/>
          </w:tcPr>
          <w:p w14:paraId="546C8EC0" w14:textId="201034A2"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151,2</w:t>
            </w:r>
          </w:p>
        </w:tc>
        <w:tc>
          <w:tcPr>
            <w:tcW w:w="939" w:type="dxa"/>
            <w:vAlign w:val="center"/>
          </w:tcPr>
          <w:p w14:paraId="63AD3F7A" w14:textId="63D52D48"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154,3</w:t>
            </w:r>
          </w:p>
        </w:tc>
        <w:tc>
          <w:tcPr>
            <w:tcW w:w="939" w:type="dxa"/>
            <w:vAlign w:val="center"/>
          </w:tcPr>
          <w:p w14:paraId="08692276" w14:textId="4DF064A9"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163,0</w:t>
            </w:r>
          </w:p>
        </w:tc>
        <w:tc>
          <w:tcPr>
            <w:tcW w:w="939" w:type="dxa"/>
            <w:vAlign w:val="center"/>
          </w:tcPr>
          <w:p w14:paraId="445BB500" w14:textId="1EAEAB37" w:rsidR="004F32F0" w:rsidRPr="00FC3626" w:rsidRDefault="004F32F0" w:rsidP="00FC3626">
            <w:pPr>
              <w:autoSpaceDE w:val="0"/>
              <w:autoSpaceDN w:val="0"/>
              <w:adjustRightInd w:val="0"/>
              <w:jc w:val="center"/>
              <w:rPr>
                <w:rFonts w:cs="Times New Roman"/>
                <w:sz w:val="22"/>
              </w:rPr>
            </w:pPr>
            <w:r w:rsidRPr="00FC3626">
              <w:rPr>
                <w:sz w:val="22"/>
              </w:rPr>
              <w:t>204,</w:t>
            </w:r>
            <w:r w:rsidR="00F000B9">
              <w:rPr>
                <w:sz w:val="22"/>
              </w:rPr>
              <w:t>3</w:t>
            </w:r>
          </w:p>
        </w:tc>
        <w:tc>
          <w:tcPr>
            <w:tcW w:w="939" w:type="dxa"/>
            <w:vAlign w:val="center"/>
          </w:tcPr>
          <w:p w14:paraId="749D1D58" w14:textId="5E2225A6" w:rsidR="004F32F0" w:rsidRPr="00BB69DC" w:rsidRDefault="00F000B9" w:rsidP="001D0BDB">
            <w:pPr>
              <w:autoSpaceDE w:val="0"/>
              <w:autoSpaceDN w:val="0"/>
              <w:adjustRightInd w:val="0"/>
              <w:jc w:val="center"/>
              <w:rPr>
                <w:sz w:val="22"/>
              </w:rPr>
            </w:pPr>
            <w:r w:rsidRPr="00BB69DC">
              <w:t>196,1</w:t>
            </w:r>
          </w:p>
        </w:tc>
      </w:tr>
      <w:tr w:rsidR="004F32F0" w:rsidRPr="00533BC5" w14:paraId="7D09433B" w14:textId="4A7B9C66" w:rsidTr="00BB69DC">
        <w:tc>
          <w:tcPr>
            <w:tcW w:w="2122" w:type="dxa"/>
            <w:shd w:val="clear" w:color="auto" w:fill="DEEAF6" w:themeFill="accent1" w:themeFillTint="33"/>
          </w:tcPr>
          <w:p w14:paraId="429BDCAF" w14:textId="77777777" w:rsidR="004F32F0" w:rsidRPr="00365C21" w:rsidRDefault="004F32F0" w:rsidP="00FC3626">
            <w:pPr>
              <w:autoSpaceDE w:val="0"/>
              <w:autoSpaceDN w:val="0"/>
              <w:adjustRightInd w:val="0"/>
              <w:jc w:val="right"/>
              <w:rPr>
                <w:rFonts w:cs="Times New Roman"/>
                <w:color w:val="000000" w:themeColor="text1"/>
                <w:sz w:val="22"/>
              </w:rPr>
            </w:pPr>
            <w:r w:rsidRPr="00365C21">
              <w:rPr>
                <w:rFonts w:cs="Times New Roman"/>
                <w:sz w:val="22"/>
              </w:rPr>
              <w:t>Superdividendes</w:t>
            </w:r>
          </w:p>
        </w:tc>
        <w:tc>
          <w:tcPr>
            <w:tcW w:w="939" w:type="dxa"/>
            <w:shd w:val="clear" w:color="auto" w:fill="DEEAF6" w:themeFill="accent1" w:themeFillTint="33"/>
            <w:vAlign w:val="center"/>
          </w:tcPr>
          <w:p w14:paraId="706DF572" w14:textId="12B710C3"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-5,758</w:t>
            </w:r>
          </w:p>
        </w:tc>
        <w:tc>
          <w:tcPr>
            <w:tcW w:w="939" w:type="dxa"/>
            <w:shd w:val="clear" w:color="auto" w:fill="DEEAF6" w:themeFill="accent1" w:themeFillTint="33"/>
            <w:vAlign w:val="center"/>
          </w:tcPr>
          <w:p w14:paraId="456E0861" w14:textId="7B6E5B04"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-29,553</w:t>
            </w:r>
          </w:p>
        </w:tc>
        <w:tc>
          <w:tcPr>
            <w:tcW w:w="939" w:type="dxa"/>
            <w:shd w:val="clear" w:color="auto" w:fill="DEEAF6" w:themeFill="accent1" w:themeFillTint="33"/>
            <w:vAlign w:val="center"/>
          </w:tcPr>
          <w:p w14:paraId="294455B8" w14:textId="3B47EAB6"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0,000</w:t>
            </w:r>
          </w:p>
        </w:tc>
        <w:tc>
          <w:tcPr>
            <w:tcW w:w="939" w:type="dxa"/>
            <w:shd w:val="clear" w:color="auto" w:fill="DEEAF6" w:themeFill="accent1" w:themeFillTint="33"/>
            <w:vAlign w:val="center"/>
          </w:tcPr>
          <w:p w14:paraId="3D993D93" w14:textId="286C1099"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-0,118</w:t>
            </w:r>
          </w:p>
        </w:tc>
        <w:tc>
          <w:tcPr>
            <w:tcW w:w="939" w:type="dxa"/>
            <w:shd w:val="clear" w:color="auto" w:fill="DEEAF6" w:themeFill="accent1" w:themeFillTint="33"/>
            <w:vAlign w:val="center"/>
          </w:tcPr>
          <w:p w14:paraId="3ADC000D" w14:textId="384F5E70"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0,000</w:t>
            </w:r>
          </w:p>
        </w:tc>
        <w:tc>
          <w:tcPr>
            <w:tcW w:w="939" w:type="dxa"/>
            <w:shd w:val="clear" w:color="auto" w:fill="DEEAF6" w:themeFill="accent1" w:themeFillTint="33"/>
            <w:vAlign w:val="center"/>
          </w:tcPr>
          <w:p w14:paraId="24FACFC9" w14:textId="49C1EA92"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-3,234</w:t>
            </w:r>
          </w:p>
        </w:tc>
        <w:tc>
          <w:tcPr>
            <w:tcW w:w="939" w:type="dxa"/>
            <w:shd w:val="clear" w:color="auto" w:fill="DEEAF6" w:themeFill="accent1" w:themeFillTint="33"/>
            <w:vAlign w:val="center"/>
          </w:tcPr>
          <w:p w14:paraId="45021C6C" w14:textId="483CABF8" w:rsidR="004F32F0" w:rsidRPr="00FC3626" w:rsidRDefault="004F32F0" w:rsidP="00837FD1">
            <w:pPr>
              <w:autoSpaceDE w:val="0"/>
              <w:autoSpaceDN w:val="0"/>
              <w:adjustRightInd w:val="0"/>
              <w:jc w:val="center"/>
              <w:rPr>
                <w:rFonts w:cs="Times New Roman"/>
                <w:sz w:val="22"/>
              </w:rPr>
            </w:pPr>
            <w:r w:rsidRPr="00FC3626">
              <w:rPr>
                <w:sz w:val="22"/>
              </w:rPr>
              <w:t>-75,281</w:t>
            </w:r>
          </w:p>
        </w:tc>
        <w:tc>
          <w:tcPr>
            <w:tcW w:w="939" w:type="dxa"/>
            <w:shd w:val="clear" w:color="auto" w:fill="DEEAF6" w:themeFill="accent1" w:themeFillTint="33"/>
          </w:tcPr>
          <w:p w14:paraId="032BD065" w14:textId="78AEF3E5" w:rsidR="004F32F0" w:rsidRPr="00E813BA" w:rsidRDefault="004F32F0" w:rsidP="00FC3626">
            <w:pPr>
              <w:autoSpaceDE w:val="0"/>
              <w:autoSpaceDN w:val="0"/>
              <w:adjustRightInd w:val="0"/>
              <w:jc w:val="center"/>
              <w:rPr>
                <w:sz w:val="22"/>
              </w:rPr>
            </w:pPr>
            <w:r w:rsidRPr="00E813BA">
              <w:rPr>
                <w:sz w:val="22"/>
              </w:rPr>
              <w:t>-48,805</w:t>
            </w:r>
          </w:p>
        </w:tc>
      </w:tr>
      <w:tr w:rsidR="004F32F0" w:rsidRPr="00533BC5" w14:paraId="488CE978" w14:textId="42E67647" w:rsidTr="00BB69DC">
        <w:tc>
          <w:tcPr>
            <w:tcW w:w="2122" w:type="dxa"/>
          </w:tcPr>
          <w:p w14:paraId="67653321" w14:textId="77777777" w:rsidR="004F32F0" w:rsidRPr="00365C21" w:rsidRDefault="004F32F0" w:rsidP="00FC3626">
            <w:pPr>
              <w:autoSpaceDE w:val="0"/>
              <w:autoSpaceDN w:val="0"/>
              <w:adjustRightInd w:val="0"/>
              <w:jc w:val="right"/>
              <w:rPr>
                <w:rFonts w:cs="Times New Roman"/>
                <w:color w:val="000000" w:themeColor="text1"/>
                <w:sz w:val="22"/>
              </w:rPr>
            </w:pPr>
            <w:r w:rsidRPr="00365C21">
              <w:rPr>
                <w:rFonts w:cs="Times New Roman"/>
                <w:sz w:val="22"/>
              </w:rPr>
              <w:t>Maksājumu par valsts kapitāla izmantošanu apmērs (izpilde, atskaitot superdividendes)</w:t>
            </w:r>
          </w:p>
        </w:tc>
        <w:tc>
          <w:tcPr>
            <w:tcW w:w="939" w:type="dxa"/>
            <w:vAlign w:val="center"/>
          </w:tcPr>
          <w:p w14:paraId="30676D34" w14:textId="008692CD"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153,4</w:t>
            </w:r>
          </w:p>
        </w:tc>
        <w:tc>
          <w:tcPr>
            <w:tcW w:w="939" w:type="dxa"/>
            <w:vAlign w:val="center"/>
          </w:tcPr>
          <w:p w14:paraId="0AD5332B" w14:textId="1CE7217B"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102,9</w:t>
            </w:r>
          </w:p>
        </w:tc>
        <w:tc>
          <w:tcPr>
            <w:tcW w:w="939" w:type="dxa"/>
            <w:vAlign w:val="center"/>
          </w:tcPr>
          <w:p w14:paraId="3018B2D7" w14:textId="08893677"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141,0</w:t>
            </w:r>
          </w:p>
        </w:tc>
        <w:tc>
          <w:tcPr>
            <w:tcW w:w="939" w:type="dxa"/>
            <w:vAlign w:val="center"/>
          </w:tcPr>
          <w:p w14:paraId="3E91C11D" w14:textId="4A646444"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166,9</w:t>
            </w:r>
          </w:p>
        </w:tc>
        <w:tc>
          <w:tcPr>
            <w:tcW w:w="939" w:type="dxa"/>
            <w:vAlign w:val="center"/>
          </w:tcPr>
          <w:p w14:paraId="78AA5BA9" w14:textId="031B2FB8"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154,3</w:t>
            </w:r>
          </w:p>
        </w:tc>
        <w:tc>
          <w:tcPr>
            <w:tcW w:w="939" w:type="dxa"/>
            <w:vAlign w:val="center"/>
          </w:tcPr>
          <w:p w14:paraId="3A8B5257" w14:textId="083498EE" w:rsidR="004F32F0" w:rsidRPr="00FC3626" w:rsidRDefault="004F32F0" w:rsidP="00FC3626">
            <w:pPr>
              <w:autoSpaceDE w:val="0"/>
              <w:autoSpaceDN w:val="0"/>
              <w:adjustRightInd w:val="0"/>
              <w:jc w:val="center"/>
              <w:rPr>
                <w:rFonts w:cs="Times New Roman"/>
                <w:color w:val="000000" w:themeColor="text1"/>
                <w:sz w:val="22"/>
              </w:rPr>
            </w:pPr>
            <w:r w:rsidRPr="00FC3626">
              <w:rPr>
                <w:sz w:val="22"/>
              </w:rPr>
              <w:t>188,8*</w:t>
            </w:r>
          </w:p>
        </w:tc>
        <w:tc>
          <w:tcPr>
            <w:tcW w:w="939" w:type="dxa"/>
            <w:vAlign w:val="center"/>
          </w:tcPr>
          <w:p w14:paraId="0DE29579" w14:textId="574A8767" w:rsidR="004F32F0" w:rsidRPr="00FC3626" w:rsidRDefault="004F32F0" w:rsidP="00FC3626">
            <w:pPr>
              <w:autoSpaceDE w:val="0"/>
              <w:autoSpaceDN w:val="0"/>
              <w:adjustRightInd w:val="0"/>
              <w:jc w:val="center"/>
              <w:rPr>
                <w:rFonts w:cs="Times New Roman"/>
                <w:sz w:val="22"/>
              </w:rPr>
            </w:pPr>
            <w:r w:rsidRPr="00FC3626">
              <w:rPr>
                <w:sz w:val="22"/>
              </w:rPr>
              <w:t>158,3</w:t>
            </w:r>
          </w:p>
        </w:tc>
        <w:tc>
          <w:tcPr>
            <w:tcW w:w="939" w:type="dxa"/>
            <w:vAlign w:val="center"/>
          </w:tcPr>
          <w:p w14:paraId="1E54557E" w14:textId="2341A53E" w:rsidR="004F32F0" w:rsidRPr="00BB69DC" w:rsidRDefault="00F000B9" w:rsidP="001D0BDB">
            <w:pPr>
              <w:autoSpaceDE w:val="0"/>
              <w:autoSpaceDN w:val="0"/>
              <w:adjustRightInd w:val="0"/>
              <w:jc w:val="center"/>
              <w:rPr>
                <w:sz w:val="22"/>
              </w:rPr>
            </w:pPr>
            <w:r w:rsidRPr="00E813BA">
              <w:rPr>
                <w:sz w:val="22"/>
              </w:rPr>
              <w:t>182</w:t>
            </w:r>
            <w:r w:rsidRPr="00BB69DC">
              <w:t>,5</w:t>
            </w:r>
          </w:p>
        </w:tc>
      </w:tr>
    </w:tbl>
    <w:p w14:paraId="60E5885E" w14:textId="1620D58B" w:rsidR="008920DE" w:rsidRDefault="00FC3626" w:rsidP="008920DE">
      <w:pPr>
        <w:spacing w:after="0" w:line="240" w:lineRule="auto"/>
        <w:jc w:val="both"/>
        <w:rPr>
          <w:rFonts w:ascii="Times New Roman" w:eastAsiaTheme="minorHAnsi" w:hAnsi="Times New Roman" w:cs="Times New Roman"/>
          <w:i/>
          <w:iCs/>
        </w:rPr>
      </w:pPr>
      <w:r w:rsidRPr="00A8527B">
        <w:rPr>
          <w:rFonts w:ascii="Times New Roman" w:eastAsiaTheme="minorHAnsi" w:hAnsi="Times New Roman" w:cs="Times New Roman"/>
          <w:i/>
          <w:iCs/>
        </w:rPr>
        <w:t>* - bez AS “Latvenergo” dividenžu daļas, kas neitralizē vienreizējo kompensāciju 51,7 milj. euro apmērā.</w:t>
      </w:r>
    </w:p>
    <w:p w14:paraId="04ACE66E" w14:textId="77777777" w:rsidR="00FC3626" w:rsidRPr="0037264A" w:rsidRDefault="00FC3626" w:rsidP="008920DE">
      <w:pPr>
        <w:spacing w:after="0" w:line="240" w:lineRule="auto"/>
        <w:jc w:val="both"/>
        <w:rPr>
          <w:rFonts w:eastAsiaTheme="minorHAnsi"/>
        </w:rPr>
      </w:pPr>
    </w:p>
    <w:p w14:paraId="7AD2B675" w14:textId="5D01E0F4" w:rsidR="007D7EB5" w:rsidRDefault="008920DE">
      <w:pPr>
        <w:spacing w:after="0" w:line="240" w:lineRule="auto"/>
        <w:ind w:firstLine="720"/>
        <w:jc w:val="both"/>
        <w:rPr>
          <w:rFonts w:ascii="Times New Roman" w:eastAsiaTheme="minorHAnsi" w:hAnsi="Times New Roman"/>
          <w:sz w:val="24"/>
        </w:rPr>
      </w:pPr>
      <w:r w:rsidRPr="0037264A">
        <w:rPr>
          <w:rFonts w:ascii="Times New Roman" w:eastAsiaTheme="minorHAnsi" w:hAnsi="Times New Roman"/>
          <w:sz w:val="24"/>
        </w:rPr>
        <w:t>2019.</w:t>
      </w:r>
      <w:r w:rsidR="00AB47F5">
        <w:rPr>
          <w:rFonts w:ascii="Times New Roman" w:eastAsiaTheme="minorHAnsi" w:hAnsi="Times New Roman"/>
          <w:sz w:val="24"/>
        </w:rPr>
        <w:t xml:space="preserve"> un 2020.</w:t>
      </w:r>
      <w:r w:rsidRPr="0037264A">
        <w:rPr>
          <w:rFonts w:ascii="Times New Roman" w:eastAsiaTheme="minorHAnsi" w:hAnsi="Times New Roman"/>
          <w:sz w:val="24"/>
        </w:rPr>
        <w:t xml:space="preserve">gadā novērotais superdividenžu apmērs </w:t>
      </w:r>
      <w:r w:rsidR="00AB47F5">
        <w:rPr>
          <w:rFonts w:ascii="Times New Roman" w:eastAsiaTheme="minorHAnsi" w:hAnsi="Times New Roman"/>
          <w:sz w:val="24"/>
        </w:rPr>
        <w:t>galvenokārt</w:t>
      </w:r>
      <w:r w:rsidRPr="0037264A">
        <w:rPr>
          <w:rFonts w:ascii="Times New Roman" w:eastAsiaTheme="minorHAnsi" w:hAnsi="Times New Roman"/>
          <w:sz w:val="24"/>
        </w:rPr>
        <w:t xml:space="preserve"> attiecas uz AS “Latvenergo” valsts budžetā iemaksātajām dividendēm. </w:t>
      </w:r>
      <w:r w:rsidR="00AB47F5">
        <w:rPr>
          <w:rFonts w:ascii="Times New Roman" w:eastAsiaTheme="minorHAnsi" w:hAnsi="Times New Roman"/>
          <w:sz w:val="24"/>
        </w:rPr>
        <w:t xml:space="preserve">Abos gados uzņēmuma pamatdarbības ieņēmumi, ņemot vērā </w:t>
      </w:r>
      <w:r w:rsidR="00AB47F5" w:rsidRPr="00BB69DC">
        <w:rPr>
          <w:rFonts w:ascii="Times New Roman" w:eastAsiaTheme="minorHAnsi" w:hAnsi="Times New Roman"/>
          <w:i/>
          <w:sz w:val="24"/>
        </w:rPr>
        <w:t>Eurostat</w:t>
      </w:r>
      <w:r w:rsidR="00AB47F5">
        <w:rPr>
          <w:rFonts w:ascii="Times New Roman" w:eastAsiaTheme="minorHAnsi" w:hAnsi="Times New Roman"/>
          <w:sz w:val="24"/>
        </w:rPr>
        <w:t xml:space="preserve"> noteiktās specifiskās </w:t>
      </w:r>
      <w:r w:rsidR="007D7EB5">
        <w:rPr>
          <w:rFonts w:ascii="Times New Roman" w:eastAsiaTheme="minorHAnsi" w:hAnsi="Times New Roman"/>
          <w:sz w:val="24"/>
        </w:rPr>
        <w:t>korekcijas</w:t>
      </w:r>
      <w:r w:rsidR="00AB47F5">
        <w:rPr>
          <w:rFonts w:ascii="Times New Roman" w:eastAsiaTheme="minorHAnsi" w:hAnsi="Times New Roman"/>
          <w:sz w:val="24"/>
        </w:rPr>
        <w:t>, nesasniedza to līmeni, kas tika atrunāts VTBIL</w:t>
      </w:r>
      <w:r w:rsidR="00703340">
        <w:rPr>
          <w:rFonts w:ascii="Times New Roman" w:eastAsiaTheme="minorHAnsi" w:hAnsi="Times New Roman"/>
          <w:sz w:val="24"/>
        </w:rPr>
        <w:t xml:space="preserve"> un </w:t>
      </w:r>
      <w:r w:rsidR="00376070">
        <w:rPr>
          <w:rFonts w:ascii="Times New Roman" w:eastAsiaTheme="minorHAnsi" w:hAnsi="Times New Roman"/>
          <w:sz w:val="24"/>
        </w:rPr>
        <w:t xml:space="preserve">attiecīgi </w:t>
      </w:r>
      <w:r w:rsidR="00703340">
        <w:rPr>
          <w:rFonts w:ascii="Times New Roman" w:eastAsiaTheme="minorHAnsi" w:hAnsi="Times New Roman"/>
          <w:sz w:val="24"/>
        </w:rPr>
        <w:t>iemaksāt</w:t>
      </w:r>
      <w:r w:rsidR="00376070">
        <w:rPr>
          <w:rFonts w:ascii="Times New Roman" w:eastAsiaTheme="minorHAnsi" w:hAnsi="Times New Roman"/>
          <w:sz w:val="24"/>
        </w:rPr>
        <w:t>s</w:t>
      </w:r>
      <w:r w:rsidR="00703340">
        <w:rPr>
          <w:rFonts w:ascii="Times New Roman" w:eastAsiaTheme="minorHAnsi" w:hAnsi="Times New Roman"/>
          <w:sz w:val="24"/>
        </w:rPr>
        <w:t xml:space="preserve"> valsts budžetā</w:t>
      </w:r>
      <w:r w:rsidR="00AB47F5">
        <w:rPr>
          <w:rFonts w:ascii="Times New Roman" w:eastAsiaTheme="minorHAnsi" w:hAnsi="Times New Roman"/>
          <w:sz w:val="24"/>
        </w:rPr>
        <w:t xml:space="preserve">. </w:t>
      </w:r>
      <w:r w:rsidR="007D7EB5">
        <w:rPr>
          <w:rFonts w:ascii="Times New Roman" w:eastAsiaTheme="minorHAnsi" w:hAnsi="Times New Roman"/>
          <w:sz w:val="24"/>
        </w:rPr>
        <w:t>V</w:t>
      </w:r>
      <w:r w:rsidRPr="0037264A">
        <w:rPr>
          <w:rFonts w:ascii="Times New Roman" w:eastAsiaTheme="minorHAnsi" w:hAnsi="Times New Roman"/>
          <w:sz w:val="24"/>
        </w:rPr>
        <w:t xml:space="preserve">ienlaicīgi jāņem vērā, ka diskusijas starp CSP un </w:t>
      </w:r>
      <w:r w:rsidRPr="006504B6">
        <w:rPr>
          <w:rFonts w:ascii="Times New Roman" w:eastAsiaTheme="minorHAnsi" w:hAnsi="Times New Roman"/>
          <w:i/>
          <w:iCs/>
          <w:sz w:val="24"/>
        </w:rPr>
        <w:t>Eurostat</w:t>
      </w:r>
      <w:r w:rsidRPr="0037264A">
        <w:rPr>
          <w:rFonts w:ascii="Times New Roman" w:eastAsiaTheme="minorHAnsi" w:hAnsi="Times New Roman"/>
          <w:sz w:val="24"/>
        </w:rPr>
        <w:t xml:space="preserve"> par obligātā iepirkuma ietvaros īstenoto vienreizējo kompensācijas darījumu uzskaiti </w:t>
      </w:r>
      <w:r w:rsidR="007D7EB5">
        <w:rPr>
          <w:rFonts w:ascii="Times New Roman" w:eastAsiaTheme="minorHAnsi" w:hAnsi="Times New Roman"/>
          <w:sz w:val="24"/>
        </w:rPr>
        <w:t>nav noslēgtas</w:t>
      </w:r>
      <w:r w:rsidR="007D7EB5" w:rsidRPr="0037264A">
        <w:rPr>
          <w:rFonts w:ascii="Times New Roman" w:eastAsiaTheme="minorHAnsi" w:hAnsi="Times New Roman"/>
          <w:sz w:val="24"/>
        </w:rPr>
        <w:t xml:space="preserve"> </w:t>
      </w:r>
      <w:r w:rsidRPr="0037264A">
        <w:rPr>
          <w:rFonts w:ascii="Times New Roman" w:eastAsiaTheme="minorHAnsi" w:hAnsi="Times New Roman"/>
          <w:sz w:val="24"/>
        </w:rPr>
        <w:t>un izmaiņu gadījumā iespējam</w:t>
      </w:r>
      <w:r w:rsidRPr="006504B6">
        <w:rPr>
          <w:rFonts w:ascii="Times New Roman" w:eastAsiaTheme="minorHAnsi" w:hAnsi="Times New Roman"/>
          <w:sz w:val="24"/>
        </w:rPr>
        <w:t>i</w:t>
      </w:r>
      <w:r w:rsidRPr="0037264A">
        <w:rPr>
          <w:rFonts w:ascii="Times New Roman" w:eastAsiaTheme="minorHAnsi" w:hAnsi="Times New Roman"/>
          <w:sz w:val="24"/>
        </w:rPr>
        <w:t xml:space="preserve"> precizējumi </w:t>
      </w:r>
      <w:r w:rsidR="00BF72CA">
        <w:rPr>
          <w:rFonts w:ascii="Times New Roman" w:eastAsiaTheme="minorHAnsi" w:hAnsi="Times New Roman"/>
          <w:sz w:val="24"/>
        </w:rPr>
        <w:t>novērtētajā</w:t>
      </w:r>
      <w:r w:rsidR="00BF72CA" w:rsidRPr="0037264A">
        <w:rPr>
          <w:rFonts w:ascii="Times New Roman" w:eastAsiaTheme="minorHAnsi" w:hAnsi="Times New Roman"/>
          <w:sz w:val="24"/>
        </w:rPr>
        <w:t xml:space="preserve"> </w:t>
      </w:r>
      <w:r w:rsidRPr="0037264A">
        <w:rPr>
          <w:rFonts w:ascii="Times New Roman" w:eastAsiaTheme="minorHAnsi" w:hAnsi="Times New Roman"/>
          <w:sz w:val="24"/>
        </w:rPr>
        <w:t xml:space="preserve">superdividenžu apmērā. </w:t>
      </w:r>
    </w:p>
    <w:p w14:paraId="7B813BC0" w14:textId="6312102B" w:rsidR="00A52F14" w:rsidRDefault="00BF72CA" w:rsidP="00BF72CA">
      <w:pPr>
        <w:spacing w:after="0" w:line="240" w:lineRule="auto"/>
        <w:ind w:firstLine="720"/>
        <w:jc w:val="both"/>
        <w:rPr>
          <w:rFonts w:ascii="Times New Roman" w:eastAsiaTheme="minorHAnsi" w:hAnsi="Times New Roman"/>
          <w:sz w:val="24"/>
        </w:rPr>
      </w:pPr>
      <w:r w:rsidRPr="00A8527B">
        <w:rPr>
          <w:rFonts w:ascii="Times New Roman" w:eastAsiaTheme="minorHAnsi" w:hAnsi="Times New Roman"/>
          <w:sz w:val="24"/>
        </w:rPr>
        <w:t>Kā redzams tabulā Nr.</w:t>
      </w:r>
      <w:r w:rsidR="00CD5476">
        <w:rPr>
          <w:rFonts w:ascii="Times New Roman" w:eastAsiaTheme="minorHAnsi" w:hAnsi="Times New Roman"/>
          <w:sz w:val="24"/>
        </w:rPr>
        <w:t>9</w:t>
      </w:r>
      <w:r w:rsidRPr="00A8527B">
        <w:rPr>
          <w:rFonts w:ascii="Times New Roman" w:eastAsiaTheme="minorHAnsi" w:hAnsi="Times New Roman"/>
          <w:sz w:val="24"/>
        </w:rPr>
        <w:t xml:space="preserve"> </w:t>
      </w:r>
      <w:r w:rsidR="007D7EB5">
        <w:rPr>
          <w:rFonts w:ascii="Times New Roman" w:eastAsiaTheme="minorHAnsi" w:hAnsi="Times New Roman"/>
          <w:sz w:val="24"/>
        </w:rPr>
        <w:t>superdividen</w:t>
      </w:r>
      <w:r w:rsidR="00A02462">
        <w:rPr>
          <w:rFonts w:ascii="Times New Roman" w:eastAsiaTheme="minorHAnsi" w:hAnsi="Times New Roman"/>
          <w:sz w:val="24"/>
        </w:rPr>
        <w:t>žu</w:t>
      </w:r>
      <w:r w:rsidR="007D7EB5">
        <w:rPr>
          <w:rFonts w:ascii="Times New Roman" w:eastAsiaTheme="minorHAnsi" w:hAnsi="Times New Roman"/>
          <w:sz w:val="24"/>
        </w:rPr>
        <w:t xml:space="preserve"> iestāšanās gadījumi ir novērojami ar zināmu regularitāti, lai gan to apmēri ir ļoti svārstīgi. Tomēr jāņem vērā, ka tikai </w:t>
      </w:r>
      <w:r w:rsidRPr="00A8527B">
        <w:rPr>
          <w:rFonts w:ascii="Times New Roman" w:eastAsiaTheme="minorHAnsi" w:hAnsi="Times New Roman"/>
          <w:sz w:val="24"/>
        </w:rPr>
        <w:t>2019</w:t>
      </w:r>
      <w:r w:rsidR="007D7EB5">
        <w:rPr>
          <w:rFonts w:ascii="Times New Roman" w:eastAsiaTheme="minorHAnsi" w:hAnsi="Times New Roman"/>
          <w:sz w:val="24"/>
        </w:rPr>
        <w:t xml:space="preserve"> un 2020</w:t>
      </w:r>
      <w:r w:rsidRPr="00A8527B">
        <w:rPr>
          <w:rFonts w:ascii="Times New Roman" w:eastAsiaTheme="minorHAnsi" w:hAnsi="Times New Roman"/>
          <w:sz w:val="24"/>
        </w:rPr>
        <w:t>.gadā superdividenž</w:t>
      </w:r>
      <w:r w:rsidR="00A02462">
        <w:rPr>
          <w:rFonts w:ascii="Times New Roman" w:eastAsiaTheme="minorHAnsi" w:hAnsi="Times New Roman"/>
          <w:sz w:val="24"/>
        </w:rPr>
        <w:t>u</w:t>
      </w:r>
      <w:r w:rsidRPr="00A8527B">
        <w:rPr>
          <w:rFonts w:ascii="Times New Roman" w:eastAsiaTheme="minorHAnsi" w:hAnsi="Times New Roman"/>
          <w:sz w:val="24"/>
        </w:rPr>
        <w:t xml:space="preserve"> atzīšanas dēļ faktiskais maksājumu par valsts kapitāla izmantošanu apmērs </w:t>
      </w:r>
      <w:r w:rsidR="007D7EB5">
        <w:rPr>
          <w:rFonts w:ascii="Times New Roman" w:eastAsiaTheme="minorHAnsi" w:hAnsi="Times New Roman"/>
          <w:sz w:val="24"/>
        </w:rPr>
        <w:t xml:space="preserve">ir </w:t>
      </w:r>
      <w:r w:rsidRPr="00A8527B">
        <w:rPr>
          <w:rFonts w:ascii="Times New Roman" w:eastAsiaTheme="minorHAnsi" w:hAnsi="Times New Roman"/>
          <w:sz w:val="24"/>
        </w:rPr>
        <w:t>bij</w:t>
      </w:r>
      <w:r w:rsidR="007D7EB5">
        <w:rPr>
          <w:rFonts w:ascii="Times New Roman" w:eastAsiaTheme="minorHAnsi" w:hAnsi="Times New Roman"/>
          <w:sz w:val="24"/>
        </w:rPr>
        <w:t>is</w:t>
      </w:r>
      <w:r w:rsidRPr="00A8527B">
        <w:rPr>
          <w:rFonts w:ascii="Times New Roman" w:eastAsiaTheme="minorHAnsi" w:hAnsi="Times New Roman"/>
          <w:sz w:val="24"/>
        </w:rPr>
        <w:t xml:space="preserve"> zemāks par plānoto</w:t>
      </w:r>
      <w:r w:rsidR="007D7EB5">
        <w:rPr>
          <w:rFonts w:ascii="Times New Roman" w:eastAsiaTheme="minorHAnsi" w:hAnsi="Times New Roman"/>
          <w:sz w:val="24"/>
        </w:rPr>
        <w:t>. Ņemot vērā pēdējo divu gadu tendences</w:t>
      </w:r>
      <w:r w:rsidR="00376070">
        <w:rPr>
          <w:rFonts w:ascii="Times New Roman" w:eastAsiaTheme="minorHAnsi" w:hAnsi="Times New Roman"/>
          <w:sz w:val="24"/>
        </w:rPr>
        <w:t>,</w:t>
      </w:r>
      <w:r w:rsidR="007D7EB5">
        <w:rPr>
          <w:rFonts w:ascii="Times New Roman" w:eastAsiaTheme="minorHAnsi" w:hAnsi="Times New Roman"/>
          <w:sz w:val="24"/>
        </w:rPr>
        <w:t xml:space="preserve"> nav iespējams izslēgt turpmāku superdividenžu riska iestāšanos. Vidējā </w:t>
      </w:r>
      <w:r w:rsidR="003C39B4">
        <w:rPr>
          <w:rFonts w:ascii="Times New Roman" w:eastAsiaTheme="minorHAnsi" w:hAnsi="Times New Roman"/>
          <w:sz w:val="24"/>
        </w:rPr>
        <w:t xml:space="preserve">gada </w:t>
      </w:r>
      <w:r w:rsidR="007D7EB5">
        <w:rPr>
          <w:rFonts w:ascii="Times New Roman" w:eastAsiaTheme="minorHAnsi" w:hAnsi="Times New Roman"/>
          <w:sz w:val="24"/>
        </w:rPr>
        <w:t>fiskālā ietek</w:t>
      </w:r>
      <w:r w:rsidR="00E519B1">
        <w:rPr>
          <w:rFonts w:ascii="Times New Roman" w:eastAsiaTheme="minorHAnsi" w:hAnsi="Times New Roman"/>
          <w:sz w:val="24"/>
        </w:rPr>
        <w:t>me, kas ir radusies no attiecīgās</w:t>
      </w:r>
      <w:r w:rsidR="007D7EB5">
        <w:rPr>
          <w:rFonts w:ascii="Times New Roman" w:eastAsiaTheme="minorHAnsi" w:hAnsi="Times New Roman"/>
          <w:sz w:val="24"/>
        </w:rPr>
        <w:t xml:space="preserve"> budžeta ieņēmumu pozīcijas neizpildes, </w:t>
      </w:r>
      <w:r w:rsidR="003C39B4">
        <w:rPr>
          <w:rFonts w:ascii="Times New Roman" w:eastAsiaTheme="minorHAnsi" w:hAnsi="Times New Roman"/>
          <w:sz w:val="24"/>
        </w:rPr>
        <w:t xml:space="preserve">divu gadu periodā </w:t>
      </w:r>
      <w:r w:rsidR="007D7EB5">
        <w:rPr>
          <w:rFonts w:ascii="Times New Roman" w:eastAsiaTheme="minorHAnsi" w:hAnsi="Times New Roman"/>
          <w:sz w:val="24"/>
        </w:rPr>
        <w:t>veido 29,8 milj.</w:t>
      </w:r>
      <w:r w:rsidR="007D7EB5" w:rsidRPr="00BB69DC">
        <w:rPr>
          <w:rFonts w:ascii="Times New Roman" w:eastAsiaTheme="minorHAnsi" w:hAnsi="Times New Roman"/>
          <w:i/>
          <w:sz w:val="24"/>
        </w:rPr>
        <w:t>euro</w:t>
      </w:r>
      <w:r w:rsidR="003C39B4">
        <w:rPr>
          <w:rFonts w:ascii="Times New Roman" w:eastAsiaTheme="minorHAnsi" w:hAnsi="Times New Roman"/>
          <w:i/>
          <w:sz w:val="24"/>
        </w:rPr>
        <w:t xml:space="preserve"> </w:t>
      </w:r>
      <w:r w:rsidR="003C39B4" w:rsidRPr="00BB69DC">
        <w:rPr>
          <w:rFonts w:ascii="Times New Roman" w:eastAsiaTheme="minorHAnsi" w:hAnsi="Times New Roman"/>
          <w:sz w:val="24"/>
        </w:rPr>
        <w:t>ar iestāšanās varbūtību 25%</w:t>
      </w:r>
      <w:r w:rsidR="00DC5A1C">
        <w:rPr>
          <w:rFonts w:ascii="Times New Roman" w:eastAsiaTheme="minorHAnsi" w:hAnsi="Times New Roman"/>
          <w:sz w:val="24"/>
        </w:rPr>
        <w:t xml:space="preserve"> (iestāšanās varbūtība, kas novērtēta ar 3 punktiem)</w:t>
      </w:r>
      <w:r w:rsidR="007D7EB5" w:rsidRPr="00BB69DC">
        <w:rPr>
          <w:rFonts w:ascii="Times New Roman" w:eastAsiaTheme="minorHAnsi" w:hAnsi="Times New Roman"/>
          <w:sz w:val="24"/>
        </w:rPr>
        <w:t xml:space="preserve">. </w:t>
      </w:r>
      <w:r w:rsidR="00A52F14">
        <w:rPr>
          <w:rFonts w:ascii="Times New Roman" w:eastAsiaTheme="minorHAnsi" w:hAnsi="Times New Roman"/>
          <w:sz w:val="24"/>
        </w:rPr>
        <w:t>Attiecīgi</w:t>
      </w:r>
      <w:r w:rsidR="00DC5A1C">
        <w:rPr>
          <w:rFonts w:ascii="Times New Roman" w:eastAsiaTheme="minorHAnsi" w:hAnsi="Times New Roman"/>
          <w:sz w:val="24"/>
        </w:rPr>
        <w:t xml:space="preserve"> fiskālā nodrošinājuma rezerves aprēķinā ir nepieciešams paredzēt </w:t>
      </w:r>
      <w:r w:rsidR="00161605">
        <w:rPr>
          <w:rFonts w:ascii="Times New Roman" w:eastAsiaTheme="minorHAnsi" w:hAnsi="Times New Roman"/>
          <w:sz w:val="24"/>
        </w:rPr>
        <w:t>ik</w:t>
      </w:r>
      <w:r w:rsidR="00E519B1">
        <w:rPr>
          <w:rFonts w:ascii="Times New Roman" w:eastAsiaTheme="minorHAnsi" w:hAnsi="Times New Roman"/>
          <w:sz w:val="24"/>
        </w:rPr>
        <w:t xml:space="preserve"> </w:t>
      </w:r>
      <w:r w:rsidR="00161605">
        <w:rPr>
          <w:rFonts w:ascii="Times New Roman" w:eastAsiaTheme="minorHAnsi" w:hAnsi="Times New Roman"/>
          <w:sz w:val="24"/>
        </w:rPr>
        <w:t xml:space="preserve">gadu </w:t>
      </w:r>
      <w:r w:rsidR="00DC5A1C">
        <w:rPr>
          <w:rFonts w:ascii="Times New Roman" w:eastAsiaTheme="minorHAnsi" w:hAnsi="Times New Roman"/>
          <w:sz w:val="24"/>
        </w:rPr>
        <w:t xml:space="preserve">8,94 milj. </w:t>
      </w:r>
      <w:r w:rsidR="00DC5A1C" w:rsidRPr="00BB69DC">
        <w:rPr>
          <w:rFonts w:ascii="Times New Roman" w:eastAsiaTheme="minorHAnsi" w:hAnsi="Times New Roman"/>
          <w:i/>
          <w:sz w:val="24"/>
        </w:rPr>
        <w:t>euro</w:t>
      </w:r>
      <w:r w:rsidR="00161605" w:rsidRPr="00BB69DC">
        <w:rPr>
          <w:rFonts w:ascii="Times New Roman" w:eastAsiaTheme="minorHAnsi" w:hAnsi="Times New Roman"/>
          <w:sz w:val="24"/>
        </w:rPr>
        <w:t xml:space="preserve"> laika periodā no 2022.gada līdz 2024.gadam.</w:t>
      </w:r>
    </w:p>
    <w:p w14:paraId="28A3AFB3" w14:textId="055E0D22" w:rsidR="00261582" w:rsidRDefault="00261582" w:rsidP="00BF72CA">
      <w:pPr>
        <w:spacing w:after="0" w:line="240" w:lineRule="auto"/>
        <w:ind w:firstLine="720"/>
        <w:jc w:val="both"/>
        <w:rPr>
          <w:rFonts w:ascii="Times New Roman" w:eastAsiaTheme="minorHAnsi" w:hAnsi="Times New Roman"/>
          <w:sz w:val="24"/>
        </w:rPr>
      </w:pPr>
    </w:p>
    <w:p w14:paraId="669D7CB3" w14:textId="2D273315" w:rsidR="00261582" w:rsidRPr="001D0BDB" w:rsidRDefault="00261582" w:rsidP="00BB69DC">
      <w:pPr>
        <w:pStyle w:val="Heading2"/>
        <w:numPr>
          <w:ilvl w:val="1"/>
          <w:numId w:val="4"/>
        </w:numPr>
        <w:spacing w:before="120" w:after="120" w:line="240" w:lineRule="auto"/>
        <w:ind w:left="0" w:firstLine="0"/>
        <w:jc w:val="center"/>
        <w:rPr>
          <w:rFonts w:ascii="Times New Roman" w:hAnsi="Times New Roman" w:cs="Times New Roman"/>
          <w:bCs w:val="0"/>
          <w:sz w:val="24"/>
          <w:szCs w:val="24"/>
        </w:rPr>
      </w:pPr>
      <w:bookmarkStart w:id="44" w:name="_Toc80111859"/>
      <w:r w:rsidRPr="001D0BDB">
        <w:rPr>
          <w:rFonts w:ascii="Times New Roman" w:hAnsi="Times New Roman" w:cs="Times New Roman"/>
          <w:bCs w:val="0"/>
          <w:sz w:val="24"/>
          <w:szCs w:val="24"/>
        </w:rPr>
        <w:t>P</w:t>
      </w:r>
      <w:r w:rsidRPr="00264E5D">
        <w:rPr>
          <w:rFonts w:ascii="Times New Roman" w:hAnsi="Times New Roman" w:cs="Times New Roman"/>
          <w:bCs w:val="0"/>
          <w:sz w:val="24"/>
          <w:szCs w:val="24"/>
        </w:rPr>
        <w:t>ubliskās</w:t>
      </w:r>
      <w:r w:rsidRPr="00B118DB">
        <w:rPr>
          <w:rFonts w:ascii="Times New Roman" w:hAnsi="Times New Roman" w:cs="Times New Roman"/>
          <w:bCs w:val="0"/>
          <w:sz w:val="24"/>
          <w:szCs w:val="24"/>
        </w:rPr>
        <w:t xml:space="preserve"> un privātās partnerības (t.sk. koncesijas) projekti</w:t>
      </w:r>
      <w:bookmarkEnd w:id="44"/>
    </w:p>
    <w:p w14:paraId="42C5C4B5" w14:textId="77777777" w:rsidR="00261582" w:rsidRPr="00B118DB" w:rsidRDefault="00261582" w:rsidP="00261582">
      <w:pPr>
        <w:spacing w:after="0" w:line="240" w:lineRule="auto"/>
        <w:jc w:val="both"/>
        <w:rPr>
          <w:rFonts w:ascii="Times New Roman" w:eastAsiaTheme="minorHAnsi" w:hAnsi="Times New Roman" w:cs="Times New Roman"/>
          <w:sz w:val="24"/>
          <w:szCs w:val="20"/>
        </w:rPr>
      </w:pPr>
      <w:r w:rsidRPr="00B118DB">
        <w:rPr>
          <w:rFonts w:ascii="Times New Roman" w:eastAsiaTheme="minorHAnsi" w:hAnsi="Times New Roman"/>
          <w:sz w:val="24"/>
        </w:rPr>
        <w:tab/>
        <w:t xml:space="preserve">Publiskā un privātā partnerība (turpmāk – </w:t>
      </w:r>
      <w:r w:rsidRPr="00396F3A">
        <w:rPr>
          <w:rFonts w:ascii="Times New Roman" w:eastAsiaTheme="minorHAnsi" w:hAnsi="Times New Roman"/>
          <w:sz w:val="24"/>
        </w:rPr>
        <w:t>PPP</w:t>
      </w:r>
      <w:r w:rsidRPr="00B118DB">
        <w:rPr>
          <w:rFonts w:ascii="Times New Roman" w:eastAsiaTheme="minorHAnsi" w:hAnsi="Times New Roman"/>
          <w:sz w:val="24"/>
        </w:rPr>
        <w:t xml:space="preserve">) ir sadarbības forma starp publisko un privāto sektoru, ar mērķi īstenot nozīmīgus un izmaksu ziņā apjomīgus ekonomiskās un sociālās infrastruktūras projektus. Publiskā partnera ieinteresētību šādas sadarbības formas īstenošanā pamatā balstās uz to, ka privātais partneris varētu sniegt pakalpojumus iedzīvotājiem efektīvāk kā to darītu publiskais partneris, kā arī tas, ka publiskā partnera budžeta izdevumu apmērs tiek sadalīts visā projekta īstenošanas laikā (ne tikai kapitālieguldījumu veikšanas laikā), ļaujot izvairīties no būtiskas ietekmes uz budžetu atsevišķos gados. Lielāko daļu </w:t>
      </w:r>
      <w:r w:rsidRPr="00B118DB">
        <w:rPr>
          <w:rFonts w:ascii="Times New Roman" w:eastAsiaTheme="minorHAnsi" w:hAnsi="Times New Roman" w:cs="Times New Roman"/>
          <w:sz w:val="24"/>
          <w:szCs w:val="20"/>
        </w:rPr>
        <w:t>risku un ieguvumu partnerības iepirkuma projektā jāuzņemas privātajam partnerim. Šādi paši principi ir attiecināmi arī uz koncesijas projektiem, bet atšķirībā no partnerības iepirkumu projektiem, kur lielāko daļu no privātā partnera ieņēmumiem veido vispārējās valdības sektora maksājumi par pakalpojumiem, koncesijas gadījumā lielākā daļa ieņēmumu tiek gūta no galalietotājiem (t.i. mājsaimniecībām, uzņēmumiem u.c.).</w:t>
      </w:r>
    </w:p>
    <w:p w14:paraId="381819E3" w14:textId="77777777" w:rsidR="00261582" w:rsidRPr="00B118DB" w:rsidRDefault="00261582" w:rsidP="00261582">
      <w:pPr>
        <w:spacing w:after="0" w:line="240" w:lineRule="auto"/>
        <w:ind w:firstLine="720"/>
        <w:jc w:val="both"/>
        <w:rPr>
          <w:rFonts w:ascii="Times New Roman" w:eastAsiaTheme="minorHAnsi" w:hAnsi="Times New Roman" w:cs="Times New Roman"/>
          <w:sz w:val="24"/>
          <w:szCs w:val="20"/>
        </w:rPr>
      </w:pPr>
      <w:r w:rsidRPr="00B118DB">
        <w:rPr>
          <w:rFonts w:ascii="Times New Roman" w:eastAsiaTheme="minorHAnsi" w:hAnsi="Times New Roman" w:cs="Times New Roman"/>
          <w:sz w:val="24"/>
          <w:szCs w:val="20"/>
        </w:rPr>
        <w:t>EKS metodoloģijā, atbilstoši kurai tiek koriģēti arī Latvijas valsts konsolidētā kopbudžeta radītāji, no statistiskās klasifikācijas aspekta katra PPP (t.sk. koncesijas)  projekta gadījumā ir svarīgi noskaidrot, kura partnera – publiskā vai privātā – aktīvu bilancē tiks uzskaitīts konkrētais projekts. Ja atbilstoši risku un ieguvumu sadales analīzei tiek novērtēts, ka projekta aktīvi ir jāuzskaita privātā partnera aktīvu bilancē, tad saglabājās partnerības modeļa pamatprincips, kas ļauj sadalīt vispārējās valdības budžeta izdevumus pakāpeniski projekta īstenošanas laika periodā – attiecīgi ikgadējo maksājumu apmērā, ko publiskais partneris maksā privātajam partnerim par sniegtajiem pakalpojumiem (koncesijas gadījumā var tikt paredzēts, ka visi ieņēmumi tiek saņemti no galalietotājiem un tādējādi publiskā partnera maksājumi netiek paredzēti). Savukārt, ja atbilstoši EKS metodoloģiskajam novērtējumam aktīvus ir nepieciešams uzskaitīt publiskā partnera bilancē, tad situācija būtiski mainās, jo šajā gadījumā salīdzinoši nelielā laika posmā, parasti projekta būvniecības gados, tiks koncentrēts viss ieguldīto kapitālo investīciju fiskālās ietekmes apmērs.</w:t>
      </w:r>
    </w:p>
    <w:p w14:paraId="0FA5F3E8" w14:textId="77777777" w:rsidR="00261582" w:rsidRPr="00B118DB" w:rsidRDefault="00261582" w:rsidP="00261582">
      <w:pPr>
        <w:spacing w:after="0" w:line="240" w:lineRule="auto"/>
        <w:jc w:val="both"/>
        <w:rPr>
          <w:rFonts w:ascii="Times New Roman" w:eastAsiaTheme="minorHAnsi" w:hAnsi="Times New Roman" w:cs="Times New Roman"/>
          <w:sz w:val="24"/>
          <w:szCs w:val="20"/>
        </w:rPr>
      </w:pPr>
      <w:r w:rsidRPr="00B118DB">
        <w:rPr>
          <w:rFonts w:ascii="Times New Roman" w:eastAsiaTheme="minorHAnsi" w:hAnsi="Times New Roman" w:cs="Times New Roman"/>
          <w:sz w:val="24"/>
          <w:szCs w:val="20"/>
        </w:rPr>
        <w:tab/>
        <w:t xml:space="preserve">Līdz ar to fiskālais risks šādas sadarbības formas gadījumā var īstenoties situācijā, ja atbilstoši EKS metodoloģijai privātais partneris vairs neuzņemas lielāko daļu ar projekta īstenošanu saistītos </w:t>
      </w:r>
      <w:r w:rsidRPr="00B118DB">
        <w:rPr>
          <w:rFonts w:ascii="Times New Roman" w:eastAsiaTheme="minorHAnsi" w:hAnsi="Times New Roman" w:cs="Times New Roman"/>
          <w:sz w:val="24"/>
          <w:szCs w:val="20"/>
        </w:rPr>
        <w:lastRenderedPageBreak/>
        <w:t>riskus (t.i. būvniecības, pieejamības un pieprasījuma riskus, kā arī riskus, kas saistīti ar finansēšanu vai iespējamo galvojumu izsniegšanu u.c.) vai arī negūst ar projekta īstenošanu saistītus ieguvumus, nespēj pildīt iepriekš uzņemtās saistības politisko vai ekonomisko apstākļu dēļ, kā arī maksātnespējas gadījumā</w:t>
      </w:r>
      <w:r w:rsidRPr="00B118DB">
        <w:rPr>
          <w:rFonts w:ascii="Times New Roman" w:eastAsiaTheme="minorHAnsi" w:hAnsi="Times New Roman" w:cs="Times New Roman"/>
          <w:i/>
          <w:sz w:val="24"/>
          <w:szCs w:val="20"/>
        </w:rPr>
        <w:t>.</w:t>
      </w:r>
      <w:r w:rsidRPr="00B118DB">
        <w:rPr>
          <w:rFonts w:ascii="Times New Roman" w:eastAsiaTheme="minorHAnsi" w:hAnsi="Times New Roman" w:cs="Times New Roman"/>
          <w:sz w:val="24"/>
          <w:szCs w:val="20"/>
        </w:rPr>
        <w:t xml:space="preserve"> Šajā gadījumā projekta izmaksas var tikt attiecinātas uz vispārējās valdības sektoru, tādējādi būtiski pasliktinot iepriekš plānoto vispārējās valdības budžeta bilanci un parādu.</w:t>
      </w:r>
    </w:p>
    <w:p w14:paraId="6C8AC7F9" w14:textId="77777777" w:rsidR="00261582" w:rsidRPr="00B118DB" w:rsidRDefault="00261582" w:rsidP="00261582">
      <w:pPr>
        <w:spacing w:after="0" w:line="240" w:lineRule="auto"/>
        <w:jc w:val="both"/>
        <w:rPr>
          <w:rFonts w:ascii="Times New Roman" w:eastAsiaTheme="minorHAnsi" w:hAnsi="Times New Roman" w:cs="Times New Roman"/>
          <w:sz w:val="24"/>
        </w:rPr>
      </w:pPr>
      <w:r w:rsidRPr="00B118DB">
        <w:rPr>
          <w:rFonts w:ascii="Times New Roman" w:eastAsiaTheme="minorHAnsi" w:hAnsi="Times New Roman" w:cs="Times New Roman"/>
          <w:sz w:val="24"/>
          <w:szCs w:val="20"/>
        </w:rPr>
        <w:tab/>
        <w:t xml:space="preserve">2009.gada 1.oktobrī stājās spēkā Publiskās un privātās partnerības likums, kas nosaka PPP procesa pamatprincipus. Šī likuma svarīgs elements ir sākotnējā risku vadība, jo tiek izvērtēti projektu finanšu un ekonomiskie aprēķini, kas tiek saskaņoti ar atbildīgajām iestādēm. Vienlaikus uz šī likuma pamata tika izstrādāti </w:t>
      </w:r>
      <w:r>
        <w:rPr>
          <w:rFonts w:ascii="Times New Roman" w:eastAsiaTheme="minorHAnsi" w:hAnsi="Times New Roman" w:cs="Times New Roman"/>
          <w:sz w:val="24"/>
          <w:szCs w:val="20"/>
        </w:rPr>
        <w:t>MK</w:t>
      </w:r>
      <w:r w:rsidRPr="00B118DB">
        <w:rPr>
          <w:rFonts w:ascii="Times New Roman" w:eastAsiaTheme="minorHAnsi" w:hAnsi="Times New Roman" w:cs="Times New Roman"/>
          <w:sz w:val="24"/>
          <w:szCs w:val="20"/>
        </w:rPr>
        <w:t xml:space="preserve"> 2009.gada 20.oktobra noteikumi</w:t>
      </w:r>
      <w:r w:rsidRPr="00B118DB">
        <w:rPr>
          <w:rFonts w:ascii="Times New Roman" w:eastAsiaTheme="minorHAnsi" w:hAnsi="Times New Roman" w:cs="Times New Roman"/>
          <w:sz w:val="24"/>
        </w:rPr>
        <w:t xml:space="preserve"> Nr.1216 „Noteikumi par uzraudzības institūcijas darbību un publiskā partnera vai tā pārstāvja līguma izpildes pārskata sniegšanu”, kas nosaka, ka publiskais partneris vai tā pārstāvis noteiktā termiņā sniedz publiskās un privātās partnerības līguma izpildes pārskatu uzraudzības institūcijai informāciju par projekta ieviešanu, publiskā partnera veiktajiem maksājumiem privātajam partnerim, problēmām projekta ieviešanas laikā. Pēc pārskata saņemšanas uzraudzības institūcija sagatavo atzinumu par konkrēto projektu, izvērtējot veikto būvdarbu vai pakalpojumu atbilstību partnerības iepirkuma un koncesijas līgumam un PPP aktīvu uzskaites nosacījumu ievērošanu, tas ir, vai līgums nerada nevēlamu ietekmi uz vispārējās valdības budžeta bilanci un parādu.</w:t>
      </w:r>
    </w:p>
    <w:p w14:paraId="23267A3E" w14:textId="77777777" w:rsidR="00261582" w:rsidRPr="0037264A" w:rsidRDefault="00261582" w:rsidP="00261582">
      <w:pPr>
        <w:spacing w:after="0" w:line="240" w:lineRule="auto"/>
        <w:ind w:firstLine="720"/>
        <w:jc w:val="both"/>
        <w:rPr>
          <w:rFonts w:ascii="Times New Roman" w:eastAsiaTheme="minorHAnsi" w:hAnsi="Times New Roman" w:cs="Times New Roman"/>
          <w:sz w:val="24"/>
        </w:rPr>
      </w:pPr>
      <w:r w:rsidRPr="00B118DB">
        <w:rPr>
          <w:rFonts w:ascii="Times New Roman" w:eastAsiaTheme="minorHAnsi" w:hAnsi="Times New Roman" w:cs="Times New Roman"/>
          <w:sz w:val="24"/>
        </w:rPr>
        <w:t xml:space="preserve">FM 2011.gadā apkopoja informāciju par noslēgtajiem partnerības iepirkumu un koncesiju līgumiem. Lielākā daļa no tiem ir koncesiju līgumi, kuri galvenokārt ir slēgti par sabiedriskā transporta pakalpojumu sniegšanu, tādu pakalpojumu nodrošināšanu kā apsaimniekošana, ēdināšana, siltumapgāde, kā arī ar būvniecību saistītiem pakalpojumiem. Attiecībā uz īstenotajiem koncesiju projektiem, jāņem vērā, ka pirms 2009.gada netika veikta centralizēta līgumu </w:t>
      </w:r>
      <w:r>
        <w:rPr>
          <w:rFonts w:ascii="Times New Roman" w:eastAsiaTheme="minorHAnsi" w:hAnsi="Times New Roman" w:cs="Times New Roman"/>
          <w:sz w:val="24"/>
        </w:rPr>
        <w:t>analīze un izpildes uzraudzība</w:t>
      </w:r>
      <w:r w:rsidRPr="00B118DB">
        <w:rPr>
          <w:rFonts w:ascii="Times New Roman" w:eastAsiaTheme="minorHAnsi" w:hAnsi="Times New Roman" w:cs="Times New Roman"/>
          <w:sz w:val="24"/>
        </w:rPr>
        <w:t xml:space="preserve">, līdz ar to arī nav zināmi noslēgto līgumu specifiskie nosacījumi, pašreizējā situācija un kopējās līgumsummas. </w:t>
      </w:r>
      <w:r w:rsidRPr="0037264A">
        <w:rPr>
          <w:rFonts w:ascii="Times New Roman" w:eastAsiaTheme="minorHAnsi" w:hAnsi="Times New Roman" w:cs="Times New Roman"/>
          <w:sz w:val="24"/>
        </w:rPr>
        <w:t>Vienlaicīgi informācijas apkopošanas rezultātā tika identificēts, ka no 70 uzskaitītajiem līgumiem, tikai divi bija partnerības iepirkuma līgumi.</w:t>
      </w:r>
    </w:p>
    <w:p w14:paraId="162C6DD3" w14:textId="77777777" w:rsidR="00261582" w:rsidRPr="0037264A" w:rsidRDefault="00261582" w:rsidP="00261582">
      <w:pPr>
        <w:spacing w:after="0" w:line="240" w:lineRule="auto"/>
        <w:ind w:firstLine="720"/>
        <w:jc w:val="both"/>
        <w:rPr>
          <w:rFonts w:ascii="Times New Roman" w:eastAsiaTheme="minorHAnsi" w:hAnsi="Times New Roman" w:cs="Times New Roman"/>
          <w:sz w:val="24"/>
        </w:rPr>
      </w:pPr>
      <w:r w:rsidRPr="0037264A">
        <w:rPr>
          <w:rFonts w:ascii="Times New Roman" w:eastAsiaTheme="minorHAnsi" w:hAnsi="Times New Roman" w:cs="Times New Roman"/>
          <w:sz w:val="24"/>
        </w:rPr>
        <w:t xml:space="preserve">Attiecībā uz partnerības iepirkuma un koncesijas projektiem pirms Publiskās un privātās partnerības likuma pieņemšanas pastāvēja nepilnīgs jomas regulējums, kas neļāva efektīvi identificēt, novērtēt un uzskaitīt projektus atbilstoši EKS metodoloģijas izpratnei. Kā rezultātā 2016.gadā pēc ES statistikas biroja </w:t>
      </w:r>
      <w:r w:rsidRPr="0037264A">
        <w:rPr>
          <w:rFonts w:ascii="Times New Roman" w:eastAsiaTheme="minorHAnsi" w:hAnsi="Times New Roman" w:cs="Times New Roman"/>
          <w:i/>
          <w:sz w:val="24"/>
        </w:rPr>
        <w:t>Eurostat</w:t>
      </w:r>
      <w:r w:rsidRPr="0037264A">
        <w:rPr>
          <w:rFonts w:ascii="Times New Roman" w:eastAsiaTheme="minorHAnsi" w:hAnsi="Times New Roman" w:cs="Times New Roman"/>
          <w:sz w:val="24"/>
        </w:rPr>
        <w:t xml:space="preserve"> iniciatīvas tika identificēts viens iepriekš neuzskaitīts PPP projekts, kurš bija attiecināms vispārējas valdības aktīvu bilancē, palielinot 2015.gada budžeta deficītu par 0,3% no IKP.</w:t>
      </w:r>
    </w:p>
    <w:p w14:paraId="417DEE33" w14:textId="77777777" w:rsidR="00261582" w:rsidRPr="0037264A" w:rsidRDefault="00261582" w:rsidP="00261582">
      <w:pPr>
        <w:spacing w:after="0" w:line="240" w:lineRule="auto"/>
        <w:ind w:firstLine="720"/>
        <w:jc w:val="both"/>
        <w:rPr>
          <w:rFonts w:ascii="Times New Roman" w:eastAsiaTheme="minorHAnsi" w:hAnsi="Times New Roman" w:cs="Times New Roman"/>
          <w:sz w:val="24"/>
        </w:rPr>
      </w:pPr>
      <w:r w:rsidRPr="0037264A">
        <w:rPr>
          <w:rFonts w:ascii="Times New Roman" w:eastAsiaTheme="minorHAnsi" w:hAnsi="Times New Roman" w:cs="Times New Roman"/>
          <w:sz w:val="24"/>
          <w:szCs w:val="20"/>
        </w:rPr>
        <w:t>2016.gadā CSP veica aptauju par līgumiem, kas noslēgti pirms Publiskās un privātās partnerības likuma stāšanās spēkā un atbilstu PPP projektu pazīmēm, lai identificētu potenciāli iepriekš neuzskaitītus PPP projektus</w:t>
      </w:r>
      <w:r>
        <w:rPr>
          <w:rFonts w:ascii="Times New Roman" w:eastAsiaTheme="minorHAnsi" w:hAnsi="Times New Roman" w:cs="Times New Roman"/>
          <w:sz w:val="24"/>
          <w:szCs w:val="20"/>
        </w:rPr>
        <w:t xml:space="preserve"> (izņemot koncesijas)</w:t>
      </w:r>
      <w:r w:rsidRPr="0037264A">
        <w:rPr>
          <w:rFonts w:ascii="Times New Roman" w:eastAsiaTheme="minorHAnsi" w:hAnsi="Times New Roman" w:cs="Times New Roman"/>
          <w:sz w:val="24"/>
          <w:szCs w:val="20"/>
        </w:rPr>
        <w:t xml:space="preserve">. Šīs aptaujas rezultātā netika iegūta informācija, kas norādītu, ka pastāvētu līdz šim neuzskaitīti partnerības iepirkuma projekti. Tādējādi nav pamata uzskatīt, ka nākotnē varētu tikt atklāts kāds līdz šim neuzskaitīts publiskā partnera aktīvu bilancē attiecināms projekts. Tādējādi iespējams secināt, ka iepriekš neuzskaitītu PPP projektu fiskālā riska iestāšanās varbūtības un ietekmes apmērs ir tuvs nullei. </w:t>
      </w:r>
    </w:p>
    <w:p w14:paraId="1727FD5C" w14:textId="77777777" w:rsidR="00261582" w:rsidRDefault="00261582" w:rsidP="00261582">
      <w:pPr>
        <w:spacing w:after="0" w:line="240" w:lineRule="auto"/>
        <w:ind w:firstLine="720"/>
        <w:jc w:val="both"/>
        <w:rPr>
          <w:rFonts w:ascii="Times New Roman" w:hAnsi="Times New Roman"/>
          <w:sz w:val="24"/>
        </w:rPr>
      </w:pPr>
      <w:r>
        <w:rPr>
          <w:rFonts w:ascii="Times New Roman" w:eastAsiaTheme="minorHAnsi" w:hAnsi="Times New Roman" w:cs="Times New Roman"/>
          <w:sz w:val="24"/>
        </w:rPr>
        <w:t xml:space="preserve">Šā gada jūlijā tika noslēgts </w:t>
      </w:r>
      <w:r w:rsidRPr="008C4DD4">
        <w:rPr>
          <w:rFonts w:ascii="Times New Roman" w:eastAsiaTheme="minorHAnsi" w:hAnsi="Times New Roman" w:cs="Times New Roman"/>
          <w:sz w:val="24"/>
        </w:rPr>
        <w:t xml:space="preserve">līgums </w:t>
      </w:r>
      <w:r w:rsidRPr="0037264A">
        <w:rPr>
          <w:rFonts w:ascii="Times New Roman" w:eastAsiaTheme="minorHAnsi" w:hAnsi="Times New Roman" w:cs="Times New Roman"/>
          <w:sz w:val="24"/>
          <w:szCs w:val="20"/>
        </w:rPr>
        <w:t>par E67 / A7 R</w:t>
      </w:r>
      <w:r w:rsidRPr="0037264A">
        <w:rPr>
          <w:rFonts w:ascii="Times New Roman" w:eastAsiaTheme="minorHAnsi" w:hAnsi="Times New Roman" w:cs="Times New Roman" w:hint="eastAsia"/>
          <w:sz w:val="24"/>
          <w:szCs w:val="20"/>
        </w:rPr>
        <w:t>ī</w:t>
      </w:r>
      <w:r w:rsidRPr="0037264A">
        <w:rPr>
          <w:rFonts w:ascii="Times New Roman" w:eastAsiaTheme="minorHAnsi" w:hAnsi="Times New Roman" w:cs="Times New Roman"/>
          <w:sz w:val="24"/>
          <w:szCs w:val="20"/>
        </w:rPr>
        <w:t xml:space="preserve">ga </w:t>
      </w:r>
      <w:r w:rsidRPr="0037264A">
        <w:rPr>
          <w:rFonts w:ascii="Times New Roman" w:eastAsiaTheme="minorHAnsi" w:hAnsi="Times New Roman" w:cs="Times New Roman" w:hint="eastAsia"/>
          <w:sz w:val="24"/>
          <w:szCs w:val="20"/>
        </w:rPr>
        <w:t>–</w:t>
      </w:r>
      <w:r w:rsidRPr="0037264A">
        <w:rPr>
          <w:rFonts w:ascii="Times New Roman" w:eastAsiaTheme="minorHAnsi" w:hAnsi="Times New Roman" w:cs="Times New Roman"/>
          <w:sz w:val="24"/>
          <w:szCs w:val="20"/>
        </w:rPr>
        <w:t xml:space="preserve"> Bauska </w:t>
      </w:r>
      <w:r w:rsidRPr="0037264A">
        <w:rPr>
          <w:rFonts w:ascii="Times New Roman" w:eastAsiaTheme="minorHAnsi" w:hAnsi="Times New Roman" w:cs="Times New Roman" w:hint="eastAsia"/>
          <w:sz w:val="24"/>
          <w:szCs w:val="20"/>
        </w:rPr>
        <w:t>–</w:t>
      </w:r>
      <w:r w:rsidRPr="0037264A">
        <w:rPr>
          <w:rFonts w:ascii="Times New Roman" w:eastAsiaTheme="minorHAnsi" w:hAnsi="Times New Roman" w:cs="Times New Roman"/>
          <w:sz w:val="24"/>
          <w:szCs w:val="20"/>
        </w:rPr>
        <w:t xml:space="preserve"> Lietuvas robeža (Grenctāle) posma 7,9 </w:t>
      </w:r>
      <w:r w:rsidRPr="0037264A">
        <w:rPr>
          <w:rFonts w:ascii="Times New Roman" w:hAnsi="Times New Roman" w:cs="Times New Roman"/>
          <w:color w:val="000000"/>
          <w:sz w:val="24"/>
          <w:szCs w:val="24"/>
        </w:rPr>
        <w:t xml:space="preserve">– </w:t>
      </w:r>
      <w:r w:rsidRPr="0037264A">
        <w:rPr>
          <w:rFonts w:ascii="Times New Roman" w:eastAsiaTheme="minorHAnsi" w:hAnsi="Times New Roman" w:cs="Times New Roman"/>
          <w:sz w:val="24"/>
          <w:szCs w:val="20"/>
        </w:rPr>
        <w:t>25,0 km (</w:t>
      </w:r>
      <w:r w:rsidRPr="0037264A">
        <w:rPr>
          <w:rFonts w:ascii="Times New Roman" w:eastAsiaTheme="minorHAnsi" w:hAnsi="Times New Roman" w:cs="Times New Roman" w:hint="eastAsia"/>
          <w:sz w:val="24"/>
          <w:szCs w:val="20"/>
        </w:rPr>
        <w:t>Ķ</w:t>
      </w:r>
      <w:r w:rsidRPr="0037264A">
        <w:rPr>
          <w:rFonts w:ascii="Times New Roman" w:eastAsiaTheme="minorHAnsi" w:hAnsi="Times New Roman" w:cs="Times New Roman"/>
          <w:sz w:val="24"/>
          <w:szCs w:val="20"/>
        </w:rPr>
        <w:t>ekavas apvedce</w:t>
      </w:r>
      <w:r w:rsidRPr="0037264A">
        <w:rPr>
          <w:rFonts w:ascii="Times New Roman" w:eastAsiaTheme="minorHAnsi" w:hAnsi="Times New Roman" w:cs="Times New Roman" w:hint="eastAsia"/>
          <w:sz w:val="24"/>
          <w:szCs w:val="20"/>
        </w:rPr>
        <w:t>ļ</w:t>
      </w:r>
      <w:r w:rsidRPr="0037264A">
        <w:rPr>
          <w:rFonts w:ascii="Times New Roman" w:eastAsiaTheme="minorHAnsi" w:hAnsi="Times New Roman" w:cs="Times New Roman"/>
          <w:sz w:val="24"/>
          <w:szCs w:val="20"/>
        </w:rPr>
        <w:t>a) projekt</w:t>
      </w:r>
      <w:r w:rsidRPr="0037264A">
        <w:rPr>
          <w:rFonts w:ascii="Times New Roman" w:eastAsiaTheme="minorHAnsi" w:hAnsi="Times New Roman" w:cs="Times New Roman" w:hint="eastAsia"/>
          <w:sz w:val="24"/>
          <w:szCs w:val="20"/>
        </w:rPr>
        <w:t>ēš</w:t>
      </w:r>
      <w:r w:rsidRPr="0037264A">
        <w:rPr>
          <w:rFonts w:ascii="Times New Roman" w:eastAsiaTheme="minorHAnsi" w:hAnsi="Times New Roman" w:cs="Times New Roman"/>
          <w:sz w:val="24"/>
          <w:szCs w:val="20"/>
        </w:rPr>
        <w:t>anu, b</w:t>
      </w:r>
      <w:r w:rsidRPr="0037264A">
        <w:rPr>
          <w:rFonts w:ascii="Times New Roman" w:eastAsiaTheme="minorHAnsi" w:hAnsi="Times New Roman" w:cs="Times New Roman" w:hint="eastAsia"/>
          <w:sz w:val="24"/>
          <w:szCs w:val="20"/>
        </w:rPr>
        <w:t>ū</w:t>
      </w:r>
      <w:r w:rsidRPr="0037264A">
        <w:rPr>
          <w:rFonts w:ascii="Times New Roman" w:eastAsiaTheme="minorHAnsi" w:hAnsi="Times New Roman" w:cs="Times New Roman"/>
          <w:sz w:val="24"/>
          <w:szCs w:val="20"/>
        </w:rPr>
        <w:t>vniec</w:t>
      </w:r>
      <w:r w:rsidRPr="0037264A">
        <w:rPr>
          <w:rFonts w:ascii="Times New Roman" w:eastAsiaTheme="minorHAnsi" w:hAnsi="Times New Roman" w:cs="Times New Roman" w:hint="eastAsia"/>
          <w:sz w:val="24"/>
          <w:szCs w:val="20"/>
        </w:rPr>
        <w:t>ī</w:t>
      </w:r>
      <w:r w:rsidRPr="0037264A">
        <w:rPr>
          <w:rFonts w:ascii="Times New Roman" w:eastAsiaTheme="minorHAnsi" w:hAnsi="Times New Roman" w:cs="Times New Roman"/>
          <w:sz w:val="24"/>
          <w:szCs w:val="20"/>
        </w:rPr>
        <w:t>bu, finans</w:t>
      </w:r>
      <w:r w:rsidRPr="0037264A">
        <w:rPr>
          <w:rFonts w:ascii="Times New Roman" w:eastAsiaTheme="minorHAnsi" w:hAnsi="Times New Roman" w:cs="Times New Roman" w:hint="eastAsia"/>
          <w:sz w:val="24"/>
          <w:szCs w:val="20"/>
        </w:rPr>
        <w:t>ēš</w:t>
      </w:r>
      <w:r w:rsidRPr="0037264A">
        <w:rPr>
          <w:rFonts w:ascii="Times New Roman" w:eastAsiaTheme="minorHAnsi" w:hAnsi="Times New Roman" w:cs="Times New Roman"/>
          <w:sz w:val="24"/>
          <w:szCs w:val="20"/>
        </w:rPr>
        <w:t>anu un uztur</w:t>
      </w:r>
      <w:r w:rsidRPr="0037264A">
        <w:rPr>
          <w:rFonts w:ascii="Times New Roman" w:eastAsiaTheme="minorHAnsi" w:hAnsi="Times New Roman" w:cs="Times New Roman" w:hint="eastAsia"/>
          <w:sz w:val="24"/>
          <w:szCs w:val="20"/>
        </w:rPr>
        <w:t>ēš</w:t>
      </w:r>
      <w:r>
        <w:rPr>
          <w:rFonts w:ascii="Times New Roman" w:eastAsiaTheme="minorHAnsi" w:hAnsi="Times New Roman" w:cs="Times New Roman"/>
          <w:sz w:val="24"/>
          <w:szCs w:val="20"/>
        </w:rPr>
        <w:t xml:space="preserve">anu (Ķekavas apvedceļa PPP), </w:t>
      </w:r>
      <w:r w:rsidRPr="008C4DD4">
        <w:rPr>
          <w:rFonts w:ascii="Times New Roman" w:eastAsiaTheme="minorHAnsi" w:hAnsi="Times New Roman" w:cs="Times New Roman"/>
          <w:sz w:val="24"/>
        </w:rPr>
        <w:t>kas ir Baltijas valstīs pirmais vērienīgais PPP projekts ceļu būvniecībā</w:t>
      </w:r>
      <w:r>
        <w:rPr>
          <w:rFonts w:ascii="Times New Roman" w:eastAsiaTheme="minorHAnsi" w:hAnsi="Times New Roman" w:cs="Times New Roman"/>
          <w:sz w:val="24"/>
        </w:rPr>
        <w:t>.</w:t>
      </w:r>
      <w:r>
        <w:rPr>
          <w:rFonts w:ascii="Times New Roman" w:eastAsiaTheme="minorHAnsi" w:hAnsi="Times New Roman" w:cs="Times New Roman"/>
          <w:sz w:val="24"/>
          <w:szCs w:val="20"/>
        </w:rPr>
        <w:t xml:space="preserve"> Jāatzīmē, ka pirms līguma parakstīšanas tā projekts</w:t>
      </w:r>
      <w:r w:rsidRPr="0037264A">
        <w:rPr>
          <w:rFonts w:ascii="Times New Roman" w:eastAsiaTheme="minorHAnsi" w:hAnsi="Times New Roman" w:cs="Times New Roman"/>
          <w:sz w:val="24"/>
          <w:szCs w:val="20"/>
        </w:rPr>
        <w:t xml:space="preserve"> </w:t>
      </w:r>
      <w:r>
        <w:rPr>
          <w:rFonts w:ascii="Times New Roman" w:eastAsiaTheme="minorHAnsi" w:hAnsi="Times New Roman" w:cs="Times New Roman"/>
          <w:sz w:val="24"/>
          <w:szCs w:val="20"/>
        </w:rPr>
        <w:t>tika</w:t>
      </w:r>
      <w:r w:rsidRPr="0037264A">
        <w:rPr>
          <w:rFonts w:ascii="Times New Roman" w:eastAsiaTheme="minorHAnsi" w:hAnsi="Times New Roman" w:cs="Times New Roman"/>
          <w:sz w:val="24"/>
          <w:szCs w:val="20"/>
        </w:rPr>
        <w:t xml:space="preserve"> saskaņots ar ES Statistikas biroju </w:t>
      </w:r>
      <w:r w:rsidRPr="0037264A">
        <w:rPr>
          <w:rFonts w:ascii="Times New Roman" w:eastAsiaTheme="minorHAnsi" w:hAnsi="Times New Roman" w:cs="Times New Roman"/>
          <w:i/>
          <w:sz w:val="24"/>
          <w:szCs w:val="20"/>
        </w:rPr>
        <w:t>Eurostat,</w:t>
      </w:r>
      <w:r w:rsidRPr="0037264A">
        <w:rPr>
          <w:rFonts w:ascii="Times New Roman" w:hAnsi="Times New Roman"/>
          <w:i/>
          <w:sz w:val="24"/>
        </w:rPr>
        <w:t xml:space="preserve"> </w:t>
      </w:r>
      <w:r>
        <w:rPr>
          <w:rFonts w:ascii="Times New Roman" w:eastAsiaTheme="minorHAnsi" w:hAnsi="Times New Roman" w:cs="Times New Roman"/>
          <w:sz w:val="24"/>
          <w:szCs w:val="20"/>
        </w:rPr>
        <w:t>nosakot</w:t>
      </w:r>
      <w:r w:rsidRPr="0037264A">
        <w:rPr>
          <w:rFonts w:ascii="Times New Roman" w:eastAsiaTheme="minorHAnsi" w:hAnsi="Times New Roman" w:cs="Times New Roman"/>
          <w:sz w:val="24"/>
          <w:szCs w:val="20"/>
        </w:rPr>
        <w:t>, ka aktīvi ir uzskaitāmi privātā partnera aktīvu bilancē</w:t>
      </w:r>
      <w:r>
        <w:rPr>
          <w:rStyle w:val="FootnoteReference"/>
          <w:rFonts w:ascii="Times New Roman" w:eastAsiaTheme="minorHAnsi" w:hAnsi="Times New Roman" w:cs="Times New Roman"/>
          <w:sz w:val="24"/>
          <w:szCs w:val="20"/>
        </w:rPr>
        <w:footnoteReference w:id="11"/>
      </w:r>
      <w:r w:rsidRPr="0037264A">
        <w:rPr>
          <w:rFonts w:ascii="Times New Roman" w:hAnsi="Times New Roman"/>
          <w:i/>
          <w:sz w:val="24"/>
        </w:rPr>
        <w:t>.</w:t>
      </w:r>
      <w:r>
        <w:rPr>
          <w:rFonts w:ascii="Times New Roman" w:hAnsi="Times New Roman"/>
          <w:i/>
          <w:sz w:val="24"/>
        </w:rPr>
        <w:t xml:space="preserve"> </w:t>
      </w:r>
      <w:r>
        <w:rPr>
          <w:rFonts w:ascii="Times New Roman" w:hAnsi="Times New Roman"/>
          <w:sz w:val="24"/>
        </w:rPr>
        <w:t xml:space="preserve">Tādējādi ir novērsti riski, ka projekts varētu negatīvi ietekmēt turpmāko gadu vispārējās valdības budžeta bilanci un parādu. </w:t>
      </w:r>
    </w:p>
    <w:p w14:paraId="742F7C4C" w14:textId="51BFB7D8" w:rsidR="00261582" w:rsidRPr="008C4DD4" w:rsidRDefault="00CD5476" w:rsidP="00261582">
      <w:pPr>
        <w:spacing w:after="0" w:line="240" w:lineRule="auto"/>
        <w:ind w:firstLine="720"/>
        <w:jc w:val="both"/>
        <w:rPr>
          <w:rFonts w:ascii="Times New Roman" w:eastAsiaTheme="minorHAnsi" w:hAnsi="Times New Roman" w:cs="Times New Roman"/>
          <w:sz w:val="24"/>
        </w:rPr>
      </w:pPr>
      <w:r>
        <w:rPr>
          <w:rFonts w:ascii="Times New Roman" w:hAnsi="Times New Roman"/>
          <w:sz w:val="24"/>
        </w:rPr>
        <w:t>Tabulā Nr.10</w:t>
      </w:r>
      <w:r w:rsidR="00261582">
        <w:rPr>
          <w:rFonts w:ascii="Times New Roman" w:hAnsi="Times New Roman"/>
          <w:sz w:val="24"/>
        </w:rPr>
        <w:t xml:space="preserve"> ir apkopota informācija par divu pašreizējo ārpusbilances PPP projektu maksimālo iespējamo fiskālo ietekmi</w:t>
      </w:r>
      <w:r w:rsidR="00261582" w:rsidRPr="004C4B10">
        <w:rPr>
          <w:rFonts w:ascii="Times New Roman" w:eastAsiaTheme="minorHAnsi" w:hAnsi="Times New Roman" w:cs="Times New Roman"/>
          <w:sz w:val="24"/>
        </w:rPr>
        <w:t xml:space="preserve"> </w:t>
      </w:r>
      <w:r w:rsidR="00261582" w:rsidRPr="0037264A">
        <w:rPr>
          <w:rFonts w:ascii="Times New Roman" w:eastAsiaTheme="minorHAnsi" w:hAnsi="Times New Roman" w:cs="Times New Roman"/>
          <w:sz w:val="24"/>
        </w:rPr>
        <w:t xml:space="preserve">uz vispārējās valdības budžeta bilanci un valsts parādu, ja </w:t>
      </w:r>
      <w:r w:rsidR="00261582">
        <w:rPr>
          <w:rFonts w:ascii="Times New Roman" w:eastAsiaTheme="minorHAnsi" w:hAnsi="Times New Roman" w:cs="Times New Roman"/>
          <w:sz w:val="24"/>
        </w:rPr>
        <w:t>tie</w:t>
      </w:r>
      <w:r w:rsidR="00261582" w:rsidRPr="0037264A">
        <w:rPr>
          <w:rFonts w:ascii="Times New Roman" w:eastAsiaTheme="minorHAnsi" w:hAnsi="Times New Roman" w:cs="Times New Roman"/>
          <w:sz w:val="24"/>
        </w:rPr>
        <w:t xml:space="preserve"> pilnā apmērā kādā no attie</w:t>
      </w:r>
      <w:r w:rsidR="00261582">
        <w:rPr>
          <w:rFonts w:ascii="Times New Roman" w:eastAsiaTheme="minorHAnsi" w:hAnsi="Times New Roman" w:cs="Times New Roman"/>
          <w:sz w:val="24"/>
        </w:rPr>
        <w:t>cīgajiem gadiem tiktu uzskaitīti</w:t>
      </w:r>
      <w:r w:rsidR="00261582" w:rsidRPr="0037264A">
        <w:rPr>
          <w:rFonts w:ascii="Times New Roman" w:eastAsiaTheme="minorHAnsi" w:hAnsi="Times New Roman" w:cs="Times New Roman"/>
          <w:sz w:val="24"/>
        </w:rPr>
        <w:t xml:space="preserve"> publiskā partnera bilancē</w:t>
      </w:r>
      <w:r w:rsidR="00261582">
        <w:rPr>
          <w:rFonts w:ascii="Times New Roman" w:hAnsi="Times New Roman"/>
          <w:sz w:val="24"/>
        </w:rPr>
        <w:t xml:space="preserve">. Tomēr, ņemot </w:t>
      </w:r>
      <w:r w:rsidR="00261582">
        <w:rPr>
          <w:rFonts w:ascii="Times New Roman" w:hAnsi="Times New Roman"/>
          <w:sz w:val="24"/>
        </w:rPr>
        <w:lastRenderedPageBreak/>
        <w:t>vērā, ka fiskālā riska iestāšanās tiek novērtēta tuvāk nullei, šim riskam fiskālā nodrošinājuma rezerve netiek veidota.</w:t>
      </w:r>
    </w:p>
    <w:p w14:paraId="5CC0738F" w14:textId="77777777" w:rsidR="00261582" w:rsidRDefault="00261582" w:rsidP="00261582">
      <w:pPr>
        <w:spacing w:after="0" w:line="240" w:lineRule="auto"/>
        <w:ind w:firstLine="720"/>
        <w:jc w:val="both"/>
        <w:rPr>
          <w:rFonts w:ascii="Times New Roman" w:eastAsiaTheme="minorHAnsi" w:hAnsi="Times New Roman" w:cs="Times New Roman"/>
          <w:sz w:val="24"/>
        </w:rPr>
      </w:pPr>
    </w:p>
    <w:p w14:paraId="5E1E09D7" w14:textId="3659A71C" w:rsidR="00261582" w:rsidRPr="00B118DB" w:rsidRDefault="00261582" w:rsidP="00261582">
      <w:pPr>
        <w:pStyle w:val="Default"/>
        <w:jc w:val="right"/>
        <w:rPr>
          <w:rFonts w:ascii="Times New Roman" w:hAnsi="Times New Roman" w:cs="Times New Roman"/>
        </w:rPr>
      </w:pPr>
      <w:r w:rsidRPr="00B118DB">
        <w:rPr>
          <w:rFonts w:ascii="Times New Roman" w:eastAsiaTheme="minorHAnsi" w:hAnsi="Times New Roman" w:cs="Times New Roman"/>
          <w:b/>
          <w:szCs w:val="20"/>
        </w:rPr>
        <w:t>Tabula Nr.</w:t>
      </w:r>
      <w:r w:rsidR="00CD5476">
        <w:rPr>
          <w:rFonts w:ascii="Times New Roman" w:eastAsiaTheme="minorHAnsi" w:hAnsi="Times New Roman" w:cs="Times New Roman"/>
          <w:b/>
          <w:szCs w:val="20"/>
        </w:rPr>
        <w:t>10</w:t>
      </w:r>
      <w:r w:rsidRPr="00B118DB">
        <w:rPr>
          <w:rFonts w:ascii="Times New Roman" w:eastAsiaTheme="minorHAnsi" w:hAnsi="Times New Roman" w:cs="Times New Roman"/>
          <w:b/>
          <w:szCs w:val="20"/>
        </w:rPr>
        <w:t xml:space="preserve"> </w:t>
      </w:r>
      <w:r w:rsidRPr="00B118DB">
        <w:rPr>
          <w:rFonts w:ascii="Times New Roman" w:hAnsi="Times New Roman" w:cs="Times New Roman"/>
          <w:b/>
          <w:bCs/>
          <w:sz w:val="23"/>
          <w:szCs w:val="23"/>
        </w:rPr>
        <w:t>Ārpusbilances publisko un privāto partnerību iespējamā ietekme uz vispārējās valdības budžeta bilanci un valsts parādu</w:t>
      </w:r>
      <w:r w:rsidRPr="001F48AA">
        <w:rPr>
          <w:rFonts w:ascii="Times New Roman" w:hAnsi="Times New Roman" w:cs="Times New Roman"/>
          <w:b/>
          <w:bCs/>
          <w:sz w:val="23"/>
          <w:szCs w:val="23"/>
        </w:rPr>
        <w:t xml:space="preserve"> </w:t>
      </w:r>
    </w:p>
    <w:tbl>
      <w:tblPr>
        <w:tblStyle w:val="GridTable6Colorful-Accent11"/>
        <w:tblW w:w="9628" w:type="dxa"/>
        <w:jc w:val="center"/>
        <w:tblLayout w:type="fixed"/>
        <w:tblLook w:val="04A0" w:firstRow="1" w:lastRow="0" w:firstColumn="1" w:lastColumn="0" w:noHBand="0" w:noVBand="1"/>
      </w:tblPr>
      <w:tblGrid>
        <w:gridCol w:w="1838"/>
        <w:gridCol w:w="973"/>
        <w:gridCol w:w="974"/>
        <w:gridCol w:w="974"/>
        <w:gridCol w:w="974"/>
        <w:gridCol w:w="973"/>
        <w:gridCol w:w="974"/>
        <w:gridCol w:w="974"/>
        <w:gridCol w:w="974"/>
      </w:tblGrid>
      <w:tr w:rsidR="00261582" w:rsidRPr="006D6BF4" w14:paraId="7722A829" w14:textId="77777777" w:rsidTr="000967DB">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DEEAF6" w:themeFill="accent1" w:themeFillTint="33"/>
            <w:vAlign w:val="center"/>
            <w:hideMark/>
          </w:tcPr>
          <w:p w14:paraId="416C7597" w14:textId="77777777" w:rsidR="00261582" w:rsidRPr="006D6BF4" w:rsidRDefault="00261582" w:rsidP="000967DB">
            <w:pPr>
              <w:jc w:val="center"/>
              <w:rPr>
                <w:rFonts w:eastAsia="Times New Roman" w:cs="Times New Roman"/>
                <w:color w:val="000000" w:themeColor="text1"/>
                <w:sz w:val="22"/>
                <w:lang w:eastAsia="lv-LV"/>
              </w:rPr>
            </w:pPr>
            <w:r w:rsidRPr="006D6BF4">
              <w:rPr>
                <w:rFonts w:eastAsia="Times New Roman" w:cs="Times New Roman"/>
                <w:color w:val="000000" w:themeColor="text1"/>
                <w:sz w:val="22"/>
                <w:lang w:eastAsia="lv-LV"/>
              </w:rPr>
              <w:t>PPP projekts</w:t>
            </w:r>
          </w:p>
        </w:tc>
        <w:tc>
          <w:tcPr>
            <w:tcW w:w="7790" w:type="dxa"/>
            <w:gridSpan w:val="8"/>
          </w:tcPr>
          <w:p w14:paraId="78E7FEB0" w14:textId="77777777" w:rsidR="00261582" w:rsidRPr="006D6BF4" w:rsidRDefault="00261582" w:rsidP="000967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eastAsia="lv-LV"/>
              </w:rPr>
            </w:pPr>
            <w:r w:rsidRPr="006D6BF4">
              <w:rPr>
                <w:rFonts w:eastAsia="Times New Roman" w:cs="Times New Roman"/>
                <w:color w:val="000000" w:themeColor="text1"/>
                <w:sz w:val="22"/>
                <w:lang w:eastAsia="lv-LV"/>
              </w:rPr>
              <w:t>Potenciālā ietekme</w:t>
            </w:r>
            <w:r w:rsidRPr="006D6BF4">
              <w:rPr>
                <w:rFonts w:eastAsia="Times New Roman" w:cs="Times New Roman"/>
                <w:i/>
                <w:color w:val="000000" w:themeColor="text1"/>
                <w:sz w:val="22"/>
                <w:lang w:eastAsia="lv-LV"/>
              </w:rPr>
              <w:t>*</w:t>
            </w:r>
            <w:r w:rsidRPr="006D6BF4">
              <w:rPr>
                <w:rFonts w:eastAsia="Times New Roman" w:cs="Times New Roman"/>
                <w:color w:val="000000" w:themeColor="text1"/>
                <w:sz w:val="22"/>
                <w:lang w:eastAsia="lv-LV"/>
              </w:rPr>
              <w:t xml:space="preserve"> (milj. </w:t>
            </w:r>
            <w:r w:rsidRPr="006D6BF4">
              <w:rPr>
                <w:rFonts w:eastAsia="Times New Roman" w:cs="Times New Roman"/>
                <w:i/>
                <w:color w:val="000000" w:themeColor="text1"/>
                <w:sz w:val="22"/>
                <w:lang w:eastAsia="lv-LV"/>
              </w:rPr>
              <w:t>euro</w:t>
            </w:r>
            <w:r w:rsidRPr="006D6BF4">
              <w:rPr>
                <w:rFonts w:eastAsia="Times New Roman" w:cs="Times New Roman"/>
                <w:color w:val="000000" w:themeColor="text1"/>
                <w:sz w:val="22"/>
                <w:lang w:eastAsia="lv-LV"/>
              </w:rPr>
              <w:t>)</w:t>
            </w:r>
          </w:p>
        </w:tc>
      </w:tr>
      <w:tr w:rsidR="00261582" w:rsidRPr="006D6BF4" w14:paraId="016C7D85" w14:textId="77777777" w:rsidTr="000967D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079A2169" w14:textId="77777777" w:rsidR="00261582" w:rsidRPr="006D6BF4" w:rsidRDefault="00261582" w:rsidP="000967DB">
            <w:pPr>
              <w:jc w:val="center"/>
              <w:rPr>
                <w:rFonts w:eastAsia="Times New Roman" w:cs="Times New Roman"/>
                <w:b w:val="0"/>
                <w:color w:val="000000" w:themeColor="text1"/>
                <w:sz w:val="22"/>
                <w:lang w:eastAsia="lv-LV"/>
              </w:rPr>
            </w:pPr>
          </w:p>
        </w:tc>
        <w:tc>
          <w:tcPr>
            <w:tcW w:w="973" w:type="dxa"/>
            <w:vAlign w:val="center"/>
          </w:tcPr>
          <w:p w14:paraId="3F007E01"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22"/>
                <w:lang w:eastAsia="lv-LV"/>
              </w:rPr>
            </w:pPr>
            <w:r w:rsidRPr="006D6BF4">
              <w:rPr>
                <w:rFonts w:eastAsia="Times New Roman" w:cs="Times New Roman"/>
                <w:b/>
                <w:color w:val="000000" w:themeColor="text1"/>
                <w:sz w:val="22"/>
                <w:lang w:eastAsia="lv-LV"/>
              </w:rPr>
              <w:t>2017</w:t>
            </w:r>
          </w:p>
        </w:tc>
        <w:tc>
          <w:tcPr>
            <w:tcW w:w="974" w:type="dxa"/>
            <w:vAlign w:val="center"/>
          </w:tcPr>
          <w:p w14:paraId="10EEC36F"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22"/>
                <w:lang w:eastAsia="lv-LV"/>
              </w:rPr>
            </w:pPr>
            <w:r w:rsidRPr="006D6BF4">
              <w:rPr>
                <w:rFonts w:eastAsia="Times New Roman" w:cs="Times New Roman"/>
                <w:b/>
                <w:color w:val="000000" w:themeColor="text1"/>
                <w:sz w:val="22"/>
                <w:lang w:eastAsia="lv-LV"/>
              </w:rPr>
              <w:t>2018</w:t>
            </w:r>
          </w:p>
        </w:tc>
        <w:tc>
          <w:tcPr>
            <w:tcW w:w="974" w:type="dxa"/>
            <w:vAlign w:val="center"/>
          </w:tcPr>
          <w:p w14:paraId="32CC2F59"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22"/>
                <w:lang w:eastAsia="lv-LV"/>
              </w:rPr>
            </w:pPr>
            <w:r w:rsidRPr="006D6BF4">
              <w:rPr>
                <w:rFonts w:eastAsia="Times New Roman" w:cs="Times New Roman"/>
                <w:b/>
                <w:bCs/>
                <w:color w:val="000000" w:themeColor="text1"/>
                <w:sz w:val="22"/>
                <w:lang w:eastAsia="lv-LV"/>
              </w:rPr>
              <w:t>2019</w:t>
            </w:r>
          </w:p>
        </w:tc>
        <w:tc>
          <w:tcPr>
            <w:tcW w:w="974" w:type="dxa"/>
            <w:vAlign w:val="center"/>
          </w:tcPr>
          <w:p w14:paraId="5E4141BF"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sz w:val="22"/>
                <w:lang w:eastAsia="lv-LV"/>
              </w:rPr>
            </w:pPr>
            <w:r w:rsidRPr="006D6BF4">
              <w:rPr>
                <w:rFonts w:eastAsia="Times New Roman" w:cs="Times New Roman"/>
                <w:b/>
                <w:bCs/>
                <w:color w:val="000000" w:themeColor="text1"/>
                <w:sz w:val="22"/>
                <w:lang w:eastAsia="lv-LV"/>
              </w:rPr>
              <w:t>2020</w:t>
            </w:r>
          </w:p>
        </w:tc>
        <w:tc>
          <w:tcPr>
            <w:tcW w:w="973" w:type="dxa"/>
            <w:vAlign w:val="center"/>
          </w:tcPr>
          <w:p w14:paraId="0884231E"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sz w:val="22"/>
                <w:lang w:eastAsia="lv-LV"/>
              </w:rPr>
            </w:pPr>
            <w:r w:rsidRPr="006D6BF4">
              <w:rPr>
                <w:rFonts w:eastAsia="Times New Roman" w:cs="Times New Roman"/>
                <w:b/>
                <w:bCs/>
                <w:color w:val="000000" w:themeColor="text1"/>
                <w:sz w:val="22"/>
                <w:lang w:eastAsia="lv-LV"/>
              </w:rPr>
              <w:t>2021</w:t>
            </w:r>
          </w:p>
        </w:tc>
        <w:tc>
          <w:tcPr>
            <w:tcW w:w="974" w:type="dxa"/>
            <w:vAlign w:val="center"/>
          </w:tcPr>
          <w:p w14:paraId="5043EA7F"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sz w:val="22"/>
                <w:lang w:eastAsia="lv-LV"/>
              </w:rPr>
            </w:pPr>
            <w:r w:rsidRPr="006D6BF4">
              <w:rPr>
                <w:rFonts w:eastAsia="Times New Roman" w:cs="Times New Roman"/>
                <w:b/>
                <w:bCs/>
                <w:color w:val="000000" w:themeColor="text1"/>
                <w:sz w:val="22"/>
                <w:lang w:eastAsia="lv-LV"/>
              </w:rPr>
              <w:t>2022</w:t>
            </w:r>
          </w:p>
        </w:tc>
        <w:tc>
          <w:tcPr>
            <w:tcW w:w="974" w:type="dxa"/>
            <w:vAlign w:val="center"/>
          </w:tcPr>
          <w:p w14:paraId="5887F79B" w14:textId="77777777" w:rsidR="00261582" w:rsidRPr="006D6BF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sz w:val="22"/>
                <w:lang w:eastAsia="lv-LV"/>
              </w:rPr>
            </w:pPr>
            <w:r w:rsidRPr="006D6BF4">
              <w:rPr>
                <w:rFonts w:eastAsia="Times New Roman" w:cs="Times New Roman"/>
                <w:b/>
                <w:bCs/>
                <w:color w:val="000000" w:themeColor="text1"/>
                <w:sz w:val="22"/>
                <w:lang w:eastAsia="lv-LV"/>
              </w:rPr>
              <w:t>2023</w:t>
            </w:r>
          </w:p>
        </w:tc>
        <w:tc>
          <w:tcPr>
            <w:tcW w:w="974" w:type="dxa"/>
            <w:vAlign w:val="center"/>
          </w:tcPr>
          <w:p w14:paraId="7332DD9B"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sz w:val="22"/>
                <w:lang w:eastAsia="lv-LV"/>
              </w:rPr>
            </w:pPr>
            <w:r w:rsidRPr="008C4DD4">
              <w:rPr>
                <w:rFonts w:eastAsia="Times New Roman" w:cs="Times New Roman"/>
                <w:b/>
                <w:bCs/>
                <w:color w:val="000000" w:themeColor="text1"/>
                <w:sz w:val="22"/>
                <w:lang w:eastAsia="lv-LV"/>
              </w:rPr>
              <w:t>2024</w:t>
            </w:r>
          </w:p>
        </w:tc>
      </w:tr>
      <w:tr w:rsidR="00261582" w:rsidRPr="006D6BF4" w14:paraId="4A7DBDB7" w14:textId="77777777" w:rsidTr="000967DB">
        <w:trPr>
          <w:trHeight w:val="314"/>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3A1814AF" w14:textId="77777777" w:rsidR="00261582" w:rsidRPr="006D6BF4" w:rsidRDefault="00261582" w:rsidP="000967DB">
            <w:pPr>
              <w:rPr>
                <w:rFonts w:eastAsia="Times New Roman" w:cs="Times New Roman"/>
                <w:b w:val="0"/>
                <w:color w:val="000000" w:themeColor="text1"/>
                <w:sz w:val="22"/>
                <w:lang w:eastAsia="lv-LV"/>
              </w:rPr>
            </w:pPr>
            <w:r w:rsidRPr="006D6BF4">
              <w:rPr>
                <w:rFonts w:cs="Times New Roman"/>
                <w:color w:val="000000" w:themeColor="text1"/>
                <w:sz w:val="22"/>
              </w:rPr>
              <w:t>Pirmsskolas izglītības iestāžu būvniecība un apsaimniekošana</w:t>
            </w:r>
            <w:r>
              <w:rPr>
                <w:rFonts w:cs="Times New Roman"/>
                <w:color w:val="000000" w:themeColor="text1"/>
                <w:sz w:val="22"/>
              </w:rPr>
              <w:t>**</w:t>
            </w:r>
          </w:p>
        </w:tc>
        <w:tc>
          <w:tcPr>
            <w:tcW w:w="973" w:type="dxa"/>
            <w:vAlign w:val="center"/>
          </w:tcPr>
          <w:p w14:paraId="48DE4E59"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6D6BF4">
              <w:rPr>
                <w:rFonts w:eastAsia="Times New Roman" w:cs="Times New Roman"/>
                <w:color w:val="000000" w:themeColor="text1"/>
                <w:sz w:val="22"/>
                <w:lang w:eastAsia="lv-LV"/>
              </w:rPr>
              <w:t>5</w:t>
            </w:r>
          </w:p>
        </w:tc>
        <w:tc>
          <w:tcPr>
            <w:tcW w:w="974" w:type="dxa"/>
            <w:vAlign w:val="center"/>
          </w:tcPr>
          <w:p w14:paraId="13708A4C"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Pr>
                <w:rFonts w:eastAsia="Times New Roman" w:cs="Times New Roman"/>
                <w:color w:val="000000" w:themeColor="text1"/>
                <w:sz w:val="22"/>
                <w:lang w:eastAsia="lv-LV"/>
              </w:rPr>
              <w:t>5</w:t>
            </w:r>
          </w:p>
        </w:tc>
        <w:tc>
          <w:tcPr>
            <w:tcW w:w="974" w:type="dxa"/>
            <w:vAlign w:val="center"/>
          </w:tcPr>
          <w:p w14:paraId="5F76308B"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6D6BF4">
              <w:rPr>
                <w:rFonts w:eastAsia="Times New Roman" w:cs="Times New Roman"/>
                <w:color w:val="000000" w:themeColor="text1"/>
                <w:sz w:val="22"/>
                <w:lang w:eastAsia="lv-LV"/>
              </w:rPr>
              <w:t>4</w:t>
            </w:r>
          </w:p>
        </w:tc>
        <w:tc>
          <w:tcPr>
            <w:tcW w:w="974" w:type="dxa"/>
            <w:vAlign w:val="center"/>
          </w:tcPr>
          <w:p w14:paraId="54312168"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Pr>
                <w:rFonts w:eastAsia="Times New Roman" w:cs="Times New Roman"/>
                <w:color w:val="000000" w:themeColor="text1"/>
                <w:sz w:val="22"/>
                <w:lang w:eastAsia="lv-LV"/>
              </w:rPr>
              <w:t>4</w:t>
            </w:r>
          </w:p>
        </w:tc>
        <w:tc>
          <w:tcPr>
            <w:tcW w:w="973" w:type="dxa"/>
            <w:vAlign w:val="center"/>
          </w:tcPr>
          <w:p w14:paraId="7BDB759C"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6D6BF4">
              <w:rPr>
                <w:rFonts w:eastAsia="Times New Roman" w:cs="Times New Roman"/>
                <w:color w:val="000000" w:themeColor="text1"/>
                <w:sz w:val="22"/>
                <w:lang w:eastAsia="lv-LV"/>
              </w:rPr>
              <w:t>3</w:t>
            </w:r>
          </w:p>
        </w:tc>
        <w:tc>
          <w:tcPr>
            <w:tcW w:w="974" w:type="dxa"/>
            <w:vAlign w:val="center"/>
          </w:tcPr>
          <w:p w14:paraId="2D3BD1EA"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Pr>
                <w:rFonts w:eastAsia="Times New Roman" w:cs="Times New Roman"/>
                <w:color w:val="000000" w:themeColor="text1"/>
                <w:sz w:val="22"/>
                <w:lang w:eastAsia="lv-LV"/>
              </w:rPr>
              <w:t>3</w:t>
            </w:r>
          </w:p>
        </w:tc>
        <w:tc>
          <w:tcPr>
            <w:tcW w:w="974" w:type="dxa"/>
            <w:vAlign w:val="center"/>
          </w:tcPr>
          <w:p w14:paraId="6AF0DBBE"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6D6BF4">
              <w:rPr>
                <w:rFonts w:eastAsia="Times New Roman" w:cs="Times New Roman"/>
                <w:color w:val="000000" w:themeColor="text1"/>
                <w:sz w:val="22"/>
                <w:lang w:eastAsia="lv-LV"/>
              </w:rPr>
              <w:t>2</w:t>
            </w:r>
          </w:p>
        </w:tc>
        <w:tc>
          <w:tcPr>
            <w:tcW w:w="974" w:type="dxa"/>
            <w:vAlign w:val="center"/>
          </w:tcPr>
          <w:p w14:paraId="352AEAC8" w14:textId="77777777" w:rsidR="00261582" w:rsidRPr="006D6BF4" w:rsidRDefault="00261582"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eastAsia="lv-LV"/>
              </w:rPr>
            </w:pPr>
            <w:r w:rsidRPr="008C4DD4">
              <w:rPr>
                <w:rFonts w:eastAsia="Times New Roman" w:cs="Times New Roman"/>
                <w:color w:val="000000" w:themeColor="text1"/>
                <w:sz w:val="22"/>
                <w:lang w:eastAsia="lv-LV"/>
              </w:rPr>
              <w:t>2</w:t>
            </w:r>
          </w:p>
        </w:tc>
      </w:tr>
      <w:tr w:rsidR="00261582" w:rsidRPr="006D6BF4" w14:paraId="45AE9E43" w14:textId="77777777" w:rsidTr="000967DB">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838" w:type="dxa"/>
          </w:tcPr>
          <w:p w14:paraId="54E4051F" w14:textId="77777777" w:rsidR="00261582" w:rsidRPr="006D6BF4" w:rsidRDefault="00261582" w:rsidP="000967DB">
            <w:pPr>
              <w:rPr>
                <w:rFonts w:cs="Times New Roman"/>
                <w:color w:val="000000" w:themeColor="text1"/>
              </w:rPr>
            </w:pPr>
            <w:r w:rsidRPr="008C4DD4">
              <w:rPr>
                <w:rFonts w:cs="Times New Roman"/>
                <w:color w:val="000000" w:themeColor="text1"/>
                <w:sz w:val="22"/>
              </w:rPr>
              <w:t>Ķekavas apvedceļa PPP</w:t>
            </w:r>
          </w:p>
        </w:tc>
        <w:tc>
          <w:tcPr>
            <w:tcW w:w="973" w:type="dxa"/>
            <w:vAlign w:val="center"/>
          </w:tcPr>
          <w:p w14:paraId="4AA568D4"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w:t>
            </w:r>
          </w:p>
        </w:tc>
        <w:tc>
          <w:tcPr>
            <w:tcW w:w="974" w:type="dxa"/>
            <w:vAlign w:val="center"/>
          </w:tcPr>
          <w:p w14:paraId="46B35C71"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w:t>
            </w:r>
          </w:p>
        </w:tc>
        <w:tc>
          <w:tcPr>
            <w:tcW w:w="974" w:type="dxa"/>
            <w:vAlign w:val="center"/>
          </w:tcPr>
          <w:p w14:paraId="69EE2334"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w:t>
            </w:r>
          </w:p>
        </w:tc>
        <w:tc>
          <w:tcPr>
            <w:tcW w:w="974" w:type="dxa"/>
            <w:vAlign w:val="center"/>
          </w:tcPr>
          <w:p w14:paraId="6FC97F05"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w:t>
            </w:r>
          </w:p>
        </w:tc>
        <w:tc>
          <w:tcPr>
            <w:tcW w:w="973" w:type="dxa"/>
            <w:vAlign w:val="center"/>
          </w:tcPr>
          <w:p w14:paraId="201AC9B2"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w:t>
            </w:r>
          </w:p>
        </w:tc>
        <w:tc>
          <w:tcPr>
            <w:tcW w:w="974" w:type="dxa"/>
            <w:vAlign w:val="center"/>
          </w:tcPr>
          <w:p w14:paraId="3EB87447"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93</w:t>
            </w:r>
          </w:p>
        </w:tc>
        <w:tc>
          <w:tcPr>
            <w:tcW w:w="974" w:type="dxa"/>
            <w:vAlign w:val="center"/>
          </w:tcPr>
          <w:p w14:paraId="45518DA0"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122</w:t>
            </w:r>
          </w:p>
        </w:tc>
        <w:tc>
          <w:tcPr>
            <w:tcW w:w="974" w:type="dxa"/>
            <w:vAlign w:val="center"/>
          </w:tcPr>
          <w:p w14:paraId="64B3180D" w14:textId="77777777" w:rsidR="00261582" w:rsidRPr="008C4DD4" w:rsidRDefault="00261582"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eastAsia="lv-LV"/>
              </w:rPr>
            </w:pPr>
            <w:r w:rsidRPr="008C4DD4">
              <w:rPr>
                <w:rFonts w:eastAsia="Times New Roman" w:cs="Times New Roman"/>
                <w:color w:val="000000" w:themeColor="text1"/>
                <w:sz w:val="22"/>
                <w:lang w:eastAsia="lv-LV"/>
              </w:rPr>
              <w:t>120</w:t>
            </w:r>
          </w:p>
        </w:tc>
      </w:tr>
    </w:tbl>
    <w:p w14:paraId="56FA4DA0" w14:textId="77777777" w:rsidR="00261582" w:rsidRDefault="00261582" w:rsidP="00261582">
      <w:pPr>
        <w:spacing w:after="0" w:line="240" w:lineRule="auto"/>
        <w:jc w:val="both"/>
        <w:rPr>
          <w:rFonts w:ascii="Times New Roman" w:eastAsiaTheme="minorHAnsi" w:hAnsi="Times New Roman"/>
          <w:i/>
          <w:sz w:val="20"/>
          <w:szCs w:val="20"/>
        </w:rPr>
      </w:pPr>
      <w:r w:rsidRPr="00B118DB">
        <w:rPr>
          <w:rFonts w:ascii="Times New Roman" w:eastAsiaTheme="minorHAnsi" w:hAnsi="Times New Roman"/>
          <w:i/>
          <w:sz w:val="20"/>
          <w:szCs w:val="20"/>
        </w:rPr>
        <w:t>* Novērtētā ietekme norāda negatīvo fiskālo ietekmi, kas potenciāli rastos, ja projekts pilnā apmērā tiktu attiecināts publiskā partnera bilancē kādā no attiecīgajiem gadiem.</w:t>
      </w:r>
    </w:p>
    <w:p w14:paraId="5B80D26F" w14:textId="77777777" w:rsidR="00261582" w:rsidRPr="00B118DB" w:rsidRDefault="00261582" w:rsidP="00261582">
      <w:pPr>
        <w:spacing w:after="0" w:line="240" w:lineRule="auto"/>
        <w:jc w:val="both"/>
        <w:rPr>
          <w:rFonts w:ascii="Times New Roman" w:eastAsiaTheme="minorHAnsi" w:hAnsi="Times New Roman"/>
          <w:i/>
          <w:sz w:val="20"/>
          <w:szCs w:val="20"/>
        </w:rPr>
      </w:pPr>
      <w:r>
        <w:rPr>
          <w:rFonts w:ascii="Times New Roman" w:eastAsiaTheme="minorHAnsi" w:hAnsi="Times New Roman"/>
          <w:i/>
          <w:sz w:val="20"/>
          <w:szCs w:val="20"/>
        </w:rPr>
        <w:t>** FM novērtējums.</w:t>
      </w:r>
    </w:p>
    <w:p w14:paraId="7815C7F5" w14:textId="77777777" w:rsidR="00261582" w:rsidRPr="001054F7" w:rsidRDefault="00261582" w:rsidP="00261582">
      <w:pPr>
        <w:spacing w:after="0" w:line="240" w:lineRule="auto"/>
        <w:ind w:firstLine="720"/>
        <w:jc w:val="both"/>
        <w:rPr>
          <w:rFonts w:ascii="Times New Roman" w:eastAsiaTheme="minorHAnsi" w:hAnsi="Times New Roman" w:cs="Times New Roman"/>
          <w:sz w:val="24"/>
          <w:szCs w:val="20"/>
          <w:highlight w:val="yellow"/>
        </w:rPr>
      </w:pPr>
    </w:p>
    <w:p w14:paraId="76A507D3" w14:textId="78038917" w:rsidR="00261582" w:rsidRDefault="00261582" w:rsidP="00261582">
      <w:pPr>
        <w:spacing w:after="0" w:line="240" w:lineRule="auto"/>
        <w:ind w:firstLine="720"/>
        <w:jc w:val="both"/>
        <w:rPr>
          <w:rFonts w:ascii="Times New Roman" w:eastAsiaTheme="minorHAnsi" w:hAnsi="Times New Roman" w:cs="Times New Roman"/>
          <w:sz w:val="24"/>
          <w:szCs w:val="20"/>
        </w:rPr>
      </w:pPr>
      <w:r>
        <w:rPr>
          <w:rFonts w:ascii="Times New Roman" w:eastAsiaTheme="minorHAnsi" w:hAnsi="Times New Roman" w:cs="Times New Roman"/>
          <w:sz w:val="24"/>
          <w:szCs w:val="20"/>
        </w:rPr>
        <w:t>K</w:t>
      </w:r>
      <w:r w:rsidRPr="0037264A">
        <w:rPr>
          <w:rFonts w:ascii="Times New Roman" w:eastAsiaTheme="minorHAnsi" w:hAnsi="Times New Roman" w:cs="Times New Roman"/>
          <w:sz w:val="24"/>
          <w:szCs w:val="20"/>
        </w:rPr>
        <w:t xml:space="preserve">oncesiju jomā </w:t>
      </w:r>
      <w:r>
        <w:rPr>
          <w:rFonts w:ascii="Times New Roman" w:eastAsiaTheme="minorHAnsi" w:hAnsi="Times New Roman" w:cs="Times New Roman"/>
          <w:sz w:val="24"/>
          <w:szCs w:val="20"/>
        </w:rPr>
        <w:t xml:space="preserve">atzīmējams, ka šā gada jūlijā </w:t>
      </w:r>
      <w:r w:rsidRPr="008C4DD4">
        <w:rPr>
          <w:rFonts w:ascii="Times New Roman" w:eastAsiaTheme="minorHAnsi" w:hAnsi="Times New Roman" w:cs="Times New Roman"/>
          <w:sz w:val="24"/>
          <w:szCs w:val="20"/>
        </w:rPr>
        <w:t xml:space="preserve">Konkurences padome, Rīgas dome un "Getliņi eko" </w:t>
      </w:r>
      <w:r>
        <w:rPr>
          <w:rFonts w:ascii="Times New Roman" w:eastAsiaTheme="minorHAnsi" w:hAnsi="Times New Roman" w:cs="Times New Roman"/>
          <w:sz w:val="24"/>
          <w:szCs w:val="20"/>
        </w:rPr>
        <w:t xml:space="preserve">ir </w:t>
      </w:r>
      <w:r w:rsidRPr="008C4DD4">
        <w:rPr>
          <w:rFonts w:ascii="Times New Roman" w:eastAsiaTheme="minorHAnsi" w:hAnsi="Times New Roman" w:cs="Times New Roman"/>
          <w:sz w:val="24"/>
          <w:szCs w:val="20"/>
        </w:rPr>
        <w:t>parakstījuši izlīgumu "Tīrīgas" lietā</w:t>
      </w:r>
      <w:r>
        <w:rPr>
          <w:rFonts w:ascii="Times New Roman" w:eastAsiaTheme="minorHAnsi" w:hAnsi="Times New Roman" w:cs="Times New Roman"/>
          <w:sz w:val="24"/>
          <w:szCs w:val="20"/>
        </w:rPr>
        <w:t xml:space="preserve">. </w:t>
      </w:r>
      <w:r w:rsidRPr="008C4DD4">
        <w:rPr>
          <w:rFonts w:ascii="Times New Roman" w:eastAsiaTheme="minorHAnsi" w:hAnsi="Times New Roman" w:cs="Times New Roman"/>
          <w:sz w:val="24"/>
          <w:szCs w:val="20"/>
        </w:rPr>
        <w:t>Izlīgums paredz, ka iesaistītās puses turpmāk ļaunprātīgi neizmantos dominējošo stāvokli un pašvaldība, pēc konkurences tiesību ekonomistu analīzes saņemšanas, iepazīstinās K</w:t>
      </w:r>
      <w:r>
        <w:rPr>
          <w:rFonts w:ascii="Times New Roman" w:eastAsiaTheme="minorHAnsi" w:hAnsi="Times New Roman" w:cs="Times New Roman"/>
          <w:sz w:val="24"/>
          <w:szCs w:val="20"/>
        </w:rPr>
        <w:t>onkurences padomi</w:t>
      </w:r>
      <w:r w:rsidRPr="008C4DD4">
        <w:rPr>
          <w:rFonts w:ascii="Times New Roman" w:eastAsiaTheme="minorHAnsi" w:hAnsi="Times New Roman" w:cs="Times New Roman"/>
          <w:sz w:val="24"/>
          <w:szCs w:val="20"/>
        </w:rPr>
        <w:t xml:space="preserve"> par turpmākajiem atkritumu apsaimniekošanas organizācijas plāniem Rīgā, kā arī Rīgas pašvaldība </w:t>
      </w:r>
      <w:r>
        <w:rPr>
          <w:rFonts w:ascii="Times New Roman" w:eastAsiaTheme="minorHAnsi" w:hAnsi="Times New Roman" w:cs="Times New Roman"/>
          <w:sz w:val="24"/>
          <w:szCs w:val="20"/>
        </w:rPr>
        <w:t>un</w:t>
      </w:r>
      <w:r w:rsidRPr="008C4DD4">
        <w:rPr>
          <w:rFonts w:ascii="Times New Roman" w:eastAsiaTheme="minorHAnsi" w:hAnsi="Times New Roman" w:cs="Times New Roman"/>
          <w:sz w:val="24"/>
          <w:szCs w:val="20"/>
        </w:rPr>
        <w:t xml:space="preserve"> "Getliņi Eko" </w:t>
      </w:r>
      <w:r>
        <w:rPr>
          <w:rFonts w:ascii="Times New Roman" w:eastAsiaTheme="minorHAnsi" w:hAnsi="Times New Roman" w:cs="Times New Roman"/>
          <w:sz w:val="24"/>
          <w:szCs w:val="20"/>
        </w:rPr>
        <w:t>valsts budžetā samaksās naudas sodu. P</w:t>
      </w:r>
      <w:r w:rsidRPr="0037264A">
        <w:rPr>
          <w:rFonts w:ascii="Times New Roman" w:eastAsiaTheme="minorHAnsi" w:hAnsi="Times New Roman" w:cs="Times New Roman"/>
          <w:sz w:val="24"/>
          <w:szCs w:val="20"/>
        </w:rPr>
        <w:t>ar finanšu un ekonomiskajiem aprēķiniem par Rīgas pilsētas sadzīves atkritumu apsaimniekošanas sistēmas attīstību</w:t>
      </w:r>
      <w:r>
        <w:rPr>
          <w:rFonts w:ascii="Times New Roman" w:eastAsiaTheme="minorHAnsi" w:hAnsi="Times New Roman" w:cs="Times New Roman"/>
          <w:sz w:val="24"/>
          <w:szCs w:val="20"/>
        </w:rPr>
        <w:t xml:space="preserve"> bija sniegts pozitīvs </w:t>
      </w:r>
      <w:r w:rsidR="00504BA6">
        <w:rPr>
          <w:rFonts w:ascii="Times New Roman" w:eastAsiaTheme="minorHAnsi" w:hAnsi="Times New Roman" w:cs="Times New Roman"/>
          <w:sz w:val="24"/>
          <w:szCs w:val="20"/>
        </w:rPr>
        <w:t xml:space="preserve">FM </w:t>
      </w:r>
      <w:r>
        <w:rPr>
          <w:rFonts w:ascii="Times New Roman" w:eastAsiaTheme="minorHAnsi" w:hAnsi="Times New Roman" w:cs="Times New Roman"/>
          <w:sz w:val="24"/>
          <w:szCs w:val="20"/>
        </w:rPr>
        <w:t>lēmums, ka</w:t>
      </w:r>
      <w:r w:rsidRPr="0037264A">
        <w:rPr>
          <w:rFonts w:ascii="Times New Roman" w:eastAsiaTheme="minorHAnsi" w:hAnsi="Times New Roman" w:cs="Times New Roman"/>
          <w:sz w:val="24"/>
          <w:szCs w:val="20"/>
        </w:rPr>
        <w:t xml:space="preserve"> projekts</w:t>
      </w:r>
      <w:r>
        <w:rPr>
          <w:rFonts w:ascii="Times New Roman" w:eastAsiaTheme="minorHAnsi" w:hAnsi="Times New Roman" w:cs="Times New Roman"/>
          <w:sz w:val="24"/>
          <w:szCs w:val="20"/>
        </w:rPr>
        <w:t xml:space="preserve"> provizoriski</w:t>
      </w:r>
      <w:r w:rsidRPr="0037264A">
        <w:rPr>
          <w:rFonts w:ascii="Times New Roman" w:eastAsiaTheme="minorHAnsi" w:hAnsi="Times New Roman" w:cs="Times New Roman"/>
          <w:sz w:val="24"/>
          <w:szCs w:val="20"/>
        </w:rPr>
        <w:t xml:space="preserve"> nerada negatīvu ietekmi uz vispārējās valdības budžeta bilanci un parādu. </w:t>
      </w:r>
    </w:p>
    <w:p w14:paraId="3AAF2C2B" w14:textId="77777777" w:rsidR="005962CD" w:rsidRPr="006504B6" w:rsidRDefault="005962CD" w:rsidP="00261582">
      <w:pPr>
        <w:spacing w:after="0" w:line="240" w:lineRule="auto"/>
        <w:ind w:firstLine="720"/>
        <w:jc w:val="both"/>
        <w:rPr>
          <w:rFonts w:ascii="Times New Roman" w:eastAsiaTheme="minorHAnsi" w:hAnsi="Times New Roman" w:cs="Times New Roman"/>
          <w:sz w:val="24"/>
          <w:szCs w:val="20"/>
        </w:rPr>
      </w:pPr>
    </w:p>
    <w:p w14:paraId="5E560C4B" w14:textId="17CAC994" w:rsidR="005962CD" w:rsidRPr="00E2711F" w:rsidRDefault="005962CD" w:rsidP="00BB69DC">
      <w:pPr>
        <w:pStyle w:val="Heading2"/>
        <w:numPr>
          <w:ilvl w:val="1"/>
          <w:numId w:val="4"/>
        </w:numPr>
        <w:spacing w:before="120" w:after="120" w:line="240" w:lineRule="auto"/>
        <w:ind w:left="0" w:firstLine="0"/>
        <w:jc w:val="center"/>
        <w:rPr>
          <w:rFonts w:ascii="Times New Roman" w:hAnsi="Times New Roman" w:cs="Times New Roman"/>
          <w:bCs w:val="0"/>
          <w:sz w:val="24"/>
          <w:szCs w:val="24"/>
        </w:rPr>
      </w:pPr>
      <w:bookmarkStart w:id="45" w:name="_Toc80106057"/>
      <w:bookmarkStart w:id="46" w:name="_Toc80111860"/>
      <w:bookmarkEnd w:id="45"/>
      <w:r w:rsidRPr="00E2711F">
        <w:rPr>
          <w:rFonts w:ascii="Times New Roman" w:hAnsi="Times New Roman" w:cs="Times New Roman"/>
          <w:bCs w:val="0"/>
          <w:sz w:val="24"/>
          <w:szCs w:val="24"/>
        </w:rPr>
        <w:t>Enerģijas publiskais tirgotājs</w:t>
      </w:r>
      <w:bookmarkEnd w:id="46"/>
    </w:p>
    <w:p w14:paraId="26227051" w14:textId="77777777" w:rsidR="005962CD" w:rsidRPr="00B6282C" w:rsidRDefault="005962CD" w:rsidP="005962CD">
      <w:pPr>
        <w:spacing w:after="0" w:line="240" w:lineRule="auto"/>
        <w:ind w:firstLine="709"/>
        <w:jc w:val="both"/>
        <w:rPr>
          <w:rFonts w:ascii="Times New Roman" w:hAnsi="Times New Roman" w:cs="Times New Roman"/>
          <w:sz w:val="24"/>
          <w:szCs w:val="24"/>
        </w:rPr>
      </w:pPr>
      <w:r w:rsidRPr="00B6282C">
        <w:rPr>
          <w:rFonts w:ascii="Times New Roman" w:hAnsi="Times New Roman" w:cs="Times New Roman"/>
          <w:sz w:val="24"/>
          <w:szCs w:val="24"/>
        </w:rPr>
        <w:t xml:space="preserve">Obligātā iepirkuma komponente (turpmāk – </w:t>
      </w:r>
      <w:r w:rsidRPr="00BB69DC">
        <w:rPr>
          <w:rFonts w:ascii="Times New Roman" w:hAnsi="Times New Roman" w:cs="Times New Roman"/>
          <w:sz w:val="24"/>
          <w:szCs w:val="24"/>
        </w:rPr>
        <w:t>OIK</w:t>
      </w:r>
      <w:r w:rsidRPr="00B6282C">
        <w:rPr>
          <w:rFonts w:ascii="Times New Roman" w:hAnsi="Times New Roman" w:cs="Times New Roman"/>
          <w:sz w:val="24"/>
          <w:szCs w:val="24"/>
        </w:rPr>
        <w:t>) tiek iekļauta rēķinā, ko klienti maksā par patērēto elektroenerģiju un sistēmas pakalpojumiem. Pienākums iekasēt OIK ieņēmumus no klientiem ir sadales un pārvades sistēmas operatoriem</w:t>
      </w:r>
      <w:r w:rsidRPr="00B6282C">
        <w:rPr>
          <w:rStyle w:val="FootnoteReference"/>
          <w:rFonts w:ascii="Times New Roman" w:hAnsi="Times New Roman" w:cs="Times New Roman"/>
          <w:sz w:val="24"/>
          <w:szCs w:val="24"/>
        </w:rPr>
        <w:footnoteReference w:id="12"/>
      </w:r>
      <w:r w:rsidRPr="00B6282C">
        <w:rPr>
          <w:rFonts w:ascii="Times New Roman" w:hAnsi="Times New Roman" w:cs="Times New Roman"/>
          <w:sz w:val="24"/>
          <w:szCs w:val="24"/>
        </w:rPr>
        <w:t>, kas tālāk šos ieņēmumus pārskaita akciju sabiedrībai “Enerģijas publiskais tirgotājs”. OIK apmēru, kuru maksā gala patērētāji, ierobežo ar atsevišķiem tiesību aktiem, paredzot, ka visu to apjomu, ko nesedz gala lietotāju maksājumi, sedz valsts budžeta līdzfinansējums.</w:t>
      </w:r>
    </w:p>
    <w:p w14:paraId="123B8974" w14:textId="77777777" w:rsidR="005962CD" w:rsidRPr="00B6282C" w:rsidRDefault="005962CD" w:rsidP="005962CD">
      <w:pPr>
        <w:spacing w:after="0" w:line="240" w:lineRule="auto"/>
        <w:ind w:firstLine="567"/>
        <w:jc w:val="both"/>
        <w:rPr>
          <w:rFonts w:ascii="Times New Roman" w:hAnsi="Times New Roman"/>
          <w:sz w:val="24"/>
          <w:szCs w:val="24"/>
        </w:rPr>
      </w:pPr>
      <w:r w:rsidRPr="00B6282C">
        <w:rPr>
          <w:rFonts w:ascii="Times New Roman" w:hAnsi="Times New Roman"/>
          <w:sz w:val="24"/>
          <w:szCs w:val="24"/>
        </w:rPr>
        <w:t>EPT</w:t>
      </w:r>
      <w:r>
        <w:rPr>
          <w:rFonts w:ascii="Times New Roman" w:hAnsi="Times New Roman"/>
          <w:sz w:val="24"/>
          <w:szCs w:val="24"/>
        </w:rPr>
        <w:t xml:space="preserve"> (AS “Latvenergo” meitas sabiedrība)</w:t>
      </w:r>
      <w:r w:rsidRPr="00B6282C">
        <w:rPr>
          <w:rFonts w:ascii="Times New Roman" w:hAnsi="Times New Roman"/>
          <w:sz w:val="24"/>
          <w:szCs w:val="24"/>
        </w:rPr>
        <w:t xml:space="preserve">, pildot </w:t>
      </w:r>
      <w:r>
        <w:rPr>
          <w:rFonts w:ascii="Times New Roman" w:hAnsi="Times New Roman"/>
          <w:sz w:val="24"/>
          <w:szCs w:val="24"/>
        </w:rPr>
        <w:t xml:space="preserve">obligātā iepirkuma (turpmāk – </w:t>
      </w:r>
      <w:r w:rsidRPr="00BB69DC">
        <w:rPr>
          <w:rFonts w:ascii="Times New Roman" w:hAnsi="Times New Roman"/>
          <w:sz w:val="24"/>
          <w:szCs w:val="24"/>
        </w:rPr>
        <w:t>OI</w:t>
      </w:r>
      <w:r>
        <w:rPr>
          <w:rFonts w:ascii="Times New Roman" w:hAnsi="Times New Roman"/>
          <w:sz w:val="24"/>
          <w:szCs w:val="24"/>
        </w:rPr>
        <w:t>)</w:t>
      </w:r>
      <w:r w:rsidRPr="00B6282C">
        <w:rPr>
          <w:rFonts w:ascii="Times New Roman" w:hAnsi="Times New Roman"/>
          <w:sz w:val="24"/>
          <w:szCs w:val="24"/>
        </w:rPr>
        <w:t xml:space="preserve"> administrēšanas funkcijas, darbojas kā aģents, jo tai nav kontroles par OIK daļas iekļaušanu klientiem izrakstītos rēķinos, EPT nav tiesību pašai tieši vai netieši noteikt cenas, un EPT neuzņemas kredītrisku, kas rodas no pircēju debitoru parādiem. Atbilstoši Centrālās statistikas pārvaldes (turpmāk – CSP) izveidotajam un uzturētajam institucionālo vienību klasifikācijas sarakstam EPT ir klasificēts vispārējās valdības sektorā, turklāt tā administrētās OI plūsmas tiek attiecinātas uz vispārējās valdības fiskālajiem rādītājiem.</w:t>
      </w:r>
    </w:p>
    <w:p w14:paraId="1114D932" w14:textId="77777777" w:rsidR="005962CD" w:rsidRPr="00B6282C" w:rsidRDefault="005962CD" w:rsidP="005962CD">
      <w:pPr>
        <w:spacing w:after="0" w:line="240" w:lineRule="auto"/>
        <w:ind w:firstLine="567"/>
        <w:jc w:val="both"/>
        <w:rPr>
          <w:rFonts w:ascii="Times New Roman" w:hAnsi="Times New Roman"/>
          <w:sz w:val="24"/>
          <w:szCs w:val="24"/>
        </w:rPr>
      </w:pPr>
      <w:r w:rsidRPr="00B6282C">
        <w:rPr>
          <w:rFonts w:ascii="Times New Roman" w:hAnsi="Times New Roman"/>
          <w:sz w:val="24"/>
          <w:szCs w:val="24"/>
        </w:rPr>
        <w:t xml:space="preserve">OI ieņēmumus un izmaksas var ietekmēt </w:t>
      </w:r>
      <w:r>
        <w:rPr>
          <w:rFonts w:ascii="Times New Roman" w:hAnsi="Times New Roman"/>
          <w:sz w:val="24"/>
          <w:szCs w:val="24"/>
        </w:rPr>
        <w:t xml:space="preserve">gan elektroenerģijas cena </w:t>
      </w:r>
      <w:r w:rsidRPr="00B6282C">
        <w:rPr>
          <w:rFonts w:ascii="Times New Roman" w:hAnsi="Times New Roman"/>
          <w:i/>
          <w:sz w:val="24"/>
          <w:szCs w:val="24"/>
        </w:rPr>
        <w:t>Nordpool</w:t>
      </w:r>
      <w:r>
        <w:rPr>
          <w:rFonts w:ascii="Times New Roman" w:hAnsi="Times New Roman"/>
          <w:sz w:val="24"/>
          <w:szCs w:val="24"/>
        </w:rPr>
        <w:t xml:space="preserve"> biržā, elektroenerģijas gala patēriņa izmaiņas, gan </w:t>
      </w:r>
      <w:r w:rsidRPr="00B6282C">
        <w:rPr>
          <w:rFonts w:ascii="Times New Roman" w:hAnsi="Times New Roman"/>
          <w:sz w:val="24"/>
          <w:szCs w:val="24"/>
        </w:rPr>
        <w:t>arī citi riska faktori, t.sk., bet ne tikai atbalsta energoietilpīgiem apstrādes rūpniecības uzņēmumiem pieaugums, administratīva tālāka OIK līmeņa pazemināšana, OI atļauju turpmāka anulēšana vai atjaunošana pārsūdzības tiesā rezultātā u.c.</w:t>
      </w:r>
    </w:p>
    <w:p w14:paraId="67DD1386" w14:textId="77777777" w:rsidR="005962CD" w:rsidRPr="00B6282C" w:rsidRDefault="005962CD" w:rsidP="005962CD">
      <w:pPr>
        <w:spacing w:after="0" w:line="240" w:lineRule="auto"/>
        <w:ind w:firstLine="567"/>
        <w:jc w:val="both"/>
        <w:rPr>
          <w:rFonts w:ascii="Times New Roman" w:hAnsi="Times New Roman"/>
          <w:sz w:val="24"/>
          <w:szCs w:val="24"/>
        </w:rPr>
      </w:pPr>
      <w:r w:rsidRPr="00B6282C">
        <w:rPr>
          <w:rFonts w:ascii="Times New Roman" w:hAnsi="Times New Roman"/>
          <w:sz w:val="24"/>
          <w:szCs w:val="24"/>
        </w:rPr>
        <w:lastRenderedPageBreak/>
        <w:t xml:space="preserve">Atbilstoši pašreizējam juridiskajam regulējumam risku nav iespējams ierobežot citādi kā veicot stingrāku atbalsta saņēmēju uzraudzību un cenšoties veikt pēc iespējas ticamāku prognozēšanu, jo finanšu instrumentu izmantošanas izmaksas vai ieguvumus nevar iekļaut OIK aprēķinā. Tomēr pēc ekonomiskās būtības, atbilstoši paredzot to OIK metodikā, šo risku būtu iespējams ierobežot ar tirgū pieejamiem elektroenerģijas fiksētās cenas instrumentiem. Šobrīd OI ietvaros iepirkto elektroenerģiju EPT pārdod elektroenerģijas biržā par </w:t>
      </w:r>
      <w:r w:rsidRPr="00B6282C">
        <w:rPr>
          <w:rFonts w:ascii="Times New Roman" w:hAnsi="Times New Roman"/>
          <w:i/>
          <w:sz w:val="24"/>
          <w:szCs w:val="24"/>
        </w:rPr>
        <w:t>Nord Pool Spot</w:t>
      </w:r>
      <w:r w:rsidRPr="00B6282C">
        <w:rPr>
          <w:rFonts w:ascii="Times New Roman" w:hAnsi="Times New Roman"/>
          <w:sz w:val="24"/>
          <w:szCs w:val="24"/>
        </w:rPr>
        <w:t xml:space="preserve"> Latvijas tirdzniecības apgabala ik stundas cenu, līdz ar to, </w:t>
      </w:r>
      <w:r w:rsidRPr="00B6282C">
        <w:rPr>
          <w:rFonts w:ascii="Times New Roman" w:hAnsi="Times New Roman"/>
          <w:i/>
          <w:sz w:val="24"/>
          <w:szCs w:val="24"/>
        </w:rPr>
        <w:t>Nord Pool Spot</w:t>
      </w:r>
      <w:r w:rsidRPr="00B6282C">
        <w:rPr>
          <w:rFonts w:ascii="Times New Roman" w:hAnsi="Times New Roman"/>
          <w:sz w:val="24"/>
          <w:szCs w:val="24"/>
        </w:rPr>
        <w:t xml:space="preserve"> cenai pieaugot, neto OIK izdevumi samazinās un otrādi. Lai mazinātu riskus, būtu iespējams veikt fiksēto instrumentu izsoles Baltijas elektroenerģijas tirgū, tādejādi fiksējot OI ietvaros iepirktās elektroenerģijas pārdošanas cenu zināmu laika periodu uz priekšu. Tā kā tirgū ir vērojams šādu instrumentu deficīts, tad būtu sagaidāms tirgus uzcenojums šādiem darījumiem, palielinot EPT ienākumus, un tas arī dotu pozitīvu pienesumu elektroenerģijas tirgus attīstībai Baltijā. No otras puses, ņemot vērā riska ierobežošanas pasākumu dabu, ir jāapzinās, ka fiksējot pārdošanas cenu, tiktu samazinātas iespējas izmantot ieguvumus, ko dotu labvēlīgas svārstības tirgū. Vienlaicīgi jāņem vērā, ka atbilstoši EKS metodoloģijai dotais fiskālā riska ierobežošanas pasākums ļaus potenciāli mazināt obligātā iepirkuma ietekmi uz vispārējās valdības sektora parādu, savukārt attiecībā uz vispārējās valdības budžeta bilanci šādu instrumentu ietekme tiek neitralizēta, kā rezultātā pārdotās elektroenerģijas cenas svārstības joprojām radīs ietekmi uz vispārējās valdības budžeta deficītu.</w:t>
      </w:r>
    </w:p>
    <w:p w14:paraId="2742FD02" w14:textId="77777777" w:rsidR="005962CD" w:rsidRPr="00B6282C" w:rsidRDefault="005962CD" w:rsidP="005962CD">
      <w:pPr>
        <w:spacing w:after="0" w:line="240" w:lineRule="auto"/>
        <w:ind w:firstLine="567"/>
        <w:jc w:val="both"/>
        <w:rPr>
          <w:rFonts w:ascii="Times New Roman" w:hAnsi="Times New Roman"/>
          <w:sz w:val="24"/>
          <w:szCs w:val="24"/>
        </w:rPr>
      </w:pPr>
      <w:r w:rsidRPr="00B6282C">
        <w:rPr>
          <w:rFonts w:ascii="Times New Roman" w:hAnsi="Times New Roman"/>
          <w:sz w:val="24"/>
          <w:szCs w:val="24"/>
        </w:rPr>
        <w:t>Lai veidotu pēc iespējas ticamākas prognozes par pārējo ar OI sistēmu saistīto fiskālo risku ietekmi un šos riskus vadītu, tiek monitorēti un regulāri apzināti riskus ietekmējošie faktori, uzturēta komunikācija ar iesaistītajām pusēm un uzturēti dažādi aprēķinu modeļi, tomēr riska faktoru ietekmes ierobežošana lielā mērā ir ārpus kontroles.</w:t>
      </w:r>
    </w:p>
    <w:p w14:paraId="4FF0FCD5" w14:textId="77777777" w:rsidR="005962CD" w:rsidRPr="00B6282C" w:rsidRDefault="005962CD" w:rsidP="005962CD">
      <w:pPr>
        <w:autoSpaceDE w:val="0"/>
        <w:autoSpaceDN w:val="0"/>
        <w:adjustRightInd w:val="0"/>
        <w:spacing w:after="0" w:line="240" w:lineRule="auto"/>
        <w:jc w:val="right"/>
        <w:rPr>
          <w:rFonts w:ascii="Times New Roman" w:eastAsiaTheme="minorHAnsi" w:hAnsi="Times New Roman" w:cs="Times New Roman"/>
          <w:b/>
          <w:color w:val="000000"/>
          <w:sz w:val="24"/>
          <w:szCs w:val="20"/>
        </w:rPr>
      </w:pPr>
    </w:p>
    <w:p w14:paraId="6B205FAD" w14:textId="6B72664F" w:rsidR="005962CD" w:rsidRPr="00B6282C" w:rsidRDefault="005962CD" w:rsidP="005962CD">
      <w:pPr>
        <w:autoSpaceDE w:val="0"/>
        <w:autoSpaceDN w:val="0"/>
        <w:adjustRightInd w:val="0"/>
        <w:spacing w:line="240" w:lineRule="auto"/>
        <w:jc w:val="right"/>
        <w:rPr>
          <w:rFonts w:ascii="Times New Roman" w:hAnsi="Times New Roman" w:cs="Times New Roman"/>
          <w:color w:val="000000"/>
          <w:sz w:val="24"/>
          <w:szCs w:val="24"/>
        </w:rPr>
      </w:pPr>
      <w:r w:rsidRPr="00FB6BFB">
        <w:rPr>
          <w:rFonts w:ascii="Times New Roman" w:eastAsiaTheme="minorHAnsi" w:hAnsi="Times New Roman" w:cs="Times New Roman"/>
          <w:b/>
          <w:color w:val="000000"/>
          <w:sz w:val="24"/>
          <w:szCs w:val="20"/>
        </w:rPr>
        <w:t>Tabula Nr.1</w:t>
      </w:r>
      <w:r w:rsidR="00CD5476">
        <w:rPr>
          <w:rFonts w:ascii="Times New Roman" w:eastAsiaTheme="minorHAnsi" w:hAnsi="Times New Roman" w:cs="Times New Roman"/>
          <w:b/>
          <w:color w:val="000000"/>
          <w:sz w:val="24"/>
          <w:szCs w:val="20"/>
        </w:rPr>
        <w:t>1</w:t>
      </w:r>
      <w:r w:rsidRPr="00FB6BFB">
        <w:rPr>
          <w:rFonts w:ascii="Times New Roman" w:eastAsiaTheme="minorHAnsi" w:hAnsi="Times New Roman" w:cs="Times New Roman"/>
          <w:b/>
          <w:color w:val="000000"/>
          <w:sz w:val="24"/>
          <w:szCs w:val="20"/>
        </w:rPr>
        <w:t xml:space="preserve"> EPT</w:t>
      </w:r>
      <w:r>
        <w:rPr>
          <w:rFonts w:ascii="Times New Roman" w:eastAsiaTheme="minorHAnsi" w:hAnsi="Times New Roman" w:cs="Times New Roman"/>
          <w:b/>
          <w:color w:val="000000"/>
          <w:sz w:val="24"/>
          <w:szCs w:val="20"/>
        </w:rPr>
        <w:t xml:space="preserve"> ietekme uz vispārējās valdības budžeta bilanci</w:t>
      </w:r>
      <w:r w:rsidRPr="005B7BD2">
        <w:rPr>
          <w:rFonts w:ascii="Times New Roman" w:eastAsiaTheme="minorHAnsi" w:hAnsi="Times New Roman" w:cs="Times New Roman"/>
          <w:b/>
          <w:color w:val="000000"/>
          <w:sz w:val="24"/>
          <w:szCs w:val="20"/>
        </w:rPr>
        <w:t xml:space="preserve"> (milj. </w:t>
      </w:r>
      <w:r w:rsidRPr="00FB6BFB">
        <w:rPr>
          <w:rFonts w:ascii="Times New Roman" w:eastAsiaTheme="minorHAnsi" w:hAnsi="Times New Roman" w:cs="Times New Roman"/>
          <w:b/>
          <w:i/>
          <w:color w:val="000000"/>
          <w:sz w:val="24"/>
          <w:szCs w:val="20"/>
        </w:rPr>
        <w:t>euro</w:t>
      </w:r>
      <w:r w:rsidRPr="00FB6BFB">
        <w:rPr>
          <w:rFonts w:ascii="Times New Roman" w:eastAsiaTheme="minorHAnsi" w:hAnsi="Times New Roman" w:cs="Times New Roman"/>
          <w:b/>
          <w:color w:val="000000"/>
          <w:sz w:val="24"/>
          <w:szCs w:val="20"/>
        </w:rPr>
        <w:t xml:space="preserve">) </w:t>
      </w:r>
    </w:p>
    <w:tbl>
      <w:tblPr>
        <w:tblStyle w:val="GridTable6Colorful-Accent11"/>
        <w:tblW w:w="9628" w:type="dxa"/>
        <w:jc w:val="center"/>
        <w:tblLayout w:type="fixed"/>
        <w:tblLook w:val="04A0" w:firstRow="1" w:lastRow="0" w:firstColumn="1" w:lastColumn="0" w:noHBand="0" w:noVBand="1"/>
      </w:tblPr>
      <w:tblGrid>
        <w:gridCol w:w="2972"/>
        <w:gridCol w:w="832"/>
        <w:gridCol w:w="832"/>
        <w:gridCol w:w="832"/>
        <w:gridCol w:w="832"/>
        <w:gridCol w:w="832"/>
        <w:gridCol w:w="832"/>
        <w:gridCol w:w="832"/>
        <w:gridCol w:w="832"/>
      </w:tblGrid>
      <w:tr w:rsidR="005962CD" w:rsidRPr="00FB6BFB" w14:paraId="614FC2C9" w14:textId="77777777" w:rsidTr="0006116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EEAF6" w:themeFill="accent1" w:themeFillTint="33"/>
            <w:vAlign w:val="center"/>
          </w:tcPr>
          <w:p w14:paraId="54036A0E" w14:textId="77777777" w:rsidR="005962CD" w:rsidRPr="00D75116" w:rsidRDefault="005962CD" w:rsidP="0006116B">
            <w:pPr>
              <w:jc w:val="right"/>
              <w:rPr>
                <w:b w:val="0"/>
                <w:color w:val="000000" w:themeColor="text1"/>
                <w:sz w:val="22"/>
              </w:rPr>
            </w:pPr>
          </w:p>
        </w:tc>
        <w:tc>
          <w:tcPr>
            <w:tcW w:w="832" w:type="dxa"/>
            <w:shd w:val="clear" w:color="auto" w:fill="DEEAF6" w:themeFill="accent1" w:themeFillTint="33"/>
            <w:vAlign w:val="center"/>
          </w:tcPr>
          <w:p w14:paraId="22087ED1" w14:textId="77777777" w:rsidR="005962CD" w:rsidRPr="00D75116"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D75116">
              <w:rPr>
                <w:rFonts w:eastAsia="Times New Roman" w:cs="Times New Roman"/>
                <w:color w:val="000000" w:themeColor="text1"/>
                <w:lang w:eastAsia="lv-LV"/>
              </w:rPr>
              <w:t>2013</w:t>
            </w:r>
          </w:p>
        </w:tc>
        <w:tc>
          <w:tcPr>
            <w:tcW w:w="832" w:type="dxa"/>
            <w:shd w:val="clear" w:color="auto" w:fill="DEEAF6" w:themeFill="accent1" w:themeFillTint="33"/>
            <w:vAlign w:val="center"/>
          </w:tcPr>
          <w:p w14:paraId="3AF5E8B3" w14:textId="77777777" w:rsidR="005962CD" w:rsidRPr="00D75116"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D75116">
              <w:rPr>
                <w:rFonts w:eastAsia="Times New Roman" w:cs="Times New Roman"/>
                <w:color w:val="000000" w:themeColor="text1"/>
                <w:lang w:eastAsia="lv-LV"/>
              </w:rPr>
              <w:t>2014</w:t>
            </w:r>
          </w:p>
        </w:tc>
        <w:tc>
          <w:tcPr>
            <w:tcW w:w="832" w:type="dxa"/>
            <w:shd w:val="clear" w:color="auto" w:fill="DEEAF6" w:themeFill="accent1" w:themeFillTint="33"/>
            <w:vAlign w:val="center"/>
          </w:tcPr>
          <w:p w14:paraId="06ECED87" w14:textId="77777777" w:rsidR="005962CD" w:rsidRPr="00D75116"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D75116">
              <w:rPr>
                <w:rFonts w:eastAsia="Times New Roman" w:cs="Times New Roman"/>
                <w:color w:val="000000" w:themeColor="text1"/>
                <w:lang w:eastAsia="lv-LV"/>
              </w:rPr>
              <w:t>2015</w:t>
            </w:r>
          </w:p>
        </w:tc>
        <w:tc>
          <w:tcPr>
            <w:tcW w:w="832" w:type="dxa"/>
            <w:shd w:val="clear" w:color="auto" w:fill="DEEAF6" w:themeFill="accent1" w:themeFillTint="33"/>
            <w:vAlign w:val="center"/>
          </w:tcPr>
          <w:p w14:paraId="4A6106FE" w14:textId="77777777" w:rsidR="005962CD" w:rsidRPr="00D75116"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D75116">
              <w:rPr>
                <w:rFonts w:eastAsia="Times New Roman" w:cs="Times New Roman"/>
                <w:color w:val="000000" w:themeColor="text1"/>
                <w:lang w:eastAsia="lv-LV"/>
              </w:rPr>
              <w:t>2016</w:t>
            </w:r>
          </w:p>
        </w:tc>
        <w:tc>
          <w:tcPr>
            <w:tcW w:w="832" w:type="dxa"/>
            <w:shd w:val="clear" w:color="auto" w:fill="DEEAF6" w:themeFill="accent1" w:themeFillTint="33"/>
            <w:vAlign w:val="center"/>
          </w:tcPr>
          <w:p w14:paraId="07562BE6" w14:textId="77777777" w:rsidR="005962CD" w:rsidRPr="00D75116"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lang w:eastAsia="lv-LV"/>
              </w:rPr>
            </w:pPr>
            <w:r w:rsidRPr="00D75116">
              <w:rPr>
                <w:rFonts w:eastAsia="Times New Roman" w:cs="Times New Roman"/>
                <w:color w:val="000000" w:themeColor="text1"/>
                <w:lang w:eastAsia="lv-LV"/>
              </w:rPr>
              <w:t>2017</w:t>
            </w:r>
          </w:p>
        </w:tc>
        <w:tc>
          <w:tcPr>
            <w:tcW w:w="832" w:type="dxa"/>
            <w:shd w:val="clear" w:color="auto" w:fill="DEEAF6" w:themeFill="accent1" w:themeFillTint="33"/>
            <w:vAlign w:val="center"/>
          </w:tcPr>
          <w:p w14:paraId="0FDEC011" w14:textId="77777777" w:rsidR="005962CD" w:rsidRPr="00D75116"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eastAsia="lv-LV"/>
              </w:rPr>
            </w:pPr>
            <w:r w:rsidRPr="00D75116">
              <w:rPr>
                <w:rFonts w:eastAsia="Times New Roman" w:cs="Times New Roman"/>
                <w:color w:val="000000" w:themeColor="text1"/>
                <w:lang w:eastAsia="lv-LV"/>
              </w:rPr>
              <w:t>2018</w:t>
            </w:r>
          </w:p>
        </w:tc>
        <w:tc>
          <w:tcPr>
            <w:tcW w:w="832" w:type="dxa"/>
            <w:shd w:val="clear" w:color="auto" w:fill="DEEAF6" w:themeFill="accent1" w:themeFillTint="33"/>
          </w:tcPr>
          <w:p w14:paraId="6F7B17C7" w14:textId="77777777" w:rsidR="005962CD" w:rsidRPr="00566F4E"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eastAsia="lv-LV"/>
              </w:rPr>
            </w:pPr>
            <w:r>
              <w:rPr>
                <w:rFonts w:eastAsia="Times New Roman" w:cs="Times New Roman"/>
                <w:color w:val="000000" w:themeColor="text1"/>
                <w:lang w:eastAsia="lv-LV"/>
              </w:rPr>
              <w:t>2019</w:t>
            </w:r>
          </w:p>
        </w:tc>
        <w:tc>
          <w:tcPr>
            <w:tcW w:w="832" w:type="dxa"/>
            <w:shd w:val="clear" w:color="auto" w:fill="DEEAF6" w:themeFill="accent1" w:themeFillTint="33"/>
          </w:tcPr>
          <w:p w14:paraId="604C11B2" w14:textId="77777777" w:rsidR="005962CD" w:rsidRDefault="005962CD" w:rsidP="0006116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eastAsia="lv-LV"/>
              </w:rPr>
            </w:pPr>
            <w:r>
              <w:rPr>
                <w:rFonts w:eastAsia="Times New Roman" w:cs="Times New Roman"/>
                <w:color w:val="000000" w:themeColor="text1"/>
                <w:lang w:eastAsia="lv-LV"/>
              </w:rPr>
              <w:t>2020*</w:t>
            </w:r>
          </w:p>
        </w:tc>
      </w:tr>
      <w:tr w:rsidR="005962CD" w:rsidRPr="00FB6BFB" w14:paraId="79869B33" w14:textId="77777777" w:rsidTr="0006116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72" w:type="dxa"/>
          </w:tcPr>
          <w:p w14:paraId="4BF09327" w14:textId="77777777" w:rsidR="005962CD" w:rsidRPr="00D75116" w:rsidRDefault="005962CD" w:rsidP="0006116B">
            <w:pPr>
              <w:jc w:val="right"/>
              <w:rPr>
                <w:rFonts w:eastAsia="Times New Roman" w:cs="Times New Roman"/>
                <w:b w:val="0"/>
                <w:bCs w:val="0"/>
                <w:color w:val="000000" w:themeColor="text1"/>
                <w:sz w:val="22"/>
                <w:lang w:eastAsia="lv-LV"/>
              </w:rPr>
            </w:pPr>
            <w:r w:rsidRPr="00D75116">
              <w:rPr>
                <w:rFonts w:eastAsia="Times New Roman" w:cs="Times New Roman"/>
                <w:color w:val="000000" w:themeColor="text1"/>
                <w:lang w:eastAsia="lv-LV"/>
              </w:rPr>
              <w:t>Vispārējās valdības sektora klasificēto komercsabiedrību bilance (izpilde)</w:t>
            </w:r>
          </w:p>
        </w:tc>
        <w:tc>
          <w:tcPr>
            <w:tcW w:w="832" w:type="dxa"/>
            <w:vAlign w:val="center"/>
          </w:tcPr>
          <w:p w14:paraId="674A1BDA" w14:textId="77777777" w:rsidR="005962CD" w:rsidRPr="00D75116" w:rsidRDefault="005962CD" w:rsidP="0006116B">
            <w:pPr>
              <w:jc w:val="cente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D75116">
              <w:rPr>
                <w:rFonts w:eastAsia="Times New Roman" w:cs="Times New Roman"/>
                <w:color w:val="000000" w:themeColor="text1"/>
                <w:lang w:eastAsia="lv-LV"/>
              </w:rPr>
              <w:t>-</w:t>
            </w:r>
            <w:r>
              <w:rPr>
                <w:rFonts w:eastAsia="Times New Roman" w:cs="Times New Roman"/>
                <w:color w:val="000000" w:themeColor="text1"/>
                <w:lang w:eastAsia="lv-LV"/>
              </w:rPr>
              <w:t>91,9</w:t>
            </w:r>
          </w:p>
        </w:tc>
        <w:tc>
          <w:tcPr>
            <w:tcW w:w="832" w:type="dxa"/>
            <w:vAlign w:val="center"/>
          </w:tcPr>
          <w:p w14:paraId="211B6E7C" w14:textId="77777777" w:rsidR="005962CD" w:rsidRPr="00D75116" w:rsidRDefault="005962CD" w:rsidP="0006116B">
            <w:pPr>
              <w:ind w:right="-148" w:hanging="92"/>
              <w:jc w:val="cente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D75116">
              <w:rPr>
                <w:rFonts w:eastAsia="Times New Roman" w:cs="Times New Roman"/>
                <w:color w:val="000000" w:themeColor="text1"/>
                <w:lang w:eastAsia="lv-LV"/>
              </w:rPr>
              <w:t>-</w:t>
            </w:r>
            <w:r>
              <w:rPr>
                <w:rFonts w:eastAsia="Times New Roman" w:cs="Times New Roman"/>
                <w:color w:val="000000" w:themeColor="text1"/>
                <w:lang w:eastAsia="lv-LV"/>
              </w:rPr>
              <w:t>113,8</w:t>
            </w:r>
          </w:p>
        </w:tc>
        <w:tc>
          <w:tcPr>
            <w:tcW w:w="832" w:type="dxa"/>
            <w:vAlign w:val="center"/>
          </w:tcPr>
          <w:p w14:paraId="346A614A" w14:textId="77777777" w:rsidR="005962CD" w:rsidRPr="00D75116" w:rsidRDefault="005962CD" w:rsidP="0006116B">
            <w:pPr>
              <w:jc w:val="cente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D75116">
              <w:rPr>
                <w:rFonts w:eastAsia="Times New Roman" w:cs="Times New Roman"/>
                <w:color w:val="000000" w:themeColor="text1"/>
                <w:lang w:eastAsia="lv-LV"/>
              </w:rPr>
              <w:t>-</w:t>
            </w:r>
            <w:r>
              <w:rPr>
                <w:rFonts w:eastAsia="Times New Roman" w:cs="Times New Roman"/>
                <w:color w:val="000000" w:themeColor="text1"/>
                <w:lang w:eastAsia="lv-LV"/>
              </w:rPr>
              <w:t>56,8</w:t>
            </w:r>
          </w:p>
        </w:tc>
        <w:tc>
          <w:tcPr>
            <w:tcW w:w="832" w:type="dxa"/>
            <w:vAlign w:val="center"/>
          </w:tcPr>
          <w:p w14:paraId="70233057" w14:textId="77777777" w:rsidR="005962CD" w:rsidRPr="00D75116" w:rsidRDefault="005962CD" w:rsidP="0006116B">
            <w:pPr>
              <w:jc w:val="center"/>
              <w:cnfStyle w:val="000000100000" w:firstRow="0" w:lastRow="0" w:firstColumn="0" w:lastColumn="0" w:oddVBand="0" w:evenVBand="0" w:oddHBand="1" w:evenHBand="0" w:firstRowFirstColumn="0" w:firstRowLastColumn="0" w:lastRowFirstColumn="0" w:lastRowLastColumn="0"/>
              <w:rPr>
                <w:color w:val="000000" w:themeColor="text1"/>
                <w:sz w:val="22"/>
              </w:rPr>
            </w:pPr>
            <w:r>
              <w:rPr>
                <w:rFonts w:eastAsia="Times New Roman" w:cs="Times New Roman"/>
                <w:color w:val="000000" w:themeColor="text1"/>
                <w:lang w:eastAsia="lv-LV"/>
              </w:rPr>
              <w:t>18,2</w:t>
            </w:r>
          </w:p>
        </w:tc>
        <w:tc>
          <w:tcPr>
            <w:tcW w:w="832" w:type="dxa"/>
            <w:vAlign w:val="center"/>
          </w:tcPr>
          <w:p w14:paraId="11027F5B" w14:textId="77777777" w:rsidR="005962CD" w:rsidRPr="00D75116" w:rsidRDefault="005962CD" w:rsidP="0006116B">
            <w:pPr>
              <w:jc w:val="cente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A3463">
              <w:rPr>
                <w:rFonts w:eastAsia="Times New Roman" w:cs="Times New Roman"/>
                <w:color w:val="000000" w:themeColor="text1"/>
                <w:lang w:eastAsia="lv-LV"/>
              </w:rPr>
              <w:t>-</w:t>
            </w:r>
            <w:r>
              <w:rPr>
                <w:rFonts w:eastAsia="Times New Roman" w:cs="Times New Roman"/>
                <w:color w:val="000000" w:themeColor="text1"/>
                <w:sz w:val="22"/>
                <w:lang w:eastAsia="lv-LV"/>
              </w:rPr>
              <w:t>203,1</w:t>
            </w:r>
          </w:p>
        </w:tc>
        <w:tc>
          <w:tcPr>
            <w:tcW w:w="832" w:type="dxa"/>
            <w:vAlign w:val="center"/>
          </w:tcPr>
          <w:p w14:paraId="27DC8261" w14:textId="77777777" w:rsidR="005962CD" w:rsidRPr="0006116B" w:rsidRDefault="005962CD" w:rsidP="0006116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eastAsia="lv-LV"/>
              </w:rPr>
            </w:pPr>
            <w:r w:rsidRPr="00FA3463">
              <w:rPr>
                <w:rFonts w:eastAsia="Times New Roman" w:cs="Times New Roman"/>
                <w:color w:val="000000" w:themeColor="text1"/>
                <w:lang w:eastAsia="lv-LV"/>
              </w:rPr>
              <w:t>-</w:t>
            </w:r>
            <w:r w:rsidRPr="00171315">
              <w:rPr>
                <w:rFonts w:eastAsia="Times New Roman" w:cs="Times New Roman"/>
                <w:color w:val="000000" w:themeColor="text1"/>
                <w:lang w:eastAsia="lv-LV"/>
              </w:rPr>
              <w:t>56,6</w:t>
            </w:r>
          </w:p>
        </w:tc>
        <w:tc>
          <w:tcPr>
            <w:tcW w:w="832" w:type="dxa"/>
            <w:vAlign w:val="center"/>
          </w:tcPr>
          <w:p w14:paraId="51827F2E" w14:textId="77777777" w:rsidR="005962CD" w:rsidRPr="00566F4E" w:rsidRDefault="005962CD" w:rsidP="0006116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eastAsia="lv-LV"/>
              </w:rPr>
            </w:pPr>
            <w:r w:rsidRPr="00171315">
              <w:rPr>
                <w:rFonts w:eastAsia="Times New Roman" w:cs="Times New Roman"/>
                <w:color w:val="000000" w:themeColor="text1"/>
                <w:lang w:eastAsia="lv-LV"/>
              </w:rPr>
              <w:t>3,3</w:t>
            </w:r>
          </w:p>
        </w:tc>
        <w:tc>
          <w:tcPr>
            <w:tcW w:w="832" w:type="dxa"/>
            <w:vAlign w:val="center"/>
          </w:tcPr>
          <w:p w14:paraId="1655ED8B" w14:textId="77777777" w:rsidR="005962CD" w:rsidRDefault="005962CD" w:rsidP="0006116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eastAsia="lv-LV"/>
              </w:rPr>
            </w:pPr>
            <w:r w:rsidRPr="00171315">
              <w:rPr>
                <w:rFonts w:eastAsia="Times New Roman" w:cs="Times New Roman"/>
                <w:color w:val="000000" w:themeColor="text1"/>
                <w:lang w:eastAsia="lv-LV"/>
              </w:rPr>
              <w:t>-6,1</w:t>
            </w:r>
          </w:p>
        </w:tc>
      </w:tr>
      <w:tr w:rsidR="005962CD" w:rsidRPr="00FB6BFB" w14:paraId="606DAC29" w14:textId="77777777" w:rsidTr="0006116B">
        <w:trPr>
          <w:trHeight w:val="315"/>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BFCEC16" w14:textId="77777777" w:rsidR="005962CD" w:rsidRPr="00D75116" w:rsidRDefault="005962CD" w:rsidP="0006116B">
            <w:pPr>
              <w:jc w:val="right"/>
              <w:rPr>
                <w:rFonts w:eastAsia="Times New Roman" w:cs="Times New Roman"/>
                <w:color w:val="000000" w:themeColor="text1"/>
                <w:sz w:val="22"/>
                <w:lang w:eastAsia="lv-LV"/>
              </w:rPr>
            </w:pPr>
            <w:r w:rsidRPr="00D75116">
              <w:rPr>
                <w:rFonts w:eastAsia="Times New Roman" w:cs="Times New Roman"/>
                <w:color w:val="000000" w:themeColor="text1"/>
                <w:lang w:eastAsia="lv-LV"/>
              </w:rPr>
              <w:t>t.sk. EPT bilance</w:t>
            </w:r>
          </w:p>
        </w:tc>
        <w:tc>
          <w:tcPr>
            <w:tcW w:w="832" w:type="dxa"/>
            <w:vAlign w:val="center"/>
          </w:tcPr>
          <w:p w14:paraId="70F9EBDE" w14:textId="77777777" w:rsidR="005962CD" w:rsidRPr="00D75116"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sz w:val="22"/>
              </w:rPr>
            </w:pPr>
            <w:r>
              <w:rPr>
                <w:color w:val="000000" w:themeColor="text1"/>
                <w:sz w:val="22"/>
              </w:rPr>
              <w:t>-</w:t>
            </w:r>
          </w:p>
        </w:tc>
        <w:tc>
          <w:tcPr>
            <w:tcW w:w="832" w:type="dxa"/>
            <w:vAlign w:val="center"/>
          </w:tcPr>
          <w:p w14:paraId="3EDAA8B9" w14:textId="77777777" w:rsidR="005962CD" w:rsidRPr="00D75116"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75116">
              <w:rPr>
                <w:color w:val="000000" w:themeColor="text1"/>
              </w:rPr>
              <w:t>-63,3</w:t>
            </w:r>
          </w:p>
        </w:tc>
        <w:tc>
          <w:tcPr>
            <w:tcW w:w="832" w:type="dxa"/>
            <w:vAlign w:val="center"/>
          </w:tcPr>
          <w:p w14:paraId="65878B76" w14:textId="77777777" w:rsidR="005962CD" w:rsidRPr="00D75116"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75116">
              <w:rPr>
                <w:color w:val="000000" w:themeColor="text1"/>
              </w:rPr>
              <w:t>-32,8</w:t>
            </w:r>
          </w:p>
        </w:tc>
        <w:tc>
          <w:tcPr>
            <w:tcW w:w="832" w:type="dxa"/>
            <w:vAlign w:val="center"/>
          </w:tcPr>
          <w:p w14:paraId="1BFE07EF" w14:textId="77777777" w:rsidR="005962CD" w:rsidRPr="00D75116"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75116">
              <w:rPr>
                <w:color w:val="000000" w:themeColor="text1"/>
              </w:rPr>
              <w:t>-1,1</w:t>
            </w:r>
          </w:p>
        </w:tc>
        <w:tc>
          <w:tcPr>
            <w:tcW w:w="832" w:type="dxa"/>
            <w:vAlign w:val="center"/>
          </w:tcPr>
          <w:p w14:paraId="7B831C09" w14:textId="77777777" w:rsidR="005962CD" w:rsidRPr="0006116B" w:rsidRDefault="005962CD" w:rsidP="0006116B">
            <w:pPr>
              <w:ind w:right="-55" w:hanging="34"/>
              <w:cnfStyle w:val="000000000000" w:firstRow="0" w:lastRow="0" w:firstColumn="0" w:lastColumn="0" w:oddVBand="0" w:evenVBand="0" w:oddHBand="0" w:evenHBand="0" w:firstRowFirstColumn="0" w:firstRowLastColumn="0" w:lastRowFirstColumn="0" w:lastRowLastColumn="0"/>
              <w:rPr>
                <w:color w:val="000000" w:themeColor="text1"/>
              </w:rPr>
            </w:pPr>
            <w:r w:rsidRPr="00FA3463">
              <w:rPr>
                <w:color w:val="000000" w:themeColor="text1"/>
              </w:rPr>
              <w:t>-</w:t>
            </w:r>
            <w:r w:rsidRPr="00171315">
              <w:rPr>
                <w:color w:val="000000" w:themeColor="text1"/>
              </w:rPr>
              <w:t>162,2</w:t>
            </w:r>
          </w:p>
        </w:tc>
        <w:tc>
          <w:tcPr>
            <w:tcW w:w="832" w:type="dxa"/>
            <w:vAlign w:val="center"/>
          </w:tcPr>
          <w:p w14:paraId="6FD778A8" w14:textId="77777777" w:rsidR="005962CD" w:rsidRPr="0006116B"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06116B">
              <w:rPr>
                <w:rFonts w:eastAsiaTheme="minorEastAsia"/>
                <w:color w:val="000000" w:themeColor="text1"/>
              </w:rPr>
              <w:t>+8,9</w:t>
            </w:r>
          </w:p>
        </w:tc>
        <w:tc>
          <w:tcPr>
            <w:tcW w:w="832" w:type="dxa"/>
            <w:vAlign w:val="center"/>
          </w:tcPr>
          <w:p w14:paraId="383CBABF" w14:textId="77777777" w:rsidR="005962CD" w:rsidRPr="0006116B"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06116B">
              <w:rPr>
                <w:rFonts w:eastAsiaTheme="minorEastAsia"/>
                <w:color w:val="000000" w:themeColor="text1"/>
              </w:rPr>
              <w:t>-37,4</w:t>
            </w:r>
          </w:p>
        </w:tc>
        <w:tc>
          <w:tcPr>
            <w:tcW w:w="832" w:type="dxa"/>
            <w:vAlign w:val="center"/>
          </w:tcPr>
          <w:p w14:paraId="0CD4F2A7" w14:textId="77777777" w:rsidR="005962CD" w:rsidRPr="0006116B" w:rsidRDefault="005962CD" w:rsidP="0006116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06116B">
              <w:rPr>
                <w:rFonts w:eastAsiaTheme="minorEastAsia"/>
                <w:color w:val="000000" w:themeColor="text1"/>
              </w:rPr>
              <w:t>-26,3</w:t>
            </w:r>
          </w:p>
        </w:tc>
      </w:tr>
    </w:tbl>
    <w:p w14:paraId="6A728346" w14:textId="77777777" w:rsidR="005962CD" w:rsidRDefault="005962CD" w:rsidP="005962CD">
      <w:pPr>
        <w:spacing w:after="0" w:line="240" w:lineRule="auto"/>
        <w:jc w:val="both"/>
        <w:rPr>
          <w:rFonts w:ascii="Times New Roman" w:hAnsi="Times New Roman" w:cs="Times New Roman"/>
          <w:sz w:val="20"/>
          <w:szCs w:val="20"/>
        </w:rPr>
      </w:pPr>
      <w:r w:rsidRPr="0037264A">
        <w:rPr>
          <w:rFonts w:ascii="Times New Roman" w:hAnsi="Times New Roman" w:cs="Times New Roman"/>
          <w:sz w:val="20"/>
          <w:szCs w:val="20"/>
        </w:rPr>
        <w:t>*Atbilstoši 20</w:t>
      </w:r>
      <w:r>
        <w:rPr>
          <w:rFonts w:ascii="Times New Roman" w:hAnsi="Times New Roman" w:cs="Times New Roman"/>
          <w:sz w:val="20"/>
          <w:szCs w:val="20"/>
        </w:rPr>
        <w:t xml:space="preserve">21.gada aprīļa (operatīvajiem) </w:t>
      </w:r>
      <w:r w:rsidRPr="0037264A">
        <w:rPr>
          <w:rFonts w:ascii="Times New Roman" w:hAnsi="Times New Roman" w:cs="Times New Roman"/>
          <w:sz w:val="20"/>
          <w:szCs w:val="20"/>
        </w:rPr>
        <w:t>notifikācijas datiem.</w:t>
      </w:r>
    </w:p>
    <w:p w14:paraId="4623013A" w14:textId="77777777" w:rsidR="005962CD" w:rsidRPr="00B6282C" w:rsidRDefault="005962CD" w:rsidP="005962CD">
      <w:pPr>
        <w:spacing w:after="0" w:line="240" w:lineRule="auto"/>
        <w:ind w:firstLine="720"/>
        <w:jc w:val="both"/>
        <w:rPr>
          <w:rFonts w:ascii="Times New Roman" w:hAnsi="Times New Roman" w:cs="Times New Roman"/>
          <w:sz w:val="24"/>
          <w:szCs w:val="24"/>
        </w:rPr>
      </w:pPr>
    </w:p>
    <w:p w14:paraId="47F2DE05" w14:textId="77777777" w:rsidR="005962CD" w:rsidRPr="00B6282C" w:rsidRDefault="005962CD" w:rsidP="005962CD">
      <w:pPr>
        <w:spacing w:after="0" w:line="240" w:lineRule="auto"/>
        <w:ind w:firstLine="720"/>
        <w:jc w:val="both"/>
        <w:rPr>
          <w:rFonts w:ascii="Times New Roman" w:eastAsiaTheme="minorHAnsi" w:hAnsi="Times New Roman"/>
          <w:sz w:val="24"/>
        </w:rPr>
      </w:pPr>
      <w:r>
        <w:rPr>
          <w:rFonts w:ascii="Times New Roman" w:eastAsiaTheme="minorHAnsi" w:hAnsi="Times New Roman"/>
          <w:sz w:val="24"/>
        </w:rPr>
        <w:t>Dotais fiskālais</w:t>
      </w:r>
      <w:r w:rsidRPr="00B6282C">
        <w:rPr>
          <w:rFonts w:ascii="Times New Roman" w:eastAsiaTheme="minorHAnsi" w:hAnsi="Times New Roman"/>
          <w:sz w:val="24"/>
        </w:rPr>
        <w:t xml:space="preserve"> risks tiek </w:t>
      </w:r>
      <w:r>
        <w:rPr>
          <w:rFonts w:ascii="Times New Roman" w:eastAsiaTheme="minorHAnsi" w:hAnsi="Times New Roman"/>
          <w:sz w:val="24"/>
        </w:rPr>
        <w:t>klasificēts</w:t>
      </w:r>
      <w:r w:rsidRPr="00B6282C">
        <w:rPr>
          <w:rFonts w:ascii="Times New Roman" w:eastAsiaTheme="minorHAnsi" w:hAnsi="Times New Roman"/>
          <w:sz w:val="24"/>
        </w:rPr>
        <w:t xml:space="preserve"> kā nekvantificējams risks, jo tikai no 2018.gada EPT ir iekļauts vispārējās valdības sektorā un tikai no šī brīža publisko finanšu aspektā nozīmi iegūst EPT prognozētās un faktiskās bilances atšķirības. </w:t>
      </w:r>
      <w:r>
        <w:rPr>
          <w:rFonts w:ascii="Times New Roman" w:eastAsiaTheme="minorHAnsi" w:hAnsi="Times New Roman"/>
          <w:sz w:val="24"/>
        </w:rPr>
        <w:t xml:space="preserve">Pašreizējā laika rinda ir pārāk īsa, lai varētu izdarīt pamatotus secinājums par minētā riska iestāšanos turpmākajos gados. Tādējādi spēkā paliek iepriekšējās deklarācijās izvirzītā hipotēze, ka </w:t>
      </w:r>
      <w:r w:rsidRPr="00B6282C">
        <w:rPr>
          <w:rFonts w:ascii="Times New Roman" w:eastAsiaTheme="minorHAnsi" w:hAnsi="Times New Roman"/>
          <w:sz w:val="24"/>
        </w:rPr>
        <w:t xml:space="preserve">fiskālajam riskam būtu jābūt simetriskam, jo </w:t>
      </w:r>
      <w:r>
        <w:rPr>
          <w:rFonts w:ascii="Times New Roman" w:eastAsiaTheme="minorHAnsi" w:hAnsi="Times New Roman"/>
          <w:sz w:val="24"/>
        </w:rPr>
        <w:t xml:space="preserve">ilgtermiņā </w:t>
      </w:r>
      <w:r w:rsidRPr="00B6282C">
        <w:rPr>
          <w:rFonts w:ascii="Times New Roman" w:eastAsiaTheme="minorHAnsi" w:hAnsi="Times New Roman"/>
          <w:sz w:val="24"/>
        </w:rPr>
        <w:t>cenu un elektroenerģijas lietotāju skaita prognozēm būtu jāģenerē simetrisk</w:t>
      </w:r>
      <w:r>
        <w:rPr>
          <w:rFonts w:ascii="Times New Roman" w:eastAsiaTheme="minorHAnsi" w:hAnsi="Times New Roman"/>
          <w:sz w:val="24"/>
        </w:rPr>
        <w:t>a</w:t>
      </w:r>
      <w:r w:rsidRPr="00B6282C">
        <w:rPr>
          <w:rFonts w:ascii="Times New Roman" w:eastAsiaTheme="minorHAnsi" w:hAnsi="Times New Roman"/>
          <w:sz w:val="24"/>
        </w:rPr>
        <w:t xml:space="preserve">s </w:t>
      </w:r>
      <w:r>
        <w:rPr>
          <w:rFonts w:ascii="Times New Roman" w:eastAsiaTheme="minorHAnsi" w:hAnsi="Times New Roman"/>
          <w:sz w:val="24"/>
        </w:rPr>
        <w:t>novirzes</w:t>
      </w:r>
      <w:r w:rsidRPr="00B6282C">
        <w:rPr>
          <w:rFonts w:ascii="Times New Roman" w:eastAsiaTheme="minorHAnsi" w:hAnsi="Times New Roman"/>
          <w:sz w:val="24"/>
        </w:rPr>
        <w:t>.</w:t>
      </w:r>
      <w:r>
        <w:rPr>
          <w:rFonts w:ascii="Times New Roman" w:eastAsiaTheme="minorHAnsi" w:hAnsi="Times New Roman"/>
          <w:sz w:val="24"/>
        </w:rPr>
        <w:t xml:space="preserve"> </w:t>
      </w:r>
    </w:p>
    <w:p w14:paraId="4B3C3863" w14:textId="77777777" w:rsidR="005962CD" w:rsidRDefault="005962CD" w:rsidP="005962CD">
      <w:pPr>
        <w:pStyle w:val="Heading2"/>
        <w:numPr>
          <w:ilvl w:val="0"/>
          <w:numId w:val="0"/>
        </w:numPr>
        <w:tabs>
          <w:tab w:val="left" w:pos="3261"/>
        </w:tabs>
        <w:spacing w:before="120" w:after="120" w:line="240" w:lineRule="auto"/>
        <w:ind w:left="284"/>
        <w:rPr>
          <w:rFonts w:ascii="Times New Roman" w:hAnsi="Times New Roman" w:cs="Times New Roman"/>
          <w:bCs w:val="0"/>
          <w:sz w:val="24"/>
          <w:szCs w:val="24"/>
        </w:rPr>
      </w:pPr>
      <w:r>
        <w:rPr>
          <w:rFonts w:ascii="Times New Roman" w:hAnsi="Times New Roman" w:cs="Times New Roman"/>
          <w:bCs w:val="0"/>
          <w:sz w:val="24"/>
          <w:szCs w:val="24"/>
        </w:rPr>
        <w:t xml:space="preserve"> </w:t>
      </w:r>
    </w:p>
    <w:p w14:paraId="6C1C0D4D" w14:textId="4C191A95" w:rsidR="005962CD" w:rsidRDefault="005962CD">
      <w:pPr>
        <w:rPr>
          <w:rFonts w:ascii="Times New Roman" w:eastAsiaTheme="minorHAnsi" w:hAnsi="Times New Roman"/>
          <w:sz w:val="24"/>
          <w:highlight w:val="yellow"/>
        </w:rPr>
      </w:pPr>
      <w:r>
        <w:rPr>
          <w:rFonts w:ascii="Times New Roman" w:eastAsiaTheme="minorHAnsi" w:hAnsi="Times New Roman"/>
          <w:sz w:val="24"/>
          <w:highlight w:val="yellow"/>
        </w:rPr>
        <w:br w:type="page"/>
      </w:r>
    </w:p>
    <w:p w14:paraId="6D5D0C47" w14:textId="77777777" w:rsidR="008F58C9" w:rsidRPr="00B118DB" w:rsidRDefault="008F58C9" w:rsidP="00191E2E">
      <w:pPr>
        <w:pStyle w:val="Heading1"/>
        <w:numPr>
          <w:ilvl w:val="0"/>
          <w:numId w:val="4"/>
        </w:numPr>
        <w:jc w:val="center"/>
        <w:rPr>
          <w:rFonts w:ascii="Times New Roman" w:hAnsi="Times New Roman" w:cs="Times New Roman"/>
          <w:sz w:val="32"/>
        </w:rPr>
      </w:pPr>
      <w:bookmarkStart w:id="47" w:name="_Toc80106059"/>
      <w:bookmarkStart w:id="48" w:name="_Toc536779069"/>
      <w:bookmarkStart w:id="49" w:name="_Toc80111861"/>
      <w:bookmarkEnd w:id="47"/>
      <w:r w:rsidRPr="00B118DB">
        <w:rPr>
          <w:rFonts w:ascii="Times New Roman" w:hAnsi="Times New Roman" w:cs="Times New Roman"/>
          <w:sz w:val="32"/>
        </w:rPr>
        <w:lastRenderedPageBreak/>
        <w:t>Nekvantificējamie fiskālie riski</w:t>
      </w:r>
      <w:bookmarkEnd w:id="48"/>
      <w:bookmarkEnd w:id="49"/>
    </w:p>
    <w:p w14:paraId="5219C101" w14:textId="77777777" w:rsidR="00822D84" w:rsidRPr="0021152B" w:rsidRDefault="00822D84" w:rsidP="0030420E">
      <w:pPr>
        <w:pStyle w:val="Heading2"/>
        <w:numPr>
          <w:ilvl w:val="1"/>
          <w:numId w:val="4"/>
        </w:numPr>
        <w:tabs>
          <w:tab w:val="left" w:pos="3261"/>
        </w:tabs>
        <w:spacing w:before="120" w:after="120" w:line="240" w:lineRule="auto"/>
        <w:ind w:left="567" w:hanging="501"/>
        <w:jc w:val="center"/>
        <w:rPr>
          <w:rFonts w:ascii="Times New Roman" w:hAnsi="Times New Roman" w:cs="Times New Roman"/>
          <w:bCs w:val="0"/>
          <w:color w:val="auto"/>
          <w:sz w:val="24"/>
          <w:szCs w:val="24"/>
        </w:rPr>
      </w:pPr>
      <w:bookmarkStart w:id="50" w:name="_Toc79678124"/>
      <w:bookmarkStart w:id="51" w:name="_Toc80036173"/>
      <w:bookmarkStart w:id="52" w:name="_Toc80036240"/>
      <w:bookmarkStart w:id="53" w:name="_Toc80106061"/>
      <w:bookmarkStart w:id="54" w:name="_Toc79678125"/>
      <w:bookmarkStart w:id="55" w:name="_Toc80036174"/>
      <w:bookmarkStart w:id="56" w:name="_Toc80036241"/>
      <w:bookmarkStart w:id="57" w:name="_Toc80106062"/>
      <w:bookmarkStart w:id="58" w:name="_Toc79678126"/>
      <w:bookmarkStart w:id="59" w:name="_Toc80036175"/>
      <w:bookmarkStart w:id="60" w:name="_Toc80036242"/>
      <w:bookmarkStart w:id="61" w:name="_Toc80106063"/>
      <w:bookmarkStart w:id="62" w:name="_Toc79678127"/>
      <w:bookmarkStart w:id="63" w:name="_Toc80036176"/>
      <w:bookmarkStart w:id="64" w:name="_Toc80036243"/>
      <w:bookmarkStart w:id="65" w:name="_Toc80106064"/>
      <w:bookmarkStart w:id="66" w:name="_Toc79678128"/>
      <w:bookmarkStart w:id="67" w:name="_Toc80036177"/>
      <w:bookmarkStart w:id="68" w:name="_Toc80036244"/>
      <w:bookmarkStart w:id="69" w:name="_Toc80106065"/>
      <w:bookmarkStart w:id="70" w:name="_Toc79678129"/>
      <w:bookmarkStart w:id="71" w:name="_Toc80036178"/>
      <w:bookmarkStart w:id="72" w:name="_Toc80036245"/>
      <w:bookmarkStart w:id="73" w:name="_Toc80106066"/>
      <w:bookmarkStart w:id="74" w:name="_Toc79678130"/>
      <w:bookmarkStart w:id="75" w:name="_Toc80036179"/>
      <w:bookmarkStart w:id="76" w:name="_Toc80036246"/>
      <w:bookmarkStart w:id="77" w:name="_Toc80106067"/>
      <w:bookmarkStart w:id="78" w:name="_Toc79678131"/>
      <w:bookmarkStart w:id="79" w:name="_Toc80036180"/>
      <w:bookmarkStart w:id="80" w:name="_Toc80036247"/>
      <w:bookmarkStart w:id="81" w:name="_Toc80106068"/>
      <w:bookmarkStart w:id="82" w:name="_Toc79678132"/>
      <w:bookmarkStart w:id="83" w:name="_Toc80036181"/>
      <w:bookmarkStart w:id="84" w:name="_Toc80036248"/>
      <w:bookmarkStart w:id="85" w:name="_Toc80106069"/>
      <w:bookmarkStart w:id="86" w:name="_Toc79678133"/>
      <w:bookmarkStart w:id="87" w:name="_Toc80036182"/>
      <w:bookmarkStart w:id="88" w:name="_Toc80036249"/>
      <w:bookmarkStart w:id="89" w:name="_Toc80106070"/>
      <w:bookmarkStart w:id="90" w:name="_Toc79678134"/>
      <w:bookmarkStart w:id="91" w:name="_Toc80036183"/>
      <w:bookmarkStart w:id="92" w:name="_Toc80036250"/>
      <w:bookmarkStart w:id="93" w:name="_Toc80106071"/>
      <w:bookmarkStart w:id="94" w:name="_Toc79678135"/>
      <w:bookmarkStart w:id="95" w:name="_Toc80036184"/>
      <w:bookmarkStart w:id="96" w:name="_Toc80036251"/>
      <w:bookmarkStart w:id="97" w:name="_Toc80106072"/>
      <w:bookmarkStart w:id="98" w:name="_Toc79678139"/>
      <w:bookmarkStart w:id="99" w:name="_Toc80036188"/>
      <w:bookmarkStart w:id="100" w:name="_Toc80036255"/>
      <w:bookmarkStart w:id="101" w:name="_Toc80106076"/>
      <w:bookmarkStart w:id="102" w:name="_Toc79678159"/>
      <w:bookmarkStart w:id="103" w:name="_Toc80036208"/>
      <w:bookmarkStart w:id="104" w:name="_Toc80036275"/>
      <w:bookmarkStart w:id="105" w:name="_Toc80106096"/>
      <w:bookmarkStart w:id="106" w:name="_Toc79678160"/>
      <w:bookmarkStart w:id="107" w:name="_Toc80036209"/>
      <w:bookmarkStart w:id="108" w:name="_Toc80036276"/>
      <w:bookmarkStart w:id="109" w:name="_Toc80106097"/>
      <w:bookmarkStart w:id="110" w:name="_Toc79678161"/>
      <w:bookmarkStart w:id="111" w:name="_Toc80036210"/>
      <w:bookmarkStart w:id="112" w:name="_Toc80036277"/>
      <w:bookmarkStart w:id="113" w:name="_Toc80106098"/>
      <w:bookmarkStart w:id="114" w:name="_Toc79678162"/>
      <w:bookmarkStart w:id="115" w:name="_Toc80036211"/>
      <w:bookmarkStart w:id="116" w:name="_Toc80036278"/>
      <w:bookmarkStart w:id="117" w:name="_Toc80106099"/>
      <w:bookmarkStart w:id="118" w:name="_Toc79678163"/>
      <w:bookmarkStart w:id="119" w:name="_Toc80036212"/>
      <w:bookmarkStart w:id="120" w:name="_Toc80036279"/>
      <w:bookmarkStart w:id="121" w:name="_Toc80106100"/>
      <w:bookmarkStart w:id="122" w:name="_Toc79678164"/>
      <w:bookmarkStart w:id="123" w:name="_Toc80036213"/>
      <w:bookmarkStart w:id="124" w:name="_Toc80036280"/>
      <w:bookmarkStart w:id="125" w:name="_Toc80106101"/>
      <w:bookmarkStart w:id="126" w:name="_Toc405371087"/>
      <w:bookmarkStart w:id="127" w:name="_Toc536779071"/>
      <w:bookmarkStart w:id="128" w:name="_Toc8011186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21152B">
        <w:rPr>
          <w:rFonts w:ascii="Times New Roman" w:hAnsi="Times New Roman" w:cs="Times New Roman"/>
          <w:bCs w:val="0"/>
          <w:color w:val="auto"/>
          <w:sz w:val="24"/>
          <w:szCs w:val="24"/>
        </w:rPr>
        <w:t>Starptautisko tiesu un Satversmes tiesas spriedumu izpilde</w:t>
      </w:r>
      <w:bookmarkEnd w:id="126"/>
      <w:bookmarkEnd w:id="127"/>
      <w:bookmarkEnd w:id="128"/>
    </w:p>
    <w:p w14:paraId="410E1D81" w14:textId="0340CD9D" w:rsidR="00626E14" w:rsidRPr="0021152B" w:rsidRDefault="00626E14" w:rsidP="00626E14">
      <w:pPr>
        <w:spacing w:after="0" w:line="240" w:lineRule="auto"/>
        <w:ind w:firstLine="720"/>
        <w:jc w:val="both"/>
        <w:rPr>
          <w:rFonts w:ascii="Times New Roman" w:eastAsiaTheme="minorHAnsi" w:hAnsi="Times New Roman" w:cs="Times New Roman"/>
          <w:sz w:val="24"/>
          <w:szCs w:val="24"/>
        </w:rPr>
      </w:pPr>
      <w:r w:rsidRPr="0021152B">
        <w:rPr>
          <w:rFonts w:ascii="Times New Roman" w:eastAsiaTheme="minorHAnsi" w:hAnsi="Times New Roman" w:cs="Times New Roman"/>
          <w:sz w:val="24"/>
          <w:szCs w:val="24"/>
        </w:rPr>
        <w:t xml:space="preserve">Fiskālā riska avots šajā gadījumā ir tiesas procesa rezultāts, kas ir saistīts ar valsts budžeta izdevumu pieaugumu un līdz ar to pasliktina vispārējās valdības budžeta bilanci. Tomēr vēsturiskā pieredze liecina, ka atsevišķos gadījumos </w:t>
      </w:r>
      <w:r w:rsidR="00CA7612">
        <w:rPr>
          <w:rFonts w:ascii="Times New Roman" w:eastAsiaTheme="minorHAnsi" w:hAnsi="Times New Roman" w:cs="Times New Roman"/>
          <w:sz w:val="24"/>
          <w:szCs w:val="24"/>
        </w:rPr>
        <w:t>EK</w:t>
      </w:r>
      <w:r w:rsidR="00CA7612" w:rsidRPr="0021152B">
        <w:rPr>
          <w:rFonts w:ascii="Times New Roman" w:eastAsiaTheme="minorHAnsi" w:hAnsi="Times New Roman" w:cs="Times New Roman"/>
          <w:sz w:val="24"/>
          <w:szCs w:val="24"/>
        </w:rPr>
        <w:t xml:space="preserve"> </w:t>
      </w:r>
      <w:r w:rsidRPr="0021152B">
        <w:rPr>
          <w:rFonts w:ascii="Times New Roman" w:eastAsiaTheme="minorHAnsi" w:hAnsi="Times New Roman" w:cs="Times New Roman"/>
          <w:sz w:val="24"/>
          <w:szCs w:val="24"/>
        </w:rPr>
        <w:t>šos izdevumus uzskata par vienreizējiem pasākumiem, kas līdz ar to ietekmē vispārējās valdības nominālo budžeta bilanci, bet neietekmē vispārējās valdības strukturālo budžeta bilanci. Tiesvedības procesi skar atšķirīgus jautājumus, tāpēc to vienota uzskaite ir grūti īstenojama. Vienlaikus šim specifisko risku kopumam nevar novērtēt iestāšanās varbūtību un fiskālo ietekmi, to var mēģināt novērtēt tikai atsevišķiem tiesvedības procesiem.</w:t>
      </w:r>
    </w:p>
    <w:p w14:paraId="0D63DDB9" w14:textId="36CF91C4" w:rsidR="007F5A4F" w:rsidRPr="0021152B" w:rsidRDefault="007F5A4F" w:rsidP="007F5A4F">
      <w:pPr>
        <w:spacing w:after="0" w:line="240" w:lineRule="auto"/>
        <w:ind w:firstLine="720"/>
        <w:jc w:val="both"/>
        <w:rPr>
          <w:rFonts w:ascii="Times New Roman" w:eastAsiaTheme="minorHAnsi" w:hAnsi="Times New Roman" w:cs="Times New Roman"/>
          <w:sz w:val="24"/>
          <w:szCs w:val="24"/>
        </w:rPr>
      </w:pPr>
      <w:r w:rsidRPr="0021152B">
        <w:rPr>
          <w:rFonts w:ascii="Times New Roman" w:eastAsiaTheme="minorHAnsi" w:hAnsi="Times New Roman" w:cs="Times New Roman"/>
          <w:sz w:val="24"/>
          <w:szCs w:val="24"/>
        </w:rPr>
        <w:t xml:space="preserve">Saistībā ar tiesvedībām </w:t>
      </w:r>
      <w:r w:rsidRPr="00BB69DC">
        <w:rPr>
          <w:rFonts w:ascii="Times New Roman" w:eastAsiaTheme="minorHAnsi" w:hAnsi="Times New Roman" w:cs="Times New Roman"/>
          <w:b/>
          <w:sz w:val="24"/>
          <w:szCs w:val="24"/>
        </w:rPr>
        <w:t>ES Tiesā</w:t>
      </w:r>
      <w:r w:rsidRPr="0021152B">
        <w:rPr>
          <w:rFonts w:ascii="Times New Roman" w:eastAsiaTheme="minorHAnsi" w:hAnsi="Times New Roman" w:cs="Times New Roman"/>
          <w:sz w:val="24"/>
          <w:szCs w:val="24"/>
        </w:rPr>
        <w:t xml:space="preserve"> norādāms, ka ES Tiesa var pieņemt divu veidu spriedumus, t.i., vienā gadījumā ES Tiesa ar pirmo spriedumu paredz finansiālas sankcijas. Tas tā ir gadījumā, ja laicīgi nav pārņemta </w:t>
      </w:r>
      <w:r w:rsidR="00504BA6">
        <w:rPr>
          <w:rFonts w:ascii="Times New Roman" w:eastAsiaTheme="minorHAnsi" w:hAnsi="Times New Roman" w:cs="Times New Roman"/>
          <w:sz w:val="24"/>
          <w:szCs w:val="24"/>
        </w:rPr>
        <w:t xml:space="preserve">ES </w:t>
      </w:r>
      <w:r w:rsidRPr="0021152B">
        <w:rPr>
          <w:rFonts w:ascii="Times New Roman" w:eastAsiaTheme="minorHAnsi" w:hAnsi="Times New Roman" w:cs="Times New Roman"/>
          <w:sz w:val="24"/>
          <w:szCs w:val="24"/>
        </w:rPr>
        <w:t xml:space="preserve">direktīva. Savukārt otrajā gadījumā ES Tiesa pieņem spriedumu, ar kuru tiek konstatēts pārkāpums (strīds pēc būtības </w:t>
      </w:r>
      <w:r w:rsidR="00594149" w:rsidRPr="00835CFD">
        <w:rPr>
          <w:rFonts w:ascii="Times New Roman" w:hAnsi="Times New Roman" w:cs="Times New Roman"/>
          <w:color w:val="000000"/>
          <w:sz w:val="24"/>
          <w:szCs w:val="24"/>
        </w:rPr>
        <w:t>–</w:t>
      </w:r>
      <w:r w:rsidRPr="0021152B">
        <w:rPr>
          <w:rFonts w:ascii="Times New Roman" w:eastAsiaTheme="minorHAnsi" w:hAnsi="Times New Roman" w:cs="Times New Roman"/>
          <w:sz w:val="24"/>
          <w:szCs w:val="24"/>
        </w:rPr>
        <w:t xml:space="preserve"> LV nacionālā normatīvā regulējuma atbilstību ES tiesībām) un tikai tad, ja šis spriedums, ar kuru konstatēts pārkāpums, netiek novērsts, ES Tiesa pieņem otru spriedumu, ar kuru nosaka finansiālas sankcijas. </w:t>
      </w:r>
    </w:p>
    <w:p w14:paraId="4B3DB8D4" w14:textId="6A345525" w:rsidR="007F5A4F" w:rsidRPr="0021152B" w:rsidRDefault="007F5A4F" w:rsidP="007F5A4F">
      <w:pPr>
        <w:spacing w:after="0" w:line="240" w:lineRule="auto"/>
        <w:ind w:firstLine="720"/>
        <w:jc w:val="both"/>
        <w:rPr>
          <w:rFonts w:ascii="Times New Roman" w:eastAsiaTheme="minorHAnsi" w:hAnsi="Times New Roman" w:cs="Times New Roman"/>
          <w:sz w:val="24"/>
          <w:szCs w:val="24"/>
        </w:rPr>
      </w:pPr>
      <w:r w:rsidRPr="0021152B">
        <w:rPr>
          <w:rFonts w:ascii="Times New Roman" w:eastAsiaTheme="minorHAnsi" w:hAnsi="Times New Roman" w:cs="Times New Roman"/>
          <w:sz w:val="24"/>
          <w:szCs w:val="24"/>
        </w:rPr>
        <w:t>Tieslietu ministrija par visām pārkāpuma procedūrām, iespējamām tiesvedībām un to sekām informē MK – atbilstoši MK 2011.gada 12.jūlija noteikumu Nr.550 „Noteikumi par institūciju sadarbību Līguma par ES darbību pārkāpuma procedūras ietvaros un pirms pārkāpuma procedūras ierosināšanas” 6.2.apakšpunktā noteiktajam šādu informāciju Tieslietu ministrija iesniedz MK divas reizes gadā. 20</w:t>
      </w:r>
      <w:r w:rsidR="00DE6F89">
        <w:rPr>
          <w:rFonts w:ascii="Times New Roman" w:eastAsiaTheme="minorHAnsi" w:hAnsi="Times New Roman" w:cs="Times New Roman"/>
          <w:sz w:val="24"/>
          <w:szCs w:val="24"/>
        </w:rPr>
        <w:t>21</w:t>
      </w:r>
      <w:r w:rsidRPr="0021152B">
        <w:rPr>
          <w:rFonts w:ascii="Times New Roman" w:eastAsiaTheme="minorHAnsi" w:hAnsi="Times New Roman" w:cs="Times New Roman"/>
          <w:sz w:val="24"/>
          <w:szCs w:val="24"/>
        </w:rPr>
        <w:t xml:space="preserve">.gada </w:t>
      </w:r>
      <w:r w:rsidR="00DE6F89">
        <w:rPr>
          <w:rFonts w:ascii="Times New Roman" w:eastAsiaTheme="minorHAnsi" w:hAnsi="Times New Roman" w:cs="Times New Roman"/>
          <w:sz w:val="24"/>
          <w:szCs w:val="24"/>
        </w:rPr>
        <w:t>25</w:t>
      </w:r>
      <w:r w:rsidRPr="0021152B">
        <w:rPr>
          <w:rFonts w:ascii="Times New Roman" w:eastAsiaTheme="minorHAnsi" w:hAnsi="Times New Roman" w:cs="Times New Roman"/>
          <w:sz w:val="24"/>
          <w:szCs w:val="24"/>
        </w:rPr>
        <w:t>.</w:t>
      </w:r>
      <w:r w:rsidR="00DE6F89">
        <w:rPr>
          <w:rFonts w:ascii="Times New Roman" w:eastAsiaTheme="minorHAnsi" w:hAnsi="Times New Roman" w:cs="Times New Roman"/>
          <w:sz w:val="24"/>
          <w:szCs w:val="24"/>
        </w:rPr>
        <w:t>februārī</w:t>
      </w:r>
      <w:r w:rsidR="00DE6F89" w:rsidRPr="0021152B">
        <w:rPr>
          <w:rFonts w:ascii="Times New Roman" w:eastAsiaTheme="minorHAnsi" w:hAnsi="Times New Roman" w:cs="Times New Roman"/>
          <w:sz w:val="24"/>
          <w:szCs w:val="24"/>
        </w:rPr>
        <w:t xml:space="preserve"> </w:t>
      </w:r>
      <w:r w:rsidRPr="0021152B">
        <w:rPr>
          <w:rFonts w:ascii="Times New Roman" w:eastAsiaTheme="minorHAnsi" w:hAnsi="Times New Roman" w:cs="Times New Roman"/>
          <w:sz w:val="24"/>
          <w:szCs w:val="24"/>
        </w:rPr>
        <w:t>MK tika izskatīts informatīvais ziņojums "Par Latvijas kā ES dalībvalsts saistību izpildi laika periodā līdz 20</w:t>
      </w:r>
      <w:r w:rsidR="00DE6F89">
        <w:rPr>
          <w:rFonts w:ascii="Times New Roman" w:eastAsiaTheme="minorHAnsi" w:hAnsi="Times New Roman" w:cs="Times New Roman"/>
          <w:sz w:val="24"/>
          <w:szCs w:val="24"/>
        </w:rPr>
        <w:t>21</w:t>
      </w:r>
      <w:r w:rsidRPr="0021152B">
        <w:rPr>
          <w:rFonts w:ascii="Times New Roman" w:eastAsiaTheme="minorHAnsi" w:hAnsi="Times New Roman" w:cs="Times New Roman"/>
          <w:sz w:val="24"/>
          <w:szCs w:val="24"/>
        </w:rPr>
        <w:t>.gada 31.augustam un par ierosinātajām (turpinātajām) pārkāpuma procedūru lietām pret Latviju laika periodā līdz 20</w:t>
      </w:r>
      <w:r w:rsidR="00DE6F89">
        <w:rPr>
          <w:rFonts w:ascii="Times New Roman" w:eastAsiaTheme="minorHAnsi" w:hAnsi="Times New Roman" w:cs="Times New Roman"/>
          <w:sz w:val="24"/>
          <w:szCs w:val="24"/>
        </w:rPr>
        <w:t>20</w:t>
      </w:r>
      <w:r w:rsidRPr="0021152B">
        <w:rPr>
          <w:rFonts w:ascii="Times New Roman" w:eastAsiaTheme="minorHAnsi" w:hAnsi="Times New Roman" w:cs="Times New Roman"/>
          <w:sz w:val="24"/>
          <w:szCs w:val="24"/>
        </w:rPr>
        <w:t>.gada 31.</w:t>
      </w:r>
      <w:r w:rsidR="00DE6F89">
        <w:rPr>
          <w:rFonts w:ascii="Times New Roman" w:eastAsiaTheme="minorHAnsi" w:hAnsi="Times New Roman" w:cs="Times New Roman"/>
          <w:sz w:val="24"/>
          <w:szCs w:val="24"/>
        </w:rPr>
        <w:t>oktobrim</w:t>
      </w:r>
      <w:r w:rsidRPr="0021152B">
        <w:rPr>
          <w:rFonts w:ascii="Times New Roman" w:eastAsiaTheme="minorHAnsi" w:hAnsi="Times New Roman" w:cs="Times New Roman"/>
          <w:sz w:val="24"/>
          <w:szCs w:val="24"/>
        </w:rPr>
        <w:t>", kurā ir izvērsta analīze par pārkāpuma procedūrām, kas ierosinātas pret Latviju un norādīti riski iespējamībai atsevišķām pārkāpuma procedūrām turpināties tiesvedības stadijā ES Tiesā.</w:t>
      </w:r>
    </w:p>
    <w:p w14:paraId="4363B2D4" w14:textId="21D1CDD3" w:rsidR="00FD0C96" w:rsidRDefault="00626E14" w:rsidP="00FD0C96">
      <w:pPr>
        <w:spacing w:line="240" w:lineRule="auto"/>
        <w:jc w:val="both"/>
        <w:rPr>
          <w:rFonts w:ascii="Times New Roman" w:eastAsiaTheme="minorHAnsi" w:hAnsi="Times New Roman" w:cs="Times New Roman"/>
          <w:b/>
          <w:sz w:val="24"/>
          <w:szCs w:val="24"/>
        </w:rPr>
      </w:pPr>
      <w:r w:rsidRPr="0021152B">
        <w:rPr>
          <w:rFonts w:ascii="Times New Roman" w:eastAsiaTheme="minorHAnsi" w:hAnsi="Times New Roman" w:cs="Times New Roman"/>
          <w:sz w:val="24"/>
          <w:szCs w:val="24"/>
        </w:rPr>
        <w:tab/>
      </w:r>
      <w:r w:rsidR="00FD0C96" w:rsidRPr="0021152B">
        <w:rPr>
          <w:rFonts w:ascii="Times New Roman" w:hAnsi="Times New Roman"/>
          <w:b/>
          <w:sz w:val="24"/>
        </w:rPr>
        <w:t>Eiropas</w:t>
      </w:r>
      <w:r w:rsidR="00FD0C96" w:rsidRPr="00191E2E">
        <w:rPr>
          <w:rFonts w:ascii="Times New Roman" w:hAnsi="Times New Roman"/>
          <w:b/>
          <w:sz w:val="24"/>
        </w:rPr>
        <w:t xml:space="preserve"> Cilvēktiesību tiesa</w:t>
      </w:r>
      <w:r w:rsidR="00FD0C96" w:rsidRPr="00626E14">
        <w:rPr>
          <w:rFonts w:ascii="Times New Roman" w:eastAsiaTheme="minorHAnsi" w:hAnsi="Times New Roman" w:cs="Times New Roman"/>
          <w:sz w:val="24"/>
          <w:szCs w:val="24"/>
        </w:rPr>
        <w:t xml:space="preserve"> ir starptautiska tiesa, kas skata fizisku vai juridisku personu vai, atsevišķos gadījumos, valstu iesniegumus, ja valsts ir pārkāpusi Eiropas Cilvēktiesību un pamatbrīvību konvencijā noteiktās tiesības. Latvijā Eiropas Cilvēktiesību un pamatbrīvību konvencija ir spēkā kopš 1997.gada 27.jūnija. Zemāk tabulā ir apkopots piešķirtais finansējums Eiropas Cilvēktiesību tiesas spriedumu izpildei laika periodā no 2006. līdz 20</w:t>
      </w:r>
      <w:r w:rsidR="00690E31">
        <w:rPr>
          <w:rFonts w:ascii="Times New Roman" w:eastAsiaTheme="minorHAnsi" w:hAnsi="Times New Roman" w:cs="Times New Roman"/>
          <w:sz w:val="24"/>
          <w:szCs w:val="24"/>
        </w:rPr>
        <w:t>20</w:t>
      </w:r>
      <w:r w:rsidR="00FD0C96" w:rsidRPr="00626E14">
        <w:rPr>
          <w:rFonts w:ascii="Times New Roman" w:eastAsiaTheme="minorHAnsi" w:hAnsi="Times New Roman" w:cs="Times New Roman"/>
          <w:sz w:val="24"/>
          <w:szCs w:val="24"/>
        </w:rPr>
        <w:t xml:space="preserve">.gadam, kas norāda, ka piešķirtā finansējuma apjoms tiesas spriedumu izpildei </w:t>
      </w:r>
      <w:r w:rsidR="00FD0C96">
        <w:rPr>
          <w:rFonts w:ascii="Times New Roman" w:eastAsiaTheme="minorHAnsi" w:hAnsi="Times New Roman" w:cs="Times New Roman"/>
          <w:sz w:val="24"/>
          <w:szCs w:val="24"/>
        </w:rPr>
        <w:t>pa gadiem ir atšķirīgs</w:t>
      </w:r>
      <w:r w:rsidR="00FD0C96" w:rsidRPr="00626E14">
        <w:rPr>
          <w:rFonts w:ascii="Times New Roman" w:eastAsiaTheme="minorHAnsi" w:hAnsi="Times New Roman" w:cs="Times New Roman"/>
          <w:sz w:val="24"/>
          <w:szCs w:val="24"/>
        </w:rPr>
        <w:t xml:space="preserve">. Finansējums tiesu spriedumu izpildei tiek piešķirts no ieplānotā finansējuma budžeta programmā "Līdzekļi neparedzētiem gadījumiem", </w:t>
      </w:r>
      <w:r w:rsidR="00FD0C96" w:rsidRPr="00626E14">
        <w:rPr>
          <w:rFonts w:ascii="Times New Roman" w:hAnsi="Times New Roman" w:cs="Times New Roman"/>
          <w:sz w:val="24"/>
          <w:szCs w:val="24"/>
        </w:rPr>
        <w:t>kas nepasliktina vispārējās valdības budžeta bilanci</w:t>
      </w:r>
      <w:r w:rsidR="00FD0C96" w:rsidRPr="00626E14">
        <w:rPr>
          <w:rFonts w:ascii="Times New Roman" w:eastAsiaTheme="minorHAnsi" w:hAnsi="Times New Roman" w:cs="Times New Roman"/>
          <w:sz w:val="24"/>
          <w:szCs w:val="24"/>
        </w:rPr>
        <w:t>.</w:t>
      </w:r>
    </w:p>
    <w:p w14:paraId="23D039C6" w14:textId="5BD2CABA" w:rsidR="00626E14" w:rsidRPr="00FD0C96" w:rsidRDefault="00626E14" w:rsidP="00120DF9">
      <w:pPr>
        <w:spacing w:line="240" w:lineRule="auto"/>
        <w:jc w:val="right"/>
        <w:rPr>
          <w:rFonts w:ascii="Times New Roman" w:eastAsiaTheme="minorHAnsi" w:hAnsi="Times New Roman" w:cs="Times New Roman"/>
          <w:b/>
          <w:sz w:val="24"/>
          <w:szCs w:val="24"/>
        </w:rPr>
      </w:pPr>
      <w:r w:rsidRPr="00FD0C96">
        <w:rPr>
          <w:rFonts w:ascii="Times New Roman" w:eastAsiaTheme="minorHAnsi" w:hAnsi="Times New Roman" w:cs="Times New Roman"/>
          <w:b/>
          <w:sz w:val="24"/>
          <w:szCs w:val="24"/>
        </w:rPr>
        <w:t xml:space="preserve">Tabula Nr. </w:t>
      </w:r>
      <w:r w:rsidR="00594149" w:rsidRPr="00FD0C96">
        <w:rPr>
          <w:rFonts w:ascii="Times New Roman" w:eastAsiaTheme="minorHAnsi" w:hAnsi="Times New Roman" w:cs="Times New Roman"/>
          <w:b/>
          <w:sz w:val="24"/>
          <w:szCs w:val="24"/>
        </w:rPr>
        <w:t>1</w:t>
      </w:r>
      <w:r w:rsidR="00CD5476">
        <w:rPr>
          <w:rFonts w:ascii="Times New Roman" w:eastAsiaTheme="minorHAnsi" w:hAnsi="Times New Roman" w:cs="Times New Roman"/>
          <w:b/>
          <w:sz w:val="24"/>
          <w:szCs w:val="24"/>
        </w:rPr>
        <w:t>2</w:t>
      </w:r>
      <w:r w:rsidRPr="00FD0C96">
        <w:rPr>
          <w:rFonts w:ascii="Times New Roman" w:eastAsiaTheme="minorHAnsi" w:hAnsi="Times New Roman" w:cs="Times New Roman"/>
          <w:b/>
          <w:sz w:val="24"/>
          <w:szCs w:val="24"/>
        </w:rPr>
        <w:t xml:space="preserve"> Piešķirtais finansējums Eiropas Cilvēktiesību tiesas spriedumu izpildei </w:t>
      </w:r>
      <w:r w:rsidR="00A01529" w:rsidRPr="00FD0C96">
        <w:rPr>
          <w:rFonts w:ascii="Times New Roman" w:eastAsiaTheme="minorHAnsi" w:hAnsi="Times New Roman" w:cs="Times New Roman"/>
          <w:b/>
          <w:sz w:val="24"/>
          <w:szCs w:val="24"/>
        </w:rPr>
        <w:br/>
      </w:r>
      <w:r w:rsidRPr="00FD0C96">
        <w:rPr>
          <w:rFonts w:ascii="Times New Roman" w:eastAsiaTheme="minorHAnsi" w:hAnsi="Times New Roman" w:cs="Times New Roman"/>
          <w:b/>
          <w:sz w:val="24"/>
          <w:szCs w:val="24"/>
        </w:rPr>
        <w:t>2006.</w:t>
      </w:r>
      <w:r w:rsidR="00771E46" w:rsidRPr="00FD0C96">
        <w:rPr>
          <w:rFonts w:ascii="Times New Roman" w:hAnsi="Times New Roman" w:cs="Times New Roman"/>
          <w:color w:val="000000"/>
          <w:sz w:val="24"/>
          <w:szCs w:val="24"/>
        </w:rPr>
        <w:t xml:space="preserve"> –</w:t>
      </w:r>
      <w:r w:rsidR="001D1BDB" w:rsidRPr="00FD0C96">
        <w:rPr>
          <w:rFonts w:ascii="Times New Roman" w:hAnsi="Times New Roman" w:cs="Times New Roman"/>
          <w:color w:val="000000"/>
          <w:sz w:val="24"/>
          <w:szCs w:val="24"/>
        </w:rPr>
        <w:t xml:space="preserve"> </w:t>
      </w:r>
      <w:r w:rsidRPr="00FD0C96">
        <w:rPr>
          <w:rFonts w:ascii="Times New Roman" w:eastAsiaTheme="minorHAnsi" w:hAnsi="Times New Roman" w:cs="Times New Roman"/>
          <w:b/>
          <w:sz w:val="24"/>
          <w:szCs w:val="24"/>
        </w:rPr>
        <w:t>20</w:t>
      </w:r>
      <w:r w:rsidR="00690E31">
        <w:rPr>
          <w:rFonts w:ascii="Times New Roman" w:eastAsiaTheme="minorHAnsi" w:hAnsi="Times New Roman" w:cs="Times New Roman"/>
          <w:b/>
          <w:sz w:val="24"/>
          <w:szCs w:val="24"/>
        </w:rPr>
        <w:t>20</w:t>
      </w:r>
      <w:r w:rsidRPr="00FD0C96">
        <w:rPr>
          <w:rFonts w:ascii="Times New Roman" w:eastAsiaTheme="minorHAnsi" w:hAnsi="Times New Roman" w:cs="Times New Roman"/>
          <w:b/>
          <w:sz w:val="24"/>
          <w:szCs w:val="24"/>
        </w:rPr>
        <w:t xml:space="preserve">.gadā, </w:t>
      </w:r>
      <w:r w:rsidRPr="00FD0C96">
        <w:rPr>
          <w:rFonts w:ascii="Times New Roman" w:eastAsiaTheme="minorHAnsi" w:hAnsi="Times New Roman" w:cs="Times New Roman"/>
          <w:b/>
          <w:i/>
          <w:sz w:val="24"/>
          <w:szCs w:val="24"/>
        </w:rPr>
        <w:t>euro</w:t>
      </w:r>
    </w:p>
    <w:tbl>
      <w:tblPr>
        <w:tblStyle w:val="GridTable6Colorful-Accent1"/>
        <w:tblW w:w="0" w:type="auto"/>
        <w:jc w:val="center"/>
        <w:tblLook w:val="04A0" w:firstRow="1" w:lastRow="0" w:firstColumn="1" w:lastColumn="0" w:noHBand="0" w:noVBand="1"/>
      </w:tblPr>
      <w:tblGrid>
        <w:gridCol w:w="1372"/>
        <w:gridCol w:w="3209"/>
        <w:gridCol w:w="3209"/>
      </w:tblGrid>
      <w:tr w:rsidR="00626E14" w:rsidRPr="001054F7" w14:paraId="1F04A8F8" w14:textId="77777777" w:rsidTr="00C64A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vAlign w:val="center"/>
          </w:tcPr>
          <w:p w14:paraId="064522F2" w14:textId="77777777" w:rsidR="00626E14" w:rsidRPr="00FD0C96" w:rsidRDefault="00626E14" w:rsidP="00120DF9">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Gads</w:t>
            </w:r>
          </w:p>
        </w:tc>
        <w:tc>
          <w:tcPr>
            <w:tcW w:w="3209" w:type="dxa"/>
            <w:vAlign w:val="center"/>
          </w:tcPr>
          <w:p w14:paraId="255A525E" w14:textId="77777777" w:rsidR="00626E14" w:rsidRPr="00FD0C96" w:rsidRDefault="00626E14" w:rsidP="00120D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Piešķirtais finansējums</w:t>
            </w:r>
          </w:p>
        </w:tc>
        <w:tc>
          <w:tcPr>
            <w:tcW w:w="3209" w:type="dxa"/>
            <w:vAlign w:val="center"/>
          </w:tcPr>
          <w:p w14:paraId="15169952" w14:textId="77777777" w:rsidR="00626E14" w:rsidRPr="00FD0C96" w:rsidRDefault="00626E14" w:rsidP="00120D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Tiesas spriedumu skaits</w:t>
            </w:r>
            <w:r w:rsidR="00015F91" w:rsidRPr="00FD0C96">
              <w:rPr>
                <w:rFonts w:ascii="Times New Roman" w:hAnsi="Times New Roman" w:cs="Times New Roman"/>
                <w:color w:val="000000" w:themeColor="text1"/>
              </w:rPr>
              <w:t>*</w:t>
            </w:r>
          </w:p>
        </w:tc>
      </w:tr>
      <w:tr w:rsidR="00B82F22" w:rsidRPr="001054F7" w14:paraId="6CC7FD04"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10D30531"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2006</w:t>
            </w:r>
          </w:p>
        </w:tc>
        <w:tc>
          <w:tcPr>
            <w:tcW w:w="3209" w:type="dxa"/>
          </w:tcPr>
          <w:p w14:paraId="0A7AED24"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25 418</w:t>
            </w:r>
          </w:p>
        </w:tc>
        <w:tc>
          <w:tcPr>
            <w:tcW w:w="3209" w:type="dxa"/>
          </w:tcPr>
          <w:p w14:paraId="28E8245E"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5</w:t>
            </w:r>
          </w:p>
        </w:tc>
      </w:tr>
      <w:tr w:rsidR="00B82F22" w:rsidRPr="001054F7" w14:paraId="253287D3"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4F427E9C"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2007</w:t>
            </w:r>
          </w:p>
        </w:tc>
        <w:tc>
          <w:tcPr>
            <w:tcW w:w="3209" w:type="dxa"/>
          </w:tcPr>
          <w:p w14:paraId="44FFFFC3"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45 991</w:t>
            </w:r>
          </w:p>
        </w:tc>
        <w:tc>
          <w:tcPr>
            <w:tcW w:w="3209" w:type="dxa"/>
          </w:tcPr>
          <w:p w14:paraId="2C03B48E" w14:textId="2D5A34C4"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7</w:t>
            </w:r>
          </w:p>
        </w:tc>
      </w:tr>
      <w:tr w:rsidR="00B82F22" w:rsidRPr="001054F7" w14:paraId="427D037E"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1E917422"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2008</w:t>
            </w:r>
          </w:p>
        </w:tc>
        <w:tc>
          <w:tcPr>
            <w:tcW w:w="3209" w:type="dxa"/>
          </w:tcPr>
          <w:p w14:paraId="4D2104F5"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42 798</w:t>
            </w:r>
          </w:p>
        </w:tc>
        <w:tc>
          <w:tcPr>
            <w:tcW w:w="3209" w:type="dxa"/>
          </w:tcPr>
          <w:p w14:paraId="06C80539" w14:textId="78A6FCE5"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16</w:t>
            </w:r>
          </w:p>
        </w:tc>
      </w:tr>
      <w:tr w:rsidR="00B82F22" w:rsidRPr="001054F7" w14:paraId="14E65F82"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50FBE3EC"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2009</w:t>
            </w:r>
          </w:p>
        </w:tc>
        <w:tc>
          <w:tcPr>
            <w:tcW w:w="3209" w:type="dxa"/>
          </w:tcPr>
          <w:p w14:paraId="6A63A4D5"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91 512</w:t>
            </w:r>
          </w:p>
        </w:tc>
        <w:tc>
          <w:tcPr>
            <w:tcW w:w="3209" w:type="dxa"/>
          </w:tcPr>
          <w:p w14:paraId="0BB75FE4"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13</w:t>
            </w:r>
          </w:p>
        </w:tc>
      </w:tr>
      <w:tr w:rsidR="00B82F22" w:rsidRPr="001054F7" w14:paraId="633BF085"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64EAC21C"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2010</w:t>
            </w:r>
          </w:p>
        </w:tc>
        <w:tc>
          <w:tcPr>
            <w:tcW w:w="3209" w:type="dxa"/>
          </w:tcPr>
          <w:p w14:paraId="1D259BBE"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56 961</w:t>
            </w:r>
          </w:p>
        </w:tc>
        <w:tc>
          <w:tcPr>
            <w:tcW w:w="3209" w:type="dxa"/>
          </w:tcPr>
          <w:p w14:paraId="46D48D42"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10</w:t>
            </w:r>
          </w:p>
        </w:tc>
      </w:tr>
      <w:tr w:rsidR="00B82F22" w:rsidRPr="001054F7" w14:paraId="72703B54"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0D870C77"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2011</w:t>
            </w:r>
          </w:p>
        </w:tc>
        <w:tc>
          <w:tcPr>
            <w:tcW w:w="3209" w:type="dxa"/>
          </w:tcPr>
          <w:p w14:paraId="10F5E529"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102 181</w:t>
            </w:r>
          </w:p>
        </w:tc>
        <w:tc>
          <w:tcPr>
            <w:tcW w:w="3209" w:type="dxa"/>
          </w:tcPr>
          <w:p w14:paraId="446504A6"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10</w:t>
            </w:r>
          </w:p>
        </w:tc>
      </w:tr>
      <w:tr w:rsidR="00B82F22" w:rsidRPr="001054F7" w14:paraId="6ABBC2C7"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56A0FC5A"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2012</w:t>
            </w:r>
          </w:p>
        </w:tc>
        <w:tc>
          <w:tcPr>
            <w:tcW w:w="3209" w:type="dxa"/>
          </w:tcPr>
          <w:p w14:paraId="78FDE5D4"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48 006</w:t>
            </w:r>
          </w:p>
        </w:tc>
        <w:tc>
          <w:tcPr>
            <w:tcW w:w="3209" w:type="dxa"/>
          </w:tcPr>
          <w:p w14:paraId="3F66EDC0"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6</w:t>
            </w:r>
          </w:p>
        </w:tc>
      </w:tr>
      <w:tr w:rsidR="00B82F22" w:rsidRPr="001054F7" w14:paraId="56AD2D28"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402C38F0"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2013</w:t>
            </w:r>
          </w:p>
        </w:tc>
        <w:tc>
          <w:tcPr>
            <w:tcW w:w="3209" w:type="dxa"/>
          </w:tcPr>
          <w:p w14:paraId="7B91378F"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112 513</w:t>
            </w:r>
          </w:p>
        </w:tc>
        <w:tc>
          <w:tcPr>
            <w:tcW w:w="3209" w:type="dxa"/>
          </w:tcPr>
          <w:p w14:paraId="0D0D6A21"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15</w:t>
            </w:r>
          </w:p>
        </w:tc>
      </w:tr>
      <w:tr w:rsidR="00B82F22" w:rsidRPr="001054F7" w14:paraId="58B257E5"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4CAA4813"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2014</w:t>
            </w:r>
          </w:p>
        </w:tc>
        <w:tc>
          <w:tcPr>
            <w:tcW w:w="3209" w:type="dxa"/>
          </w:tcPr>
          <w:p w14:paraId="3B9BD400"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1 306 073</w:t>
            </w:r>
          </w:p>
        </w:tc>
        <w:tc>
          <w:tcPr>
            <w:tcW w:w="3209" w:type="dxa"/>
          </w:tcPr>
          <w:p w14:paraId="6420C855"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13</w:t>
            </w:r>
          </w:p>
        </w:tc>
      </w:tr>
      <w:tr w:rsidR="00B82F22" w:rsidRPr="001054F7" w14:paraId="673036E6"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4CE2BF10"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2015</w:t>
            </w:r>
          </w:p>
        </w:tc>
        <w:tc>
          <w:tcPr>
            <w:tcW w:w="3209" w:type="dxa"/>
          </w:tcPr>
          <w:p w14:paraId="31C89E9B"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93 597</w:t>
            </w:r>
          </w:p>
        </w:tc>
        <w:tc>
          <w:tcPr>
            <w:tcW w:w="3209" w:type="dxa"/>
          </w:tcPr>
          <w:p w14:paraId="78797952" w14:textId="3940D826"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14</w:t>
            </w:r>
          </w:p>
        </w:tc>
      </w:tr>
      <w:tr w:rsidR="00B82F22" w:rsidRPr="001054F7" w14:paraId="2E41626B"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3FB6F5FD"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2016</w:t>
            </w:r>
          </w:p>
        </w:tc>
        <w:tc>
          <w:tcPr>
            <w:tcW w:w="3209" w:type="dxa"/>
          </w:tcPr>
          <w:p w14:paraId="6907BBFB"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34 246</w:t>
            </w:r>
          </w:p>
        </w:tc>
        <w:tc>
          <w:tcPr>
            <w:tcW w:w="3209" w:type="dxa"/>
          </w:tcPr>
          <w:p w14:paraId="68C37A8D"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9</w:t>
            </w:r>
          </w:p>
        </w:tc>
      </w:tr>
      <w:tr w:rsidR="00B82F22" w:rsidRPr="001054F7" w14:paraId="34B56D00"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1D696BA1"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2017</w:t>
            </w:r>
          </w:p>
        </w:tc>
        <w:tc>
          <w:tcPr>
            <w:tcW w:w="3209" w:type="dxa"/>
          </w:tcPr>
          <w:p w14:paraId="7052C146" w14:textId="77777777"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147 184</w:t>
            </w:r>
          </w:p>
        </w:tc>
        <w:tc>
          <w:tcPr>
            <w:tcW w:w="3209" w:type="dxa"/>
          </w:tcPr>
          <w:p w14:paraId="31CD86B4" w14:textId="07B1067F" w:rsidR="00B82F22" w:rsidRPr="00FD0C96" w:rsidRDefault="00B82F22" w:rsidP="00B8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13</w:t>
            </w:r>
          </w:p>
        </w:tc>
      </w:tr>
      <w:tr w:rsidR="00B82F22" w:rsidRPr="001054F7" w14:paraId="7EBE6762"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2F236906" w14:textId="77777777" w:rsidR="00B82F22" w:rsidRPr="00FD0C96" w:rsidRDefault="00B82F22" w:rsidP="00B82F22">
            <w:pPr>
              <w:jc w:val="center"/>
              <w:rPr>
                <w:rFonts w:ascii="Times New Roman" w:hAnsi="Times New Roman" w:cs="Times New Roman"/>
                <w:color w:val="000000" w:themeColor="text1"/>
              </w:rPr>
            </w:pPr>
            <w:r w:rsidRPr="00FD0C96">
              <w:rPr>
                <w:rFonts w:ascii="Times New Roman" w:hAnsi="Times New Roman" w:cs="Times New Roman"/>
                <w:color w:val="000000" w:themeColor="text1"/>
              </w:rPr>
              <w:t>2018</w:t>
            </w:r>
          </w:p>
        </w:tc>
        <w:tc>
          <w:tcPr>
            <w:tcW w:w="3209" w:type="dxa"/>
          </w:tcPr>
          <w:p w14:paraId="7C80E4B7" w14:textId="2D52DDB3"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15 910</w:t>
            </w:r>
          </w:p>
        </w:tc>
        <w:tc>
          <w:tcPr>
            <w:tcW w:w="3209" w:type="dxa"/>
          </w:tcPr>
          <w:p w14:paraId="77D34301" w14:textId="77777777" w:rsidR="00B82F22" w:rsidRPr="00FD0C96" w:rsidRDefault="00B82F22" w:rsidP="00B8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D0C96">
              <w:rPr>
                <w:rFonts w:ascii="Times New Roman" w:hAnsi="Times New Roman" w:cs="Times New Roman"/>
                <w:color w:val="000000" w:themeColor="text1"/>
              </w:rPr>
              <w:t>3</w:t>
            </w:r>
          </w:p>
        </w:tc>
      </w:tr>
      <w:tr w:rsidR="00FD0C96" w:rsidRPr="001054F7" w14:paraId="4F03FA2B" w14:textId="77777777" w:rsidTr="00C64A7F">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0DE048E5" w14:textId="733551FF" w:rsidR="00FD0C96" w:rsidRPr="001054F7" w:rsidRDefault="00FD0C96" w:rsidP="00FD0C96">
            <w:pPr>
              <w:jc w:val="center"/>
              <w:rPr>
                <w:rFonts w:ascii="Times New Roman" w:hAnsi="Times New Roman" w:cs="Times New Roman"/>
                <w:color w:val="000000" w:themeColor="text1"/>
                <w:highlight w:val="yellow"/>
              </w:rPr>
            </w:pPr>
            <w:r>
              <w:rPr>
                <w:rFonts w:ascii="Times New Roman" w:hAnsi="Times New Roman" w:cs="Times New Roman"/>
                <w:color w:val="000000" w:themeColor="text1"/>
              </w:rPr>
              <w:t>2019</w:t>
            </w:r>
          </w:p>
        </w:tc>
        <w:tc>
          <w:tcPr>
            <w:tcW w:w="3209" w:type="dxa"/>
          </w:tcPr>
          <w:p w14:paraId="70593A74" w14:textId="5F979EE4" w:rsidR="00FD0C96" w:rsidRPr="001054F7" w:rsidRDefault="00FD0C96" w:rsidP="00FD0C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Pr>
                <w:rFonts w:ascii="Times New Roman" w:hAnsi="Times New Roman" w:cs="Times New Roman"/>
                <w:color w:val="000000" w:themeColor="text1"/>
              </w:rPr>
              <w:t>9 763</w:t>
            </w:r>
          </w:p>
        </w:tc>
        <w:tc>
          <w:tcPr>
            <w:tcW w:w="3209" w:type="dxa"/>
          </w:tcPr>
          <w:p w14:paraId="2A245600" w14:textId="56B78963" w:rsidR="00FD0C96" w:rsidRPr="001054F7" w:rsidRDefault="00FD0C96" w:rsidP="00FD0C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Pr>
                <w:rFonts w:ascii="Times New Roman" w:hAnsi="Times New Roman" w:cs="Times New Roman"/>
                <w:color w:val="000000" w:themeColor="text1"/>
              </w:rPr>
              <w:t>3</w:t>
            </w:r>
          </w:p>
        </w:tc>
      </w:tr>
      <w:tr w:rsidR="00690E31" w:rsidRPr="001054F7" w14:paraId="05CF4C04" w14:textId="77777777" w:rsidTr="00C64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2" w:type="dxa"/>
          </w:tcPr>
          <w:p w14:paraId="0893DF7A" w14:textId="29E08904" w:rsidR="00690E31" w:rsidRDefault="00690E31" w:rsidP="00FD0C96">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2020</w:t>
            </w:r>
          </w:p>
        </w:tc>
        <w:tc>
          <w:tcPr>
            <w:tcW w:w="3209" w:type="dxa"/>
          </w:tcPr>
          <w:p w14:paraId="2BF0F8A7" w14:textId="4309A1D3" w:rsidR="00690E31" w:rsidRDefault="00690E31" w:rsidP="00FD0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20 504</w:t>
            </w:r>
          </w:p>
        </w:tc>
        <w:tc>
          <w:tcPr>
            <w:tcW w:w="3209" w:type="dxa"/>
          </w:tcPr>
          <w:p w14:paraId="567FF463" w14:textId="713D0273" w:rsidR="00690E31" w:rsidRDefault="00690E31" w:rsidP="00FD0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w:t>
            </w:r>
          </w:p>
        </w:tc>
      </w:tr>
    </w:tbl>
    <w:p w14:paraId="69911BB3" w14:textId="48C0415F" w:rsidR="00626E14" w:rsidRPr="00FD0C96" w:rsidRDefault="00015F91" w:rsidP="004C09DF">
      <w:pPr>
        <w:spacing w:after="0" w:line="240" w:lineRule="auto"/>
        <w:ind w:firstLine="709"/>
        <w:jc w:val="both"/>
        <w:rPr>
          <w:rFonts w:ascii="Times New Roman" w:hAnsi="Times New Roman" w:cs="Times New Roman"/>
          <w:sz w:val="20"/>
          <w:szCs w:val="20"/>
        </w:rPr>
      </w:pPr>
      <w:r w:rsidRPr="00FD0C96">
        <w:rPr>
          <w:rFonts w:ascii="Times New Roman" w:hAnsi="Times New Roman" w:cs="Times New Roman"/>
          <w:sz w:val="20"/>
          <w:szCs w:val="20"/>
        </w:rPr>
        <w:t>* Tiesas spriedumu skaits var atšķirties no rīkojumu skaita, jo dažos rīkojumiem iekļauti vairāki pieprasījumi</w:t>
      </w:r>
    </w:p>
    <w:p w14:paraId="7EE0A107" w14:textId="77777777" w:rsidR="00015F91" w:rsidRPr="00FD0C96" w:rsidRDefault="00626E14" w:rsidP="00626E14">
      <w:pPr>
        <w:spacing w:after="0" w:line="240" w:lineRule="auto"/>
        <w:jc w:val="both"/>
        <w:rPr>
          <w:rFonts w:ascii="Times New Roman" w:hAnsi="Times New Roman" w:cs="Times New Roman"/>
          <w:sz w:val="24"/>
          <w:szCs w:val="24"/>
        </w:rPr>
      </w:pPr>
      <w:r w:rsidRPr="00FD0C96">
        <w:rPr>
          <w:rFonts w:ascii="Times New Roman" w:hAnsi="Times New Roman" w:cs="Times New Roman"/>
          <w:sz w:val="24"/>
          <w:szCs w:val="24"/>
        </w:rPr>
        <w:tab/>
      </w:r>
    </w:p>
    <w:p w14:paraId="0A8E852E" w14:textId="2F8997EB" w:rsidR="00626E14" w:rsidRPr="0021152B" w:rsidRDefault="00626E14" w:rsidP="00191E2E">
      <w:pPr>
        <w:spacing w:after="0" w:line="240" w:lineRule="auto"/>
        <w:ind w:firstLine="720"/>
        <w:jc w:val="both"/>
        <w:rPr>
          <w:rFonts w:ascii="Times New Roman" w:hAnsi="Times New Roman" w:cs="Times New Roman"/>
          <w:sz w:val="24"/>
          <w:szCs w:val="24"/>
        </w:rPr>
      </w:pPr>
      <w:r w:rsidRPr="0021152B">
        <w:rPr>
          <w:rFonts w:ascii="Times New Roman" w:hAnsi="Times New Roman"/>
          <w:b/>
          <w:sz w:val="24"/>
        </w:rPr>
        <w:t>Satversmes tiesa</w:t>
      </w:r>
      <w:r w:rsidRPr="0021152B">
        <w:rPr>
          <w:rFonts w:ascii="Times New Roman" w:hAnsi="Times New Roman" w:cs="Times New Roman"/>
          <w:sz w:val="24"/>
          <w:szCs w:val="24"/>
        </w:rPr>
        <w:t xml:space="preserve"> ir neatkarīga tiesu varas institūcija, kas izskata lietas par likumu un citu normatīvo aktu atbilstību Satversmei, kā arī citas ar likumu tās kompetencē nodotās lietas. Satversmes tiesas spriedumam, ar kuru tiek atzīta par spēkā neesošu tiesību norma vai tiesību akts, var būt ietekme uz budžetu, ja grozījumi tiesību aktos ietekmē kādas grupas tiesību apjomu, ko tās var saņemt no valsts. Satversmes tiesas praksē daudzkārt bija princips, ka attiecībā uz pieteicēju prettiesiskā tiesību norma tiek atzīta par spēkā neesošu ar atpakaļejošu datumu (tātad uz pieteicēju prettiesiskā norma nav piemērojama), tajā pašā laikā attiecībā uz citām personām tiesību norma var tikt atzīta par spēkā neesošu gan no sprieduma spēkā stāšanās, gan ar atpakaļejošu datumu vai no kāda cita tiesas noteikta datuma nākotnē, vadoties no lietas materiāliem. Piemēram, Satversmes tiesa 2010.gadā atzina </w:t>
      </w:r>
      <w:hyperlink r:id="rId10" w:tgtFrame="_blank" w:history="1">
        <w:r w:rsidRPr="0021152B">
          <w:rPr>
            <w:rFonts w:ascii="Times New Roman" w:hAnsi="Times New Roman" w:cs="Times New Roman"/>
            <w:sz w:val="24"/>
            <w:szCs w:val="24"/>
          </w:rPr>
          <w:t>Prokuroru izdienas pensiju likuma</w:t>
        </w:r>
      </w:hyperlink>
      <w:r w:rsidRPr="0021152B">
        <w:rPr>
          <w:rFonts w:ascii="Times New Roman" w:hAnsi="Times New Roman" w:cs="Times New Roman"/>
          <w:sz w:val="24"/>
          <w:szCs w:val="24"/>
        </w:rPr>
        <w:t xml:space="preserve"> pārejas noteikumu </w:t>
      </w:r>
      <w:hyperlink r:id="rId11" w:anchor="p8" w:tgtFrame="_blank" w:history="1">
        <w:r w:rsidRPr="0021152B">
          <w:rPr>
            <w:rFonts w:ascii="Times New Roman" w:hAnsi="Times New Roman" w:cs="Times New Roman"/>
            <w:sz w:val="24"/>
            <w:szCs w:val="24"/>
          </w:rPr>
          <w:t>8.punktu</w:t>
        </w:r>
      </w:hyperlink>
      <w:r w:rsidRPr="0021152B">
        <w:rPr>
          <w:rStyle w:val="FootnoteReference"/>
          <w:rFonts w:ascii="Times New Roman" w:hAnsi="Times New Roman" w:cs="Times New Roman"/>
          <w:sz w:val="24"/>
          <w:szCs w:val="24"/>
        </w:rPr>
        <w:footnoteReference w:id="13"/>
      </w:r>
      <w:r w:rsidRPr="0021152B">
        <w:rPr>
          <w:rFonts w:ascii="Times New Roman" w:hAnsi="Times New Roman" w:cs="Times New Roman"/>
          <w:sz w:val="24"/>
          <w:szCs w:val="24"/>
        </w:rPr>
        <w:t xml:space="preserve"> par neatbilstošu Satversmei un spēkā neesošu no pieņemšanas brīža. Vienlaikus Satversmes tiesa nolēma, ka jāizstrādā kārtība, kādā atlīdzināmi ieturējumi, kas veikti, pamatojoties </w:t>
      </w:r>
      <w:r w:rsidR="00C15724">
        <w:rPr>
          <w:rFonts w:ascii="Times New Roman" w:hAnsi="Times New Roman" w:cs="Times New Roman"/>
          <w:sz w:val="24"/>
          <w:szCs w:val="24"/>
        </w:rPr>
        <w:t xml:space="preserve">uz </w:t>
      </w:r>
      <w:r w:rsidRPr="0021152B">
        <w:rPr>
          <w:rFonts w:ascii="Times New Roman" w:hAnsi="Times New Roman" w:cs="Times New Roman"/>
          <w:sz w:val="24"/>
          <w:szCs w:val="24"/>
        </w:rPr>
        <w:t xml:space="preserve">normatīvā akta </w:t>
      </w:r>
      <w:r w:rsidR="00F1200E">
        <w:rPr>
          <w:rFonts w:ascii="Times New Roman" w:hAnsi="Times New Roman" w:cs="Times New Roman"/>
          <w:sz w:val="24"/>
          <w:szCs w:val="24"/>
        </w:rPr>
        <w:t>8.</w:t>
      </w:r>
      <w:r w:rsidRPr="0021152B">
        <w:rPr>
          <w:rFonts w:ascii="Times New Roman" w:hAnsi="Times New Roman" w:cs="Times New Roman"/>
          <w:sz w:val="24"/>
          <w:szCs w:val="24"/>
        </w:rPr>
        <w:t xml:space="preserve">punktu, jo tūlītēja sprieduma izpilde varētu radīt nelabvēlīgas sekas visai sabiedrībai. Ja Satversmes tiesa neizlemtu ar šā sprieduma izpildi saistītos jautājumus, proti, nenoteiktu brīdi, kad apstrīdētā norma zaudē savu spēku, tad veidotos tāda situācija, kas varētu apdraudēt valsts budžeta stabilitāti, turklāt rastos neskaidrība par to, kad tieši uzsākama, cik ilgi un kādā kārtībā veicama uz apstrīdētās normas pamata ieturētās pensijas daļas izmaksāšana. </w:t>
      </w:r>
    </w:p>
    <w:p w14:paraId="1897DE1A" w14:textId="40B83B8E" w:rsidR="00626E14" w:rsidRPr="0021152B" w:rsidRDefault="00626E14" w:rsidP="00626E14">
      <w:pPr>
        <w:spacing w:line="240" w:lineRule="auto"/>
        <w:ind w:firstLine="720"/>
        <w:jc w:val="both"/>
        <w:rPr>
          <w:rFonts w:ascii="Times New Roman" w:eastAsiaTheme="minorHAnsi" w:hAnsi="Times New Roman" w:cs="Times New Roman"/>
          <w:sz w:val="24"/>
          <w:szCs w:val="24"/>
        </w:rPr>
      </w:pPr>
      <w:r w:rsidRPr="0021152B">
        <w:rPr>
          <w:rFonts w:ascii="Times New Roman" w:hAnsi="Times New Roman" w:cs="Times New Roman"/>
          <w:sz w:val="24"/>
          <w:szCs w:val="24"/>
        </w:rPr>
        <w:t xml:space="preserve">Līdz ar to Satversmes tiesa, pieņemot spriedumu, apzinās un vērtē, ka tiesību normas atzīšana par spēkā neesošu rada ietekmi uz budžetu, sabiedrību un administratīvajām procedūrām, tāpēc spriedumā arī norāda „pāreju” uz jauno regulējumu. Zemāk tabulā </w:t>
      </w:r>
      <w:r w:rsidRPr="0021152B">
        <w:rPr>
          <w:rFonts w:ascii="Times New Roman" w:eastAsiaTheme="minorHAnsi" w:hAnsi="Times New Roman" w:cs="Times New Roman"/>
          <w:sz w:val="24"/>
          <w:szCs w:val="24"/>
        </w:rPr>
        <w:t xml:space="preserve">ir apkopots piešķirtais finansējums </w:t>
      </w:r>
      <w:r w:rsidR="00690E31">
        <w:rPr>
          <w:rFonts w:ascii="Times New Roman" w:eastAsiaTheme="minorHAnsi" w:hAnsi="Times New Roman" w:cs="Times New Roman"/>
          <w:sz w:val="24"/>
          <w:szCs w:val="24"/>
        </w:rPr>
        <w:t xml:space="preserve">no budžeta programmas “Līdzekļi neparedzētiem gadījumiem” </w:t>
      </w:r>
      <w:r w:rsidRPr="0021152B">
        <w:rPr>
          <w:rFonts w:ascii="Times New Roman" w:eastAsiaTheme="minorHAnsi" w:hAnsi="Times New Roman" w:cs="Times New Roman"/>
          <w:sz w:val="24"/>
          <w:szCs w:val="24"/>
        </w:rPr>
        <w:t xml:space="preserve">Satversmes tiesas spriedumu izpildei, kas norāda, ka 10 gadu laikā </w:t>
      </w:r>
      <w:r w:rsidR="00EE7F1D">
        <w:rPr>
          <w:rFonts w:ascii="Times New Roman" w:eastAsiaTheme="minorHAnsi" w:hAnsi="Times New Roman" w:cs="Times New Roman"/>
          <w:sz w:val="24"/>
          <w:szCs w:val="24"/>
        </w:rPr>
        <w:t xml:space="preserve">tikai </w:t>
      </w:r>
      <w:r w:rsidRPr="0021152B">
        <w:rPr>
          <w:rFonts w:ascii="Times New Roman" w:eastAsiaTheme="minorHAnsi" w:hAnsi="Times New Roman" w:cs="Times New Roman"/>
          <w:sz w:val="24"/>
          <w:szCs w:val="24"/>
        </w:rPr>
        <w:t xml:space="preserve">atsevišķos gados ir bijuši tiesas spriedumu izpildes gadījumi. Ja fiskālā ietekme ir neliela, finansējums tiesu spriedumu izpildei tiek piešķirts no budžeta programmas "Līdzekļi neparedzētiem gadījumiem", </w:t>
      </w:r>
      <w:r w:rsidRPr="0021152B">
        <w:rPr>
          <w:rFonts w:ascii="Times New Roman" w:hAnsi="Times New Roman" w:cs="Times New Roman"/>
          <w:sz w:val="24"/>
          <w:szCs w:val="24"/>
        </w:rPr>
        <w:t>kas nepasliktina vispārējās valdības budžeta bilanci</w:t>
      </w:r>
      <w:r w:rsidRPr="0021152B">
        <w:rPr>
          <w:rFonts w:ascii="Times New Roman" w:eastAsiaTheme="minorHAnsi" w:hAnsi="Times New Roman" w:cs="Times New Roman"/>
          <w:sz w:val="24"/>
          <w:szCs w:val="24"/>
        </w:rPr>
        <w:t>. Pēdējo reizi šāda ne</w:t>
      </w:r>
      <w:r w:rsidR="00771E46" w:rsidRPr="0021152B">
        <w:rPr>
          <w:rFonts w:ascii="Times New Roman" w:eastAsiaTheme="minorHAnsi" w:hAnsi="Times New Roman" w:cs="Times New Roman"/>
          <w:sz w:val="24"/>
          <w:szCs w:val="24"/>
        </w:rPr>
        <w:t>pieciešamība bija 2012.</w:t>
      </w:r>
      <w:r w:rsidRPr="0021152B">
        <w:rPr>
          <w:rFonts w:ascii="Times New Roman" w:eastAsiaTheme="minorHAnsi" w:hAnsi="Times New Roman" w:cs="Times New Roman"/>
          <w:sz w:val="24"/>
          <w:szCs w:val="24"/>
        </w:rPr>
        <w:t>gadā. Šajā gadījumā tas nav uzskatāms par fiskālo risku šīs deklarācijas izpratnē.</w:t>
      </w:r>
    </w:p>
    <w:p w14:paraId="09C3EB88" w14:textId="5EF50A68" w:rsidR="00626E14" w:rsidRPr="0021152B" w:rsidRDefault="00626E14" w:rsidP="00626E14">
      <w:pPr>
        <w:spacing w:line="240" w:lineRule="auto"/>
        <w:jc w:val="right"/>
        <w:rPr>
          <w:rFonts w:ascii="Times New Roman" w:hAnsi="Times New Roman" w:cs="Times New Roman"/>
          <w:b/>
          <w:sz w:val="24"/>
          <w:szCs w:val="24"/>
        </w:rPr>
      </w:pPr>
      <w:r w:rsidRPr="0021152B">
        <w:rPr>
          <w:rFonts w:ascii="Times New Roman" w:hAnsi="Times New Roman" w:cs="Times New Roman"/>
          <w:b/>
          <w:sz w:val="24"/>
          <w:szCs w:val="24"/>
        </w:rPr>
        <w:t xml:space="preserve">Tabula Nr. </w:t>
      </w:r>
      <w:r w:rsidR="00594149" w:rsidRPr="0021152B">
        <w:rPr>
          <w:rFonts w:ascii="Times New Roman" w:hAnsi="Times New Roman" w:cs="Times New Roman"/>
          <w:b/>
          <w:sz w:val="24"/>
          <w:szCs w:val="24"/>
        </w:rPr>
        <w:t>1</w:t>
      </w:r>
      <w:r w:rsidR="00CD5476">
        <w:rPr>
          <w:rFonts w:ascii="Times New Roman" w:hAnsi="Times New Roman" w:cs="Times New Roman"/>
          <w:b/>
          <w:sz w:val="24"/>
          <w:szCs w:val="24"/>
        </w:rPr>
        <w:t>3</w:t>
      </w:r>
      <w:r w:rsidRPr="0021152B">
        <w:rPr>
          <w:rFonts w:ascii="Times New Roman" w:hAnsi="Times New Roman" w:cs="Times New Roman"/>
          <w:b/>
          <w:sz w:val="24"/>
          <w:szCs w:val="24"/>
        </w:rPr>
        <w:t xml:space="preserve"> Piešķirtais finansējums Satversmes tiesu spriedumu izpildei, </w:t>
      </w:r>
      <w:r w:rsidRPr="0021152B">
        <w:rPr>
          <w:rFonts w:ascii="Times New Roman" w:hAnsi="Times New Roman" w:cs="Times New Roman"/>
          <w:b/>
          <w:i/>
          <w:sz w:val="24"/>
          <w:szCs w:val="24"/>
        </w:rPr>
        <w:t>euro</w:t>
      </w:r>
    </w:p>
    <w:tbl>
      <w:tblPr>
        <w:tblStyle w:val="GridTable6Colorful-Accent1"/>
        <w:tblW w:w="0" w:type="auto"/>
        <w:jc w:val="center"/>
        <w:tblLook w:val="04A0" w:firstRow="1" w:lastRow="0" w:firstColumn="1" w:lastColumn="0" w:noHBand="0" w:noVBand="1"/>
      </w:tblPr>
      <w:tblGrid>
        <w:gridCol w:w="1564"/>
        <w:gridCol w:w="2689"/>
        <w:gridCol w:w="2689"/>
      </w:tblGrid>
      <w:tr w:rsidR="00626E14" w:rsidRPr="0021152B" w14:paraId="224C25BA" w14:textId="77777777" w:rsidTr="006B73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14:paraId="3C2F7C46" w14:textId="77777777" w:rsidR="00626E14" w:rsidRPr="0021152B" w:rsidRDefault="00626E14" w:rsidP="00120DF9">
            <w:pPr>
              <w:jc w:val="center"/>
              <w:rPr>
                <w:rFonts w:ascii="Times New Roman" w:hAnsi="Times New Roman" w:cs="Times New Roman"/>
                <w:color w:val="000000" w:themeColor="text1"/>
              </w:rPr>
            </w:pPr>
            <w:r w:rsidRPr="0021152B">
              <w:rPr>
                <w:rFonts w:ascii="Times New Roman" w:hAnsi="Times New Roman" w:cs="Times New Roman"/>
                <w:color w:val="000000" w:themeColor="text1"/>
              </w:rPr>
              <w:t>Gads</w:t>
            </w:r>
          </w:p>
        </w:tc>
        <w:tc>
          <w:tcPr>
            <w:tcW w:w="2689" w:type="dxa"/>
          </w:tcPr>
          <w:p w14:paraId="04BF684B" w14:textId="77777777" w:rsidR="00626E14" w:rsidRPr="0021152B" w:rsidRDefault="00626E14" w:rsidP="00626E1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Piešķirtais finansējums</w:t>
            </w:r>
          </w:p>
        </w:tc>
        <w:tc>
          <w:tcPr>
            <w:tcW w:w="2689" w:type="dxa"/>
          </w:tcPr>
          <w:p w14:paraId="3E10B713" w14:textId="77777777" w:rsidR="00626E14" w:rsidRPr="0021152B" w:rsidRDefault="00626E14" w:rsidP="00626E1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Tiesas spriedumu skaits</w:t>
            </w:r>
          </w:p>
        </w:tc>
      </w:tr>
      <w:tr w:rsidR="00626E14" w:rsidRPr="0021152B" w14:paraId="68731455" w14:textId="77777777" w:rsidTr="006B73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14:paraId="5E501188" w14:textId="77777777" w:rsidR="00626E14" w:rsidRPr="0021152B" w:rsidRDefault="00626E14" w:rsidP="00120DF9">
            <w:pPr>
              <w:jc w:val="center"/>
              <w:rPr>
                <w:rFonts w:ascii="Times New Roman" w:hAnsi="Times New Roman" w:cs="Times New Roman"/>
                <w:color w:val="000000" w:themeColor="text1"/>
              </w:rPr>
            </w:pPr>
            <w:r w:rsidRPr="0021152B">
              <w:rPr>
                <w:rFonts w:ascii="Times New Roman" w:hAnsi="Times New Roman" w:cs="Times New Roman"/>
                <w:color w:val="000000" w:themeColor="text1"/>
              </w:rPr>
              <w:t>2006</w:t>
            </w:r>
          </w:p>
        </w:tc>
        <w:tc>
          <w:tcPr>
            <w:tcW w:w="2689" w:type="dxa"/>
          </w:tcPr>
          <w:p w14:paraId="40BD7AC1" w14:textId="77777777" w:rsidR="00626E14" w:rsidRPr="0021152B" w:rsidRDefault="00626E14" w:rsidP="00120D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227 372</w:t>
            </w:r>
          </w:p>
        </w:tc>
        <w:tc>
          <w:tcPr>
            <w:tcW w:w="2689" w:type="dxa"/>
          </w:tcPr>
          <w:p w14:paraId="401B0A9E" w14:textId="77777777" w:rsidR="00626E14" w:rsidRPr="0021152B" w:rsidRDefault="00626E14" w:rsidP="00120D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1</w:t>
            </w:r>
          </w:p>
        </w:tc>
      </w:tr>
      <w:tr w:rsidR="00626E14" w:rsidRPr="0021152B" w14:paraId="00C5CC8E" w14:textId="77777777" w:rsidTr="006B73E8">
        <w:trPr>
          <w:jc w:val="center"/>
        </w:trPr>
        <w:tc>
          <w:tcPr>
            <w:cnfStyle w:val="001000000000" w:firstRow="0" w:lastRow="0" w:firstColumn="1" w:lastColumn="0" w:oddVBand="0" w:evenVBand="0" w:oddHBand="0" w:evenHBand="0" w:firstRowFirstColumn="0" w:firstRowLastColumn="0" w:lastRowFirstColumn="0" w:lastRowLastColumn="0"/>
            <w:tcW w:w="1564" w:type="dxa"/>
          </w:tcPr>
          <w:p w14:paraId="21DFDEEB" w14:textId="77777777" w:rsidR="00626E14" w:rsidRPr="0021152B" w:rsidRDefault="00626E14" w:rsidP="00120DF9">
            <w:pPr>
              <w:jc w:val="center"/>
              <w:rPr>
                <w:rFonts w:ascii="Times New Roman" w:hAnsi="Times New Roman" w:cs="Times New Roman"/>
                <w:color w:val="000000" w:themeColor="text1"/>
              </w:rPr>
            </w:pPr>
            <w:r w:rsidRPr="0021152B">
              <w:rPr>
                <w:rFonts w:ascii="Times New Roman" w:hAnsi="Times New Roman" w:cs="Times New Roman"/>
                <w:color w:val="000000" w:themeColor="text1"/>
              </w:rPr>
              <w:t>2009</w:t>
            </w:r>
          </w:p>
        </w:tc>
        <w:tc>
          <w:tcPr>
            <w:tcW w:w="2689" w:type="dxa"/>
          </w:tcPr>
          <w:p w14:paraId="24778F46" w14:textId="77777777" w:rsidR="00626E14" w:rsidRPr="0021152B" w:rsidRDefault="00626E14" w:rsidP="00120D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3 780 529</w:t>
            </w:r>
          </w:p>
        </w:tc>
        <w:tc>
          <w:tcPr>
            <w:tcW w:w="2689" w:type="dxa"/>
          </w:tcPr>
          <w:p w14:paraId="19C04939" w14:textId="77777777" w:rsidR="00626E14" w:rsidRPr="0021152B" w:rsidRDefault="00626E14" w:rsidP="00120D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2</w:t>
            </w:r>
          </w:p>
        </w:tc>
      </w:tr>
      <w:tr w:rsidR="00626E14" w:rsidRPr="0021152B" w14:paraId="76F18667" w14:textId="77777777" w:rsidTr="006B73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14:paraId="3F450395" w14:textId="77777777" w:rsidR="00626E14" w:rsidRPr="0021152B" w:rsidRDefault="00626E14" w:rsidP="00120DF9">
            <w:pPr>
              <w:jc w:val="center"/>
              <w:rPr>
                <w:rFonts w:ascii="Times New Roman" w:hAnsi="Times New Roman" w:cs="Times New Roman"/>
                <w:color w:val="000000" w:themeColor="text1"/>
              </w:rPr>
            </w:pPr>
            <w:r w:rsidRPr="0021152B">
              <w:rPr>
                <w:rFonts w:ascii="Times New Roman" w:hAnsi="Times New Roman" w:cs="Times New Roman"/>
                <w:color w:val="000000" w:themeColor="text1"/>
              </w:rPr>
              <w:t>2010</w:t>
            </w:r>
          </w:p>
        </w:tc>
        <w:tc>
          <w:tcPr>
            <w:tcW w:w="2689" w:type="dxa"/>
          </w:tcPr>
          <w:p w14:paraId="55A7341C" w14:textId="77777777" w:rsidR="00626E14" w:rsidRPr="0021152B" w:rsidRDefault="00626E14" w:rsidP="00120D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565 954</w:t>
            </w:r>
          </w:p>
        </w:tc>
        <w:tc>
          <w:tcPr>
            <w:tcW w:w="2689" w:type="dxa"/>
          </w:tcPr>
          <w:p w14:paraId="0A86F855" w14:textId="77777777" w:rsidR="00626E14" w:rsidRPr="0021152B" w:rsidRDefault="00626E14" w:rsidP="00120D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3</w:t>
            </w:r>
          </w:p>
        </w:tc>
      </w:tr>
      <w:tr w:rsidR="00626E14" w:rsidRPr="0021152B" w14:paraId="7DEB5E65" w14:textId="77777777" w:rsidTr="006B73E8">
        <w:trPr>
          <w:jc w:val="center"/>
        </w:trPr>
        <w:tc>
          <w:tcPr>
            <w:cnfStyle w:val="001000000000" w:firstRow="0" w:lastRow="0" w:firstColumn="1" w:lastColumn="0" w:oddVBand="0" w:evenVBand="0" w:oddHBand="0" w:evenHBand="0" w:firstRowFirstColumn="0" w:firstRowLastColumn="0" w:lastRowFirstColumn="0" w:lastRowLastColumn="0"/>
            <w:tcW w:w="1564" w:type="dxa"/>
          </w:tcPr>
          <w:p w14:paraId="2ABE2018" w14:textId="77777777" w:rsidR="00626E14" w:rsidRPr="0021152B" w:rsidRDefault="00626E14" w:rsidP="00120DF9">
            <w:pPr>
              <w:jc w:val="center"/>
              <w:rPr>
                <w:rFonts w:ascii="Times New Roman" w:hAnsi="Times New Roman" w:cs="Times New Roman"/>
                <w:color w:val="000000" w:themeColor="text1"/>
              </w:rPr>
            </w:pPr>
            <w:r w:rsidRPr="0021152B">
              <w:rPr>
                <w:rFonts w:ascii="Times New Roman" w:hAnsi="Times New Roman" w:cs="Times New Roman"/>
                <w:color w:val="000000" w:themeColor="text1"/>
              </w:rPr>
              <w:t>2012</w:t>
            </w:r>
          </w:p>
        </w:tc>
        <w:tc>
          <w:tcPr>
            <w:tcW w:w="2689" w:type="dxa"/>
          </w:tcPr>
          <w:p w14:paraId="5AE20A2A" w14:textId="77777777" w:rsidR="00626E14" w:rsidRPr="0021152B" w:rsidRDefault="00626E14" w:rsidP="00120D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44 618</w:t>
            </w:r>
          </w:p>
        </w:tc>
        <w:tc>
          <w:tcPr>
            <w:tcW w:w="2689" w:type="dxa"/>
          </w:tcPr>
          <w:p w14:paraId="2CACD81B" w14:textId="77777777" w:rsidR="00626E14" w:rsidRPr="0021152B" w:rsidRDefault="00626E14" w:rsidP="00120D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1152B">
              <w:rPr>
                <w:rFonts w:ascii="Times New Roman" w:hAnsi="Times New Roman" w:cs="Times New Roman"/>
                <w:color w:val="000000" w:themeColor="text1"/>
              </w:rPr>
              <w:t>1</w:t>
            </w:r>
          </w:p>
        </w:tc>
      </w:tr>
    </w:tbl>
    <w:p w14:paraId="0D2CB471" w14:textId="77777777" w:rsidR="00FC0011" w:rsidRDefault="00FC0011" w:rsidP="00626E14">
      <w:pPr>
        <w:spacing w:after="0" w:line="240" w:lineRule="auto"/>
        <w:ind w:firstLine="720"/>
        <w:jc w:val="both"/>
        <w:rPr>
          <w:rFonts w:ascii="Times New Roman" w:eastAsiaTheme="minorHAnsi" w:hAnsi="Times New Roman" w:cs="Times New Roman"/>
          <w:sz w:val="24"/>
          <w:szCs w:val="24"/>
        </w:rPr>
      </w:pPr>
    </w:p>
    <w:p w14:paraId="635EC51D" w14:textId="000CFC03" w:rsidR="00626E14" w:rsidRPr="0021152B" w:rsidRDefault="00626E14" w:rsidP="00626E14">
      <w:pPr>
        <w:spacing w:after="0" w:line="240" w:lineRule="auto"/>
        <w:ind w:firstLine="720"/>
        <w:jc w:val="both"/>
        <w:rPr>
          <w:rFonts w:ascii="Times New Roman" w:eastAsiaTheme="minorHAnsi" w:hAnsi="Times New Roman" w:cs="Times New Roman"/>
          <w:sz w:val="24"/>
          <w:szCs w:val="24"/>
        </w:rPr>
      </w:pPr>
      <w:r w:rsidRPr="0021152B">
        <w:rPr>
          <w:rFonts w:ascii="Times New Roman" w:eastAsiaTheme="minorHAnsi" w:hAnsi="Times New Roman" w:cs="Times New Roman"/>
          <w:sz w:val="24"/>
          <w:szCs w:val="24"/>
        </w:rPr>
        <w:t>Fiskālais risks ir saistīts ar tādiem Satversmes tiesas spriedumiem, kam ir būtiska fiskālā ietekme</w:t>
      </w:r>
      <w:r w:rsidR="008F7AFE" w:rsidRPr="0021152B">
        <w:rPr>
          <w:rFonts w:ascii="Times New Roman" w:eastAsiaTheme="minorHAnsi" w:hAnsi="Times New Roman" w:cs="Times New Roman"/>
          <w:sz w:val="24"/>
          <w:szCs w:val="24"/>
        </w:rPr>
        <w:t xml:space="preserve"> un to</w:t>
      </w:r>
      <w:r w:rsidRPr="0021152B">
        <w:rPr>
          <w:rFonts w:ascii="Times New Roman" w:eastAsiaTheme="minorHAnsi" w:hAnsi="Times New Roman" w:cs="Times New Roman"/>
          <w:sz w:val="24"/>
          <w:szCs w:val="24"/>
        </w:rPr>
        <w:t xml:space="preserve"> nevar segt no budžeta programmas "Līdzekļi neparedzētiem gadījumiem". Tomēr, kā tika atzīmēts iepriekš, parasti Satversmes tiesa dod iespēju valstij sagatavoties papildu izdevumu nodrošināšanai. Tādā gadījumā tos iespējams plānot nākamajā </w:t>
      </w:r>
      <w:r w:rsidR="00E950D6">
        <w:rPr>
          <w:rFonts w:ascii="Times New Roman" w:eastAsiaTheme="minorHAnsi" w:hAnsi="Times New Roman" w:cs="Times New Roman"/>
          <w:sz w:val="24"/>
          <w:szCs w:val="24"/>
        </w:rPr>
        <w:t>VTBIL</w:t>
      </w:r>
      <w:r w:rsidRPr="0021152B">
        <w:rPr>
          <w:rFonts w:ascii="Times New Roman" w:eastAsiaTheme="minorHAnsi" w:hAnsi="Times New Roman" w:cs="Times New Roman"/>
          <w:sz w:val="24"/>
          <w:szCs w:val="24"/>
        </w:rPr>
        <w:t xml:space="preserve">. </w:t>
      </w:r>
      <w:r w:rsidR="00690E31">
        <w:rPr>
          <w:rFonts w:ascii="Times New Roman" w:eastAsiaTheme="minorHAnsi" w:hAnsi="Times New Roman" w:cs="Times New Roman"/>
          <w:sz w:val="24"/>
          <w:szCs w:val="24"/>
        </w:rPr>
        <w:t xml:space="preserve">Piemēram, 2021., 2022. un 2023.gadam tika ieplānots finansējums </w:t>
      </w:r>
      <w:r w:rsidR="00690E31" w:rsidRPr="00DE7A4F">
        <w:rPr>
          <w:rFonts w:ascii="Times New Roman" w:hAnsi="Times New Roman" w:cs="Times New Roman"/>
          <w:sz w:val="24"/>
          <w:szCs w:val="24"/>
        </w:rPr>
        <w:t>Satversmes tiesas spriedumu izpildei labklājības jomā</w:t>
      </w:r>
      <w:r w:rsidR="00690E31">
        <w:rPr>
          <w:rFonts w:ascii="Times New Roman" w:eastAsiaTheme="minorHAnsi" w:hAnsi="Times New Roman" w:cs="Times New Roman"/>
          <w:sz w:val="24"/>
          <w:szCs w:val="24"/>
        </w:rPr>
        <w:t xml:space="preserve">. </w:t>
      </w:r>
      <w:r w:rsidRPr="0021152B">
        <w:rPr>
          <w:rFonts w:ascii="Times New Roman" w:eastAsiaTheme="minorHAnsi" w:hAnsi="Times New Roman" w:cs="Times New Roman"/>
          <w:sz w:val="24"/>
          <w:szCs w:val="24"/>
        </w:rPr>
        <w:t xml:space="preserve">Arī šajā gadījumā tas nav fiskālais risks. Fiskālais risks būtu vienīgi tajā gadījumā, ja Satversmes tiesas spriedums izraisītu nekavējošu nepieciešamību segt fiskāli nozīmīgus izdevumus. Pašlaik nav </w:t>
      </w:r>
      <w:r w:rsidR="0066417D" w:rsidRPr="0021152B">
        <w:rPr>
          <w:rFonts w:ascii="Times New Roman" w:eastAsiaTheme="minorHAnsi" w:hAnsi="Times New Roman" w:cs="Times New Roman"/>
          <w:sz w:val="24"/>
          <w:szCs w:val="24"/>
        </w:rPr>
        <w:t xml:space="preserve">identificēti </w:t>
      </w:r>
      <w:r w:rsidRPr="0021152B">
        <w:rPr>
          <w:rFonts w:ascii="Times New Roman" w:eastAsiaTheme="minorHAnsi" w:hAnsi="Times New Roman" w:cs="Times New Roman"/>
          <w:sz w:val="24"/>
          <w:szCs w:val="24"/>
        </w:rPr>
        <w:t xml:space="preserve">gadījumi, kur šāds fiskālais risks būtu materializējies. </w:t>
      </w:r>
    </w:p>
    <w:p w14:paraId="45BCE1DF" w14:textId="799D33C9" w:rsidR="00C64A7F" w:rsidRDefault="00626E14" w:rsidP="00D93A49">
      <w:pPr>
        <w:spacing w:after="0" w:line="240" w:lineRule="auto"/>
        <w:ind w:firstLine="720"/>
        <w:jc w:val="both"/>
        <w:rPr>
          <w:rFonts w:ascii="Times New Roman" w:eastAsiaTheme="minorHAnsi" w:hAnsi="Times New Roman" w:cs="Times New Roman"/>
          <w:sz w:val="24"/>
          <w:szCs w:val="24"/>
        </w:rPr>
      </w:pPr>
      <w:r w:rsidRPr="0021152B">
        <w:rPr>
          <w:rFonts w:ascii="Times New Roman" w:eastAsiaTheme="minorHAnsi" w:hAnsi="Times New Roman" w:cs="Times New Roman"/>
          <w:sz w:val="24"/>
          <w:szCs w:val="24"/>
        </w:rPr>
        <w:lastRenderedPageBreak/>
        <w:t xml:space="preserve">Kopumā fiskālajam riskam par starptautisko tiesu un Satversmes tiesas spriedumu izpildi papildu nepieciešamo pasākumu ietvaros fiskālā riska seku mazināšanai ir svarīgi veikt savlaicīgu analīzi par tiesvedībām, vērtējot valstij nelabvēlīga lēmuma iespējamību un fiskālo ietekmi. </w:t>
      </w:r>
    </w:p>
    <w:p w14:paraId="789072D2" w14:textId="77777777" w:rsidR="00A52F14" w:rsidRDefault="00A52F14" w:rsidP="00D93A49">
      <w:pPr>
        <w:spacing w:after="0" w:line="240" w:lineRule="auto"/>
        <w:ind w:firstLine="720"/>
        <w:jc w:val="both"/>
        <w:rPr>
          <w:rFonts w:ascii="Times New Roman" w:eastAsiaTheme="minorHAnsi" w:hAnsi="Times New Roman" w:cs="Times New Roman"/>
          <w:sz w:val="24"/>
          <w:szCs w:val="24"/>
        </w:rPr>
      </w:pPr>
    </w:p>
    <w:p w14:paraId="69DA2CBF" w14:textId="77777777" w:rsidR="0004105F" w:rsidRPr="00413C62" w:rsidRDefault="004D24C1" w:rsidP="0030420E">
      <w:pPr>
        <w:pStyle w:val="Heading2"/>
        <w:numPr>
          <w:ilvl w:val="1"/>
          <w:numId w:val="4"/>
        </w:numPr>
        <w:tabs>
          <w:tab w:val="left" w:pos="3261"/>
        </w:tabs>
        <w:spacing w:before="120" w:after="120" w:line="240" w:lineRule="auto"/>
        <w:ind w:left="567" w:hanging="501"/>
        <w:jc w:val="center"/>
        <w:rPr>
          <w:rFonts w:ascii="Times New Roman" w:hAnsi="Times New Roman" w:cs="Times New Roman"/>
          <w:bCs w:val="0"/>
          <w:color w:val="auto"/>
          <w:sz w:val="24"/>
          <w:szCs w:val="24"/>
        </w:rPr>
      </w:pPr>
      <w:bookmarkStart w:id="129" w:name="_Toc79678166"/>
      <w:bookmarkStart w:id="130" w:name="_Toc80036215"/>
      <w:bookmarkStart w:id="131" w:name="_Toc80036282"/>
      <w:bookmarkStart w:id="132" w:name="_Toc80106103"/>
      <w:bookmarkStart w:id="133" w:name="_Toc536779072"/>
      <w:bookmarkStart w:id="134" w:name="_Toc80111863"/>
      <w:bookmarkStart w:id="135" w:name="_Toc405371088"/>
      <w:bookmarkEnd w:id="129"/>
      <w:bookmarkEnd w:id="130"/>
      <w:bookmarkEnd w:id="131"/>
      <w:bookmarkEnd w:id="132"/>
      <w:r w:rsidRPr="00413C62">
        <w:rPr>
          <w:rFonts w:ascii="Times New Roman" w:hAnsi="Times New Roman" w:cs="Times New Roman"/>
          <w:bCs w:val="0"/>
          <w:color w:val="auto"/>
          <w:sz w:val="24"/>
          <w:szCs w:val="24"/>
        </w:rPr>
        <w:t>F</w:t>
      </w:r>
      <w:r w:rsidR="0004105F" w:rsidRPr="00413C62">
        <w:rPr>
          <w:rFonts w:ascii="Times New Roman" w:hAnsi="Times New Roman" w:cs="Times New Roman"/>
          <w:bCs w:val="0"/>
          <w:color w:val="auto"/>
          <w:sz w:val="24"/>
          <w:szCs w:val="24"/>
        </w:rPr>
        <w:t>inanšu sektor</w:t>
      </w:r>
      <w:r w:rsidRPr="00413C62">
        <w:rPr>
          <w:rFonts w:ascii="Times New Roman" w:hAnsi="Times New Roman" w:cs="Times New Roman"/>
          <w:bCs w:val="0"/>
          <w:color w:val="auto"/>
          <w:sz w:val="24"/>
          <w:szCs w:val="24"/>
        </w:rPr>
        <w:t>s</w:t>
      </w:r>
      <w:bookmarkEnd w:id="133"/>
      <w:bookmarkEnd w:id="134"/>
    </w:p>
    <w:p w14:paraId="71F38F00" w14:textId="193D6F35" w:rsidR="00AB5BFA" w:rsidRPr="00413C62" w:rsidRDefault="00C15ED2" w:rsidP="00317771">
      <w:pPr>
        <w:spacing w:after="0" w:line="240" w:lineRule="auto"/>
        <w:ind w:firstLine="720"/>
        <w:jc w:val="both"/>
        <w:rPr>
          <w:rFonts w:ascii="Times New Roman" w:hAnsi="Times New Roman"/>
          <w:sz w:val="24"/>
          <w:szCs w:val="24"/>
        </w:rPr>
      </w:pPr>
      <w:r w:rsidRPr="00413C62">
        <w:rPr>
          <w:rFonts w:ascii="Times New Roman" w:hAnsi="Times New Roman"/>
          <w:sz w:val="24"/>
          <w:szCs w:val="24"/>
        </w:rPr>
        <w:t>G</w:t>
      </w:r>
      <w:r w:rsidR="00AB5BFA" w:rsidRPr="00413C62">
        <w:rPr>
          <w:rFonts w:ascii="Times New Roman" w:hAnsi="Times New Roman"/>
          <w:sz w:val="24"/>
          <w:szCs w:val="24"/>
        </w:rPr>
        <w:t xml:space="preserve">lobālā finanšu krīze būtiski ietekmēja ES finanšu sistēmas stabilitāti un uzticēšanos tai, kā arī parādīja šādu notikumu negatīvos pārneses efektus uz publiskajām finansēm, kā rezultātā vairākām ES dalībvalstīm, tai skaitā Latvijai nācās lūgt finansiālo palīdzību starptautiskajiem partneriem. </w:t>
      </w:r>
    </w:p>
    <w:p w14:paraId="27C1D742" w14:textId="77777777" w:rsidR="00AB5BFA" w:rsidRPr="00413C62" w:rsidRDefault="00AB5BFA">
      <w:pPr>
        <w:spacing w:after="0" w:line="240" w:lineRule="auto"/>
        <w:ind w:firstLine="720"/>
        <w:jc w:val="both"/>
        <w:rPr>
          <w:rFonts w:ascii="Times New Roman" w:hAnsi="Times New Roman"/>
          <w:sz w:val="24"/>
          <w:szCs w:val="24"/>
        </w:rPr>
      </w:pPr>
      <w:r w:rsidRPr="00413C62">
        <w:rPr>
          <w:rFonts w:ascii="Times New Roman" w:hAnsi="Times New Roman"/>
          <w:sz w:val="24"/>
          <w:szCs w:val="24"/>
        </w:rPr>
        <w:t xml:space="preserve">Lai mazinātu iespējamu līdzīgu notikumu atkārtošanos nākotnē, bija nepieciešams veikt būtiskus ES līmeņa uzlabojumus banku darbības regulējumā un uzraudzībā, kā arī mazināt banku sektora un publiskā sektora savstarpējo atkarību. </w:t>
      </w:r>
    </w:p>
    <w:p w14:paraId="526BB3F3" w14:textId="7C6A9A3C" w:rsidR="00AB5BFA" w:rsidRPr="00413C62" w:rsidRDefault="00AB5BFA">
      <w:pPr>
        <w:spacing w:after="0" w:line="240" w:lineRule="auto"/>
        <w:ind w:firstLine="720"/>
        <w:jc w:val="both"/>
        <w:rPr>
          <w:rFonts w:ascii="Times New Roman" w:hAnsi="Times New Roman"/>
          <w:sz w:val="24"/>
          <w:szCs w:val="24"/>
        </w:rPr>
      </w:pPr>
      <w:r w:rsidRPr="00413C62">
        <w:rPr>
          <w:rFonts w:ascii="Times New Roman" w:hAnsi="Times New Roman"/>
          <w:sz w:val="24"/>
          <w:szCs w:val="24"/>
        </w:rPr>
        <w:t xml:space="preserve">Tādejādi ES līmenī ir izveidota Banku </w:t>
      </w:r>
      <w:r w:rsidR="00835CFD" w:rsidRPr="00413C62">
        <w:rPr>
          <w:rFonts w:ascii="Times New Roman" w:hAnsi="Times New Roman"/>
          <w:sz w:val="24"/>
          <w:szCs w:val="24"/>
        </w:rPr>
        <w:t>s</w:t>
      </w:r>
      <w:r w:rsidRPr="00413C62">
        <w:rPr>
          <w:rFonts w:ascii="Times New Roman" w:hAnsi="Times New Roman"/>
          <w:sz w:val="24"/>
          <w:szCs w:val="24"/>
        </w:rPr>
        <w:t xml:space="preserve">avienība </w:t>
      </w:r>
      <w:r w:rsidR="00974C98" w:rsidRPr="00413C62">
        <w:rPr>
          <w:rFonts w:ascii="Times New Roman" w:hAnsi="Times New Roman"/>
          <w:sz w:val="24"/>
          <w:szCs w:val="24"/>
        </w:rPr>
        <w:t>–</w:t>
      </w:r>
      <w:r w:rsidRPr="00413C62">
        <w:rPr>
          <w:rFonts w:ascii="Times New Roman" w:hAnsi="Times New Roman"/>
          <w:sz w:val="24"/>
          <w:szCs w:val="24"/>
        </w:rPr>
        <w:t xml:space="preserve"> uzraudzības un noregulējuma sistēma ar mērķi nodrošināt, ka banku sektors ir drošs un ka kredītiestādes tiek noregulētas, neizmantojot nodokļu maksātāju naudu un radot</w:t>
      </w:r>
      <w:r w:rsidR="00D519D8" w:rsidRPr="00413C62">
        <w:rPr>
          <w:rFonts w:ascii="Times New Roman" w:hAnsi="Times New Roman"/>
          <w:sz w:val="24"/>
          <w:szCs w:val="24"/>
        </w:rPr>
        <w:t xml:space="preserve"> pēc iespējas mazāku</w:t>
      </w:r>
      <w:r w:rsidRPr="00413C62">
        <w:rPr>
          <w:rFonts w:ascii="Times New Roman" w:hAnsi="Times New Roman"/>
          <w:sz w:val="24"/>
          <w:szCs w:val="24"/>
        </w:rPr>
        <w:t xml:space="preserve"> negatīvo ietekmi uz ekonomiku. </w:t>
      </w:r>
    </w:p>
    <w:p w14:paraId="08E35B3B" w14:textId="1ED89777" w:rsidR="00AB5BFA" w:rsidRPr="00413C62" w:rsidRDefault="00AB5BFA">
      <w:pPr>
        <w:spacing w:after="0" w:line="240" w:lineRule="auto"/>
        <w:ind w:firstLine="720"/>
        <w:jc w:val="both"/>
        <w:rPr>
          <w:rFonts w:ascii="Times New Roman" w:hAnsi="Times New Roman"/>
          <w:sz w:val="24"/>
          <w:szCs w:val="24"/>
        </w:rPr>
      </w:pPr>
      <w:r w:rsidRPr="00413C62">
        <w:rPr>
          <w:rFonts w:ascii="Times New Roman" w:hAnsi="Times New Roman"/>
          <w:sz w:val="24"/>
          <w:szCs w:val="24"/>
        </w:rPr>
        <w:t xml:space="preserve">Viens no Banku </w:t>
      </w:r>
      <w:r w:rsidR="00835CFD" w:rsidRPr="00413C62">
        <w:rPr>
          <w:rFonts w:ascii="Times New Roman" w:hAnsi="Times New Roman"/>
          <w:sz w:val="24"/>
          <w:szCs w:val="24"/>
        </w:rPr>
        <w:t>s</w:t>
      </w:r>
      <w:r w:rsidRPr="00413C62">
        <w:rPr>
          <w:rFonts w:ascii="Times New Roman" w:hAnsi="Times New Roman"/>
          <w:sz w:val="24"/>
          <w:szCs w:val="24"/>
        </w:rPr>
        <w:t xml:space="preserve">avienības veidojošajiem elementiem ir </w:t>
      </w:r>
      <w:r w:rsidRPr="00413C62">
        <w:rPr>
          <w:rFonts w:ascii="Times New Roman" w:hAnsi="Times New Roman"/>
          <w:b/>
          <w:sz w:val="24"/>
          <w:szCs w:val="24"/>
        </w:rPr>
        <w:t>Vienotais noregulējuma mehānisms</w:t>
      </w:r>
      <w:r w:rsidRPr="00413C62">
        <w:rPr>
          <w:rFonts w:ascii="Times New Roman" w:hAnsi="Times New Roman"/>
          <w:sz w:val="24"/>
          <w:szCs w:val="24"/>
        </w:rPr>
        <w:t>, kas sastāv no Vienotā noregulējuma valdes un Vienotā noregulējuma fonda. Vienotā noregulējuma fonda mērķis ir nodrošināt papildu atbalstu finansiālās problēmās nonākušu banku reorganizācijai un plānveida noregulējumam, kad banku akcionāru un kreditoru dzēsto prasījumu apmērs nav pietiekams, lai novērstu tās maksātnespēju. Vienotais noregulējuma fonds ir izveidots un tā darbība pilnā apmērā notiks pēc pārejas perioda beigām. Pārejas perioda be</w:t>
      </w:r>
      <w:r w:rsidR="00903CE1" w:rsidRPr="00413C62">
        <w:rPr>
          <w:rFonts w:ascii="Times New Roman" w:hAnsi="Times New Roman"/>
          <w:sz w:val="24"/>
          <w:szCs w:val="24"/>
        </w:rPr>
        <w:t>igās tam ir jāsasniedz vismaz 1</w:t>
      </w:r>
      <w:r w:rsidRPr="00413C62">
        <w:rPr>
          <w:rFonts w:ascii="Times New Roman" w:hAnsi="Times New Roman"/>
          <w:sz w:val="24"/>
          <w:szCs w:val="24"/>
        </w:rPr>
        <w:t xml:space="preserve">% no visu kredītiestāžu segto noguldījumu summas, t.i. apmēram </w:t>
      </w:r>
      <w:r w:rsidR="00820CDD" w:rsidRPr="00413C62">
        <w:rPr>
          <w:rFonts w:ascii="Times New Roman" w:hAnsi="Times New Roman"/>
          <w:sz w:val="24"/>
          <w:szCs w:val="24"/>
        </w:rPr>
        <w:t>60</w:t>
      </w:r>
      <w:r w:rsidR="00903CE1" w:rsidRPr="00413C62">
        <w:rPr>
          <w:rFonts w:ascii="Times New Roman" w:hAnsi="Times New Roman"/>
          <w:sz w:val="24"/>
          <w:szCs w:val="24"/>
        </w:rPr>
        <w:t xml:space="preserve"> m</w:t>
      </w:r>
      <w:r w:rsidRPr="00413C62">
        <w:rPr>
          <w:rFonts w:ascii="Times New Roman" w:hAnsi="Times New Roman"/>
          <w:sz w:val="24"/>
          <w:szCs w:val="24"/>
        </w:rPr>
        <w:t>lj</w:t>
      </w:r>
      <w:r w:rsidR="00903CE1" w:rsidRPr="00413C62">
        <w:rPr>
          <w:rFonts w:ascii="Times New Roman" w:hAnsi="Times New Roman"/>
          <w:sz w:val="24"/>
          <w:szCs w:val="24"/>
        </w:rPr>
        <w:t>rd.</w:t>
      </w:r>
      <w:r w:rsidRPr="00413C62">
        <w:rPr>
          <w:rFonts w:ascii="Times New Roman" w:hAnsi="Times New Roman"/>
          <w:sz w:val="24"/>
          <w:szCs w:val="24"/>
        </w:rPr>
        <w:t xml:space="preserve"> </w:t>
      </w:r>
      <w:r w:rsidRPr="00413C62">
        <w:rPr>
          <w:rFonts w:ascii="Times New Roman" w:hAnsi="Times New Roman"/>
          <w:i/>
          <w:sz w:val="24"/>
          <w:szCs w:val="24"/>
        </w:rPr>
        <w:t>euro</w:t>
      </w:r>
      <w:r w:rsidRPr="00413C62">
        <w:rPr>
          <w:rFonts w:ascii="Times New Roman" w:hAnsi="Times New Roman"/>
          <w:sz w:val="24"/>
          <w:szCs w:val="24"/>
        </w:rPr>
        <w:t xml:space="preserve">. Lai izvairītos no situācijas, kad kredītiestādes noregulējumam ir nepieciešami līdzekļi no Vienotā noregulējuma fonda, bet iemaksātie līdzekļi nav pietiekami, ir izveidots pagaidu mehānisms – aizdevums Vienotā noregulējuma valdei no valsts budžeta līdzekļiem. Līdz ar to, gadījumā, ja kāda no Latvijas </w:t>
      </w:r>
      <w:r w:rsidR="00531ADD" w:rsidRPr="00413C62">
        <w:rPr>
          <w:rFonts w:ascii="Times New Roman" w:hAnsi="Times New Roman"/>
          <w:sz w:val="24"/>
          <w:szCs w:val="24"/>
        </w:rPr>
        <w:t>būtiskajām</w:t>
      </w:r>
      <w:r w:rsidRPr="00413C62">
        <w:rPr>
          <w:rFonts w:ascii="Times New Roman" w:hAnsi="Times New Roman"/>
          <w:sz w:val="24"/>
          <w:szCs w:val="24"/>
        </w:rPr>
        <w:t xml:space="preserve"> kredītiestādēm nonāks finansiālās grūtībās un Vienotā noregulējuma valde lems, ka šai kredītiestādei ir jāpiemēro noregulējums, bet Vienotajā noregulējuma fondā nebūs pietiekami līdzekļi, tad iztrūkstošo finansējumu Vienotajai noregulējuma valdei aizdos Latvijas Republika. Vienotais noregulējuma fonds tam aizdotos līdzekļus atmaksās, līdz ar to šis aizdevums būs fiskāli neitrāls.</w:t>
      </w:r>
    </w:p>
    <w:p w14:paraId="1AE8576C" w14:textId="228D96B1" w:rsidR="00F737C0" w:rsidRPr="0037264A" w:rsidRDefault="00F737C0">
      <w:pPr>
        <w:pStyle w:val="ListParagraph"/>
        <w:shd w:val="clear" w:color="auto" w:fill="FFFFFF" w:themeFill="background1"/>
        <w:ind w:left="0" w:firstLine="720"/>
        <w:rPr>
          <w:rFonts w:ascii="Times New Roman" w:hAnsi="Times New Roman"/>
          <w:sz w:val="24"/>
          <w:szCs w:val="24"/>
        </w:rPr>
      </w:pPr>
      <w:r w:rsidRPr="0037264A">
        <w:rPr>
          <w:rFonts w:ascii="Times New Roman" w:hAnsi="Times New Roman"/>
          <w:sz w:val="24"/>
          <w:szCs w:val="24"/>
        </w:rPr>
        <w:t xml:space="preserve">Papildus tiek izveidots pastāvīgs mehānisms situācijai, kad Fondā iemaksātie līdzekļi nav pietiekami viena vai vairāku noregulējumu veikšanai – publiskā atbalsta instruments. 2018.gadā </w:t>
      </w:r>
      <w:r w:rsidRPr="0037264A">
        <w:rPr>
          <w:rFonts w:ascii="Times New Roman" w:hAnsi="Times New Roman"/>
          <w:i/>
          <w:sz w:val="24"/>
          <w:szCs w:val="24"/>
        </w:rPr>
        <w:t>Euro</w:t>
      </w:r>
      <w:r w:rsidRPr="0037264A">
        <w:rPr>
          <w:rFonts w:ascii="Times New Roman" w:hAnsi="Times New Roman"/>
          <w:sz w:val="24"/>
          <w:szCs w:val="24"/>
        </w:rPr>
        <w:t xml:space="preserve"> samita sanāksmēs tika panākta vienošanās, ka publiskā atbalsta sniedzējs ir ESM, sniedzot rekurentu</w:t>
      </w:r>
      <w:r w:rsidRPr="0037264A">
        <w:rPr>
          <w:rStyle w:val="FootnoteReference"/>
          <w:rFonts w:ascii="Times New Roman" w:hAnsi="Times New Roman"/>
          <w:sz w:val="24"/>
          <w:szCs w:val="24"/>
        </w:rPr>
        <w:footnoteReference w:id="14"/>
      </w:r>
      <w:r w:rsidRPr="0037264A">
        <w:rPr>
          <w:rFonts w:ascii="Times New Roman" w:hAnsi="Times New Roman"/>
          <w:sz w:val="24"/>
          <w:szCs w:val="24"/>
        </w:rPr>
        <w:t xml:space="preserve"> kredītlīniju</w:t>
      </w:r>
      <w:r w:rsidRPr="0037264A">
        <w:t xml:space="preserve"> </w:t>
      </w:r>
      <w:r w:rsidRPr="0037264A">
        <w:rPr>
          <w:rFonts w:ascii="Times New Roman" w:hAnsi="Times New Roman"/>
          <w:sz w:val="24"/>
          <w:szCs w:val="24"/>
        </w:rPr>
        <w:t xml:space="preserve">Vienotajam noregulējuma fondam. </w:t>
      </w:r>
      <w:r w:rsidR="00B21814">
        <w:rPr>
          <w:rFonts w:ascii="Times New Roman" w:hAnsi="Times New Roman"/>
          <w:sz w:val="24"/>
          <w:szCs w:val="24"/>
        </w:rPr>
        <w:t xml:space="preserve">Savukārt </w:t>
      </w:r>
      <w:r w:rsidR="00B21814" w:rsidRPr="00DD0BF5">
        <w:rPr>
          <w:rFonts w:ascii="Times New Roman" w:eastAsia="Times New Roman" w:hAnsi="Times New Roman"/>
          <w:i/>
          <w:color w:val="000000" w:themeColor="text1"/>
          <w:sz w:val="24"/>
          <w:szCs w:val="24"/>
          <w:lang w:eastAsia="lv-LV"/>
        </w:rPr>
        <w:t>Euro</w:t>
      </w:r>
      <w:r w:rsidR="00B21814" w:rsidRPr="00DD0BF5">
        <w:rPr>
          <w:rFonts w:ascii="Times New Roman" w:eastAsia="Times New Roman" w:hAnsi="Times New Roman"/>
          <w:color w:val="000000" w:themeColor="text1"/>
          <w:sz w:val="24"/>
          <w:szCs w:val="24"/>
          <w:lang w:eastAsia="lv-LV"/>
        </w:rPr>
        <w:t xml:space="preserve"> grupas iekļaujošā formātā 2020.gada 30.novembra </w:t>
      </w:r>
      <w:r w:rsidR="00B21814">
        <w:rPr>
          <w:rFonts w:ascii="Times New Roman" w:eastAsia="Times New Roman" w:hAnsi="Times New Roman"/>
          <w:color w:val="000000" w:themeColor="text1"/>
          <w:sz w:val="24"/>
          <w:szCs w:val="24"/>
          <w:lang w:eastAsia="lv-LV"/>
        </w:rPr>
        <w:t xml:space="preserve">sanāksmes laikā </w:t>
      </w:r>
      <w:r w:rsidR="00B21814" w:rsidRPr="00DD0BF5">
        <w:rPr>
          <w:rFonts w:ascii="Times New Roman" w:eastAsia="Times New Roman" w:hAnsi="Times New Roman"/>
          <w:color w:val="000000" w:themeColor="text1"/>
          <w:sz w:val="24"/>
          <w:szCs w:val="24"/>
          <w:lang w:eastAsia="lv-LV"/>
        </w:rPr>
        <w:t xml:space="preserve">finanšu ministri </w:t>
      </w:r>
      <w:r w:rsidR="00B21814">
        <w:rPr>
          <w:rFonts w:ascii="Times New Roman" w:eastAsia="Times New Roman" w:hAnsi="Times New Roman"/>
          <w:color w:val="000000" w:themeColor="text1"/>
          <w:sz w:val="24"/>
          <w:szCs w:val="24"/>
          <w:lang w:eastAsia="lv-LV"/>
        </w:rPr>
        <w:t>vienojās</w:t>
      </w:r>
      <w:r w:rsidR="00B21814" w:rsidRPr="00DD0BF5">
        <w:rPr>
          <w:rFonts w:ascii="Times New Roman" w:eastAsia="Times New Roman" w:hAnsi="Times New Roman"/>
          <w:color w:val="000000" w:themeColor="text1"/>
          <w:sz w:val="24"/>
          <w:szCs w:val="24"/>
          <w:lang w:eastAsia="lv-LV"/>
        </w:rPr>
        <w:t xml:space="preserve"> par kopīgā atbalsta mehānisma agrīno ieviešanu ne vēlāk kā līdz 2022.gada sākumam.</w:t>
      </w:r>
      <w:r w:rsidR="00B21814">
        <w:rPr>
          <w:rFonts w:ascii="Times New Roman" w:eastAsia="Times New Roman" w:hAnsi="Times New Roman"/>
          <w:color w:val="000000" w:themeColor="text1"/>
          <w:sz w:val="24"/>
          <w:szCs w:val="24"/>
          <w:lang w:eastAsia="lv-LV"/>
        </w:rPr>
        <w:t xml:space="preserve"> </w:t>
      </w:r>
    </w:p>
    <w:p w14:paraId="5D449BEB" w14:textId="78D426F8" w:rsidR="00AB5BFA" w:rsidRDefault="00974C98" w:rsidP="009A26AA">
      <w:pPr>
        <w:spacing w:after="0" w:line="240" w:lineRule="auto"/>
        <w:ind w:firstLine="720"/>
        <w:jc w:val="both"/>
        <w:rPr>
          <w:rFonts w:ascii="Times New Roman" w:hAnsi="Times New Roman"/>
          <w:sz w:val="24"/>
          <w:szCs w:val="24"/>
        </w:rPr>
      </w:pPr>
      <w:r w:rsidRPr="00F737C0">
        <w:rPr>
          <w:rFonts w:ascii="Times New Roman" w:hAnsi="Times New Roman"/>
          <w:sz w:val="24"/>
          <w:szCs w:val="24"/>
        </w:rPr>
        <w:t>Ņemot vērā, ka</w:t>
      </w:r>
      <w:r w:rsidR="00AB5BFA" w:rsidRPr="00F737C0">
        <w:rPr>
          <w:rFonts w:ascii="Times New Roman" w:hAnsi="Times New Roman"/>
          <w:sz w:val="24"/>
          <w:szCs w:val="24"/>
        </w:rPr>
        <w:t xml:space="preserve"> Banku </w:t>
      </w:r>
      <w:r w:rsidR="00835CFD" w:rsidRPr="00F737C0">
        <w:rPr>
          <w:rFonts w:ascii="Times New Roman" w:hAnsi="Times New Roman"/>
          <w:sz w:val="24"/>
          <w:szCs w:val="24"/>
        </w:rPr>
        <w:t>s</w:t>
      </w:r>
      <w:r w:rsidR="00AB5BFA" w:rsidRPr="00F737C0">
        <w:rPr>
          <w:rFonts w:ascii="Times New Roman" w:hAnsi="Times New Roman"/>
          <w:sz w:val="24"/>
          <w:szCs w:val="24"/>
        </w:rPr>
        <w:t>avienība</w:t>
      </w:r>
      <w:r w:rsidR="005E20B5" w:rsidRPr="00F737C0">
        <w:rPr>
          <w:rFonts w:ascii="Times New Roman" w:hAnsi="Times New Roman"/>
          <w:sz w:val="24"/>
          <w:szCs w:val="24"/>
        </w:rPr>
        <w:t xml:space="preserve"> ir izveidota</w:t>
      </w:r>
      <w:r w:rsidR="00AB5BFA" w:rsidRPr="00F737C0">
        <w:rPr>
          <w:rFonts w:ascii="Times New Roman" w:hAnsi="Times New Roman"/>
          <w:sz w:val="24"/>
          <w:szCs w:val="24"/>
        </w:rPr>
        <w:t xml:space="preserve"> ar mērķi mazināt risku, ka banku noregulēšanās būs jāizmanto publiskais finansējums, ar finanšu sektoru saistītie fiskālie riski nākotnē ir vērtējami kā zemi un līdz ar to pašlaik nav pamata šī fiskālā riska kvantificēšanai.</w:t>
      </w:r>
    </w:p>
    <w:p w14:paraId="7D38B8A9" w14:textId="57E9ACA0" w:rsidR="00974C98" w:rsidRPr="00F737C0" w:rsidRDefault="00974C98" w:rsidP="009A26AA">
      <w:pPr>
        <w:spacing w:after="0" w:line="240" w:lineRule="auto"/>
        <w:ind w:firstLine="720"/>
        <w:jc w:val="both"/>
        <w:rPr>
          <w:rFonts w:ascii="Times New Roman" w:hAnsi="Times New Roman"/>
          <w:sz w:val="24"/>
          <w:szCs w:val="24"/>
        </w:rPr>
      </w:pPr>
      <w:r w:rsidRPr="00F737C0">
        <w:rPr>
          <w:rFonts w:ascii="Times New Roman" w:hAnsi="Times New Roman"/>
          <w:b/>
          <w:sz w:val="24"/>
          <w:szCs w:val="24"/>
        </w:rPr>
        <w:t>Latvijas Noguldījumu garantiju fonds</w:t>
      </w:r>
      <w:r w:rsidRPr="00F737C0">
        <w:rPr>
          <w:rFonts w:ascii="Times New Roman" w:hAnsi="Times New Roman"/>
          <w:sz w:val="24"/>
          <w:szCs w:val="24"/>
        </w:rPr>
        <w:t xml:space="preserve"> ir izveidots un darbojas, pamatojoties uz Noguldījumu garantiju likumu (turpmāk – </w:t>
      </w:r>
      <w:r w:rsidRPr="00396F3A">
        <w:rPr>
          <w:rFonts w:ascii="Times New Roman" w:hAnsi="Times New Roman"/>
          <w:sz w:val="24"/>
          <w:szCs w:val="24"/>
        </w:rPr>
        <w:t>NGL</w:t>
      </w:r>
      <w:r w:rsidRPr="00F737C0">
        <w:rPr>
          <w:rFonts w:ascii="Times New Roman" w:hAnsi="Times New Roman"/>
          <w:sz w:val="24"/>
          <w:szCs w:val="24"/>
        </w:rPr>
        <w:t>). NGL stājās spēkā 1998.gada 1.oktobrī un atbilstoši tam jebkuram Latvijas banku un krājaizdevu</w:t>
      </w:r>
      <w:r w:rsidR="001E18C7" w:rsidRPr="00F737C0">
        <w:rPr>
          <w:rFonts w:ascii="Times New Roman" w:hAnsi="Times New Roman"/>
          <w:sz w:val="24"/>
          <w:szCs w:val="24"/>
        </w:rPr>
        <w:t>mu</w:t>
      </w:r>
      <w:r w:rsidRPr="00F737C0">
        <w:rPr>
          <w:rFonts w:ascii="Times New Roman" w:hAnsi="Times New Roman"/>
          <w:sz w:val="24"/>
          <w:szCs w:val="24"/>
        </w:rPr>
        <w:t xml:space="preserve"> sabiedrību klientam tiek nodrošināta atlīdzības izmaksa par visu veidu noguldījumiem visās valūtās līdz 100</w:t>
      </w:r>
      <w:r w:rsidR="00FD692A" w:rsidRPr="00F737C0">
        <w:rPr>
          <w:rFonts w:ascii="Times New Roman" w:hAnsi="Times New Roman"/>
          <w:sz w:val="24"/>
          <w:szCs w:val="24"/>
        </w:rPr>
        <w:t> </w:t>
      </w:r>
      <w:r w:rsidRPr="00F737C0">
        <w:rPr>
          <w:rFonts w:ascii="Times New Roman" w:hAnsi="Times New Roman"/>
          <w:sz w:val="24"/>
          <w:szCs w:val="24"/>
        </w:rPr>
        <w:t xml:space="preserve">000 </w:t>
      </w:r>
      <w:r w:rsidRPr="00F737C0">
        <w:rPr>
          <w:rFonts w:ascii="Times New Roman" w:hAnsi="Times New Roman"/>
          <w:i/>
          <w:sz w:val="24"/>
          <w:szCs w:val="24"/>
        </w:rPr>
        <w:t>euro</w:t>
      </w:r>
      <w:r w:rsidRPr="00F737C0">
        <w:rPr>
          <w:rFonts w:ascii="Times New Roman" w:hAnsi="Times New Roman"/>
          <w:sz w:val="24"/>
          <w:szCs w:val="24"/>
        </w:rPr>
        <w:t xml:space="preserve"> katrā bankā vai krājaizdevu</w:t>
      </w:r>
      <w:r w:rsidR="001E18C7" w:rsidRPr="00F737C0">
        <w:rPr>
          <w:rFonts w:ascii="Times New Roman" w:hAnsi="Times New Roman"/>
          <w:sz w:val="24"/>
          <w:szCs w:val="24"/>
        </w:rPr>
        <w:t>mu</w:t>
      </w:r>
      <w:r w:rsidRPr="00F737C0">
        <w:rPr>
          <w:rFonts w:ascii="Times New Roman" w:hAnsi="Times New Roman"/>
          <w:sz w:val="24"/>
          <w:szCs w:val="24"/>
        </w:rPr>
        <w:t xml:space="preserve"> sabiedrībā, ja ir iestājusies šo līdzekļu nepieejamība. Līdzekļu nepieejamība iestājas gadījumos, kad noguldījumu garantiju sistēmas dalībnieks nespēj klientam izmaksāt viņa noguldījumu un </w:t>
      </w:r>
      <w:r w:rsidR="00017C77" w:rsidRPr="00F737C0">
        <w:rPr>
          <w:rFonts w:ascii="Times New Roman" w:hAnsi="Times New Roman"/>
          <w:sz w:val="24"/>
          <w:szCs w:val="24"/>
        </w:rPr>
        <w:t xml:space="preserve">Finanšu un kapitāla tirgus komisija (turpmāk – </w:t>
      </w:r>
      <w:r w:rsidRPr="00396F3A">
        <w:rPr>
          <w:rFonts w:ascii="Times New Roman" w:hAnsi="Times New Roman"/>
          <w:sz w:val="24"/>
          <w:szCs w:val="24"/>
        </w:rPr>
        <w:t>FKTK</w:t>
      </w:r>
      <w:r w:rsidR="00017C77" w:rsidRPr="00F737C0">
        <w:rPr>
          <w:rFonts w:ascii="Times New Roman" w:hAnsi="Times New Roman"/>
          <w:sz w:val="24"/>
          <w:szCs w:val="24"/>
        </w:rPr>
        <w:t>)</w:t>
      </w:r>
      <w:r w:rsidRPr="00F737C0">
        <w:rPr>
          <w:rFonts w:ascii="Times New Roman" w:hAnsi="Times New Roman"/>
          <w:sz w:val="24"/>
          <w:szCs w:val="24"/>
        </w:rPr>
        <w:t xml:space="preserve"> noguldījumu piesaistītājam anulējusi licenci vai tiesa pasludinājusi to par maksātnespējīgu, vai citā gadījumā, kad FKTK ir konstatējusi, ka noguldījumu piesaistītā</w:t>
      </w:r>
      <w:r w:rsidR="00FD692A" w:rsidRPr="00F737C0">
        <w:rPr>
          <w:rFonts w:ascii="Times New Roman" w:hAnsi="Times New Roman"/>
          <w:sz w:val="24"/>
          <w:szCs w:val="24"/>
        </w:rPr>
        <w:t>js nespēj izmaksāt noguldītājam</w:t>
      </w:r>
      <w:r w:rsidRPr="00F737C0">
        <w:rPr>
          <w:rFonts w:ascii="Times New Roman" w:hAnsi="Times New Roman"/>
          <w:sz w:val="24"/>
          <w:szCs w:val="24"/>
        </w:rPr>
        <w:t xml:space="preserve"> noguldījumu, un pieņēmusi lēmumu par noguldījumu nepieejamības iestāšanos.</w:t>
      </w:r>
    </w:p>
    <w:p w14:paraId="50B58D6A" w14:textId="5E13DB9A" w:rsidR="00F737C0" w:rsidRDefault="00F737C0" w:rsidP="009A26AA">
      <w:pPr>
        <w:spacing w:after="0" w:line="240" w:lineRule="auto"/>
        <w:ind w:firstLine="720"/>
        <w:jc w:val="both"/>
        <w:rPr>
          <w:rFonts w:ascii="Times New Roman" w:hAnsi="Times New Roman"/>
          <w:sz w:val="24"/>
          <w:szCs w:val="24"/>
        </w:rPr>
      </w:pPr>
      <w:r w:rsidRPr="0037264A">
        <w:rPr>
          <w:rFonts w:ascii="Times New Roman" w:hAnsi="Times New Roman"/>
          <w:sz w:val="24"/>
          <w:szCs w:val="24"/>
        </w:rPr>
        <w:lastRenderedPageBreak/>
        <w:t xml:space="preserve">2017.gadā saistībā ar metodoloģiskajām izmaiņām CSP, pamatojoties uz ES statistikas biroja </w:t>
      </w:r>
      <w:r w:rsidRPr="0037264A">
        <w:rPr>
          <w:rFonts w:ascii="Times New Roman" w:hAnsi="Times New Roman"/>
          <w:i/>
          <w:sz w:val="24"/>
          <w:szCs w:val="24"/>
        </w:rPr>
        <w:t>Eurostat</w:t>
      </w:r>
      <w:r w:rsidRPr="0037264A">
        <w:rPr>
          <w:rFonts w:ascii="Times New Roman" w:hAnsi="Times New Roman"/>
          <w:sz w:val="24"/>
          <w:szCs w:val="24"/>
        </w:rPr>
        <w:t xml:space="preserve"> ieteikumu, attiecināja </w:t>
      </w:r>
      <w:r w:rsidR="006674BB">
        <w:rPr>
          <w:rFonts w:ascii="Times New Roman" w:hAnsi="Times New Roman"/>
          <w:sz w:val="24"/>
          <w:szCs w:val="24"/>
        </w:rPr>
        <w:t>NGF</w:t>
      </w:r>
      <w:r w:rsidRPr="0037264A">
        <w:rPr>
          <w:rFonts w:ascii="Times New Roman" w:hAnsi="Times New Roman"/>
          <w:sz w:val="24"/>
          <w:szCs w:val="24"/>
        </w:rPr>
        <w:t xml:space="preserve"> darbības plūsmas uz vispārējās valdības sektoru. Izmaiņu rezultātā </w:t>
      </w:r>
      <w:r w:rsidR="006674BB">
        <w:rPr>
          <w:rFonts w:ascii="Times New Roman" w:hAnsi="Times New Roman"/>
          <w:sz w:val="24"/>
          <w:szCs w:val="24"/>
        </w:rPr>
        <w:t>NGF</w:t>
      </w:r>
      <w:r w:rsidRPr="0037264A">
        <w:rPr>
          <w:rFonts w:ascii="Times New Roman" w:hAnsi="Times New Roman"/>
          <w:sz w:val="24"/>
          <w:szCs w:val="24"/>
        </w:rPr>
        <w:t xml:space="preserve"> saņemtie ikgadējie maksājumi no noguldītāju piesaistītāju (t.i. banku un krājaizdevumu sabiedrību) maksājumiem un līdzekļu pārvaldīšanā gūtajiem ienākumiem tiek uzskaitīti kā vispārējās valdības ieņēmumi. Savukārt gadījumos, kuros fonds atzīst neatgūstamās prasības, par attiecīgo summu tiek uzskaitīti vispārējās valdības izdevumi. Tā piemēram, 2011.gadā saistībā ar Latvijas Krājbankas maksātnespēju un sekojošo likvidāciju ir atzīti neatgūstamie līdzekļi, kas </w:t>
      </w:r>
      <w:r>
        <w:rPr>
          <w:rFonts w:ascii="Times New Roman" w:hAnsi="Times New Roman"/>
          <w:sz w:val="24"/>
          <w:szCs w:val="24"/>
        </w:rPr>
        <w:t xml:space="preserve">būtiski </w:t>
      </w:r>
      <w:r w:rsidRPr="0037264A">
        <w:rPr>
          <w:rFonts w:ascii="Times New Roman" w:hAnsi="Times New Roman"/>
          <w:sz w:val="24"/>
          <w:szCs w:val="24"/>
        </w:rPr>
        <w:t>pasliktina attiecīgā gada vispārējās valdības budžeta bilanci</w:t>
      </w:r>
      <w:r w:rsidR="00CD5476">
        <w:rPr>
          <w:rFonts w:ascii="Times New Roman" w:hAnsi="Times New Roman"/>
          <w:sz w:val="24"/>
          <w:szCs w:val="24"/>
        </w:rPr>
        <w:t xml:space="preserve"> (sk tabulu Nr.14</w:t>
      </w:r>
      <w:r w:rsidR="006210AF">
        <w:rPr>
          <w:rFonts w:ascii="Times New Roman" w:hAnsi="Times New Roman"/>
          <w:sz w:val="24"/>
          <w:szCs w:val="24"/>
        </w:rPr>
        <w:t>)</w:t>
      </w:r>
      <w:r w:rsidRPr="0037264A">
        <w:rPr>
          <w:rFonts w:ascii="Times New Roman" w:hAnsi="Times New Roman"/>
          <w:sz w:val="24"/>
          <w:szCs w:val="24"/>
        </w:rPr>
        <w:t>.</w:t>
      </w:r>
      <w:r>
        <w:rPr>
          <w:rFonts w:ascii="Times New Roman" w:hAnsi="Times New Roman"/>
          <w:sz w:val="24"/>
          <w:szCs w:val="24"/>
        </w:rPr>
        <w:t xml:space="preserve"> </w:t>
      </w:r>
    </w:p>
    <w:p w14:paraId="311221B0" w14:textId="36C86681" w:rsidR="006674BB" w:rsidRDefault="006674BB" w:rsidP="009A26AA">
      <w:pPr>
        <w:spacing w:after="0" w:line="240" w:lineRule="auto"/>
        <w:ind w:firstLine="720"/>
        <w:jc w:val="both"/>
        <w:rPr>
          <w:rFonts w:ascii="Times New Roman" w:hAnsi="Times New Roman"/>
          <w:sz w:val="24"/>
          <w:szCs w:val="24"/>
        </w:rPr>
      </w:pPr>
    </w:p>
    <w:p w14:paraId="38FF3CBA" w14:textId="0311F34C" w:rsidR="006674BB" w:rsidRPr="0021152B" w:rsidRDefault="006674BB" w:rsidP="006674BB">
      <w:pPr>
        <w:spacing w:line="240" w:lineRule="auto"/>
        <w:jc w:val="right"/>
        <w:rPr>
          <w:rFonts w:ascii="Times New Roman" w:hAnsi="Times New Roman" w:cs="Times New Roman"/>
          <w:b/>
          <w:sz w:val="24"/>
          <w:szCs w:val="24"/>
        </w:rPr>
      </w:pPr>
      <w:r w:rsidRPr="0021152B">
        <w:rPr>
          <w:rFonts w:ascii="Times New Roman" w:hAnsi="Times New Roman" w:cs="Times New Roman"/>
          <w:b/>
          <w:sz w:val="24"/>
          <w:szCs w:val="24"/>
        </w:rPr>
        <w:t>Tabula Nr. 1</w:t>
      </w:r>
      <w:r w:rsidR="00CD5476">
        <w:rPr>
          <w:rFonts w:ascii="Times New Roman" w:hAnsi="Times New Roman" w:cs="Times New Roman"/>
          <w:b/>
          <w:sz w:val="24"/>
          <w:szCs w:val="24"/>
        </w:rPr>
        <w:t>4</w:t>
      </w:r>
      <w:r w:rsidRPr="0021152B">
        <w:rPr>
          <w:rFonts w:ascii="Times New Roman" w:hAnsi="Times New Roman" w:cs="Times New Roman"/>
          <w:b/>
          <w:sz w:val="24"/>
          <w:szCs w:val="24"/>
        </w:rPr>
        <w:t xml:space="preserve"> </w:t>
      </w:r>
      <w:r>
        <w:rPr>
          <w:rFonts w:ascii="Times New Roman" w:hAnsi="Times New Roman" w:cs="Times New Roman"/>
          <w:b/>
          <w:sz w:val="24"/>
          <w:szCs w:val="24"/>
        </w:rPr>
        <w:t>Noguldījumu garantiju fonda ietekme uz vispārējās valdības budžeta bilanci</w:t>
      </w:r>
      <w:r w:rsidRPr="0021152B">
        <w:rPr>
          <w:rFonts w:ascii="Times New Roman" w:hAnsi="Times New Roman" w:cs="Times New Roman"/>
          <w:b/>
          <w:sz w:val="24"/>
          <w:szCs w:val="24"/>
        </w:rPr>
        <w:t>,</w:t>
      </w:r>
      <w:r>
        <w:rPr>
          <w:rFonts w:ascii="Times New Roman" w:hAnsi="Times New Roman" w:cs="Times New Roman"/>
          <w:b/>
          <w:sz w:val="24"/>
          <w:szCs w:val="24"/>
        </w:rPr>
        <w:t xml:space="preserve"> milj.</w:t>
      </w:r>
      <w:r w:rsidRPr="0021152B">
        <w:rPr>
          <w:rFonts w:ascii="Times New Roman" w:hAnsi="Times New Roman" w:cs="Times New Roman"/>
          <w:b/>
          <w:sz w:val="24"/>
          <w:szCs w:val="24"/>
        </w:rPr>
        <w:t xml:space="preserve"> </w:t>
      </w:r>
      <w:r w:rsidRPr="0021152B">
        <w:rPr>
          <w:rFonts w:ascii="Times New Roman" w:hAnsi="Times New Roman" w:cs="Times New Roman"/>
          <w:b/>
          <w:i/>
          <w:sz w:val="24"/>
          <w:szCs w:val="24"/>
        </w:rPr>
        <w:t>euro</w:t>
      </w:r>
    </w:p>
    <w:tbl>
      <w:tblPr>
        <w:tblStyle w:val="GridTable6Colorful-Accent1"/>
        <w:tblW w:w="10201" w:type="dxa"/>
        <w:jc w:val="center"/>
        <w:tblLayout w:type="fixed"/>
        <w:tblLook w:val="04A0" w:firstRow="1" w:lastRow="0" w:firstColumn="1" w:lastColumn="0" w:noHBand="0" w:noVBand="1"/>
      </w:tblPr>
      <w:tblGrid>
        <w:gridCol w:w="988"/>
        <w:gridCol w:w="658"/>
        <w:gridCol w:w="658"/>
        <w:gridCol w:w="658"/>
        <w:gridCol w:w="658"/>
        <w:gridCol w:w="658"/>
        <w:gridCol w:w="658"/>
        <w:gridCol w:w="658"/>
        <w:gridCol w:w="658"/>
        <w:gridCol w:w="658"/>
        <w:gridCol w:w="658"/>
        <w:gridCol w:w="658"/>
        <w:gridCol w:w="658"/>
        <w:gridCol w:w="658"/>
        <w:gridCol w:w="659"/>
      </w:tblGrid>
      <w:tr w:rsidR="006674BB" w:rsidRPr="0021152B" w14:paraId="51B89A98" w14:textId="4C875059" w:rsidTr="00BB69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32C96C3C" w14:textId="0A791728" w:rsidR="006674BB" w:rsidRPr="0021152B" w:rsidRDefault="006674BB" w:rsidP="000967DB">
            <w:pPr>
              <w:jc w:val="center"/>
              <w:rPr>
                <w:rFonts w:ascii="Times New Roman" w:hAnsi="Times New Roman" w:cs="Times New Roman"/>
                <w:color w:val="000000" w:themeColor="text1"/>
              </w:rPr>
            </w:pPr>
          </w:p>
        </w:tc>
        <w:tc>
          <w:tcPr>
            <w:tcW w:w="658" w:type="dxa"/>
          </w:tcPr>
          <w:p w14:paraId="744A0A44" w14:textId="2230543A"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2007</w:t>
            </w:r>
          </w:p>
        </w:tc>
        <w:tc>
          <w:tcPr>
            <w:tcW w:w="658" w:type="dxa"/>
          </w:tcPr>
          <w:p w14:paraId="5778D60D" w14:textId="103C5937"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2008</w:t>
            </w:r>
          </w:p>
        </w:tc>
        <w:tc>
          <w:tcPr>
            <w:tcW w:w="658" w:type="dxa"/>
          </w:tcPr>
          <w:p w14:paraId="55D04393" w14:textId="3F60C357"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2009</w:t>
            </w:r>
          </w:p>
        </w:tc>
        <w:tc>
          <w:tcPr>
            <w:tcW w:w="658" w:type="dxa"/>
          </w:tcPr>
          <w:p w14:paraId="7B607965" w14:textId="7FA122DA"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2010</w:t>
            </w:r>
          </w:p>
        </w:tc>
        <w:tc>
          <w:tcPr>
            <w:tcW w:w="658" w:type="dxa"/>
          </w:tcPr>
          <w:p w14:paraId="7445D3E5" w14:textId="070B4DB8"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2011</w:t>
            </w:r>
          </w:p>
        </w:tc>
        <w:tc>
          <w:tcPr>
            <w:tcW w:w="658" w:type="dxa"/>
          </w:tcPr>
          <w:p w14:paraId="75F6A832" w14:textId="4D655B6C"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2012</w:t>
            </w:r>
          </w:p>
        </w:tc>
        <w:tc>
          <w:tcPr>
            <w:tcW w:w="658" w:type="dxa"/>
          </w:tcPr>
          <w:p w14:paraId="22A62127" w14:textId="091C89F6"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2013</w:t>
            </w:r>
          </w:p>
        </w:tc>
        <w:tc>
          <w:tcPr>
            <w:tcW w:w="658" w:type="dxa"/>
          </w:tcPr>
          <w:p w14:paraId="4DF1A576" w14:textId="6C3A8583"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2014</w:t>
            </w:r>
          </w:p>
        </w:tc>
        <w:tc>
          <w:tcPr>
            <w:tcW w:w="658" w:type="dxa"/>
          </w:tcPr>
          <w:p w14:paraId="0FA42C7B" w14:textId="40D93C19"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2015</w:t>
            </w:r>
          </w:p>
        </w:tc>
        <w:tc>
          <w:tcPr>
            <w:tcW w:w="658" w:type="dxa"/>
          </w:tcPr>
          <w:p w14:paraId="2143932F" w14:textId="522AFFCC"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2016</w:t>
            </w:r>
          </w:p>
        </w:tc>
        <w:tc>
          <w:tcPr>
            <w:tcW w:w="658" w:type="dxa"/>
          </w:tcPr>
          <w:p w14:paraId="7263DB22" w14:textId="26BFB511"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2017</w:t>
            </w:r>
          </w:p>
        </w:tc>
        <w:tc>
          <w:tcPr>
            <w:tcW w:w="658" w:type="dxa"/>
          </w:tcPr>
          <w:p w14:paraId="7F4FB47B" w14:textId="2F03F0A0"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2018</w:t>
            </w:r>
          </w:p>
        </w:tc>
        <w:tc>
          <w:tcPr>
            <w:tcW w:w="658" w:type="dxa"/>
          </w:tcPr>
          <w:p w14:paraId="69204177" w14:textId="2210AAC7"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2019</w:t>
            </w:r>
          </w:p>
        </w:tc>
        <w:tc>
          <w:tcPr>
            <w:tcW w:w="659" w:type="dxa"/>
          </w:tcPr>
          <w:p w14:paraId="7E224749" w14:textId="7443DCA5" w:rsidR="006674BB" w:rsidRPr="0021152B" w:rsidRDefault="006674BB" w:rsidP="00096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2020</w:t>
            </w:r>
          </w:p>
        </w:tc>
      </w:tr>
      <w:tr w:rsidR="006674BB" w:rsidRPr="0021152B" w14:paraId="3C31673A" w14:textId="0415BD60" w:rsidTr="00BB69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320FAC4F" w14:textId="76F4AC57" w:rsidR="006674BB" w:rsidRPr="0021152B" w:rsidRDefault="006674BB" w:rsidP="006674BB">
            <w:pPr>
              <w:jc w:val="center"/>
              <w:rPr>
                <w:rFonts w:ascii="Times New Roman" w:hAnsi="Times New Roman" w:cs="Times New Roman"/>
                <w:color w:val="000000" w:themeColor="text1"/>
              </w:rPr>
            </w:pPr>
            <w:r>
              <w:rPr>
                <w:rFonts w:ascii="Times New Roman" w:hAnsi="Times New Roman" w:cs="Times New Roman"/>
                <w:color w:val="000000" w:themeColor="text1"/>
              </w:rPr>
              <w:t>Ietekme</w:t>
            </w:r>
          </w:p>
        </w:tc>
        <w:tc>
          <w:tcPr>
            <w:tcW w:w="658" w:type="dxa"/>
            <w:vAlign w:val="bottom"/>
          </w:tcPr>
          <w:p w14:paraId="1E522C8A" w14:textId="43956427"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25,6</w:t>
            </w:r>
          </w:p>
        </w:tc>
        <w:tc>
          <w:tcPr>
            <w:tcW w:w="658" w:type="dxa"/>
            <w:vAlign w:val="bottom"/>
          </w:tcPr>
          <w:p w14:paraId="51837BCE" w14:textId="30A51268"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29,9</w:t>
            </w:r>
          </w:p>
        </w:tc>
        <w:tc>
          <w:tcPr>
            <w:tcW w:w="658" w:type="dxa"/>
            <w:vAlign w:val="bottom"/>
          </w:tcPr>
          <w:p w14:paraId="470BC731" w14:textId="47BFE278"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29,5</w:t>
            </w:r>
          </w:p>
        </w:tc>
        <w:tc>
          <w:tcPr>
            <w:tcW w:w="658" w:type="dxa"/>
            <w:vAlign w:val="bottom"/>
          </w:tcPr>
          <w:p w14:paraId="7CEFA752" w14:textId="275FE266"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35,2</w:t>
            </w:r>
          </w:p>
        </w:tc>
        <w:tc>
          <w:tcPr>
            <w:tcW w:w="658" w:type="dxa"/>
            <w:vAlign w:val="bottom"/>
          </w:tcPr>
          <w:p w14:paraId="44BB5A26" w14:textId="5F0CA900" w:rsidR="006674BB" w:rsidRPr="001D0BDB" w:rsidRDefault="006674BB" w:rsidP="006674BB">
            <w:pPr>
              <w:ind w:right="-77" w:hanging="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-132,8</w:t>
            </w:r>
          </w:p>
        </w:tc>
        <w:tc>
          <w:tcPr>
            <w:tcW w:w="658" w:type="dxa"/>
            <w:vAlign w:val="bottom"/>
          </w:tcPr>
          <w:p w14:paraId="0C3A9E2D" w14:textId="6EE1850C"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40,5</w:t>
            </w:r>
          </w:p>
        </w:tc>
        <w:tc>
          <w:tcPr>
            <w:tcW w:w="658" w:type="dxa"/>
            <w:vAlign w:val="bottom"/>
          </w:tcPr>
          <w:p w14:paraId="2B7931CE" w14:textId="5CBA1D7C"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31,7</w:t>
            </w:r>
          </w:p>
        </w:tc>
        <w:tc>
          <w:tcPr>
            <w:tcW w:w="658" w:type="dxa"/>
            <w:vAlign w:val="bottom"/>
          </w:tcPr>
          <w:p w14:paraId="30237BA3" w14:textId="6B0A0F43"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34,5</w:t>
            </w:r>
          </w:p>
        </w:tc>
        <w:tc>
          <w:tcPr>
            <w:tcW w:w="658" w:type="dxa"/>
            <w:vAlign w:val="bottom"/>
          </w:tcPr>
          <w:p w14:paraId="66496B9F" w14:textId="7BF868C9"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27,5</w:t>
            </w:r>
          </w:p>
        </w:tc>
        <w:tc>
          <w:tcPr>
            <w:tcW w:w="658" w:type="dxa"/>
            <w:vAlign w:val="bottom"/>
          </w:tcPr>
          <w:p w14:paraId="1002EDC8" w14:textId="03D8D325"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15,6</w:t>
            </w:r>
          </w:p>
        </w:tc>
        <w:tc>
          <w:tcPr>
            <w:tcW w:w="658" w:type="dxa"/>
            <w:vAlign w:val="bottom"/>
          </w:tcPr>
          <w:p w14:paraId="0D71EEE3" w14:textId="3028EA1D" w:rsidR="006674BB" w:rsidRPr="001D0BDB" w:rsidRDefault="006674BB" w:rsidP="00BB69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B69DC">
              <w:rPr>
                <w:rFonts w:ascii="Times New Roman" w:hAnsi="Times New Roman" w:cs="Times New Roman"/>
                <w:color w:val="000000"/>
              </w:rPr>
              <w:t>16,7</w:t>
            </w:r>
          </w:p>
        </w:tc>
        <w:tc>
          <w:tcPr>
            <w:tcW w:w="658" w:type="dxa"/>
          </w:tcPr>
          <w:p w14:paraId="38F04597" w14:textId="268EE5B1" w:rsidR="006674BB" w:rsidRPr="00BB69DC" w:rsidRDefault="006674BB" w:rsidP="001D0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B69DC">
              <w:rPr>
                <w:rFonts w:ascii="Times New Roman" w:hAnsi="Times New Roman" w:cs="Times New Roman"/>
                <w:color w:val="000000"/>
              </w:rPr>
              <w:t>14,1</w:t>
            </w:r>
          </w:p>
        </w:tc>
        <w:tc>
          <w:tcPr>
            <w:tcW w:w="658" w:type="dxa"/>
          </w:tcPr>
          <w:p w14:paraId="5F6A7E96" w14:textId="5044F23C" w:rsidR="006674BB" w:rsidRPr="00BB69DC" w:rsidRDefault="006674BB" w:rsidP="001D0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B69DC">
              <w:rPr>
                <w:rFonts w:ascii="Times New Roman" w:hAnsi="Times New Roman" w:cs="Times New Roman"/>
                <w:color w:val="000000"/>
              </w:rPr>
              <w:t>13,5</w:t>
            </w:r>
          </w:p>
        </w:tc>
        <w:tc>
          <w:tcPr>
            <w:tcW w:w="659" w:type="dxa"/>
          </w:tcPr>
          <w:p w14:paraId="510EB71C" w14:textId="7B7C194C" w:rsidR="006674BB" w:rsidRPr="00BB69DC" w:rsidRDefault="006674BB" w:rsidP="00264E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B69DC">
              <w:rPr>
                <w:rFonts w:ascii="Times New Roman" w:hAnsi="Times New Roman" w:cs="Times New Roman"/>
                <w:color w:val="000000"/>
              </w:rPr>
              <w:t>18,4</w:t>
            </w:r>
          </w:p>
        </w:tc>
      </w:tr>
    </w:tbl>
    <w:p w14:paraId="41112DCB" w14:textId="77777777" w:rsidR="006674BB" w:rsidRPr="0037264A" w:rsidRDefault="006674BB" w:rsidP="009A26AA">
      <w:pPr>
        <w:spacing w:after="0" w:line="240" w:lineRule="auto"/>
        <w:ind w:firstLine="720"/>
        <w:jc w:val="both"/>
        <w:rPr>
          <w:rFonts w:ascii="Times New Roman" w:hAnsi="Times New Roman"/>
          <w:sz w:val="24"/>
          <w:szCs w:val="24"/>
        </w:rPr>
      </w:pPr>
    </w:p>
    <w:p w14:paraId="05E54D9E" w14:textId="5C4432AB" w:rsidR="00162F97" w:rsidRPr="00BB69DC" w:rsidRDefault="00162F97" w:rsidP="00BB69DC">
      <w:pPr>
        <w:pStyle w:val="Heading2"/>
        <w:numPr>
          <w:ilvl w:val="1"/>
          <w:numId w:val="4"/>
        </w:numPr>
        <w:tabs>
          <w:tab w:val="left" w:pos="3261"/>
        </w:tabs>
        <w:spacing w:before="120" w:after="120" w:line="240" w:lineRule="auto"/>
        <w:ind w:left="567" w:hanging="501"/>
        <w:jc w:val="center"/>
        <w:rPr>
          <w:rFonts w:ascii="Times New Roman" w:hAnsi="Times New Roman" w:cs="Times New Roman"/>
          <w:b w:val="0"/>
          <w:bCs w:val="0"/>
          <w:sz w:val="24"/>
          <w:szCs w:val="24"/>
        </w:rPr>
      </w:pPr>
      <w:bookmarkStart w:id="136" w:name="_Toc79678168"/>
      <w:bookmarkStart w:id="137" w:name="_Toc80036217"/>
      <w:bookmarkStart w:id="138" w:name="_Toc80036284"/>
      <w:bookmarkStart w:id="139" w:name="_Toc80106105"/>
      <w:bookmarkStart w:id="140" w:name="_Toc79678169"/>
      <w:bookmarkStart w:id="141" w:name="_Toc80036218"/>
      <w:bookmarkStart w:id="142" w:name="_Toc80036285"/>
      <w:bookmarkStart w:id="143" w:name="_Toc80106106"/>
      <w:bookmarkStart w:id="144" w:name="_Toc80106107"/>
      <w:bookmarkStart w:id="145" w:name="_Toc80106108"/>
      <w:bookmarkStart w:id="146" w:name="_Toc80106109"/>
      <w:bookmarkStart w:id="147" w:name="_Toc80106110"/>
      <w:bookmarkStart w:id="148" w:name="_Toc80106111"/>
      <w:bookmarkStart w:id="149" w:name="_Toc80106112"/>
      <w:bookmarkStart w:id="150" w:name="_Toc80106113"/>
      <w:bookmarkStart w:id="151" w:name="_Toc80106114"/>
      <w:bookmarkStart w:id="152" w:name="_Toc80106115"/>
      <w:bookmarkStart w:id="153" w:name="_Toc80106145"/>
      <w:bookmarkStart w:id="154" w:name="_Toc80106146"/>
      <w:bookmarkStart w:id="155" w:name="_Toc80106147"/>
      <w:bookmarkStart w:id="156" w:name="_Toc80106148"/>
      <w:bookmarkStart w:id="157" w:name="_Toc80106149"/>
      <w:bookmarkStart w:id="158" w:name="_Toc80106150"/>
      <w:bookmarkStart w:id="159" w:name="_Toc80106151"/>
      <w:bookmarkStart w:id="160" w:name="_Toc80106152"/>
      <w:bookmarkStart w:id="161" w:name="_Toc80106153"/>
      <w:bookmarkStart w:id="162" w:name="_Toc80106154"/>
      <w:bookmarkStart w:id="163" w:name="_Toc80106155"/>
      <w:bookmarkStart w:id="164" w:name="_Toc80106156"/>
      <w:bookmarkStart w:id="165" w:name="_Toc80106157"/>
      <w:bookmarkStart w:id="166" w:name="_Toc80106158"/>
      <w:bookmarkStart w:id="167" w:name="_Toc80106159"/>
      <w:bookmarkStart w:id="168" w:name="_Toc80106160"/>
      <w:bookmarkStart w:id="169" w:name="_Toc80106161"/>
      <w:bookmarkStart w:id="170" w:name="_Toc80111864"/>
      <w:bookmarkStart w:id="171" w:name="_Toc457318329"/>
      <w:bookmarkStart w:id="172" w:name="_Toc53677907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BB69DC">
        <w:rPr>
          <w:rFonts w:ascii="Times New Roman" w:hAnsi="Times New Roman" w:cs="Times New Roman"/>
          <w:bCs w:val="0"/>
          <w:color w:val="auto"/>
          <w:sz w:val="24"/>
          <w:szCs w:val="24"/>
        </w:rPr>
        <w:t>Fiskālie riski saistībā ar “būvnieku karteļa” lietu</w:t>
      </w:r>
      <w:bookmarkEnd w:id="170"/>
    </w:p>
    <w:p w14:paraId="48DF5767" w14:textId="2AF2011D" w:rsidR="00162F97" w:rsidRPr="00BB69DC" w:rsidRDefault="006B0504" w:rsidP="00BB69DC">
      <w:pPr>
        <w:spacing w:after="0" w:line="240" w:lineRule="auto"/>
        <w:ind w:firstLine="720"/>
        <w:jc w:val="both"/>
        <w:rPr>
          <w:rFonts w:ascii="Times New Roman" w:hAnsi="Times New Roman"/>
          <w:sz w:val="24"/>
          <w:szCs w:val="24"/>
        </w:rPr>
      </w:pPr>
      <w:r>
        <w:rPr>
          <w:rFonts w:ascii="Times New Roman" w:hAnsi="Times New Roman"/>
          <w:sz w:val="24"/>
          <w:szCs w:val="24"/>
        </w:rPr>
        <w:t>Šā gada 30.</w:t>
      </w:r>
      <w:r w:rsidR="00162F97" w:rsidRPr="00BB69DC">
        <w:rPr>
          <w:rFonts w:ascii="Times New Roman" w:hAnsi="Times New Roman"/>
          <w:sz w:val="24"/>
          <w:szCs w:val="24"/>
        </w:rPr>
        <w:t>j</w:t>
      </w:r>
      <w:r w:rsidR="00162F97" w:rsidRPr="00BB69DC">
        <w:rPr>
          <w:rFonts w:ascii="Times New Roman" w:hAnsi="Times New Roman" w:hint="eastAsia"/>
          <w:sz w:val="24"/>
          <w:szCs w:val="24"/>
        </w:rPr>
        <w:t>ū</w:t>
      </w:r>
      <w:r w:rsidR="00162F97" w:rsidRPr="00BB69DC">
        <w:rPr>
          <w:rFonts w:ascii="Times New Roman" w:hAnsi="Times New Roman"/>
          <w:sz w:val="24"/>
          <w:szCs w:val="24"/>
        </w:rPr>
        <w:t>lij</w:t>
      </w:r>
      <w:r w:rsidR="00162F97" w:rsidRPr="00BB69DC">
        <w:rPr>
          <w:rFonts w:ascii="Times New Roman" w:hAnsi="Times New Roman" w:hint="eastAsia"/>
          <w:sz w:val="24"/>
          <w:szCs w:val="24"/>
        </w:rPr>
        <w:t>ā</w:t>
      </w:r>
      <w:r w:rsidR="00162F97" w:rsidRPr="00BB69DC">
        <w:rPr>
          <w:rFonts w:ascii="Times New Roman" w:hAnsi="Times New Roman"/>
          <w:sz w:val="24"/>
          <w:szCs w:val="24"/>
        </w:rPr>
        <w:t xml:space="preserve"> Konkurences padome  (</w:t>
      </w:r>
      <w:r>
        <w:rPr>
          <w:rFonts w:ascii="Times New Roman" w:hAnsi="Times New Roman"/>
          <w:sz w:val="24"/>
          <w:szCs w:val="24"/>
        </w:rPr>
        <w:t xml:space="preserve">turpmāk – </w:t>
      </w:r>
      <w:r w:rsidR="00162F97" w:rsidRPr="00BB69DC">
        <w:rPr>
          <w:rFonts w:ascii="Times New Roman" w:hAnsi="Times New Roman"/>
          <w:sz w:val="24"/>
          <w:szCs w:val="24"/>
        </w:rPr>
        <w:t>KP) pie</w:t>
      </w:r>
      <w:r w:rsidR="00162F97" w:rsidRPr="00BB69DC">
        <w:rPr>
          <w:rFonts w:ascii="Times New Roman" w:hAnsi="Times New Roman" w:hint="eastAsia"/>
          <w:sz w:val="24"/>
          <w:szCs w:val="24"/>
        </w:rPr>
        <w:t>ņē</w:t>
      </w:r>
      <w:r w:rsidR="00162F97" w:rsidRPr="00BB69DC">
        <w:rPr>
          <w:rFonts w:ascii="Times New Roman" w:hAnsi="Times New Roman"/>
          <w:sz w:val="24"/>
          <w:szCs w:val="24"/>
        </w:rPr>
        <w:t>ma</w:t>
      </w:r>
      <w:r w:rsidR="00162F97" w:rsidRPr="00BB69DC">
        <w:rPr>
          <w:rFonts w:ascii="Times New Roman" w:hAnsi="Times New Roman" w:hint="eastAsia"/>
          <w:sz w:val="24"/>
          <w:szCs w:val="24"/>
        </w:rPr>
        <w:t> </w:t>
      </w:r>
      <w:r w:rsidR="00162F97" w:rsidRPr="00BB69DC">
        <w:rPr>
          <w:rFonts w:ascii="Times New Roman" w:hAnsi="Times New Roman"/>
          <w:sz w:val="24"/>
          <w:szCs w:val="24"/>
        </w:rPr>
        <w:t>l</w:t>
      </w:r>
      <w:r w:rsidR="00162F97" w:rsidRPr="00BB69DC">
        <w:rPr>
          <w:rFonts w:ascii="Times New Roman" w:hAnsi="Times New Roman" w:hint="eastAsia"/>
          <w:sz w:val="24"/>
          <w:szCs w:val="24"/>
        </w:rPr>
        <w:t>ē</w:t>
      </w:r>
      <w:r w:rsidR="00162F97" w:rsidRPr="00BB69DC">
        <w:rPr>
          <w:rFonts w:ascii="Times New Roman" w:hAnsi="Times New Roman"/>
          <w:sz w:val="24"/>
          <w:szCs w:val="24"/>
        </w:rPr>
        <w:t>mumu</w:t>
      </w:r>
      <w:r w:rsidR="00162F97" w:rsidRPr="00BB69DC">
        <w:rPr>
          <w:rFonts w:ascii="Times New Roman" w:hAnsi="Times New Roman" w:hint="eastAsia"/>
          <w:sz w:val="24"/>
          <w:szCs w:val="24"/>
        </w:rPr>
        <w:t> </w:t>
      </w:r>
      <w:r w:rsidR="00162F97" w:rsidRPr="00BB69DC">
        <w:rPr>
          <w:rFonts w:ascii="Times New Roman" w:hAnsi="Times New Roman"/>
          <w:sz w:val="24"/>
          <w:szCs w:val="24"/>
        </w:rPr>
        <w:t xml:space="preserve">t.s. </w:t>
      </w:r>
      <w:r w:rsidR="00162F97" w:rsidRPr="00BB69DC">
        <w:rPr>
          <w:rFonts w:ascii="Times New Roman" w:hAnsi="Times New Roman" w:hint="eastAsia"/>
          <w:sz w:val="24"/>
          <w:szCs w:val="24"/>
        </w:rPr>
        <w:t>“</w:t>
      </w:r>
      <w:r w:rsidR="00162F97" w:rsidRPr="00BB69DC">
        <w:rPr>
          <w:rFonts w:ascii="Times New Roman" w:hAnsi="Times New Roman"/>
          <w:sz w:val="24"/>
          <w:szCs w:val="24"/>
        </w:rPr>
        <w:t>b</w:t>
      </w:r>
      <w:r w:rsidR="00162F97" w:rsidRPr="00BB69DC">
        <w:rPr>
          <w:rFonts w:ascii="Times New Roman" w:hAnsi="Times New Roman" w:hint="eastAsia"/>
          <w:sz w:val="24"/>
          <w:szCs w:val="24"/>
        </w:rPr>
        <w:t>ū</w:t>
      </w:r>
      <w:r w:rsidR="00162F97" w:rsidRPr="00BB69DC">
        <w:rPr>
          <w:rFonts w:ascii="Times New Roman" w:hAnsi="Times New Roman"/>
          <w:sz w:val="24"/>
          <w:szCs w:val="24"/>
        </w:rPr>
        <w:t>vnieku karte</w:t>
      </w:r>
      <w:r w:rsidR="00162F97" w:rsidRPr="00BB69DC">
        <w:rPr>
          <w:rFonts w:ascii="Times New Roman" w:hAnsi="Times New Roman" w:hint="eastAsia"/>
          <w:sz w:val="24"/>
          <w:szCs w:val="24"/>
        </w:rPr>
        <w:t>ļ</w:t>
      </w:r>
      <w:r w:rsidR="00162F97" w:rsidRPr="00BB69DC">
        <w:rPr>
          <w:rFonts w:ascii="Times New Roman" w:hAnsi="Times New Roman"/>
          <w:sz w:val="24"/>
          <w:szCs w:val="24"/>
        </w:rPr>
        <w:t>a</w:t>
      </w:r>
      <w:r w:rsidR="00162F97" w:rsidRPr="00BB69DC">
        <w:rPr>
          <w:rFonts w:ascii="Times New Roman" w:hAnsi="Times New Roman" w:hint="eastAsia"/>
          <w:sz w:val="24"/>
          <w:szCs w:val="24"/>
        </w:rPr>
        <w:t>”</w:t>
      </w:r>
      <w:r w:rsidR="00162F97" w:rsidRPr="00BB69DC">
        <w:rPr>
          <w:rFonts w:ascii="Times New Roman" w:hAnsi="Times New Roman"/>
          <w:sz w:val="24"/>
          <w:szCs w:val="24"/>
        </w:rPr>
        <w:t xml:space="preserve"> liet</w:t>
      </w:r>
      <w:r w:rsidR="00162F97" w:rsidRPr="00BB69DC">
        <w:rPr>
          <w:rFonts w:ascii="Times New Roman" w:hAnsi="Times New Roman" w:hint="eastAsia"/>
          <w:sz w:val="24"/>
          <w:szCs w:val="24"/>
        </w:rPr>
        <w:t>ā</w:t>
      </w:r>
      <w:r w:rsidR="00162F97" w:rsidRPr="00BB69DC">
        <w:rPr>
          <w:rFonts w:ascii="Times New Roman" w:hAnsi="Times New Roman"/>
          <w:sz w:val="24"/>
          <w:szCs w:val="24"/>
        </w:rPr>
        <w:t>, konstat</w:t>
      </w:r>
      <w:r w:rsidR="00162F97" w:rsidRPr="00BB69DC">
        <w:rPr>
          <w:rFonts w:ascii="Times New Roman" w:hAnsi="Times New Roman" w:hint="eastAsia"/>
          <w:sz w:val="24"/>
          <w:szCs w:val="24"/>
        </w:rPr>
        <w:t>ē</w:t>
      </w:r>
      <w:r w:rsidR="00162F97" w:rsidRPr="00BB69DC">
        <w:rPr>
          <w:rFonts w:ascii="Times New Roman" w:hAnsi="Times New Roman"/>
          <w:sz w:val="24"/>
          <w:szCs w:val="24"/>
        </w:rPr>
        <w:t>jot desmit b</w:t>
      </w:r>
      <w:r w:rsidR="00162F97" w:rsidRPr="00BB69DC">
        <w:rPr>
          <w:rFonts w:ascii="Times New Roman" w:hAnsi="Times New Roman" w:hint="eastAsia"/>
          <w:sz w:val="24"/>
          <w:szCs w:val="24"/>
        </w:rPr>
        <w:t>ū</w:t>
      </w:r>
      <w:r w:rsidR="00162F97" w:rsidRPr="00BB69DC">
        <w:rPr>
          <w:rFonts w:ascii="Times New Roman" w:hAnsi="Times New Roman"/>
          <w:sz w:val="24"/>
          <w:szCs w:val="24"/>
        </w:rPr>
        <w:t>vniec</w:t>
      </w:r>
      <w:r w:rsidR="00162F97" w:rsidRPr="00BB69DC">
        <w:rPr>
          <w:rFonts w:ascii="Times New Roman" w:hAnsi="Times New Roman" w:hint="eastAsia"/>
          <w:sz w:val="24"/>
          <w:szCs w:val="24"/>
        </w:rPr>
        <w:t>ī</w:t>
      </w:r>
      <w:r w:rsidR="00162F97" w:rsidRPr="00BB69DC">
        <w:rPr>
          <w:rFonts w:ascii="Times New Roman" w:hAnsi="Times New Roman"/>
          <w:sz w:val="24"/>
          <w:szCs w:val="24"/>
        </w:rPr>
        <w:t>bas uz</w:t>
      </w:r>
      <w:r w:rsidR="00162F97" w:rsidRPr="00BB69DC">
        <w:rPr>
          <w:rFonts w:ascii="Times New Roman" w:hAnsi="Times New Roman" w:hint="eastAsia"/>
          <w:sz w:val="24"/>
          <w:szCs w:val="24"/>
        </w:rPr>
        <w:t>ņē</w:t>
      </w:r>
      <w:r w:rsidR="00162F97" w:rsidRPr="00BB69DC">
        <w:rPr>
          <w:rFonts w:ascii="Times New Roman" w:hAnsi="Times New Roman"/>
          <w:sz w:val="24"/>
          <w:szCs w:val="24"/>
        </w:rPr>
        <w:t>mumu ilggad</w:t>
      </w:r>
      <w:r w:rsidR="00162F97" w:rsidRPr="00BB69DC">
        <w:rPr>
          <w:rFonts w:ascii="Times New Roman" w:hAnsi="Times New Roman" w:hint="eastAsia"/>
          <w:sz w:val="24"/>
          <w:szCs w:val="24"/>
        </w:rPr>
        <w:t>ē</w:t>
      </w:r>
      <w:r w:rsidR="00162F97" w:rsidRPr="00BB69DC">
        <w:rPr>
          <w:rFonts w:ascii="Times New Roman" w:hAnsi="Times New Roman"/>
          <w:sz w:val="24"/>
          <w:szCs w:val="24"/>
        </w:rPr>
        <w:t>ju aizliegtu vieno</w:t>
      </w:r>
      <w:r w:rsidR="00162F97" w:rsidRPr="00BB69DC">
        <w:rPr>
          <w:rFonts w:ascii="Times New Roman" w:hAnsi="Times New Roman" w:hint="eastAsia"/>
          <w:sz w:val="24"/>
          <w:szCs w:val="24"/>
        </w:rPr>
        <w:t>š</w:t>
      </w:r>
      <w:r w:rsidR="00162F97" w:rsidRPr="00BB69DC">
        <w:rPr>
          <w:rFonts w:ascii="Times New Roman" w:hAnsi="Times New Roman"/>
          <w:sz w:val="24"/>
          <w:szCs w:val="24"/>
        </w:rPr>
        <w:t>anos par dal</w:t>
      </w:r>
      <w:r w:rsidR="00162F97" w:rsidRPr="00BB69DC">
        <w:rPr>
          <w:rFonts w:ascii="Times New Roman" w:hAnsi="Times New Roman" w:hint="eastAsia"/>
          <w:sz w:val="24"/>
          <w:szCs w:val="24"/>
        </w:rPr>
        <w:t>ī</w:t>
      </w:r>
      <w:r w:rsidR="00162F97" w:rsidRPr="00BB69DC">
        <w:rPr>
          <w:rFonts w:ascii="Times New Roman" w:hAnsi="Times New Roman"/>
          <w:sz w:val="24"/>
          <w:szCs w:val="24"/>
        </w:rPr>
        <w:t>bas nosac</w:t>
      </w:r>
      <w:r w:rsidR="00162F97" w:rsidRPr="00BB69DC">
        <w:rPr>
          <w:rFonts w:ascii="Times New Roman" w:hAnsi="Times New Roman" w:hint="eastAsia"/>
          <w:sz w:val="24"/>
          <w:szCs w:val="24"/>
        </w:rPr>
        <w:t>ī</w:t>
      </w:r>
      <w:r w:rsidR="00162F97" w:rsidRPr="00BB69DC">
        <w:rPr>
          <w:rFonts w:ascii="Times New Roman" w:hAnsi="Times New Roman"/>
          <w:sz w:val="24"/>
          <w:szCs w:val="24"/>
        </w:rPr>
        <w:t>jumiem publiskajos un priv</w:t>
      </w:r>
      <w:r w:rsidR="00162F97" w:rsidRPr="00BB69DC">
        <w:rPr>
          <w:rFonts w:ascii="Times New Roman" w:hAnsi="Times New Roman" w:hint="eastAsia"/>
          <w:sz w:val="24"/>
          <w:szCs w:val="24"/>
        </w:rPr>
        <w:t>ā</w:t>
      </w:r>
      <w:r w:rsidR="00162F97" w:rsidRPr="00BB69DC">
        <w:rPr>
          <w:rFonts w:ascii="Times New Roman" w:hAnsi="Times New Roman"/>
          <w:sz w:val="24"/>
          <w:szCs w:val="24"/>
        </w:rPr>
        <w:t>tajos iepirkumos Latvij</w:t>
      </w:r>
      <w:r w:rsidR="00162F97" w:rsidRPr="00BB69DC">
        <w:rPr>
          <w:rFonts w:ascii="Times New Roman" w:hAnsi="Times New Roman" w:hint="eastAsia"/>
          <w:sz w:val="24"/>
          <w:szCs w:val="24"/>
        </w:rPr>
        <w:t>ā</w:t>
      </w:r>
      <w:r w:rsidR="00162F97" w:rsidRPr="00BB69DC">
        <w:rPr>
          <w:rFonts w:ascii="Times New Roman" w:hAnsi="Times New Roman"/>
          <w:sz w:val="24"/>
          <w:szCs w:val="24"/>
        </w:rPr>
        <w:t xml:space="preserve">. Par </w:t>
      </w:r>
      <w:r w:rsidR="00162F97" w:rsidRPr="00BB69DC">
        <w:rPr>
          <w:rFonts w:ascii="Times New Roman" w:hAnsi="Times New Roman" w:hint="eastAsia"/>
          <w:sz w:val="24"/>
          <w:szCs w:val="24"/>
        </w:rPr>
        <w:t>ī</w:t>
      </w:r>
      <w:r w:rsidR="00162F97" w:rsidRPr="00BB69DC">
        <w:rPr>
          <w:rFonts w:ascii="Times New Roman" w:hAnsi="Times New Roman"/>
          <w:sz w:val="24"/>
          <w:szCs w:val="24"/>
        </w:rPr>
        <w:t>stenoto konkurences ties</w:t>
      </w:r>
      <w:r w:rsidR="00162F97" w:rsidRPr="00BB69DC">
        <w:rPr>
          <w:rFonts w:ascii="Times New Roman" w:hAnsi="Times New Roman" w:hint="eastAsia"/>
          <w:sz w:val="24"/>
          <w:szCs w:val="24"/>
        </w:rPr>
        <w:t>ī</w:t>
      </w:r>
      <w:r w:rsidR="00162F97" w:rsidRPr="00BB69DC">
        <w:rPr>
          <w:rFonts w:ascii="Times New Roman" w:hAnsi="Times New Roman"/>
          <w:sz w:val="24"/>
          <w:szCs w:val="24"/>
        </w:rPr>
        <w:t>bu p</w:t>
      </w:r>
      <w:r w:rsidR="00162F97" w:rsidRPr="00BB69DC">
        <w:rPr>
          <w:rFonts w:ascii="Times New Roman" w:hAnsi="Times New Roman" w:hint="eastAsia"/>
          <w:sz w:val="24"/>
          <w:szCs w:val="24"/>
        </w:rPr>
        <w:t>ā</w:t>
      </w:r>
      <w:r w:rsidR="00162F97" w:rsidRPr="00BB69DC">
        <w:rPr>
          <w:rFonts w:ascii="Times New Roman" w:hAnsi="Times New Roman"/>
          <w:sz w:val="24"/>
          <w:szCs w:val="24"/>
        </w:rPr>
        <w:t>rk</w:t>
      </w:r>
      <w:r w:rsidR="00162F97" w:rsidRPr="00BB69DC">
        <w:rPr>
          <w:rFonts w:ascii="Times New Roman" w:hAnsi="Times New Roman" w:hint="eastAsia"/>
          <w:sz w:val="24"/>
          <w:szCs w:val="24"/>
        </w:rPr>
        <w:t>ā</w:t>
      </w:r>
      <w:r w:rsidR="00162F97" w:rsidRPr="00BB69DC">
        <w:rPr>
          <w:rFonts w:ascii="Times New Roman" w:hAnsi="Times New Roman"/>
          <w:sz w:val="24"/>
          <w:szCs w:val="24"/>
        </w:rPr>
        <w:t>pumu uz</w:t>
      </w:r>
      <w:r w:rsidR="00162F97" w:rsidRPr="00BB69DC">
        <w:rPr>
          <w:rFonts w:ascii="Times New Roman" w:hAnsi="Times New Roman" w:hint="eastAsia"/>
          <w:sz w:val="24"/>
          <w:szCs w:val="24"/>
        </w:rPr>
        <w:t>ņē</w:t>
      </w:r>
      <w:r w:rsidR="00162F97" w:rsidRPr="00BB69DC">
        <w:rPr>
          <w:rFonts w:ascii="Times New Roman" w:hAnsi="Times New Roman"/>
          <w:sz w:val="24"/>
          <w:szCs w:val="24"/>
        </w:rPr>
        <w:t>mumiem piem</w:t>
      </w:r>
      <w:r w:rsidR="00162F97" w:rsidRPr="00BB69DC">
        <w:rPr>
          <w:rFonts w:ascii="Times New Roman" w:hAnsi="Times New Roman" w:hint="eastAsia"/>
          <w:sz w:val="24"/>
          <w:szCs w:val="24"/>
        </w:rPr>
        <w:t>ē</w:t>
      </w:r>
      <w:r w:rsidR="00162F97" w:rsidRPr="00BB69DC">
        <w:rPr>
          <w:rFonts w:ascii="Times New Roman" w:hAnsi="Times New Roman"/>
          <w:sz w:val="24"/>
          <w:szCs w:val="24"/>
        </w:rPr>
        <w:t>rots naudas sods kopum</w:t>
      </w:r>
      <w:r w:rsidR="00162F97" w:rsidRPr="00BB69DC">
        <w:rPr>
          <w:rFonts w:ascii="Times New Roman" w:hAnsi="Times New Roman" w:hint="eastAsia"/>
          <w:sz w:val="24"/>
          <w:szCs w:val="24"/>
        </w:rPr>
        <w:t>ā</w:t>
      </w:r>
      <w:r w:rsidR="00162F97" w:rsidRPr="00BB69DC">
        <w:rPr>
          <w:rFonts w:ascii="Times New Roman" w:hAnsi="Times New Roman"/>
          <w:sz w:val="24"/>
          <w:szCs w:val="24"/>
        </w:rPr>
        <w:t xml:space="preserve"> 16</w:t>
      </w:r>
      <w:r w:rsidR="00162F97" w:rsidRPr="00BB69DC">
        <w:rPr>
          <w:rFonts w:ascii="Times New Roman" w:hAnsi="Times New Roman" w:hint="eastAsia"/>
          <w:sz w:val="24"/>
          <w:szCs w:val="24"/>
        </w:rPr>
        <w:t> </w:t>
      </w:r>
      <w:r w:rsidR="00162F97" w:rsidRPr="00BB69DC">
        <w:rPr>
          <w:rFonts w:ascii="Times New Roman" w:hAnsi="Times New Roman"/>
          <w:sz w:val="24"/>
          <w:szCs w:val="24"/>
        </w:rPr>
        <w:t>652</w:t>
      </w:r>
      <w:r w:rsidR="00162F97" w:rsidRPr="00BB69DC">
        <w:rPr>
          <w:rFonts w:ascii="Times New Roman" w:hAnsi="Times New Roman" w:hint="eastAsia"/>
          <w:sz w:val="24"/>
          <w:szCs w:val="24"/>
        </w:rPr>
        <w:t> </w:t>
      </w:r>
      <w:r w:rsidR="00162F97" w:rsidRPr="00BB69DC">
        <w:rPr>
          <w:rFonts w:ascii="Times New Roman" w:hAnsi="Times New Roman"/>
          <w:sz w:val="24"/>
          <w:szCs w:val="24"/>
        </w:rPr>
        <w:t xml:space="preserve">027,40 </w:t>
      </w:r>
      <w:r w:rsidRPr="00BB69DC">
        <w:rPr>
          <w:rFonts w:ascii="Times New Roman" w:hAnsi="Times New Roman"/>
          <w:i/>
          <w:sz w:val="24"/>
          <w:szCs w:val="24"/>
        </w:rPr>
        <w:t>euro</w:t>
      </w:r>
      <w:r w:rsidR="00162F97" w:rsidRPr="00BB69DC">
        <w:rPr>
          <w:rFonts w:ascii="Times New Roman" w:hAnsi="Times New Roman"/>
          <w:sz w:val="24"/>
          <w:szCs w:val="24"/>
        </w:rPr>
        <w:t xml:space="preserve"> apm</w:t>
      </w:r>
      <w:r w:rsidR="00162F97" w:rsidRPr="00BB69DC">
        <w:rPr>
          <w:rFonts w:ascii="Times New Roman" w:hAnsi="Times New Roman" w:hint="eastAsia"/>
          <w:sz w:val="24"/>
          <w:szCs w:val="24"/>
        </w:rPr>
        <w:t>ē</w:t>
      </w:r>
      <w:r w:rsidR="00162F97" w:rsidRPr="00BB69DC">
        <w:rPr>
          <w:rFonts w:ascii="Times New Roman" w:hAnsi="Times New Roman"/>
          <w:sz w:val="24"/>
          <w:szCs w:val="24"/>
        </w:rPr>
        <w:t>r</w:t>
      </w:r>
      <w:r w:rsidR="00162F97" w:rsidRPr="00BB69DC">
        <w:rPr>
          <w:rFonts w:ascii="Times New Roman" w:hAnsi="Times New Roman" w:hint="eastAsia"/>
          <w:sz w:val="24"/>
          <w:szCs w:val="24"/>
        </w:rPr>
        <w:t>ā</w:t>
      </w:r>
      <w:r w:rsidR="00162F97" w:rsidRPr="00BB69DC">
        <w:rPr>
          <w:rFonts w:ascii="Times New Roman" w:hAnsi="Times New Roman"/>
          <w:sz w:val="24"/>
          <w:szCs w:val="24"/>
        </w:rPr>
        <w:t>.</w:t>
      </w:r>
    </w:p>
    <w:p w14:paraId="3B28E7D0" w14:textId="233EA273"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sz w:val="24"/>
          <w:szCs w:val="24"/>
        </w:rPr>
        <w:t>KP inform</w:t>
      </w:r>
      <w:r w:rsidRPr="00BB69DC">
        <w:rPr>
          <w:rFonts w:ascii="Times New Roman" w:hAnsi="Times New Roman" w:hint="eastAsia"/>
          <w:sz w:val="24"/>
          <w:szCs w:val="24"/>
        </w:rPr>
        <w:t>ē</w:t>
      </w:r>
      <w:r w:rsidRPr="00BB69DC">
        <w:rPr>
          <w:rFonts w:ascii="Times New Roman" w:hAnsi="Times New Roman"/>
          <w:sz w:val="24"/>
          <w:szCs w:val="24"/>
        </w:rPr>
        <w:t>ja, ka lietas dal</w:t>
      </w:r>
      <w:r w:rsidRPr="00BB69DC">
        <w:rPr>
          <w:rFonts w:ascii="Times New Roman" w:hAnsi="Times New Roman" w:hint="eastAsia"/>
          <w:sz w:val="24"/>
          <w:szCs w:val="24"/>
        </w:rPr>
        <w:t>ī</w:t>
      </w:r>
      <w:r w:rsidRPr="00BB69DC">
        <w:rPr>
          <w:rFonts w:ascii="Times New Roman" w:hAnsi="Times New Roman"/>
          <w:sz w:val="24"/>
          <w:szCs w:val="24"/>
        </w:rPr>
        <w:t>bnieki</w:t>
      </w:r>
      <w:r w:rsidRPr="00BB69DC">
        <w:rPr>
          <w:rFonts w:ascii="Times New Roman" w:hAnsi="Times New Roman" w:hint="eastAsia"/>
          <w:sz w:val="24"/>
          <w:szCs w:val="24"/>
        </w:rPr>
        <w:t> </w:t>
      </w:r>
      <w:r w:rsidRPr="00BB69DC">
        <w:rPr>
          <w:rFonts w:ascii="Times New Roman" w:hAnsi="Times New Roman"/>
          <w:sz w:val="24"/>
          <w:szCs w:val="24"/>
        </w:rPr>
        <w:t>vienoj</w:t>
      </w:r>
      <w:r w:rsidRPr="00BB69DC">
        <w:rPr>
          <w:rFonts w:ascii="Times New Roman" w:hAnsi="Times New Roman" w:hint="eastAsia"/>
          <w:sz w:val="24"/>
          <w:szCs w:val="24"/>
        </w:rPr>
        <w:t>ā</w:t>
      </w:r>
      <w:r w:rsidRPr="00BB69DC">
        <w:rPr>
          <w:rFonts w:ascii="Times New Roman" w:hAnsi="Times New Roman"/>
          <w:sz w:val="24"/>
          <w:szCs w:val="24"/>
        </w:rPr>
        <w:t>s gan par priv</w:t>
      </w:r>
      <w:r w:rsidRPr="00BB69DC">
        <w:rPr>
          <w:rFonts w:ascii="Times New Roman" w:hAnsi="Times New Roman" w:hint="eastAsia"/>
          <w:sz w:val="24"/>
          <w:szCs w:val="24"/>
        </w:rPr>
        <w:t>ā</w:t>
      </w:r>
      <w:r w:rsidRPr="00BB69DC">
        <w:rPr>
          <w:rFonts w:ascii="Times New Roman" w:hAnsi="Times New Roman"/>
          <w:sz w:val="24"/>
          <w:szCs w:val="24"/>
        </w:rPr>
        <w:t xml:space="preserve">tajiem, gan publiskajiem iepirkumiem, t.sk. </w:t>
      </w:r>
      <w:r w:rsidR="00D36D09">
        <w:rPr>
          <w:rFonts w:ascii="Times New Roman" w:hAnsi="Times New Roman"/>
          <w:sz w:val="24"/>
          <w:szCs w:val="24"/>
        </w:rPr>
        <w:t>ES</w:t>
      </w:r>
      <w:r w:rsidRPr="00BB69DC">
        <w:rPr>
          <w:rFonts w:ascii="Times New Roman" w:hAnsi="Times New Roman" w:hint="eastAsia"/>
          <w:sz w:val="24"/>
          <w:szCs w:val="24"/>
        </w:rPr>
        <w:t> </w:t>
      </w:r>
      <w:r w:rsidRPr="00BB69DC">
        <w:rPr>
          <w:rFonts w:ascii="Times New Roman" w:hAnsi="Times New Roman"/>
          <w:sz w:val="24"/>
          <w:szCs w:val="24"/>
        </w:rPr>
        <w:t xml:space="preserve"> l</w:t>
      </w:r>
      <w:r w:rsidRPr="00BB69DC">
        <w:rPr>
          <w:rFonts w:ascii="Times New Roman" w:hAnsi="Times New Roman" w:hint="eastAsia"/>
          <w:sz w:val="24"/>
          <w:szCs w:val="24"/>
        </w:rPr>
        <w:t>ī</w:t>
      </w:r>
      <w:r w:rsidRPr="00BB69DC">
        <w:rPr>
          <w:rFonts w:ascii="Times New Roman" w:hAnsi="Times New Roman"/>
          <w:sz w:val="24"/>
          <w:szCs w:val="24"/>
        </w:rPr>
        <w:t>dzfinans</w:t>
      </w:r>
      <w:r w:rsidRPr="00BB69DC">
        <w:rPr>
          <w:rFonts w:ascii="Times New Roman" w:hAnsi="Times New Roman" w:hint="eastAsia"/>
          <w:sz w:val="24"/>
          <w:szCs w:val="24"/>
        </w:rPr>
        <w:t>ē</w:t>
      </w:r>
      <w:r w:rsidRPr="00BB69DC">
        <w:rPr>
          <w:rFonts w:ascii="Times New Roman" w:hAnsi="Times New Roman"/>
          <w:sz w:val="24"/>
          <w:szCs w:val="24"/>
        </w:rPr>
        <w:t>tajiem iepirkumiem.</w:t>
      </w:r>
      <w:r w:rsidRPr="00BB69DC">
        <w:rPr>
          <w:rFonts w:ascii="Times New Roman" w:hAnsi="Times New Roman" w:hint="eastAsia"/>
          <w:sz w:val="24"/>
          <w:szCs w:val="24"/>
        </w:rPr>
        <w:t> </w:t>
      </w:r>
      <w:r w:rsidRPr="00BB69DC">
        <w:rPr>
          <w:rFonts w:ascii="Times New Roman" w:hAnsi="Times New Roman"/>
          <w:sz w:val="24"/>
          <w:szCs w:val="24"/>
        </w:rPr>
        <w:t>KP, veicot lietas materi</w:t>
      </w:r>
      <w:r w:rsidRPr="00BB69DC">
        <w:rPr>
          <w:rFonts w:ascii="Times New Roman" w:hAnsi="Times New Roman" w:hint="eastAsia"/>
          <w:sz w:val="24"/>
          <w:szCs w:val="24"/>
        </w:rPr>
        <w:t>ā</w:t>
      </w:r>
      <w:r w:rsidRPr="00BB69DC">
        <w:rPr>
          <w:rFonts w:ascii="Times New Roman" w:hAnsi="Times New Roman"/>
          <w:sz w:val="24"/>
          <w:szCs w:val="24"/>
        </w:rPr>
        <w:t>lu anal</w:t>
      </w:r>
      <w:r w:rsidRPr="00BB69DC">
        <w:rPr>
          <w:rFonts w:ascii="Times New Roman" w:hAnsi="Times New Roman" w:hint="eastAsia"/>
          <w:sz w:val="24"/>
          <w:szCs w:val="24"/>
        </w:rPr>
        <w:t>ī</w:t>
      </w:r>
      <w:r w:rsidRPr="00BB69DC">
        <w:rPr>
          <w:rFonts w:ascii="Times New Roman" w:hAnsi="Times New Roman"/>
          <w:sz w:val="24"/>
          <w:szCs w:val="24"/>
        </w:rPr>
        <w:t>zi, secin</w:t>
      </w:r>
      <w:r w:rsidRPr="00BB69DC">
        <w:rPr>
          <w:rFonts w:ascii="Times New Roman" w:hAnsi="Times New Roman" w:hint="eastAsia"/>
          <w:sz w:val="24"/>
          <w:szCs w:val="24"/>
        </w:rPr>
        <w:t>ā</w:t>
      </w:r>
      <w:r w:rsidRPr="00BB69DC">
        <w:rPr>
          <w:rFonts w:ascii="Times New Roman" w:hAnsi="Times New Roman"/>
          <w:sz w:val="24"/>
          <w:szCs w:val="24"/>
        </w:rPr>
        <w:t>ja, ka b</w:t>
      </w:r>
      <w:r w:rsidRPr="00BB69DC">
        <w:rPr>
          <w:rFonts w:ascii="Times New Roman" w:hAnsi="Times New Roman" w:hint="eastAsia"/>
          <w:sz w:val="24"/>
          <w:szCs w:val="24"/>
        </w:rPr>
        <w:t>ū</w:t>
      </w:r>
      <w:r w:rsidRPr="00BB69DC">
        <w:rPr>
          <w:rFonts w:ascii="Times New Roman" w:hAnsi="Times New Roman"/>
          <w:sz w:val="24"/>
          <w:szCs w:val="24"/>
        </w:rPr>
        <w:t>vniec</w:t>
      </w:r>
      <w:r w:rsidRPr="00BB69DC">
        <w:rPr>
          <w:rFonts w:ascii="Times New Roman" w:hAnsi="Times New Roman" w:hint="eastAsia"/>
          <w:sz w:val="24"/>
          <w:szCs w:val="24"/>
        </w:rPr>
        <w:t>ī</w:t>
      </w:r>
      <w:r w:rsidRPr="00BB69DC">
        <w:rPr>
          <w:rFonts w:ascii="Times New Roman" w:hAnsi="Times New Roman"/>
          <w:sz w:val="24"/>
          <w:szCs w:val="24"/>
        </w:rPr>
        <w:t>bas uz</w:t>
      </w:r>
      <w:r w:rsidRPr="00BB69DC">
        <w:rPr>
          <w:rFonts w:ascii="Times New Roman" w:hAnsi="Times New Roman" w:hint="eastAsia"/>
          <w:sz w:val="24"/>
          <w:szCs w:val="24"/>
        </w:rPr>
        <w:t>ņē</w:t>
      </w:r>
      <w:r w:rsidRPr="00BB69DC">
        <w:rPr>
          <w:rFonts w:ascii="Times New Roman" w:hAnsi="Times New Roman"/>
          <w:sz w:val="24"/>
          <w:szCs w:val="24"/>
        </w:rPr>
        <w:t xml:space="preserve">mumi </w:t>
      </w:r>
      <w:r w:rsidR="00D36D09">
        <w:rPr>
          <w:rFonts w:ascii="Times New Roman" w:hAnsi="Times New Roman"/>
          <w:sz w:val="24"/>
          <w:szCs w:val="24"/>
        </w:rPr>
        <w:t>bija sadalījušies divās grupās</w:t>
      </w:r>
      <w:r w:rsidRPr="00BB69DC">
        <w:rPr>
          <w:rFonts w:ascii="Times New Roman" w:hAnsi="Times New Roman"/>
          <w:sz w:val="24"/>
          <w:szCs w:val="24"/>
        </w:rPr>
        <w:t>, kuras sav</w:t>
      </w:r>
      <w:r w:rsidRPr="00BB69DC">
        <w:rPr>
          <w:rFonts w:ascii="Times New Roman" w:hAnsi="Times New Roman" w:hint="eastAsia"/>
          <w:sz w:val="24"/>
          <w:szCs w:val="24"/>
        </w:rPr>
        <w:t>ā</w:t>
      </w:r>
      <w:r w:rsidRPr="00BB69DC">
        <w:rPr>
          <w:rFonts w:ascii="Times New Roman" w:hAnsi="Times New Roman"/>
          <w:sz w:val="24"/>
          <w:szCs w:val="24"/>
        </w:rPr>
        <w:t xml:space="preserve"> starp</w:t>
      </w:r>
      <w:r w:rsidRPr="00BB69DC">
        <w:rPr>
          <w:rFonts w:ascii="Times New Roman" w:hAnsi="Times New Roman" w:hint="eastAsia"/>
          <w:sz w:val="24"/>
          <w:szCs w:val="24"/>
        </w:rPr>
        <w:t>ā</w:t>
      </w:r>
      <w:r w:rsidRPr="00BB69DC">
        <w:rPr>
          <w:rFonts w:ascii="Times New Roman" w:hAnsi="Times New Roman"/>
          <w:sz w:val="24"/>
          <w:szCs w:val="24"/>
        </w:rPr>
        <w:t xml:space="preserve"> cent</w:t>
      </w:r>
      <w:r w:rsidRPr="00BB69DC">
        <w:rPr>
          <w:rFonts w:ascii="Times New Roman" w:hAnsi="Times New Roman" w:hint="eastAsia"/>
          <w:sz w:val="24"/>
          <w:szCs w:val="24"/>
        </w:rPr>
        <w:t>ā</w:t>
      </w:r>
      <w:r w:rsidRPr="00BB69DC">
        <w:rPr>
          <w:rFonts w:ascii="Times New Roman" w:hAnsi="Times New Roman"/>
          <w:sz w:val="24"/>
          <w:szCs w:val="24"/>
        </w:rPr>
        <w:t>s sadal</w:t>
      </w:r>
      <w:r w:rsidRPr="00BB69DC">
        <w:rPr>
          <w:rFonts w:ascii="Times New Roman" w:hAnsi="Times New Roman" w:hint="eastAsia"/>
          <w:sz w:val="24"/>
          <w:szCs w:val="24"/>
        </w:rPr>
        <w:t>ī</w:t>
      </w:r>
      <w:r w:rsidRPr="00BB69DC">
        <w:rPr>
          <w:rFonts w:ascii="Times New Roman" w:hAnsi="Times New Roman"/>
          <w:sz w:val="24"/>
          <w:szCs w:val="24"/>
        </w:rPr>
        <w:t>t iepirkumus</w:t>
      </w:r>
      <w:r w:rsidRPr="00BB69DC">
        <w:rPr>
          <w:rFonts w:ascii="Times New Roman" w:hAnsi="Times New Roman" w:hint="eastAsia"/>
          <w:sz w:val="24"/>
          <w:szCs w:val="24"/>
        </w:rPr>
        <w:t> </w:t>
      </w:r>
      <w:r w:rsidRPr="00BB69DC">
        <w:rPr>
          <w:rFonts w:ascii="Times New Roman" w:hAnsi="Times New Roman"/>
          <w:sz w:val="24"/>
          <w:szCs w:val="24"/>
        </w:rPr>
        <w:t>t</w:t>
      </w:r>
      <w:r w:rsidRPr="00BB69DC">
        <w:rPr>
          <w:rFonts w:ascii="Times New Roman" w:hAnsi="Times New Roman" w:hint="eastAsia"/>
          <w:sz w:val="24"/>
          <w:szCs w:val="24"/>
        </w:rPr>
        <w:t>ā</w:t>
      </w:r>
      <w:r w:rsidRPr="00BB69DC">
        <w:rPr>
          <w:rFonts w:ascii="Times New Roman" w:hAnsi="Times New Roman"/>
          <w:sz w:val="24"/>
          <w:szCs w:val="24"/>
        </w:rPr>
        <w:t>, lai starp ab</w:t>
      </w:r>
      <w:r w:rsidRPr="00BB69DC">
        <w:rPr>
          <w:rFonts w:ascii="Times New Roman" w:hAnsi="Times New Roman" w:hint="eastAsia"/>
          <w:sz w:val="24"/>
          <w:szCs w:val="24"/>
        </w:rPr>
        <w:t>ā</w:t>
      </w:r>
      <w:r w:rsidRPr="00BB69DC">
        <w:rPr>
          <w:rFonts w:ascii="Times New Roman" w:hAnsi="Times New Roman"/>
          <w:sz w:val="24"/>
          <w:szCs w:val="24"/>
        </w:rPr>
        <w:t>m grup</w:t>
      </w:r>
      <w:r w:rsidRPr="00BB69DC">
        <w:rPr>
          <w:rFonts w:ascii="Times New Roman" w:hAnsi="Times New Roman" w:hint="eastAsia"/>
          <w:sz w:val="24"/>
          <w:szCs w:val="24"/>
        </w:rPr>
        <w:t>ā</w:t>
      </w:r>
      <w:r w:rsidRPr="00BB69DC">
        <w:rPr>
          <w:rFonts w:ascii="Times New Roman" w:hAnsi="Times New Roman"/>
          <w:sz w:val="24"/>
          <w:szCs w:val="24"/>
        </w:rPr>
        <w:t>m kop</w:t>
      </w:r>
      <w:r w:rsidRPr="00BB69DC">
        <w:rPr>
          <w:rFonts w:ascii="Times New Roman" w:hAnsi="Times New Roman" w:hint="eastAsia"/>
          <w:sz w:val="24"/>
          <w:szCs w:val="24"/>
        </w:rPr>
        <w:t>ē</w:t>
      </w:r>
      <w:r w:rsidRPr="00BB69DC">
        <w:rPr>
          <w:rFonts w:ascii="Times New Roman" w:hAnsi="Times New Roman"/>
          <w:sz w:val="24"/>
          <w:szCs w:val="24"/>
        </w:rPr>
        <w:t>jie apjomi p</w:t>
      </w:r>
      <w:r w:rsidRPr="00BB69DC">
        <w:rPr>
          <w:rFonts w:ascii="Times New Roman" w:hAnsi="Times New Roman" w:hint="eastAsia"/>
          <w:sz w:val="24"/>
          <w:szCs w:val="24"/>
        </w:rPr>
        <w:t>ē</w:t>
      </w:r>
      <w:r w:rsidRPr="00BB69DC">
        <w:rPr>
          <w:rFonts w:ascii="Times New Roman" w:hAnsi="Times New Roman"/>
          <w:sz w:val="24"/>
          <w:szCs w:val="24"/>
        </w:rPr>
        <w:t>c summ</w:t>
      </w:r>
      <w:r w:rsidRPr="00BB69DC">
        <w:rPr>
          <w:rFonts w:ascii="Times New Roman" w:hAnsi="Times New Roman" w:hint="eastAsia"/>
          <w:sz w:val="24"/>
          <w:szCs w:val="24"/>
        </w:rPr>
        <w:t>ā</w:t>
      </w:r>
      <w:r w:rsidRPr="00BB69DC">
        <w:rPr>
          <w:rFonts w:ascii="Times New Roman" w:hAnsi="Times New Roman"/>
          <w:sz w:val="24"/>
          <w:szCs w:val="24"/>
        </w:rPr>
        <w:t>m b</w:t>
      </w:r>
      <w:r w:rsidRPr="00BB69DC">
        <w:rPr>
          <w:rFonts w:ascii="Times New Roman" w:hAnsi="Times New Roman" w:hint="eastAsia"/>
          <w:sz w:val="24"/>
          <w:szCs w:val="24"/>
        </w:rPr>
        <w:t>ū</w:t>
      </w:r>
      <w:r w:rsidRPr="00BB69DC">
        <w:rPr>
          <w:rFonts w:ascii="Times New Roman" w:hAnsi="Times New Roman"/>
          <w:sz w:val="24"/>
          <w:szCs w:val="24"/>
        </w:rPr>
        <w:t>tu p</w:t>
      </w:r>
      <w:r w:rsidRPr="00BB69DC">
        <w:rPr>
          <w:rFonts w:ascii="Times New Roman" w:hAnsi="Times New Roman" w:hint="eastAsia"/>
          <w:sz w:val="24"/>
          <w:szCs w:val="24"/>
        </w:rPr>
        <w:t>ē</w:t>
      </w:r>
      <w:r w:rsidRPr="00BB69DC">
        <w:rPr>
          <w:rFonts w:ascii="Times New Roman" w:hAnsi="Times New Roman"/>
          <w:sz w:val="24"/>
          <w:szCs w:val="24"/>
        </w:rPr>
        <w:t>c iesp</w:t>
      </w:r>
      <w:r w:rsidRPr="00BB69DC">
        <w:rPr>
          <w:rFonts w:ascii="Times New Roman" w:hAnsi="Times New Roman" w:hint="eastAsia"/>
          <w:sz w:val="24"/>
          <w:szCs w:val="24"/>
        </w:rPr>
        <w:t>ē</w:t>
      </w:r>
      <w:r w:rsidRPr="00BB69DC">
        <w:rPr>
          <w:rFonts w:ascii="Times New Roman" w:hAnsi="Times New Roman"/>
          <w:sz w:val="24"/>
          <w:szCs w:val="24"/>
        </w:rPr>
        <w:t>jas l</w:t>
      </w:r>
      <w:r w:rsidRPr="00BB69DC">
        <w:rPr>
          <w:rFonts w:ascii="Times New Roman" w:hAnsi="Times New Roman" w:hint="eastAsia"/>
          <w:sz w:val="24"/>
          <w:szCs w:val="24"/>
        </w:rPr>
        <w:t>ī</w:t>
      </w:r>
      <w:r w:rsidRPr="00BB69DC">
        <w:rPr>
          <w:rFonts w:ascii="Times New Roman" w:hAnsi="Times New Roman"/>
          <w:sz w:val="24"/>
          <w:szCs w:val="24"/>
        </w:rPr>
        <w:t>dz</w:t>
      </w:r>
      <w:r w:rsidRPr="00BB69DC">
        <w:rPr>
          <w:rFonts w:ascii="Times New Roman" w:hAnsi="Times New Roman" w:hint="eastAsia"/>
          <w:sz w:val="24"/>
          <w:szCs w:val="24"/>
        </w:rPr>
        <w:t>ī</w:t>
      </w:r>
      <w:r w:rsidRPr="00BB69DC">
        <w:rPr>
          <w:rFonts w:ascii="Times New Roman" w:hAnsi="Times New Roman"/>
          <w:sz w:val="24"/>
          <w:szCs w:val="24"/>
        </w:rPr>
        <w:t>gi. Tostarp sarun</w:t>
      </w:r>
      <w:r w:rsidRPr="00BB69DC">
        <w:rPr>
          <w:rFonts w:ascii="Times New Roman" w:hAnsi="Times New Roman" w:hint="eastAsia"/>
          <w:sz w:val="24"/>
          <w:szCs w:val="24"/>
        </w:rPr>
        <w:t>ā</w:t>
      </w:r>
      <w:r w:rsidRPr="00BB69DC">
        <w:rPr>
          <w:rFonts w:ascii="Times New Roman" w:hAnsi="Times New Roman"/>
          <w:sz w:val="24"/>
          <w:szCs w:val="24"/>
        </w:rPr>
        <w:t>s tika</w:t>
      </w:r>
      <w:r w:rsidRPr="00BB69DC">
        <w:rPr>
          <w:rFonts w:ascii="Times New Roman" w:hAnsi="Times New Roman" w:hint="eastAsia"/>
          <w:sz w:val="24"/>
          <w:szCs w:val="24"/>
        </w:rPr>
        <w:t> </w:t>
      </w:r>
      <w:r w:rsidRPr="00BB69DC">
        <w:rPr>
          <w:rFonts w:ascii="Times New Roman" w:hAnsi="Times New Roman"/>
          <w:sz w:val="24"/>
          <w:szCs w:val="24"/>
        </w:rPr>
        <w:t>apspriests potenci</w:t>
      </w:r>
      <w:r w:rsidRPr="00BB69DC">
        <w:rPr>
          <w:rFonts w:ascii="Times New Roman" w:hAnsi="Times New Roman" w:hint="eastAsia"/>
          <w:sz w:val="24"/>
          <w:szCs w:val="24"/>
        </w:rPr>
        <w:t>ā</w:t>
      </w:r>
      <w:r w:rsidRPr="00BB69DC">
        <w:rPr>
          <w:rFonts w:ascii="Times New Roman" w:hAnsi="Times New Roman"/>
          <w:sz w:val="24"/>
          <w:szCs w:val="24"/>
        </w:rPr>
        <w:t>lais iepirkuma uzvar</w:t>
      </w:r>
      <w:r w:rsidRPr="00BB69DC">
        <w:rPr>
          <w:rFonts w:ascii="Times New Roman" w:hAnsi="Times New Roman" w:hint="eastAsia"/>
          <w:sz w:val="24"/>
          <w:szCs w:val="24"/>
        </w:rPr>
        <w:t>ē</w:t>
      </w:r>
      <w:r w:rsidRPr="00BB69DC">
        <w:rPr>
          <w:rFonts w:ascii="Times New Roman" w:hAnsi="Times New Roman"/>
          <w:sz w:val="24"/>
          <w:szCs w:val="24"/>
        </w:rPr>
        <w:t>t</w:t>
      </w:r>
      <w:r w:rsidRPr="00BB69DC">
        <w:rPr>
          <w:rFonts w:ascii="Times New Roman" w:hAnsi="Times New Roman" w:hint="eastAsia"/>
          <w:sz w:val="24"/>
          <w:szCs w:val="24"/>
        </w:rPr>
        <w:t>ā</w:t>
      </w:r>
      <w:r w:rsidRPr="00BB69DC">
        <w:rPr>
          <w:rFonts w:ascii="Times New Roman" w:hAnsi="Times New Roman"/>
          <w:sz w:val="24"/>
          <w:szCs w:val="24"/>
        </w:rPr>
        <w:t>js, kam pien</w:t>
      </w:r>
      <w:r w:rsidRPr="00BB69DC">
        <w:rPr>
          <w:rFonts w:ascii="Times New Roman" w:hAnsi="Times New Roman" w:hint="eastAsia"/>
          <w:sz w:val="24"/>
          <w:szCs w:val="24"/>
        </w:rPr>
        <w:t>ā</w:t>
      </w:r>
      <w:r w:rsidRPr="00BB69DC">
        <w:rPr>
          <w:rFonts w:ascii="Times New Roman" w:hAnsi="Times New Roman"/>
          <w:sz w:val="24"/>
          <w:szCs w:val="24"/>
        </w:rPr>
        <w:t>ktos konkr</w:t>
      </w:r>
      <w:r w:rsidRPr="00BB69DC">
        <w:rPr>
          <w:rFonts w:ascii="Times New Roman" w:hAnsi="Times New Roman" w:hint="eastAsia"/>
          <w:sz w:val="24"/>
          <w:szCs w:val="24"/>
        </w:rPr>
        <w:t>ē</w:t>
      </w:r>
      <w:r w:rsidRPr="00BB69DC">
        <w:rPr>
          <w:rFonts w:ascii="Times New Roman" w:hAnsi="Times New Roman"/>
          <w:sz w:val="24"/>
          <w:szCs w:val="24"/>
        </w:rPr>
        <w:t>tais iepirkums, t</w:t>
      </w:r>
      <w:r w:rsidRPr="00BB69DC">
        <w:rPr>
          <w:rFonts w:ascii="Times New Roman" w:hAnsi="Times New Roman" w:hint="eastAsia"/>
          <w:sz w:val="24"/>
          <w:szCs w:val="24"/>
        </w:rPr>
        <w:t>ā</w:t>
      </w:r>
      <w:r w:rsidRPr="00BB69DC">
        <w:rPr>
          <w:rFonts w:ascii="Times New Roman" w:hAnsi="Times New Roman"/>
          <w:sz w:val="24"/>
          <w:szCs w:val="24"/>
        </w:rPr>
        <w:t>pat piedal</w:t>
      </w:r>
      <w:r w:rsidRPr="00BB69DC">
        <w:rPr>
          <w:rFonts w:ascii="Times New Roman" w:hAnsi="Times New Roman" w:hint="eastAsia"/>
          <w:sz w:val="24"/>
          <w:szCs w:val="24"/>
        </w:rPr>
        <w:t>īš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w:t>
      </w:r>
      <w:r w:rsidRPr="00BB69DC">
        <w:rPr>
          <w:rFonts w:ascii="Times New Roman" w:hAnsi="Times New Roman" w:hint="eastAsia"/>
          <w:sz w:val="24"/>
          <w:szCs w:val="24"/>
        </w:rPr>
        <w:t> </w:t>
      </w:r>
      <w:r w:rsidRPr="00BB69DC">
        <w:rPr>
          <w:rFonts w:ascii="Times New Roman" w:hAnsi="Times New Roman"/>
          <w:sz w:val="24"/>
          <w:szCs w:val="24"/>
        </w:rPr>
        <w:t>form</w:t>
      </w:r>
      <w:r w:rsidRPr="00BB69DC">
        <w:rPr>
          <w:rFonts w:ascii="Times New Roman" w:hAnsi="Times New Roman" w:hint="eastAsia"/>
          <w:sz w:val="24"/>
          <w:szCs w:val="24"/>
        </w:rPr>
        <w:t>ā</w:t>
      </w:r>
      <w:r w:rsidRPr="00BB69DC">
        <w:rPr>
          <w:rFonts w:ascii="Times New Roman" w:hAnsi="Times New Roman"/>
          <w:sz w:val="24"/>
          <w:szCs w:val="24"/>
        </w:rPr>
        <w:t xml:space="preserve">li ar </w:t>
      </w:r>
      <w:r w:rsidRPr="00BB69DC">
        <w:rPr>
          <w:rFonts w:ascii="Times New Roman" w:hAnsi="Times New Roman" w:hint="eastAsia"/>
          <w:sz w:val="24"/>
          <w:szCs w:val="24"/>
        </w:rPr>
        <w:t>“</w:t>
      </w:r>
      <w:r w:rsidRPr="00BB69DC">
        <w:rPr>
          <w:rFonts w:ascii="Times New Roman" w:hAnsi="Times New Roman"/>
          <w:sz w:val="24"/>
          <w:szCs w:val="24"/>
        </w:rPr>
        <w:t>aizsega pied</w:t>
      </w:r>
      <w:r w:rsidRPr="00BB69DC">
        <w:rPr>
          <w:rFonts w:ascii="Times New Roman" w:hAnsi="Times New Roman" w:hint="eastAsia"/>
          <w:sz w:val="24"/>
          <w:szCs w:val="24"/>
        </w:rPr>
        <w:t>ā</w:t>
      </w:r>
      <w:r w:rsidRPr="00BB69DC">
        <w:rPr>
          <w:rFonts w:ascii="Times New Roman" w:hAnsi="Times New Roman"/>
          <w:sz w:val="24"/>
          <w:szCs w:val="24"/>
        </w:rPr>
        <w:t>v</w:t>
      </w:r>
      <w:r w:rsidRPr="00BB69DC">
        <w:rPr>
          <w:rFonts w:ascii="Times New Roman" w:hAnsi="Times New Roman" w:hint="eastAsia"/>
          <w:sz w:val="24"/>
          <w:szCs w:val="24"/>
        </w:rPr>
        <w:t>ā</w:t>
      </w:r>
      <w:r w:rsidRPr="00BB69DC">
        <w:rPr>
          <w:rFonts w:ascii="Times New Roman" w:hAnsi="Times New Roman"/>
          <w:sz w:val="24"/>
          <w:szCs w:val="24"/>
        </w:rPr>
        <w:t>jumu</w:t>
      </w:r>
      <w:r w:rsidRPr="00BB69DC">
        <w:rPr>
          <w:rFonts w:ascii="Times New Roman" w:hAnsi="Times New Roman" w:hint="eastAsia"/>
          <w:sz w:val="24"/>
          <w:szCs w:val="24"/>
        </w:rPr>
        <w:t>” </w:t>
      </w:r>
      <w:r w:rsidRPr="00BB69DC">
        <w:rPr>
          <w:rFonts w:ascii="Times New Roman" w:hAnsi="Times New Roman"/>
          <w:sz w:val="24"/>
          <w:szCs w:val="24"/>
        </w:rPr>
        <w:t>vai tie</w:t>
      </w:r>
      <w:r w:rsidRPr="00BB69DC">
        <w:rPr>
          <w:rFonts w:ascii="Times New Roman" w:hAnsi="Times New Roman" w:hint="eastAsia"/>
          <w:sz w:val="24"/>
          <w:szCs w:val="24"/>
        </w:rPr>
        <w:t>š</w:t>
      </w:r>
      <w:r w:rsidRPr="00BB69DC">
        <w:rPr>
          <w:rFonts w:ascii="Times New Roman" w:hAnsi="Times New Roman"/>
          <w:sz w:val="24"/>
          <w:szCs w:val="24"/>
        </w:rPr>
        <w:t>i otr</w:t>
      </w:r>
      <w:r w:rsidRPr="00BB69DC">
        <w:rPr>
          <w:rFonts w:ascii="Times New Roman" w:hAnsi="Times New Roman" w:hint="eastAsia"/>
          <w:sz w:val="24"/>
          <w:szCs w:val="24"/>
        </w:rPr>
        <w:t>ā</w:t>
      </w:r>
      <w:r w:rsidRPr="00BB69DC">
        <w:rPr>
          <w:rFonts w:ascii="Times New Roman" w:hAnsi="Times New Roman"/>
          <w:sz w:val="24"/>
          <w:szCs w:val="24"/>
        </w:rPr>
        <w:t xml:space="preserve">di </w:t>
      </w:r>
      <w:r w:rsidRPr="00BB69DC">
        <w:rPr>
          <w:rFonts w:ascii="Times New Roman" w:hAnsi="Times New Roman" w:hint="eastAsia"/>
          <w:sz w:val="24"/>
          <w:szCs w:val="24"/>
        </w:rPr>
        <w:t>–</w:t>
      </w:r>
      <w:r w:rsidRPr="00BB69DC">
        <w:rPr>
          <w:rFonts w:ascii="Times New Roman" w:hAnsi="Times New Roman"/>
          <w:sz w:val="24"/>
          <w:szCs w:val="24"/>
        </w:rPr>
        <w:t xml:space="preserve"> nepiedal</w:t>
      </w:r>
      <w:r w:rsidRPr="00BB69DC">
        <w:rPr>
          <w:rFonts w:ascii="Times New Roman" w:hAnsi="Times New Roman" w:hint="eastAsia"/>
          <w:sz w:val="24"/>
          <w:szCs w:val="24"/>
        </w:rPr>
        <w:t>īš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iepirkumos.</w:t>
      </w:r>
    </w:p>
    <w:p w14:paraId="2B51E58A" w14:textId="1F535451" w:rsidR="00162F97" w:rsidRPr="00BB69DC" w:rsidRDefault="00162F97" w:rsidP="00BB69DC">
      <w:pPr>
        <w:spacing w:after="0" w:line="240" w:lineRule="auto"/>
        <w:ind w:firstLine="720"/>
        <w:jc w:val="both"/>
        <w:rPr>
          <w:rFonts w:ascii="Times New Roman" w:hAnsi="Times New Roman"/>
          <w:sz w:val="24"/>
          <w:szCs w:val="24"/>
        </w:rPr>
      </w:pPr>
      <w:bookmarkStart w:id="173" w:name="_Hlk79403988"/>
      <w:r w:rsidRPr="00BB69DC">
        <w:rPr>
          <w:rFonts w:ascii="Times New Roman" w:hAnsi="Times New Roman"/>
          <w:sz w:val="24"/>
          <w:szCs w:val="24"/>
        </w:rPr>
        <w:t>KP izp</w:t>
      </w:r>
      <w:r w:rsidRPr="00BB69DC">
        <w:rPr>
          <w:rFonts w:ascii="Times New Roman" w:hAnsi="Times New Roman" w:hint="eastAsia"/>
          <w:sz w:val="24"/>
          <w:szCs w:val="24"/>
        </w:rPr>
        <w:t>ē</w:t>
      </w:r>
      <w:r w:rsidRPr="00BB69DC">
        <w:rPr>
          <w:rFonts w:ascii="Times New Roman" w:hAnsi="Times New Roman"/>
          <w:sz w:val="24"/>
          <w:szCs w:val="24"/>
        </w:rPr>
        <w:t>tes laik</w:t>
      </w:r>
      <w:r w:rsidRPr="00BB69DC">
        <w:rPr>
          <w:rFonts w:ascii="Times New Roman" w:hAnsi="Times New Roman" w:hint="eastAsia"/>
          <w:sz w:val="24"/>
          <w:szCs w:val="24"/>
        </w:rPr>
        <w:t>ā</w:t>
      </w:r>
      <w:r w:rsidRPr="00BB69DC">
        <w:rPr>
          <w:rFonts w:ascii="Times New Roman" w:hAnsi="Times New Roman"/>
          <w:sz w:val="24"/>
          <w:szCs w:val="24"/>
        </w:rPr>
        <w:t xml:space="preserve"> identific</w:t>
      </w:r>
      <w:r w:rsidRPr="00BB69DC">
        <w:rPr>
          <w:rFonts w:ascii="Times New Roman" w:hAnsi="Times New Roman" w:hint="eastAsia"/>
          <w:sz w:val="24"/>
          <w:szCs w:val="24"/>
        </w:rPr>
        <w:t>ē</w:t>
      </w:r>
      <w:r w:rsidRPr="00BB69DC">
        <w:rPr>
          <w:rFonts w:ascii="Times New Roman" w:hAnsi="Times New Roman"/>
          <w:sz w:val="24"/>
          <w:szCs w:val="24"/>
        </w:rPr>
        <w:t>ja vismaz 70 no teju 90 p</w:t>
      </w:r>
      <w:r w:rsidRPr="00BB69DC">
        <w:rPr>
          <w:rFonts w:ascii="Times New Roman" w:hAnsi="Times New Roman" w:hint="eastAsia"/>
          <w:sz w:val="24"/>
          <w:szCs w:val="24"/>
        </w:rPr>
        <w:t>ā</w:t>
      </w:r>
      <w:r w:rsidRPr="00BB69DC">
        <w:rPr>
          <w:rFonts w:ascii="Times New Roman" w:hAnsi="Times New Roman"/>
          <w:sz w:val="24"/>
          <w:szCs w:val="24"/>
        </w:rPr>
        <w:t>rrun</w:t>
      </w:r>
      <w:r w:rsidRPr="00BB69DC">
        <w:rPr>
          <w:rFonts w:ascii="Times New Roman" w:hAnsi="Times New Roman" w:hint="eastAsia"/>
          <w:sz w:val="24"/>
          <w:szCs w:val="24"/>
        </w:rPr>
        <w:t>ā</w:t>
      </w:r>
      <w:r w:rsidRPr="00BB69DC">
        <w:rPr>
          <w:rFonts w:ascii="Times New Roman" w:hAnsi="Times New Roman"/>
          <w:sz w:val="24"/>
          <w:szCs w:val="24"/>
        </w:rPr>
        <w:t>tajiem iepirkumiem, no kuriem liel</w:t>
      </w:r>
      <w:r w:rsidRPr="00BB69DC">
        <w:rPr>
          <w:rFonts w:ascii="Times New Roman" w:hAnsi="Times New Roman" w:hint="eastAsia"/>
          <w:sz w:val="24"/>
          <w:szCs w:val="24"/>
        </w:rPr>
        <w:t>ā</w:t>
      </w:r>
      <w:r w:rsidRPr="00BB69DC">
        <w:rPr>
          <w:rFonts w:ascii="Times New Roman" w:hAnsi="Times New Roman"/>
          <w:sz w:val="24"/>
          <w:szCs w:val="24"/>
        </w:rPr>
        <w:t>k</w:t>
      </w:r>
      <w:r w:rsidRPr="00BB69DC">
        <w:rPr>
          <w:rFonts w:ascii="Times New Roman" w:hAnsi="Times New Roman" w:hint="eastAsia"/>
          <w:sz w:val="24"/>
          <w:szCs w:val="24"/>
        </w:rPr>
        <w:t>ā</w:t>
      </w:r>
      <w:r w:rsidRPr="00BB69DC">
        <w:rPr>
          <w:rFonts w:ascii="Times New Roman" w:hAnsi="Times New Roman"/>
          <w:sz w:val="24"/>
          <w:szCs w:val="24"/>
        </w:rPr>
        <w:t xml:space="preserve"> da</w:t>
      </w:r>
      <w:r w:rsidRPr="00BB69DC">
        <w:rPr>
          <w:rFonts w:ascii="Times New Roman" w:hAnsi="Times New Roman" w:hint="eastAsia"/>
          <w:sz w:val="24"/>
          <w:szCs w:val="24"/>
        </w:rPr>
        <w:t>ļ</w:t>
      </w:r>
      <w:r w:rsidRPr="00BB69DC">
        <w:rPr>
          <w:rFonts w:ascii="Times New Roman" w:hAnsi="Times New Roman"/>
          <w:sz w:val="24"/>
          <w:szCs w:val="24"/>
        </w:rPr>
        <w:t>a tika nosl</w:t>
      </w:r>
      <w:r w:rsidRPr="00BB69DC">
        <w:rPr>
          <w:rFonts w:ascii="Times New Roman" w:hAnsi="Times New Roman" w:hint="eastAsia"/>
          <w:sz w:val="24"/>
          <w:szCs w:val="24"/>
        </w:rPr>
        <w:t>ē</w:t>
      </w:r>
      <w:r w:rsidRPr="00BB69DC">
        <w:rPr>
          <w:rFonts w:ascii="Times New Roman" w:hAnsi="Times New Roman"/>
          <w:sz w:val="24"/>
          <w:szCs w:val="24"/>
        </w:rPr>
        <w:t>gti ar rezult</w:t>
      </w:r>
      <w:r w:rsidRPr="00BB69DC">
        <w:rPr>
          <w:rFonts w:ascii="Times New Roman" w:hAnsi="Times New Roman" w:hint="eastAsia"/>
          <w:sz w:val="24"/>
          <w:szCs w:val="24"/>
        </w:rPr>
        <w:t>ā</w:t>
      </w:r>
      <w:r w:rsidRPr="00BB69DC">
        <w:rPr>
          <w:rFonts w:ascii="Times New Roman" w:hAnsi="Times New Roman"/>
          <w:sz w:val="24"/>
          <w:szCs w:val="24"/>
        </w:rPr>
        <w:t>tu par kop</w:t>
      </w:r>
      <w:r w:rsidRPr="00BB69DC">
        <w:rPr>
          <w:rFonts w:ascii="Times New Roman" w:hAnsi="Times New Roman" w:hint="eastAsia"/>
          <w:sz w:val="24"/>
          <w:szCs w:val="24"/>
        </w:rPr>
        <w:t>ē</w:t>
      </w:r>
      <w:r w:rsidRPr="00BB69DC">
        <w:rPr>
          <w:rFonts w:ascii="Times New Roman" w:hAnsi="Times New Roman"/>
          <w:sz w:val="24"/>
          <w:szCs w:val="24"/>
        </w:rPr>
        <w:t>jo l</w:t>
      </w:r>
      <w:r w:rsidRPr="00BB69DC">
        <w:rPr>
          <w:rFonts w:ascii="Times New Roman" w:hAnsi="Times New Roman" w:hint="eastAsia"/>
          <w:sz w:val="24"/>
          <w:szCs w:val="24"/>
        </w:rPr>
        <w:t>ī</w:t>
      </w:r>
      <w:r w:rsidRPr="00BB69DC">
        <w:rPr>
          <w:rFonts w:ascii="Times New Roman" w:hAnsi="Times New Roman"/>
          <w:sz w:val="24"/>
          <w:szCs w:val="24"/>
        </w:rPr>
        <w:t>gumsummu</w:t>
      </w:r>
      <w:r w:rsidRPr="00BB69DC">
        <w:rPr>
          <w:rFonts w:ascii="Times New Roman" w:hAnsi="Times New Roman" w:hint="eastAsia"/>
          <w:sz w:val="24"/>
          <w:szCs w:val="24"/>
        </w:rPr>
        <w:t> </w:t>
      </w:r>
      <w:bookmarkEnd w:id="173"/>
      <w:r w:rsidRPr="00BB69DC">
        <w:rPr>
          <w:rFonts w:ascii="Times New Roman" w:hAnsi="Times New Roman"/>
          <w:sz w:val="24"/>
          <w:szCs w:val="24"/>
        </w:rPr>
        <w:t>686</w:t>
      </w:r>
      <w:r w:rsidRPr="00BB69DC">
        <w:rPr>
          <w:rFonts w:ascii="Times New Roman" w:hAnsi="Times New Roman" w:hint="eastAsia"/>
          <w:sz w:val="24"/>
          <w:szCs w:val="24"/>
        </w:rPr>
        <w:t> </w:t>
      </w:r>
      <w:r w:rsidRPr="00BB69DC">
        <w:rPr>
          <w:rFonts w:ascii="Times New Roman" w:hAnsi="Times New Roman"/>
          <w:sz w:val="24"/>
          <w:szCs w:val="24"/>
        </w:rPr>
        <w:t>989</w:t>
      </w:r>
      <w:r w:rsidRPr="00BB69DC">
        <w:rPr>
          <w:rFonts w:ascii="Times New Roman" w:hAnsi="Times New Roman" w:hint="eastAsia"/>
          <w:sz w:val="24"/>
          <w:szCs w:val="24"/>
        </w:rPr>
        <w:t> </w:t>
      </w:r>
      <w:r w:rsidRPr="00BB69DC">
        <w:rPr>
          <w:rFonts w:ascii="Times New Roman" w:hAnsi="Times New Roman"/>
          <w:sz w:val="24"/>
          <w:szCs w:val="24"/>
        </w:rPr>
        <w:t xml:space="preserve">991 </w:t>
      </w:r>
      <w:r w:rsidR="00D36D09" w:rsidRPr="00BB69DC">
        <w:rPr>
          <w:rFonts w:ascii="Times New Roman" w:hAnsi="Times New Roman"/>
          <w:i/>
          <w:sz w:val="24"/>
          <w:szCs w:val="24"/>
        </w:rPr>
        <w:t>euro</w:t>
      </w:r>
      <w:r w:rsidRPr="00BB69DC">
        <w:rPr>
          <w:rFonts w:ascii="Times New Roman" w:hAnsi="Times New Roman"/>
          <w:sz w:val="24"/>
          <w:szCs w:val="24"/>
        </w:rPr>
        <w:t xml:space="preserve"> apm</w:t>
      </w:r>
      <w:r w:rsidRPr="00BB69DC">
        <w:rPr>
          <w:rFonts w:ascii="Times New Roman" w:hAnsi="Times New Roman" w:hint="eastAsia"/>
          <w:sz w:val="24"/>
          <w:szCs w:val="24"/>
        </w:rPr>
        <w:t>ē</w:t>
      </w:r>
      <w:r w:rsidRPr="00BB69DC">
        <w:rPr>
          <w:rFonts w:ascii="Times New Roman" w:hAnsi="Times New Roman"/>
          <w:sz w:val="24"/>
          <w:szCs w:val="24"/>
        </w:rPr>
        <w:t>r</w:t>
      </w:r>
      <w:r w:rsidRPr="00BB69DC">
        <w:rPr>
          <w:rFonts w:ascii="Times New Roman" w:hAnsi="Times New Roman" w:hint="eastAsia"/>
          <w:sz w:val="24"/>
          <w:szCs w:val="24"/>
        </w:rPr>
        <w:t>ā</w:t>
      </w:r>
      <w:r w:rsidRPr="00BB69DC">
        <w:rPr>
          <w:rFonts w:ascii="Times New Roman" w:hAnsi="Times New Roman"/>
          <w:sz w:val="24"/>
          <w:szCs w:val="24"/>
        </w:rPr>
        <w:t>.</w:t>
      </w:r>
      <w:r w:rsidRPr="00BB69DC">
        <w:rPr>
          <w:rFonts w:ascii="Times New Roman" w:hAnsi="Times New Roman" w:hint="eastAsia"/>
          <w:sz w:val="24"/>
          <w:szCs w:val="24"/>
        </w:rPr>
        <w:t> </w:t>
      </w:r>
      <w:r w:rsidRPr="00BB69DC">
        <w:rPr>
          <w:rFonts w:ascii="Times New Roman" w:hAnsi="Times New Roman"/>
          <w:sz w:val="24"/>
          <w:szCs w:val="24"/>
        </w:rPr>
        <w:t xml:space="preserve"> Aizliegtas vieno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rezult</w:t>
      </w:r>
      <w:r w:rsidRPr="00BB69DC">
        <w:rPr>
          <w:rFonts w:ascii="Times New Roman" w:hAnsi="Times New Roman" w:hint="eastAsia"/>
          <w:sz w:val="24"/>
          <w:szCs w:val="24"/>
        </w:rPr>
        <w:t>ā</w:t>
      </w:r>
      <w:r w:rsidRPr="00BB69DC">
        <w:rPr>
          <w:rFonts w:ascii="Times New Roman" w:hAnsi="Times New Roman"/>
          <w:sz w:val="24"/>
          <w:szCs w:val="24"/>
        </w:rPr>
        <w:t>t</w:t>
      </w:r>
      <w:r w:rsidRPr="00BB69DC">
        <w:rPr>
          <w:rFonts w:ascii="Times New Roman" w:hAnsi="Times New Roman" w:hint="eastAsia"/>
          <w:sz w:val="24"/>
          <w:szCs w:val="24"/>
        </w:rPr>
        <w:t>ā</w:t>
      </w:r>
      <w:r w:rsidRPr="00BB69DC">
        <w:rPr>
          <w:rFonts w:ascii="Times New Roman" w:hAnsi="Times New Roman"/>
          <w:sz w:val="24"/>
          <w:szCs w:val="24"/>
        </w:rPr>
        <w:t xml:space="preserve"> tika ietekm</w:t>
      </w:r>
      <w:r w:rsidRPr="00BB69DC">
        <w:rPr>
          <w:rFonts w:ascii="Times New Roman" w:hAnsi="Times New Roman" w:hint="eastAsia"/>
          <w:sz w:val="24"/>
          <w:szCs w:val="24"/>
        </w:rPr>
        <w:t>ē</w:t>
      </w:r>
      <w:r w:rsidRPr="00BB69DC">
        <w:rPr>
          <w:rFonts w:ascii="Times New Roman" w:hAnsi="Times New Roman"/>
          <w:sz w:val="24"/>
          <w:szCs w:val="24"/>
        </w:rPr>
        <w:t>ta publisko l</w:t>
      </w:r>
      <w:r w:rsidRPr="00BB69DC">
        <w:rPr>
          <w:rFonts w:ascii="Times New Roman" w:hAnsi="Times New Roman" w:hint="eastAsia"/>
          <w:sz w:val="24"/>
          <w:szCs w:val="24"/>
        </w:rPr>
        <w:t>ī</w:t>
      </w:r>
      <w:r w:rsidRPr="00BB69DC">
        <w:rPr>
          <w:rFonts w:ascii="Times New Roman" w:hAnsi="Times New Roman"/>
          <w:sz w:val="24"/>
          <w:szCs w:val="24"/>
        </w:rPr>
        <w:t>dzek</w:t>
      </w:r>
      <w:r w:rsidRPr="00BB69DC">
        <w:rPr>
          <w:rFonts w:ascii="Times New Roman" w:hAnsi="Times New Roman" w:hint="eastAsia"/>
          <w:sz w:val="24"/>
          <w:szCs w:val="24"/>
        </w:rPr>
        <w:t>ļ</w:t>
      </w:r>
      <w:r w:rsidRPr="00BB69DC">
        <w:rPr>
          <w:rFonts w:ascii="Times New Roman" w:hAnsi="Times New Roman"/>
          <w:sz w:val="24"/>
          <w:szCs w:val="24"/>
        </w:rPr>
        <w:t>u, t.sk. ES fondu l</w:t>
      </w:r>
      <w:r w:rsidRPr="00BB69DC">
        <w:rPr>
          <w:rFonts w:ascii="Times New Roman" w:hAnsi="Times New Roman" w:hint="eastAsia"/>
          <w:sz w:val="24"/>
          <w:szCs w:val="24"/>
        </w:rPr>
        <w:t>ī</w:t>
      </w:r>
      <w:r w:rsidRPr="00BB69DC">
        <w:rPr>
          <w:rFonts w:ascii="Times New Roman" w:hAnsi="Times New Roman"/>
          <w:sz w:val="24"/>
          <w:szCs w:val="24"/>
        </w:rPr>
        <w:t>dzek</w:t>
      </w:r>
      <w:r w:rsidRPr="00BB69DC">
        <w:rPr>
          <w:rFonts w:ascii="Times New Roman" w:hAnsi="Times New Roman" w:hint="eastAsia"/>
          <w:sz w:val="24"/>
          <w:szCs w:val="24"/>
        </w:rPr>
        <w:t>ļ</w:t>
      </w:r>
      <w:r w:rsidRPr="00BB69DC">
        <w:rPr>
          <w:rFonts w:ascii="Times New Roman" w:hAnsi="Times New Roman"/>
          <w:sz w:val="24"/>
          <w:szCs w:val="24"/>
        </w:rPr>
        <w:t>u taisn</w:t>
      </w:r>
      <w:r w:rsidRPr="00BB69DC">
        <w:rPr>
          <w:rFonts w:ascii="Times New Roman" w:hAnsi="Times New Roman" w:hint="eastAsia"/>
          <w:sz w:val="24"/>
          <w:szCs w:val="24"/>
        </w:rPr>
        <w:t>ī</w:t>
      </w:r>
      <w:r w:rsidRPr="00BB69DC">
        <w:rPr>
          <w:rFonts w:ascii="Times New Roman" w:hAnsi="Times New Roman"/>
          <w:sz w:val="24"/>
          <w:szCs w:val="24"/>
        </w:rPr>
        <w:t>ga un tiesiska izlieto</w:t>
      </w:r>
      <w:r w:rsidRPr="00BB69DC">
        <w:rPr>
          <w:rFonts w:ascii="Times New Roman" w:hAnsi="Times New Roman" w:hint="eastAsia"/>
          <w:sz w:val="24"/>
          <w:szCs w:val="24"/>
        </w:rPr>
        <w:t>š</w:t>
      </w:r>
      <w:r w:rsidRPr="00BB69DC">
        <w:rPr>
          <w:rFonts w:ascii="Times New Roman" w:hAnsi="Times New Roman"/>
          <w:sz w:val="24"/>
          <w:szCs w:val="24"/>
        </w:rPr>
        <w:t>ana. Ieg</w:t>
      </w:r>
      <w:r w:rsidRPr="00BB69DC">
        <w:rPr>
          <w:rFonts w:ascii="Times New Roman" w:hAnsi="Times New Roman" w:hint="eastAsia"/>
          <w:sz w:val="24"/>
          <w:szCs w:val="24"/>
        </w:rPr>
        <w:t>ū</w:t>
      </w:r>
      <w:r w:rsidRPr="00BB69DC">
        <w:rPr>
          <w:rFonts w:ascii="Times New Roman" w:hAnsi="Times New Roman"/>
          <w:sz w:val="24"/>
          <w:szCs w:val="24"/>
        </w:rPr>
        <w:t>tie dati liecina, ka vair</w:t>
      </w:r>
      <w:r w:rsidRPr="00BB69DC">
        <w:rPr>
          <w:rFonts w:ascii="Times New Roman" w:hAnsi="Times New Roman" w:hint="eastAsia"/>
          <w:sz w:val="24"/>
          <w:szCs w:val="24"/>
        </w:rPr>
        <w:t>ā</w:t>
      </w:r>
      <w:r w:rsidRPr="00BB69DC">
        <w:rPr>
          <w:rFonts w:ascii="Times New Roman" w:hAnsi="Times New Roman"/>
          <w:sz w:val="24"/>
          <w:szCs w:val="24"/>
        </w:rPr>
        <w:t>k nek</w:t>
      </w:r>
      <w:r w:rsidRPr="00BB69DC">
        <w:rPr>
          <w:rFonts w:ascii="Times New Roman" w:hAnsi="Times New Roman" w:hint="eastAsia"/>
          <w:sz w:val="24"/>
          <w:szCs w:val="24"/>
        </w:rPr>
        <w:t>ā</w:t>
      </w:r>
      <w:r w:rsidRPr="00BB69DC">
        <w:rPr>
          <w:rFonts w:ascii="Times New Roman" w:hAnsi="Times New Roman"/>
          <w:sz w:val="24"/>
          <w:szCs w:val="24"/>
        </w:rPr>
        <w:t xml:space="preserve"> puse iepirkumu bija tapu</w:t>
      </w:r>
      <w:r w:rsidRPr="00BB69DC">
        <w:rPr>
          <w:rFonts w:ascii="Times New Roman" w:hAnsi="Times New Roman" w:hint="eastAsia"/>
          <w:sz w:val="24"/>
          <w:szCs w:val="24"/>
        </w:rPr>
        <w:t>š</w:t>
      </w:r>
      <w:r w:rsidRPr="00BB69DC">
        <w:rPr>
          <w:rFonts w:ascii="Times New Roman" w:hAnsi="Times New Roman"/>
          <w:sz w:val="24"/>
          <w:szCs w:val="24"/>
        </w:rPr>
        <w:t>i ar ES l</w:t>
      </w:r>
      <w:r w:rsidRPr="00BB69DC">
        <w:rPr>
          <w:rFonts w:ascii="Times New Roman" w:hAnsi="Times New Roman" w:hint="eastAsia"/>
          <w:sz w:val="24"/>
          <w:szCs w:val="24"/>
        </w:rPr>
        <w:t>ī</w:t>
      </w:r>
      <w:r w:rsidRPr="00BB69DC">
        <w:rPr>
          <w:rFonts w:ascii="Times New Roman" w:hAnsi="Times New Roman"/>
          <w:sz w:val="24"/>
          <w:szCs w:val="24"/>
        </w:rPr>
        <w:t>dzfinans</w:t>
      </w:r>
      <w:r w:rsidRPr="00BB69DC">
        <w:rPr>
          <w:rFonts w:ascii="Times New Roman" w:hAnsi="Times New Roman" w:hint="eastAsia"/>
          <w:sz w:val="24"/>
          <w:szCs w:val="24"/>
        </w:rPr>
        <w:t>ē</w:t>
      </w:r>
      <w:r w:rsidRPr="00BB69DC">
        <w:rPr>
          <w:rFonts w:ascii="Times New Roman" w:hAnsi="Times New Roman"/>
          <w:sz w:val="24"/>
          <w:szCs w:val="24"/>
        </w:rPr>
        <w:t xml:space="preserve">jumu. </w:t>
      </w:r>
    </w:p>
    <w:p w14:paraId="7FDFA3D7" w14:textId="25FB3BDB"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sz w:val="24"/>
          <w:szCs w:val="24"/>
        </w:rPr>
        <w:t>Centr</w:t>
      </w:r>
      <w:r w:rsidRPr="00BB69DC">
        <w:rPr>
          <w:rFonts w:ascii="Times New Roman" w:hAnsi="Times New Roman" w:hint="eastAsia"/>
          <w:sz w:val="24"/>
          <w:szCs w:val="24"/>
        </w:rPr>
        <w:t>ā</w:t>
      </w:r>
      <w:r w:rsidRPr="00BB69DC">
        <w:rPr>
          <w:rFonts w:ascii="Times New Roman" w:hAnsi="Times New Roman"/>
          <w:sz w:val="24"/>
          <w:szCs w:val="24"/>
        </w:rPr>
        <w:t>l</w:t>
      </w:r>
      <w:r w:rsidRPr="00BB69DC">
        <w:rPr>
          <w:rFonts w:ascii="Times New Roman" w:hAnsi="Times New Roman" w:hint="eastAsia"/>
          <w:sz w:val="24"/>
          <w:szCs w:val="24"/>
        </w:rPr>
        <w:t>ā</w:t>
      </w:r>
      <w:r w:rsidRPr="00BB69DC">
        <w:rPr>
          <w:rFonts w:ascii="Times New Roman" w:hAnsi="Times New Roman"/>
          <w:sz w:val="24"/>
          <w:szCs w:val="24"/>
        </w:rPr>
        <w:t xml:space="preserve"> un finan</w:t>
      </w:r>
      <w:r w:rsidRPr="00BB69DC">
        <w:rPr>
          <w:rFonts w:ascii="Times New Roman" w:hAnsi="Times New Roman" w:hint="eastAsia"/>
          <w:sz w:val="24"/>
          <w:szCs w:val="24"/>
        </w:rPr>
        <w:t>š</w:t>
      </w:r>
      <w:r w:rsidRPr="00BB69DC">
        <w:rPr>
          <w:rFonts w:ascii="Times New Roman" w:hAnsi="Times New Roman"/>
          <w:sz w:val="24"/>
          <w:szCs w:val="24"/>
        </w:rPr>
        <w:t>u l</w:t>
      </w:r>
      <w:r w:rsidRPr="00BB69DC">
        <w:rPr>
          <w:rFonts w:ascii="Times New Roman" w:hAnsi="Times New Roman" w:hint="eastAsia"/>
          <w:sz w:val="24"/>
          <w:szCs w:val="24"/>
        </w:rPr>
        <w:t>ī</w:t>
      </w:r>
      <w:r w:rsidRPr="00BB69DC">
        <w:rPr>
          <w:rFonts w:ascii="Times New Roman" w:hAnsi="Times New Roman"/>
          <w:sz w:val="24"/>
          <w:szCs w:val="24"/>
        </w:rPr>
        <w:t>gumu a</w:t>
      </w:r>
      <w:r w:rsidRPr="00BB69DC">
        <w:rPr>
          <w:rFonts w:ascii="Times New Roman" w:hAnsi="Times New Roman" w:hint="eastAsia"/>
          <w:sz w:val="24"/>
          <w:szCs w:val="24"/>
        </w:rPr>
        <w:t>ģ</w:t>
      </w:r>
      <w:r w:rsidRPr="00BB69DC">
        <w:rPr>
          <w:rFonts w:ascii="Times New Roman" w:hAnsi="Times New Roman"/>
          <w:sz w:val="24"/>
          <w:szCs w:val="24"/>
        </w:rPr>
        <w:t>ent</w:t>
      </w:r>
      <w:r w:rsidRPr="00BB69DC">
        <w:rPr>
          <w:rFonts w:ascii="Times New Roman" w:hAnsi="Times New Roman" w:hint="eastAsia"/>
          <w:sz w:val="24"/>
          <w:szCs w:val="24"/>
        </w:rPr>
        <w:t>ū</w:t>
      </w:r>
      <w:r w:rsidRPr="00BB69DC">
        <w:rPr>
          <w:rFonts w:ascii="Times New Roman" w:hAnsi="Times New Roman"/>
          <w:sz w:val="24"/>
          <w:szCs w:val="24"/>
        </w:rPr>
        <w:t>ra (</w:t>
      </w:r>
      <w:r w:rsidR="00D36D09">
        <w:rPr>
          <w:rFonts w:ascii="Times New Roman" w:hAnsi="Times New Roman"/>
          <w:sz w:val="24"/>
          <w:szCs w:val="24"/>
        </w:rPr>
        <w:t xml:space="preserve">turpmāk – </w:t>
      </w:r>
      <w:r w:rsidRPr="00BB69DC">
        <w:rPr>
          <w:rFonts w:ascii="Times New Roman" w:hAnsi="Times New Roman"/>
          <w:sz w:val="24"/>
          <w:szCs w:val="24"/>
        </w:rPr>
        <w:t>CFLA) ir inform</w:t>
      </w:r>
      <w:r w:rsidRPr="00BB69DC">
        <w:rPr>
          <w:rFonts w:ascii="Times New Roman" w:hAnsi="Times New Roman" w:hint="eastAsia"/>
          <w:sz w:val="24"/>
          <w:szCs w:val="24"/>
        </w:rPr>
        <w:t>ē</w:t>
      </w:r>
      <w:r w:rsidRPr="00BB69DC">
        <w:rPr>
          <w:rFonts w:ascii="Times New Roman" w:hAnsi="Times New Roman"/>
          <w:sz w:val="24"/>
          <w:szCs w:val="24"/>
        </w:rPr>
        <w:t>jusi, ka v</w:t>
      </w:r>
      <w:r w:rsidRPr="00BB69DC">
        <w:rPr>
          <w:rFonts w:ascii="Times New Roman" w:hAnsi="Times New Roman" w:hint="eastAsia"/>
          <w:sz w:val="24"/>
          <w:szCs w:val="24"/>
        </w:rPr>
        <w:t>ē</w:t>
      </w:r>
      <w:r w:rsidRPr="00BB69DC">
        <w:rPr>
          <w:rFonts w:ascii="Times New Roman" w:hAnsi="Times New Roman"/>
          <w:sz w:val="24"/>
          <w:szCs w:val="24"/>
        </w:rPr>
        <w:t>rt</w:t>
      </w:r>
      <w:r w:rsidRPr="00BB69DC">
        <w:rPr>
          <w:rFonts w:ascii="Times New Roman" w:hAnsi="Times New Roman" w:hint="eastAsia"/>
          <w:sz w:val="24"/>
          <w:szCs w:val="24"/>
        </w:rPr>
        <w:t>ē</w:t>
      </w:r>
      <w:r w:rsidRPr="00BB69DC">
        <w:rPr>
          <w:rFonts w:ascii="Times New Roman" w:hAnsi="Times New Roman"/>
          <w:sz w:val="24"/>
          <w:szCs w:val="24"/>
        </w:rPr>
        <w:t>s vai un cik liel</w:t>
      </w:r>
      <w:r w:rsidRPr="00BB69DC">
        <w:rPr>
          <w:rFonts w:ascii="Times New Roman" w:hAnsi="Times New Roman" w:hint="eastAsia"/>
          <w:sz w:val="24"/>
          <w:szCs w:val="24"/>
        </w:rPr>
        <w:t>ā</w:t>
      </w:r>
      <w:r w:rsidRPr="00BB69DC">
        <w:rPr>
          <w:rFonts w:ascii="Times New Roman" w:hAnsi="Times New Roman"/>
          <w:sz w:val="24"/>
          <w:szCs w:val="24"/>
        </w:rPr>
        <w:t xml:space="preserve"> m</w:t>
      </w:r>
      <w:r w:rsidRPr="00BB69DC">
        <w:rPr>
          <w:rFonts w:ascii="Times New Roman" w:hAnsi="Times New Roman" w:hint="eastAsia"/>
          <w:sz w:val="24"/>
          <w:szCs w:val="24"/>
        </w:rPr>
        <w:t>ē</w:t>
      </w:r>
      <w:r w:rsidRPr="00BB69DC">
        <w:rPr>
          <w:rFonts w:ascii="Times New Roman" w:hAnsi="Times New Roman"/>
          <w:sz w:val="24"/>
          <w:szCs w:val="24"/>
        </w:rPr>
        <w:t>r</w:t>
      </w:r>
      <w:r w:rsidRPr="00BB69DC">
        <w:rPr>
          <w:rFonts w:ascii="Times New Roman" w:hAnsi="Times New Roman" w:hint="eastAsia"/>
          <w:sz w:val="24"/>
          <w:szCs w:val="24"/>
        </w:rPr>
        <w:t>ā</w:t>
      </w:r>
      <w:r w:rsidRPr="00BB69DC">
        <w:rPr>
          <w:rFonts w:ascii="Times New Roman" w:hAnsi="Times New Roman"/>
          <w:sz w:val="24"/>
          <w:szCs w:val="24"/>
        </w:rPr>
        <w:t xml:space="preserve"> ir nepiecie</w:t>
      </w:r>
      <w:r w:rsidRPr="00BB69DC">
        <w:rPr>
          <w:rFonts w:ascii="Times New Roman" w:hAnsi="Times New Roman" w:hint="eastAsia"/>
          <w:sz w:val="24"/>
          <w:szCs w:val="24"/>
        </w:rPr>
        <w:t>š</w:t>
      </w:r>
      <w:r w:rsidRPr="00BB69DC">
        <w:rPr>
          <w:rFonts w:ascii="Times New Roman" w:hAnsi="Times New Roman"/>
          <w:sz w:val="24"/>
          <w:szCs w:val="24"/>
        </w:rPr>
        <w:t>ams veikt finan</w:t>
      </w:r>
      <w:r w:rsidRPr="00BB69DC">
        <w:rPr>
          <w:rFonts w:ascii="Times New Roman" w:hAnsi="Times New Roman" w:hint="eastAsia"/>
          <w:sz w:val="24"/>
          <w:szCs w:val="24"/>
        </w:rPr>
        <w:t>š</w:t>
      </w:r>
      <w:r w:rsidRPr="00BB69DC">
        <w:rPr>
          <w:rFonts w:ascii="Times New Roman" w:hAnsi="Times New Roman"/>
          <w:sz w:val="24"/>
          <w:szCs w:val="24"/>
        </w:rPr>
        <w:t>u korekcijas attiec</w:t>
      </w:r>
      <w:r w:rsidRPr="00BB69DC">
        <w:rPr>
          <w:rFonts w:ascii="Times New Roman" w:hAnsi="Times New Roman" w:hint="eastAsia"/>
          <w:sz w:val="24"/>
          <w:szCs w:val="24"/>
        </w:rPr>
        <w:t>ī</w:t>
      </w:r>
      <w:r w:rsidRPr="00BB69DC">
        <w:rPr>
          <w:rFonts w:ascii="Times New Roman" w:hAnsi="Times New Roman"/>
          <w:sz w:val="24"/>
          <w:szCs w:val="24"/>
        </w:rPr>
        <w:t>b</w:t>
      </w:r>
      <w:r w:rsidRPr="00BB69DC">
        <w:rPr>
          <w:rFonts w:ascii="Times New Roman" w:hAnsi="Times New Roman" w:hint="eastAsia"/>
          <w:sz w:val="24"/>
          <w:szCs w:val="24"/>
        </w:rPr>
        <w:t>ā</w:t>
      </w:r>
      <w:r w:rsidRPr="00BB69DC">
        <w:rPr>
          <w:rFonts w:ascii="Times New Roman" w:hAnsi="Times New Roman"/>
          <w:sz w:val="24"/>
          <w:szCs w:val="24"/>
        </w:rPr>
        <w:t xml:space="preserve"> uz </w:t>
      </w:r>
      <w:r w:rsidRPr="00BB69DC">
        <w:rPr>
          <w:rFonts w:ascii="Times New Roman" w:hAnsi="Times New Roman" w:hint="eastAsia"/>
          <w:sz w:val="24"/>
          <w:szCs w:val="24"/>
        </w:rPr>
        <w:t>š</w:t>
      </w:r>
      <w:r w:rsidRPr="00BB69DC">
        <w:rPr>
          <w:rFonts w:ascii="Times New Roman" w:hAnsi="Times New Roman"/>
          <w:sz w:val="24"/>
          <w:szCs w:val="24"/>
        </w:rPr>
        <w:t>ajos iepirkumos pie</w:t>
      </w:r>
      <w:r w:rsidRPr="00BB69DC">
        <w:rPr>
          <w:rFonts w:ascii="Times New Roman" w:hAnsi="Times New Roman" w:hint="eastAsia"/>
          <w:sz w:val="24"/>
          <w:szCs w:val="24"/>
        </w:rPr>
        <w:t>šķ</w:t>
      </w:r>
      <w:r w:rsidRPr="00BB69DC">
        <w:rPr>
          <w:rFonts w:ascii="Times New Roman" w:hAnsi="Times New Roman"/>
          <w:sz w:val="24"/>
          <w:szCs w:val="24"/>
        </w:rPr>
        <w:t>irto ES l</w:t>
      </w:r>
      <w:r w:rsidRPr="00BB69DC">
        <w:rPr>
          <w:rFonts w:ascii="Times New Roman" w:hAnsi="Times New Roman" w:hint="eastAsia"/>
          <w:sz w:val="24"/>
          <w:szCs w:val="24"/>
        </w:rPr>
        <w:t>ī</w:t>
      </w:r>
      <w:r w:rsidRPr="00BB69DC">
        <w:rPr>
          <w:rFonts w:ascii="Times New Roman" w:hAnsi="Times New Roman"/>
          <w:sz w:val="24"/>
          <w:szCs w:val="24"/>
        </w:rPr>
        <w:t>dzfinans</w:t>
      </w:r>
      <w:r w:rsidRPr="00BB69DC">
        <w:rPr>
          <w:rFonts w:ascii="Times New Roman" w:hAnsi="Times New Roman" w:hint="eastAsia"/>
          <w:sz w:val="24"/>
          <w:szCs w:val="24"/>
        </w:rPr>
        <w:t>ē</w:t>
      </w:r>
      <w:r w:rsidRPr="00BB69DC">
        <w:rPr>
          <w:rFonts w:ascii="Times New Roman" w:hAnsi="Times New Roman"/>
          <w:sz w:val="24"/>
          <w:szCs w:val="24"/>
        </w:rPr>
        <w:t>jumu.</w:t>
      </w:r>
    </w:p>
    <w:p w14:paraId="419D5E99" w14:textId="77777777"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sz w:val="24"/>
          <w:szCs w:val="24"/>
        </w:rPr>
        <w:t>Past</w:t>
      </w:r>
      <w:r w:rsidRPr="00BB69DC">
        <w:rPr>
          <w:rFonts w:ascii="Times New Roman" w:hAnsi="Times New Roman" w:hint="eastAsia"/>
          <w:sz w:val="24"/>
          <w:szCs w:val="24"/>
        </w:rPr>
        <w:t>ā</w:t>
      </w:r>
      <w:r w:rsidRPr="00BB69DC">
        <w:rPr>
          <w:rFonts w:ascii="Times New Roman" w:hAnsi="Times New Roman"/>
          <w:sz w:val="24"/>
          <w:szCs w:val="24"/>
        </w:rPr>
        <w:t>vot konkurences p</w:t>
      </w:r>
      <w:r w:rsidRPr="00BB69DC">
        <w:rPr>
          <w:rFonts w:ascii="Times New Roman" w:hAnsi="Times New Roman" w:hint="eastAsia"/>
          <w:sz w:val="24"/>
          <w:szCs w:val="24"/>
        </w:rPr>
        <w:t>ā</w:t>
      </w:r>
      <w:r w:rsidRPr="00BB69DC">
        <w:rPr>
          <w:rFonts w:ascii="Times New Roman" w:hAnsi="Times New Roman"/>
          <w:sz w:val="24"/>
          <w:szCs w:val="24"/>
        </w:rPr>
        <w:t>rk</w:t>
      </w:r>
      <w:r w:rsidRPr="00BB69DC">
        <w:rPr>
          <w:rFonts w:ascii="Times New Roman" w:hAnsi="Times New Roman" w:hint="eastAsia"/>
          <w:sz w:val="24"/>
          <w:szCs w:val="24"/>
        </w:rPr>
        <w:t>ā</w:t>
      </w:r>
      <w:r w:rsidRPr="00BB69DC">
        <w:rPr>
          <w:rFonts w:ascii="Times New Roman" w:hAnsi="Times New Roman"/>
          <w:sz w:val="24"/>
          <w:szCs w:val="24"/>
        </w:rPr>
        <w:t>pumam, CFLA ir pien</w:t>
      </w:r>
      <w:r w:rsidRPr="00BB69DC">
        <w:rPr>
          <w:rFonts w:ascii="Times New Roman" w:hAnsi="Times New Roman" w:hint="eastAsia"/>
          <w:sz w:val="24"/>
          <w:szCs w:val="24"/>
        </w:rPr>
        <w:t>ā</w:t>
      </w:r>
      <w:r w:rsidRPr="00BB69DC">
        <w:rPr>
          <w:rFonts w:ascii="Times New Roman" w:hAnsi="Times New Roman"/>
          <w:sz w:val="24"/>
          <w:szCs w:val="24"/>
        </w:rPr>
        <w:t>kums piem</w:t>
      </w:r>
      <w:r w:rsidRPr="00BB69DC">
        <w:rPr>
          <w:rFonts w:ascii="Times New Roman" w:hAnsi="Times New Roman" w:hint="eastAsia"/>
          <w:sz w:val="24"/>
          <w:szCs w:val="24"/>
        </w:rPr>
        <w:t>ē</w:t>
      </w:r>
      <w:r w:rsidRPr="00BB69DC">
        <w:rPr>
          <w:rFonts w:ascii="Times New Roman" w:hAnsi="Times New Roman"/>
          <w:sz w:val="24"/>
          <w:szCs w:val="24"/>
        </w:rPr>
        <w:t>rot finan</w:t>
      </w:r>
      <w:r w:rsidRPr="00BB69DC">
        <w:rPr>
          <w:rFonts w:ascii="Times New Roman" w:hAnsi="Times New Roman" w:hint="eastAsia"/>
          <w:sz w:val="24"/>
          <w:szCs w:val="24"/>
        </w:rPr>
        <w:t>š</w:t>
      </w:r>
      <w:r w:rsidRPr="00BB69DC">
        <w:rPr>
          <w:rFonts w:ascii="Times New Roman" w:hAnsi="Times New Roman"/>
          <w:sz w:val="24"/>
          <w:szCs w:val="24"/>
        </w:rPr>
        <w:t>u korekciju, tas ir, atcelt vai samazin</w:t>
      </w:r>
      <w:r w:rsidRPr="00BB69DC">
        <w:rPr>
          <w:rFonts w:ascii="Times New Roman" w:hAnsi="Times New Roman" w:hint="eastAsia"/>
          <w:sz w:val="24"/>
          <w:szCs w:val="24"/>
        </w:rPr>
        <w:t>ā</w:t>
      </w:r>
      <w:r w:rsidRPr="00BB69DC">
        <w:rPr>
          <w:rFonts w:ascii="Times New Roman" w:hAnsi="Times New Roman"/>
          <w:sz w:val="24"/>
          <w:szCs w:val="24"/>
        </w:rPr>
        <w:t>t finan</w:t>
      </w:r>
      <w:r w:rsidRPr="00BB69DC">
        <w:rPr>
          <w:rFonts w:ascii="Times New Roman" w:hAnsi="Times New Roman" w:hint="eastAsia"/>
          <w:sz w:val="24"/>
          <w:szCs w:val="24"/>
        </w:rPr>
        <w:t>š</w:t>
      </w:r>
      <w:r w:rsidRPr="00BB69DC">
        <w:rPr>
          <w:rFonts w:ascii="Times New Roman" w:hAnsi="Times New Roman"/>
          <w:sz w:val="24"/>
          <w:szCs w:val="24"/>
        </w:rPr>
        <w:t>u atbalsta summu ES fondu projektos. Atkar</w:t>
      </w:r>
      <w:r w:rsidRPr="00BB69DC">
        <w:rPr>
          <w:rFonts w:ascii="Times New Roman" w:hAnsi="Times New Roman" w:hint="eastAsia"/>
          <w:sz w:val="24"/>
          <w:szCs w:val="24"/>
        </w:rPr>
        <w:t>ī</w:t>
      </w:r>
      <w:r w:rsidRPr="00BB69DC">
        <w:rPr>
          <w:rFonts w:ascii="Times New Roman" w:hAnsi="Times New Roman"/>
          <w:sz w:val="24"/>
          <w:szCs w:val="24"/>
        </w:rPr>
        <w:t>b</w:t>
      </w:r>
      <w:r w:rsidRPr="00BB69DC">
        <w:rPr>
          <w:rFonts w:ascii="Times New Roman" w:hAnsi="Times New Roman" w:hint="eastAsia"/>
          <w:sz w:val="24"/>
          <w:szCs w:val="24"/>
        </w:rPr>
        <w:t>ā</w:t>
      </w:r>
      <w:r w:rsidRPr="00BB69DC">
        <w:rPr>
          <w:rFonts w:ascii="Times New Roman" w:hAnsi="Times New Roman"/>
          <w:sz w:val="24"/>
          <w:szCs w:val="24"/>
        </w:rPr>
        <w:t xml:space="preserve"> no situ</w:t>
      </w:r>
      <w:r w:rsidRPr="00BB69DC">
        <w:rPr>
          <w:rFonts w:ascii="Times New Roman" w:hAnsi="Times New Roman" w:hint="eastAsia"/>
          <w:sz w:val="24"/>
          <w:szCs w:val="24"/>
        </w:rPr>
        <w:t>ā</w:t>
      </w:r>
      <w:r w:rsidRPr="00BB69DC">
        <w:rPr>
          <w:rFonts w:ascii="Times New Roman" w:hAnsi="Times New Roman"/>
          <w:sz w:val="24"/>
          <w:szCs w:val="24"/>
        </w:rPr>
        <w:t>cijas atbalsta samazin</w:t>
      </w:r>
      <w:r w:rsidRPr="00BB69DC">
        <w:rPr>
          <w:rFonts w:ascii="Times New Roman" w:hAnsi="Times New Roman" w:hint="eastAsia"/>
          <w:sz w:val="24"/>
          <w:szCs w:val="24"/>
        </w:rPr>
        <w:t>ā</w:t>
      </w:r>
      <w:r w:rsidRPr="00BB69DC">
        <w:rPr>
          <w:rFonts w:ascii="Times New Roman" w:hAnsi="Times New Roman"/>
          <w:sz w:val="24"/>
          <w:szCs w:val="24"/>
        </w:rPr>
        <w:t>jums b</w:t>
      </w:r>
      <w:r w:rsidRPr="00BB69DC">
        <w:rPr>
          <w:rFonts w:ascii="Times New Roman" w:hAnsi="Times New Roman" w:hint="eastAsia"/>
          <w:sz w:val="24"/>
          <w:szCs w:val="24"/>
        </w:rPr>
        <w:t>ū</w:t>
      </w:r>
      <w:r w:rsidRPr="00BB69DC">
        <w:rPr>
          <w:rFonts w:ascii="Times New Roman" w:hAnsi="Times New Roman"/>
          <w:sz w:val="24"/>
          <w:szCs w:val="24"/>
        </w:rPr>
        <w:t>tu 100%, ja pier</w:t>
      </w:r>
      <w:r w:rsidRPr="00BB69DC">
        <w:rPr>
          <w:rFonts w:ascii="Times New Roman" w:hAnsi="Times New Roman" w:hint="eastAsia"/>
          <w:sz w:val="24"/>
          <w:szCs w:val="24"/>
        </w:rPr>
        <w:t>ā</w:t>
      </w:r>
      <w:r w:rsidRPr="00BB69DC">
        <w:rPr>
          <w:rFonts w:ascii="Times New Roman" w:hAnsi="Times New Roman"/>
          <w:sz w:val="24"/>
          <w:szCs w:val="24"/>
        </w:rPr>
        <w:t>d</w:t>
      </w:r>
      <w:r w:rsidRPr="00BB69DC">
        <w:rPr>
          <w:rFonts w:ascii="Times New Roman" w:hAnsi="Times New Roman" w:hint="eastAsia"/>
          <w:sz w:val="24"/>
          <w:szCs w:val="24"/>
        </w:rPr>
        <w:t>ī</w:t>
      </w:r>
      <w:r w:rsidRPr="00BB69DC">
        <w:rPr>
          <w:rFonts w:ascii="Times New Roman" w:hAnsi="Times New Roman"/>
          <w:sz w:val="24"/>
          <w:szCs w:val="24"/>
        </w:rPr>
        <w:t>ta pas</w:t>
      </w:r>
      <w:r w:rsidRPr="00BB69DC">
        <w:rPr>
          <w:rFonts w:ascii="Times New Roman" w:hAnsi="Times New Roman" w:hint="eastAsia"/>
          <w:sz w:val="24"/>
          <w:szCs w:val="24"/>
        </w:rPr>
        <w:t>ū</w:t>
      </w:r>
      <w:r w:rsidRPr="00BB69DC">
        <w:rPr>
          <w:rFonts w:ascii="Times New Roman" w:hAnsi="Times New Roman"/>
          <w:sz w:val="24"/>
          <w:szCs w:val="24"/>
        </w:rPr>
        <w:t>t</w:t>
      </w:r>
      <w:r w:rsidRPr="00BB69DC">
        <w:rPr>
          <w:rFonts w:ascii="Times New Roman" w:hAnsi="Times New Roman" w:hint="eastAsia"/>
          <w:sz w:val="24"/>
          <w:szCs w:val="24"/>
        </w:rPr>
        <w:t>ī</w:t>
      </w:r>
      <w:r w:rsidRPr="00BB69DC">
        <w:rPr>
          <w:rFonts w:ascii="Times New Roman" w:hAnsi="Times New Roman"/>
          <w:sz w:val="24"/>
          <w:szCs w:val="24"/>
        </w:rPr>
        <w:t>t</w:t>
      </w:r>
      <w:r w:rsidRPr="00BB69DC">
        <w:rPr>
          <w:rFonts w:ascii="Times New Roman" w:hAnsi="Times New Roman" w:hint="eastAsia"/>
          <w:sz w:val="24"/>
          <w:szCs w:val="24"/>
        </w:rPr>
        <w:t>ā</w:t>
      </w:r>
      <w:r w:rsidRPr="00BB69DC">
        <w:rPr>
          <w:rFonts w:ascii="Times New Roman" w:hAnsi="Times New Roman"/>
          <w:sz w:val="24"/>
          <w:szCs w:val="24"/>
        </w:rPr>
        <w:t>ja iesaiste, vai maz</w:t>
      </w:r>
      <w:r w:rsidRPr="00BB69DC">
        <w:rPr>
          <w:rFonts w:ascii="Times New Roman" w:hAnsi="Times New Roman" w:hint="eastAsia"/>
          <w:sz w:val="24"/>
          <w:szCs w:val="24"/>
        </w:rPr>
        <w:t>ā</w:t>
      </w:r>
      <w:r w:rsidRPr="00BB69DC">
        <w:rPr>
          <w:rFonts w:ascii="Times New Roman" w:hAnsi="Times New Roman"/>
          <w:sz w:val="24"/>
          <w:szCs w:val="24"/>
        </w:rPr>
        <w:t>k</w:t>
      </w:r>
      <w:r w:rsidRPr="00BB69DC">
        <w:rPr>
          <w:rFonts w:ascii="Times New Roman" w:hAnsi="Times New Roman" w:hint="eastAsia"/>
          <w:sz w:val="24"/>
          <w:szCs w:val="24"/>
        </w:rPr>
        <w:t>ā</w:t>
      </w:r>
      <w:r w:rsidRPr="00BB69DC">
        <w:rPr>
          <w:rFonts w:ascii="Times New Roman" w:hAnsi="Times New Roman"/>
          <w:sz w:val="24"/>
          <w:szCs w:val="24"/>
        </w:rPr>
        <w:t xml:space="preserve"> apm</w:t>
      </w:r>
      <w:r w:rsidRPr="00BB69DC">
        <w:rPr>
          <w:rFonts w:ascii="Times New Roman" w:hAnsi="Times New Roman" w:hint="eastAsia"/>
          <w:sz w:val="24"/>
          <w:szCs w:val="24"/>
        </w:rPr>
        <w:t>ē</w:t>
      </w:r>
      <w:r w:rsidRPr="00BB69DC">
        <w:rPr>
          <w:rFonts w:ascii="Times New Roman" w:hAnsi="Times New Roman"/>
          <w:sz w:val="24"/>
          <w:szCs w:val="24"/>
        </w:rPr>
        <w:t>r</w:t>
      </w:r>
      <w:r w:rsidRPr="00BB69DC">
        <w:rPr>
          <w:rFonts w:ascii="Times New Roman" w:hAnsi="Times New Roman" w:hint="eastAsia"/>
          <w:sz w:val="24"/>
          <w:szCs w:val="24"/>
        </w:rPr>
        <w:t>ā</w:t>
      </w:r>
      <w:r w:rsidRPr="00BB69DC">
        <w:rPr>
          <w:rFonts w:ascii="Times New Roman" w:hAnsi="Times New Roman"/>
          <w:sz w:val="24"/>
          <w:szCs w:val="24"/>
        </w:rPr>
        <w:t xml:space="preserve"> (25% un 10%) - citos gad</w:t>
      </w:r>
      <w:r w:rsidRPr="00BB69DC">
        <w:rPr>
          <w:rFonts w:ascii="Times New Roman" w:hAnsi="Times New Roman" w:hint="eastAsia"/>
          <w:sz w:val="24"/>
          <w:szCs w:val="24"/>
        </w:rPr>
        <w:t>ī</w:t>
      </w:r>
      <w:r w:rsidRPr="00BB69DC">
        <w:rPr>
          <w:rFonts w:ascii="Times New Roman" w:hAnsi="Times New Roman"/>
          <w:sz w:val="24"/>
          <w:szCs w:val="24"/>
        </w:rPr>
        <w:t>jumos.</w:t>
      </w:r>
    </w:p>
    <w:p w14:paraId="4D42F836" w14:textId="77777777"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sz w:val="24"/>
          <w:szCs w:val="24"/>
        </w:rPr>
        <w:t>Saska</w:t>
      </w:r>
      <w:r w:rsidRPr="00BB69DC">
        <w:rPr>
          <w:rFonts w:ascii="Times New Roman" w:hAnsi="Times New Roman" w:hint="eastAsia"/>
          <w:sz w:val="24"/>
          <w:szCs w:val="24"/>
        </w:rPr>
        <w:t>ņā</w:t>
      </w:r>
      <w:r w:rsidRPr="00BB69DC">
        <w:rPr>
          <w:rFonts w:ascii="Times New Roman" w:hAnsi="Times New Roman"/>
          <w:sz w:val="24"/>
          <w:szCs w:val="24"/>
        </w:rPr>
        <w:t xml:space="preserve"> ar vadl</w:t>
      </w:r>
      <w:r w:rsidRPr="00BB69DC">
        <w:rPr>
          <w:rFonts w:ascii="Times New Roman" w:hAnsi="Times New Roman" w:hint="eastAsia"/>
          <w:sz w:val="24"/>
          <w:szCs w:val="24"/>
        </w:rPr>
        <w:t>ī</w:t>
      </w:r>
      <w:r w:rsidRPr="00BB69DC">
        <w:rPr>
          <w:rFonts w:ascii="Times New Roman" w:hAnsi="Times New Roman"/>
          <w:sz w:val="24"/>
          <w:szCs w:val="24"/>
        </w:rPr>
        <w:t>nij</w:t>
      </w:r>
      <w:r w:rsidRPr="00BB69DC">
        <w:rPr>
          <w:rFonts w:ascii="Times New Roman" w:hAnsi="Times New Roman" w:hint="eastAsia"/>
          <w:sz w:val="24"/>
          <w:szCs w:val="24"/>
        </w:rPr>
        <w:t>ā</w:t>
      </w:r>
      <w:r w:rsidRPr="00BB69DC">
        <w:rPr>
          <w:rFonts w:ascii="Times New Roman" w:hAnsi="Times New Roman"/>
          <w:sz w:val="24"/>
          <w:szCs w:val="24"/>
        </w:rPr>
        <w:t>m tiek noteikta 10% finan</w:t>
      </w:r>
      <w:r w:rsidRPr="00BB69DC">
        <w:rPr>
          <w:rFonts w:ascii="Times New Roman" w:hAnsi="Times New Roman" w:hint="eastAsia"/>
          <w:sz w:val="24"/>
          <w:szCs w:val="24"/>
        </w:rPr>
        <w:t>š</w:t>
      </w:r>
      <w:r w:rsidRPr="00BB69DC">
        <w:rPr>
          <w:rFonts w:ascii="Times New Roman" w:hAnsi="Times New Roman"/>
          <w:sz w:val="24"/>
          <w:szCs w:val="24"/>
        </w:rPr>
        <w:t>u korekcija, ja pretendenti aizliegto vieno</w:t>
      </w:r>
      <w:r w:rsidRPr="00BB69DC">
        <w:rPr>
          <w:rFonts w:ascii="Times New Roman" w:hAnsi="Times New Roman" w:hint="eastAsia"/>
          <w:sz w:val="24"/>
          <w:szCs w:val="24"/>
        </w:rPr>
        <w:t>š</w:t>
      </w:r>
      <w:r w:rsidRPr="00BB69DC">
        <w:rPr>
          <w:rFonts w:ascii="Times New Roman" w:hAnsi="Times New Roman"/>
          <w:sz w:val="24"/>
          <w:szCs w:val="24"/>
        </w:rPr>
        <w:t>anos veiku</w:t>
      </w:r>
      <w:r w:rsidRPr="00BB69DC">
        <w:rPr>
          <w:rFonts w:ascii="Times New Roman" w:hAnsi="Times New Roman" w:hint="eastAsia"/>
          <w:sz w:val="24"/>
          <w:szCs w:val="24"/>
        </w:rPr>
        <w:t>š</w:t>
      </w:r>
      <w:r w:rsidRPr="00BB69DC">
        <w:rPr>
          <w:rFonts w:ascii="Times New Roman" w:hAnsi="Times New Roman"/>
          <w:sz w:val="24"/>
          <w:szCs w:val="24"/>
        </w:rPr>
        <w:t>i bez ES fondu vad</w:t>
      </w:r>
      <w:r w:rsidRPr="00BB69DC">
        <w:rPr>
          <w:rFonts w:ascii="Times New Roman" w:hAnsi="Times New Roman" w:hint="eastAsia"/>
          <w:sz w:val="24"/>
          <w:szCs w:val="24"/>
        </w:rPr>
        <w:t>ī</w:t>
      </w:r>
      <w:r w:rsidRPr="00BB69DC">
        <w:rPr>
          <w:rFonts w:ascii="Times New Roman" w:hAnsi="Times New Roman"/>
          <w:sz w:val="24"/>
          <w:szCs w:val="24"/>
        </w:rPr>
        <w:t>bas un kontroles sist</w:t>
      </w:r>
      <w:r w:rsidRPr="00BB69DC">
        <w:rPr>
          <w:rFonts w:ascii="Times New Roman" w:hAnsi="Times New Roman" w:hint="eastAsia"/>
          <w:sz w:val="24"/>
          <w:szCs w:val="24"/>
        </w:rPr>
        <w:t>ē</w:t>
      </w:r>
      <w:r w:rsidRPr="00BB69DC">
        <w:rPr>
          <w:rFonts w:ascii="Times New Roman" w:hAnsi="Times New Roman"/>
          <w:sz w:val="24"/>
          <w:szCs w:val="24"/>
        </w:rPr>
        <w:t>m</w:t>
      </w:r>
      <w:r w:rsidRPr="00BB69DC">
        <w:rPr>
          <w:rFonts w:ascii="Times New Roman" w:hAnsi="Times New Roman" w:hint="eastAsia"/>
          <w:sz w:val="24"/>
          <w:szCs w:val="24"/>
        </w:rPr>
        <w:t>ā</w:t>
      </w:r>
      <w:r w:rsidRPr="00BB69DC">
        <w:rPr>
          <w:rFonts w:ascii="Times New Roman" w:hAnsi="Times New Roman"/>
          <w:sz w:val="24"/>
          <w:szCs w:val="24"/>
        </w:rPr>
        <w:t xml:space="preserve"> eso</w:t>
      </w:r>
      <w:r w:rsidRPr="00BB69DC">
        <w:rPr>
          <w:rFonts w:ascii="Times New Roman" w:hAnsi="Times New Roman" w:hint="eastAsia"/>
          <w:sz w:val="24"/>
          <w:szCs w:val="24"/>
        </w:rPr>
        <w:t>š</w:t>
      </w:r>
      <w:r w:rsidRPr="00BB69DC">
        <w:rPr>
          <w:rFonts w:ascii="Times New Roman" w:hAnsi="Times New Roman"/>
          <w:sz w:val="24"/>
          <w:szCs w:val="24"/>
        </w:rPr>
        <w:t>as personas pal</w:t>
      </w:r>
      <w:r w:rsidRPr="00BB69DC">
        <w:rPr>
          <w:rFonts w:ascii="Times New Roman" w:hAnsi="Times New Roman" w:hint="eastAsia"/>
          <w:sz w:val="24"/>
          <w:szCs w:val="24"/>
        </w:rPr>
        <w:t>ī</w:t>
      </w:r>
      <w:r w:rsidRPr="00BB69DC">
        <w:rPr>
          <w:rFonts w:ascii="Times New Roman" w:hAnsi="Times New Roman"/>
          <w:sz w:val="24"/>
          <w:szCs w:val="24"/>
        </w:rPr>
        <w:t>dz</w:t>
      </w:r>
      <w:r w:rsidRPr="00BB69DC">
        <w:rPr>
          <w:rFonts w:ascii="Times New Roman" w:hAnsi="Times New Roman" w:hint="eastAsia"/>
          <w:sz w:val="24"/>
          <w:szCs w:val="24"/>
        </w:rPr>
        <w:t>ī</w:t>
      </w:r>
      <w:r w:rsidRPr="00BB69DC">
        <w:rPr>
          <w:rFonts w:ascii="Times New Roman" w:hAnsi="Times New Roman"/>
          <w:sz w:val="24"/>
          <w:szCs w:val="24"/>
        </w:rPr>
        <w:t>bas vai l</w:t>
      </w:r>
      <w:r w:rsidRPr="00BB69DC">
        <w:rPr>
          <w:rFonts w:ascii="Times New Roman" w:hAnsi="Times New Roman" w:hint="eastAsia"/>
          <w:sz w:val="24"/>
          <w:szCs w:val="24"/>
        </w:rPr>
        <w:t>ī</w:t>
      </w:r>
      <w:r w:rsidRPr="00BB69DC">
        <w:rPr>
          <w:rFonts w:ascii="Times New Roman" w:hAnsi="Times New Roman"/>
          <w:sz w:val="24"/>
          <w:szCs w:val="24"/>
        </w:rPr>
        <w:t>gumsl</w:t>
      </w:r>
      <w:r w:rsidRPr="00BB69DC">
        <w:rPr>
          <w:rFonts w:ascii="Times New Roman" w:hAnsi="Times New Roman" w:hint="eastAsia"/>
          <w:sz w:val="24"/>
          <w:szCs w:val="24"/>
        </w:rPr>
        <w:t>ē</w:t>
      </w:r>
      <w:r w:rsidRPr="00BB69DC">
        <w:rPr>
          <w:rFonts w:ascii="Times New Roman" w:hAnsi="Times New Roman"/>
          <w:sz w:val="24"/>
          <w:szCs w:val="24"/>
        </w:rPr>
        <w:t>dz</w:t>
      </w:r>
      <w:r w:rsidRPr="00BB69DC">
        <w:rPr>
          <w:rFonts w:ascii="Times New Roman" w:hAnsi="Times New Roman" w:hint="eastAsia"/>
          <w:sz w:val="24"/>
          <w:szCs w:val="24"/>
        </w:rPr>
        <w:t>ē</w:t>
      </w:r>
      <w:r w:rsidRPr="00BB69DC">
        <w:rPr>
          <w:rFonts w:ascii="Times New Roman" w:hAnsi="Times New Roman"/>
          <w:sz w:val="24"/>
          <w:szCs w:val="24"/>
        </w:rPr>
        <w:t>jas iest</w:t>
      </w:r>
      <w:r w:rsidRPr="00BB69DC">
        <w:rPr>
          <w:rFonts w:ascii="Times New Roman" w:hAnsi="Times New Roman" w:hint="eastAsia"/>
          <w:sz w:val="24"/>
          <w:szCs w:val="24"/>
        </w:rPr>
        <w:t>ā</w:t>
      </w:r>
      <w:r w:rsidRPr="00BB69DC">
        <w:rPr>
          <w:rFonts w:ascii="Times New Roman" w:hAnsi="Times New Roman"/>
          <w:sz w:val="24"/>
          <w:szCs w:val="24"/>
        </w:rPr>
        <w:t>des pal</w:t>
      </w:r>
      <w:r w:rsidRPr="00BB69DC">
        <w:rPr>
          <w:rFonts w:ascii="Times New Roman" w:hAnsi="Times New Roman" w:hint="eastAsia"/>
          <w:sz w:val="24"/>
          <w:szCs w:val="24"/>
        </w:rPr>
        <w:t>ī</w:t>
      </w:r>
      <w:r w:rsidRPr="00BB69DC">
        <w:rPr>
          <w:rFonts w:ascii="Times New Roman" w:hAnsi="Times New Roman"/>
          <w:sz w:val="24"/>
          <w:szCs w:val="24"/>
        </w:rPr>
        <w:t>dz</w:t>
      </w:r>
      <w:r w:rsidRPr="00BB69DC">
        <w:rPr>
          <w:rFonts w:ascii="Times New Roman" w:hAnsi="Times New Roman" w:hint="eastAsia"/>
          <w:sz w:val="24"/>
          <w:szCs w:val="24"/>
        </w:rPr>
        <w:t>ī</w:t>
      </w:r>
      <w:r w:rsidRPr="00BB69DC">
        <w:rPr>
          <w:rFonts w:ascii="Times New Roman" w:hAnsi="Times New Roman"/>
          <w:sz w:val="24"/>
          <w:szCs w:val="24"/>
        </w:rPr>
        <w:t>bas, un k</w:t>
      </w:r>
      <w:r w:rsidRPr="00BB69DC">
        <w:rPr>
          <w:rFonts w:ascii="Times New Roman" w:hAnsi="Times New Roman" w:hint="eastAsia"/>
          <w:sz w:val="24"/>
          <w:szCs w:val="24"/>
        </w:rPr>
        <w:t>ā</w:t>
      </w:r>
      <w:r w:rsidRPr="00BB69DC">
        <w:rPr>
          <w:rFonts w:ascii="Times New Roman" w:hAnsi="Times New Roman"/>
          <w:sz w:val="24"/>
          <w:szCs w:val="24"/>
        </w:rPr>
        <w:t>ds no aizliegtaj</w:t>
      </w:r>
      <w:r w:rsidRPr="00BB69DC">
        <w:rPr>
          <w:rFonts w:ascii="Times New Roman" w:hAnsi="Times New Roman" w:hint="eastAsia"/>
          <w:sz w:val="24"/>
          <w:szCs w:val="24"/>
        </w:rPr>
        <w:t>ā</w:t>
      </w:r>
      <w:r w:rsidRPr="00BB69DC">
        <w:rPr>
          <w:rFonts w:ascii="Times New Roman" w:hAnsi="Times New Roman"/>
          <w:sz w:val="24"/>
          <w:szCs w:val="24"/>
        </w:rPr>
        <w:t xml:space="preserve"> vieno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iesaist</w:t>
      </w:r>
      <w:r w:rsidRPr="00BB69DC">
        <w:rPr>
          <w:rFonts w:ascii="Times New Roman" w:hAnsi="Times New Roman" w:hint="eastAsia"/>
          <w:sz w:val="24"/>
          <w:szCs w:val="24"/>
        </w:rPr>
        <w:t>ī</w:t>
      </w:r>
      <w:r w:rsidRPr="00BB69DC">
        <w:rPr>
          <w:rFonts w:ascii="Times New Roman" w:hAnsi="Times New Roman"/>
          <w:sz w:val="24"/>
          <w:szCs w:val="24"/>
        </w:rPr>
        <w:t>tajiem uz</w:t>
      </w:r>
      <w:r w:rsidRPr="00BB69DC">
        <w:rPr>
          <w:rFonts w:ascii="Times New Roman" w:hAnsi="Times New Roman" w:hint="eastAsia"/>
          <w:sz w:val="24"/>
          <w:szCs w:val="24"/>
        </w:rPr>
        <w:t>ņē</w:t>
      </w:r>
      <w:r w:rsidRPr="00BB69DC">
        <w:rPr>
          <w:rFonts w:ascii="Times New Roman" w:hAnsi="Times New Roman"/>
          <w:sz w:val="24"/>
          <w:szCs w:val="24"/>
        </w:rPr>
        <w:t>mumiem nosl</w:t>
      </w:r>
      <w:r w:rsidRPr="00BB69DC">
        <w:rPr>
          <w:rFonts w:ascii="Times New Roman" w:hAnsi="Times New Roman" w:hint="eastAsia"/>
          <w:sz w:val="24"/>
          <w:szCs w:val="24"/>
        </w:rPr>
        <w:t>ē</w:t>
      </w:r>
      <w:r w:rsidRPr="00BB69DC">
        <w:rPr>
          <w:rFonts w:ascii="Times New Roman" w:hAnsi="Times New Roman"/>
          <w:sz w:val="24"/>
          <w:szCs w:val="24"/>
        </w:rPr>
        <w:t>dzis konkr</w:t>
      </w:r>
      <w:r w:rsidRPr="00BB69DC">
        <w:rPr>
          <w:rFonts w:ascii="Times New Roman" w:hAnsi="Times New Roman" w:hint="eastAsia"/>
          <w:sz w:val="24"/>
          <w:szCs w:val="24"/>
        </w:rPr>
        <w:t>ē</w:t>
      </w:r>
      <w:r w:rsidRPr="00BB69DC">
        <w:rPr>
          <w:rFonts w:ascii="Times New Roman" w:hAnsi="Times New Roman"/>
          <w:sz w:val="24"/>
          <w:szCs w:val="24"/>
        </w:rPr>
        <w:t>to l</w:t>
      </w:r>
      <w:r w:rsidRPr="00BB69DC">
        <w:rPr>
          <w:rFonts w:ascii="Times New Roman" w:hAnsi="Times New Roman" w:hint="eastAsia"/>
          <w:sz w:val="24"/>
          <w:szCs w:val="24"/>
        </w:rPr>
        <w:t>ī</w:t>
      </w:r>
      <w:r w:rsidRPr="00BB69DC">
        <w:rPr>
          <w:rFonts w:ascii="Times New Roman" w:hAnsi="Times New Roman"/>
          <w:sz w:val="24"/>
          <w:szCs w:val="24"/>
        </w:rPr>
        <w:t>gumu vai l</w:t>
      </w:r>
      <w:r w:rsidRPr="00BB69DC">
        <w:rPr>
          <w:rFonts w:ascii="Times New Roman" w:hAnsi="Times New Roman" w:hint="eastAsia"/>
          <w:sz w:val="24"/>
          <w:szCs w:val="24"/>
        </w:rPr>
        <w:t>ī</w:t>
      </w:r>
      <w:r w:rsidRPr="00BB69DC">
        <w:rPr>
          <w:rFonts w:ascii="Times New Roman" w:hAnsi="Times New Roman"/>
          <w:sz w:val="24"/>
          <w:szCs w:val="24"/>
        </w:rPr>
        <w:t>gumus.</w:t>
      </w:r>
    </w:p>
    <w:p w14:paraId="1D390749" w14:textId="77777777"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sz w:val="24"/>
          <w:szCs w:val="24"/>
        </w:rPr>
        <w:t>Savuk</w:t>
      </w:r>
      <w:r w:rsidRPr="00BB69DC">
        <w:rPr>
          <w:rFonts w:ascii="Times New Roman" w:hAnsi="Times New Roman" w:hint="eastAsia"/>
          <w:sz w:val="24"/>
          <w:szCs w:val="24"/>
        </w:rPr>
        <w:t>ā</w:t>
      </w:r>
      <w:r w:rsidRPr="00BB69DC">
        <w:rPr>
          <w:rFonts w:ascii="Times New Roman" w:hAnsi="Times New Roman"/>
          <w:sz w:val="24"/>
          <w:szCs w:val="24"/>
        </w:rPr>
        <w:t>rt 25% finan</w:t>
      </w:r>
      <w:r w:rsidRPr="00BB69DC">
        <w:rPr>
          <w:rFonts w:ascii="Times New Roman" w:hAnsi="Times New Roman" w:hint="eastAsia"/>
          <w:sz w:val="24"/>
          <w:szCs w:val="24"/>
        </w:rPr>
        <w:t>š</w:t>
      </w:r>
      <w:r w:rsidRPr="00BB69DC">
        <w:rPr>
          <w:rFonts w:ascii="Times New Roman" w:hAnsi="Times New Roman"/>
          <w:sz w:val="24"/>
          <w:szCs w:val="24"/>
        </w:rPr>
        <w:t>u korekcija tiek piem</w:t>
      </w:r>
      <w:r w:rsidRPr="00BB69DC">
        <w:rPr>
          <w:rFonts w:ascii="Times New Roman" w:hAnsi="Times New Roman" w:hint="eastAsia"/>
          <w:sz w:val="24"/>
          <w:szCs w:val="24"/>
        </w:rPr>
        <w:t>ē</w:t>
      </w:r>
      <w:r w:rsidRPr="00BB69DC">
        <w:rPr>
          <w:rFonts w:ascii="Times New Roman" w:hAnsi="Times New Roman"/>
          <w:sz w:val="24"/>
          <w:szCs w:val="24"/>
        </w:rPr>
        <w:t>rota, ja iepirkuma proced</w:t>
      </w:r>
      <w:r w:rsidRPr="00BB69DC">
        <w:rPr>
          <w:rFonts w:ascii="Times New Roman" w:hAnsi="Times New Roman" w:hint="eastAsia"/>
          <w:sz w:val="24"/>
          <w:szCs w:val="24"/>
        </w:rPr>
        <w:t>ū</w:t>
      </w:r>
      <w:r w:rsidRPr="00BB69DC">
        <w:rPr>
          <w:rFonts w:ascii="Times New Roman" w:hAnsi="Times New Roman"/>
          <w:sz w:val="24"/>
          <w:szCs w:val="24"/>
        </w:rPr>
        <w:t>r</w:t>
      </w:r>
      <w:r w:rsidRPr="00BB69DC">
        <w:rPr>
          <w:rFonts w:ascii="Times New Roman" w:hAnsi="Times New Roman" w:hint="eastAsia"/>
          <w:sz w:val="24"/>
          <w:szCs w:val="24"/>
        </w:rPr>
        <w:t>ā</w:t>
      </w:r>
      <w:r w:rsidRPr="00BB69DC">
        <w:rPr>
          <w:rFonts w:ascii="Times New Roman" w:hAnsi="Times New Roman"/>
          <w:sz w:val="24"/>
          <w:szCs w:val="24"/>
        </w:rPr>
        <w:t xml:space="preserve"> piedal</w:t>
      </w:r>
      <w:r w:rsidRPr="00BB69DC">
        <w:rPr>
          <w:rFonts w:ascii="Times New Roman" w:hAnsi="Times New Roman" w:hint="eastAsia"/>
          <w:sz w:val="24"/>
          <w:szCs w:val="24"/>
        </w:rPr>
        <w:t>ā</w:t>
      </w:r>
      <w:r w:rsidRPr="00BB69DC">
        <w:rPr>
          <w:rFonts w:ascii="Times New Roman" w:hAnsi="Times New Roman"/>
          <w:sz w:val="24"/>
          <w:szCs w:val="24"/>
        </w:rPr>
        <w:t>s tikai slepenas vieno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dal</w:t>
      </w:r>
      <w:r w:rsidRPr="00BB69DC">
        <w:rPr>
          <w:rFonts w:ascii="Times New Roman" w:hAnsi="Times New Roman" w:hint="eastAsia"/>
          <w:sz w:val="24"/>
          <w:szCs w:val="24"/>
        </w:rPr>
        <w:t>ī</w:t>
      </w:r>
      <w:r w:rsidRPr="00BB69DC">
        <w:rPr>
          <w:rFonts w:ascii="Times New Roman" w:hAnsi="Times New Roman"/>
          <w:sz w:val="24"/>
          <w:szCs w:val="24"/>
        </w:rPr>
        <w:t>bnieki un konkurence tikusi b</w:t>
      </w:r>
      <w:r w:rsidRPr="00BB69DC">
        <w:rPr>
          <w:rFonts w:ascii="Times New Roman" w:hAnsi="Times New Roman" w:hint="eastAsia"/>
          <w:sz w:val="24"/>
          <w:szCs w:val="24"/>
        </w:rPr>
        <w:t>ū</w:t>
      </w:r>
      <w:r w:rsidRPr="00BB69DC">
        <w:rPr>
          <w:rFonts w:ascii="Times New Roman" w:hAnsi="Times New Roman"/>
          <w:sz w:val="24"/>
          <w:szCs w:val="24"/>
        </w:rPr>
        <w:t>tiski ierobe</w:t>
      </w:r>
      <w:r w:rsidRPr="00BB69DC">
        <w:rPr>
          <w:rFonts w:ascii="Times New Roman" w:hAnsi="Times New Roman" w:hint="eastAsia"/>
          <w:sz w:val="24"/>
          <w:szCs w:val="24"/>
        </w:rPr>
        <w:t>ž</w:t>
      </w:r>
      <w:r w:rsidRPr="00BB69DC">
        <w:rPr>
          <w:rFonts w:ascii="Times New Roman" w:hAnsi="Times New Roman"/>
          <w:sz w:val="24"/>
          <w:szCs w:val="24"/>
        </w:rPr>
        <w:t>ota.</w:t>
      </w:r>
    </w:p>
    <w:p w14:paraId="2FD942ED" w14:textId="77777777"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sz w:val="24"/>
          <w:szCs w:val="24"/>
        </w:rPr>
        <w:t>Finan</w:t>
      </w:r>
      <w:r w:rsidRPr="00BB69DC">
        <w:rPr>
          <w:rFonts w:ascii="Times New Roman" w:hAnsi="Times New Roman" w:hint="eastAsia"/>
          <w:sz w:val="24"/>
          <w:szCs w:val="24"/>
        </w:rPr>
        <w:t>š</w:t>
      </w:r>
      <w:r w:rsidRPr="00BB69DC">
        <w:rPr>
          <w:rFonts w:ascii="Times New Roman" w:hAnsi="Times New Roman"/>
          <w:sz w:val="24"/>
          <w:szCs w:val="24"/>
        </w:rPr>
        <w:t>u korekcija 100% apm</w:t>
      </w:r>
      <w:r w:rsidRPr="00BB69DC">
        <w:rPr>
          <w:rFonts w:ascii="Times New Roman" w:hAnsi="Times New Roman" w:hint="eastAsia"/>
          <w:sz w:val="24"/>
          <w:szCs w:val="24"/>
        </w:rPr>
        <w:t>ē</w:t>
      </w:r>
      <w:r w:rsidRPr="00BB69DC">
        <w:rPr>
          <w:rFonts w:ascii="Times New Roman" w:hAnsi="Times New Roman"/>
          <w:sz w:val="24"/>
          <w:szCs w:val="24"/>
        </w:rPr>
        <w:t>r</w:t>
      </w:r>
      <w:r w:rsidRPr="00BB69DC">
        <w:rPr>
          <w:rFonts w:ascii="Times New Roman" w:hAnsi="Times New Roman" w:hint="eastAsia"/>
          <w:sz w:val="24"/>
          <w:szCs w:val="24"/>
        </w:rPr>
        <w:t>ā</w:t>
      </w:r>
      <w:r w:rsidRPr="00BB69DC">
        <w:rPr>
          <w:rFonts w:ascii="Times New Roman" w:hAnsi="Times New Roman"/>
          <w:sz w:val="24"/>
          <w:szCs w:val="24"/>
        </w:rPr>
        <w:t xml:space="preserve"> tiek piem</w:t>
      </w:r>
      <w:r w:rsidRPr="00BB69DC">
        <w:rPr>
          <w:rFonts w:ascii="Times New Roman" w:hAnsi="Times New Roman" w:hint="eastAsia"/>
          <w:sz w:val="24"/>
          <w:szCs w:val="24"/>
        </w:rPr>
        <w:t>ē</w:t>
      </w:r>
      <w:r w:rsidRPr="00BB69DC">
        <w:rPr>
          <w:rFonts w:ascii="Times New Roman" w:hAnsi="Times New Roman"/>
          <w:sz w:val="24"/>
          <w:szCs w:val="24"/>
        </w:rPr>
        <w:t>rota, ja ES fondu vad</w:t>
      </w:r>
      <w:r w:rsidRPr="00BB69DC">
        <w:rPr>
          <w:rFonts w:ascii="Times New Roman" w:hAnsi="Times New Roman" w:hint="eastAsia"/>
          <w:sz w:val="24"/>
          <w:szCs w:val="24"/>
        </w:rPr>
        <w:t>ī</w:t>
      </w:r>
      <w:r w:rsidRPr="00BB69DC">
        <w:rPr>
          <w:rFonts w:ascii="Times New Roman" w:hAnsi="Times New Roman"/>
          <w:sz w:val="24"/>
          <w:szCs w:val="24"/>
        </w:rPr>
        <w:t>bas un kontroles sist</w:t>
      </w:r>
      <w:r w:rsidRPr="00BB69DC">
        <w:rPr>
          <w:rFonts w:ascii="Times New Roman" w:hAnsi="Times New Roman" w:hint="eastAsia"/>
          <w:sz w:val="24"/>
          <w:szCs w:val="24"/>
        </w:rPr>
        <w:t>ē</w:t>
      </w:r>
      <w:r w:rsidRPr="00BB69DC">
        <w:rPr>
          <w:rFonts w:ascii="Times New Roman" w:hAnsi="Times New Roman"/>
          <w:sz w:val="24"/>
          <w:szCs w:val="24"/>
        </w:rPr>
        <w:t>m</w:t>
      </w:r>
      <w:r w:rsidRPr="00BB69DC">
        <w:rPr>
          <w:rFonts w:ascii="Times New Roman" w:hAnsi="Times New Roman" w:hint="eastAsia"/>
          <w:sz w:val="24"/>
          <w:szCs w:val="24"/>
        </w:rPr>
        <w:t>ā</w:t>
      </w:r>
      <w:r w:rsidRPr="00BB69DC">
        <w:rPr>
          <w:rFonts w:ascii="Times New Roman" w:hAnsi="Times New Roman"/>
          <w:sz w:val="24"/>
          <w:szCs w:val="24"/>
        </w:rPr>
        <w:t xml:space="preserve"> eso</w:t>
      </w:r>
      <w:r w:rsidRPr="00BB69DC">
        <w:rPr>
          <w:rFonts w:ascii="Times New Roman" w:hAnsi="Times New Roman" w:hint="eastAsia"/>
          <w:sz w:val="24"/>
          <w:szCs w:val="24"/>
        </w:rPr>
        <w:t>š</w:t>
      </w:r>
      <w:r w:rsidRPr="00BB69DC">
        <w:rPr>
          <w:rFonts w:ascii="Times New Roman" w:hAnsi="Times New Roman"/>
          <w:sz w:val="24"/>
          <w:szCs w:val="24"/>
        </w:rPr>
        <w:t>a persona vai l</w:t>
      </w:r>
      <w:r w:rsidRPr="00BB69DC">
        <w:rPr>
          <w:rFonts w:ascii="Times New Roman" w:hAnsi="Times New Roman" w:hint="eastAsia"/>
          <w:sz w:val="24"/>
          <w:szCs w:val="24"/>
        </w:rPr>
        <w:t>ī</w:t>
      </w:r>
      <w:r w:rsidRPr="00BB69DC">
        <w:rPr>
          <w:rFonts w:ascii="Times New Roman" w:hAnsi="Times New Roman"/>
          <w:sz w:val="24"/>
          <w:szCs w:val="24"/>
        </w:rPr>
        <w:t>gumsl</w:t>
      </w:r>
      <w:r w:rsidRPr="00BB69DC">
        <w:rPr>
          <w:rFonts w:ascii="Times New Roman" w:hAnsi="Times New Roman" w:hint="eastAsia"/>
          <w:sz w:val="24"/>
          <w:szCs w:val="24"/>
        </w:rPr>
        <w:t>ē</w:t>
      </w:r>
      <w:r w:rsidRPr="00BB69DC">
        <w:rPr>
          <w:rFonts w:ascii="Times New Roman" w:hAnsi="Times New Roman"/>
          <w:sz w:val="24"/>
          <w:szCs w:val="24"/>
        </w:rPr>
        <w:t>dz</w:t>
      </w:r>
      <w:r w:rsidRPr="00BB69DC">
        <w:rPr>
          <w:rFonts w:ascii="Times New Roman" w:hAnsi="Times New Roman" w:hint="eastAsia"/>
          <w:sz w:val="24"/>
          <w:szCs w:val="24"/>
        </w:rPr>
        <w:t>ē</w:t>
      </w:r>
      <w:r w:rsidRPr="00BB69DC">
        <w:rPr>
          <w:rFonts w:ascii="Times New Roman" w:hAnsi="Times New Roman"/>
          <w:sz w:val="24"/>
          <w:szCs w:val="24"/>
        </w:rPr>
        <w:t>ja iest</w:t>
      </w:r>
      <w:r w:rsidRPr="00BB69DC">
        <w:rPr>
          <w:rFonts w:ascii="Times New Roman" w:hAnsi="Times New Roman" w:hint="eastAsia"/>
          <w:sz w:val="24"/>
          <w:szCs w:val="24"/>
        </w:rPr>
        <w:t>ā</w:t>
      </w:r>
      <w:r w:rsidRPr="00BB69DC">
        <w:rPr>
          <w:rFonts w:ascii="Times New Roman" w:hAnsi="Times New Roman"/>
          <w:sz w:val="24"/>
          <w:szCs w:val="24"/>
        </w:rPr>
        <w:t>de piedal</w:t>
      </w:r>
      <w:r w:rsidRPr="00BB69DC">
        <w:rPr>
          <w:rFonts w:ascii="Times New Roman" w:hAnsi="Times New Roman" w:hint="eastAsia"/>
          <w:sz w:val="24"/>
          <w:szCs w:val="24"/>
        </w:rPr>
        <w:t>ī</w:t>
      </w:r>
      <w:r w:rsidRPr="00BB69DC">
        <w:rPr>
          <w:rFonts w:ascii="Times New Roman" w:hAnsi="Times New Roman"/>
          <w:sz w:val="24"/>
          <w:szCs w:val="24"/>
        </w:rPr>
        <w:t>jusies aizliegt</w:t>
      </w:r>
      <w:r w:rsidRPr="00BB69DC">
        <w:rPr>
          <w:rFonts w:ascii="Times New Roman" w:hAnsi="Times New Roman" w:hint="eastAsia"/>
          <w:sz w:val="24"/>
          <w:szCs w:val="24"/>
        </w:rPr>
        <w:t>ā</w:t>
      </w:r>
      <w:r w:rsidRPr="00BB69DC">
        <w:rPr>
          <w:rFonts w:ascii="Times New Roman" w:hAnsi="Times New Roman"/>
          <w:sz w:val="24"/>
          <w:szCs w:val="24"/>
        </w:rPr>
        <w:t>s pretendentu vieno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proces</w:t>
      </w:r>
      <w:r w:rsidRPr="00BB69DC">
        <w:rPr>
          <w:rFonts w:ascii="Times New Roman" w:hAnsi="Times New Roman" w:hint="eastAsia"/>
          <w:sz w:val="24"/>
          <w:szCs w:val="24"/>
        </w:rPr>
        <w:t>ā</w:t>
      </w:r>
      <w:r w:rsidRPr="00BB69DC">
        <w:rPr>
          <w:rFonts w:ascii="Times New Roman" w:hAnsi="Times New Roman"/>
          <w:sz w:val="24"/>
          <w:szCs w:val="24"/>
        </w:rPr>
        <w:t>, sniedzot pal</w:t>
      </w:r>
      <w:r w:rsidRPr="00BB69DC">
        <w:rPr>
          <w:rFonts w:ascii="Times New Roman" w:hAnsi="Times New Roman" w:hint="eastAsia"/>
          <w:sz w:val="24"/>
          <w:szCs w:val="24"/>
        </w:rPr>
        <w:t>ī</w:t>
      </w:r>
      <w:r w:rsidRPr="00BB69DC">
        <w:rPr>
          <w:rFonts w:ascii="Times New Roman" w:hAnsi="Times New Roman"/>
          <w:sz w:val="24"/>
          <w:szCs w:val="24"/>
        </w:rPr>
        <w:t>dz</w:t>
      </w:r>
      <w:r w:rsidRPr="00BB69DC">
        <w:rPr>
          <w:rFonts w:ascii="Times New Roman" w:hAnsi="Times New Roman" w:hint="eastAsia"/>
          <w:sz w:val="24"/>
          <w:szCs w:val="24"/>
        </w:rPr>
        <w:t>ī</w:t>
      </w:r>
      <w:r w:rsidRPr="00BB69DC">
        <w:rPr>
          <w:rFonts w:ascii="Times New Roman" w:hAnsi="Times New Roman"/>
          <w:sz w:val="24"/>
          <w:szCs w:val="24"/>
        </w:rPr>
        <w:t>bu pretendentiem, kas veic aizliegt</w:t>
      </w:r>
      <w:r w:rsidRPr="00BB69DC">
        <w:rPr>
          <w:rFonts w:ascii="Times New Roman" w:hAnsi="Times New Roman" w:hint="eastAsia"/>
          <w:sz w:val="24"/>
          <w:szCs w:val="24"/>
        </w:rPr>
        <w:t>ā</w:t>
      </w:r>
      <w:r w:rsidRPr="00BB69DC">
        <w:rPr>
          <w:rFonts w:ascii="Times New Roman" w:hAnsi="Times New Roman"/>
          <w:sz w:val="24"/>
          <w:szCs w:val="24"/>
        </w:rPr>
        <w:t>s vieno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un k</w:t>
      </w:r>
      <w:r w:rsidRPr="00BB69DC">
        <w:rPr>
          <w:rFonts w:ascii="Times New Roman" w:hAnsi="Times New Roman" w:hint="eastAsia"/>
          <w:sz w:val="24"/>
          <w:szCs w:val="24"/>
        </w:rPr>
        <w:t>ā</w:t>
      </w:r>
      <w:r w:rsidRPr="00BB69DC">
        <w:rPr>
          <w:rFonts w:ascii="Times New Roman" w:hAnsi="Times New Roman"/>
          <w:sz w:val="24"/>
          <w:szCs w:val="24"/>
        </w:rPr>
        <w:t>ds no pretendentiem, kas bijis iesaist</w:t>
      </w:r>
      <w:r w:rsidRPr="00BB69DC">
        <w:rPr>
          <w:rFonts w:ascii="Times New Roman" w:hAnsi="Times New Roman" w:hint="eastAsia"/>
          <w:sz w:val="24"/>
          <w:szCs w:val="24"/>
        </w:rPr>
        <w:t>ī</w:t>
      </w:r>
      <w:r w:rsidRPr="00BB69DC">
        <w:rPr>
          <w:rFonts w:ascii="Times New Roman" w:hAnsi="Times New Roman"/>
          <w:sz w:val="24"/>
          <w:szCs w:val="24"/>
        </w:rPr>
        <w:t>ts aizliegt</w:t>
      </w:r>
      <w:r w:rsidRPr="00BB69DC">
        <w:rPr>
          <w:rFonts w:ascii="Times New Roman" w:hAnsi="Times New Roman" w:hint="eastAsia"/>
          <w:sz w:val="24"/>
          <w:szCs w:val="24"/>
        </w:rPr>
        <w:t>ā</w:t>
      </w:r>
      <w:r w:rsidRPr="00BB69DC">
        <w:rPr>
          <w:rFonts w:ascii="Times New Roman" w:hAnsi="Times New Roman"/>
          <w:sz w:val="24"/>
          <w:szCs w:val="24"/>
        </w:rPr>
        <w:t>s vieno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s veido</w:t>
      </w:r>
      <w:r w:rsidRPr="00BB69DC">
        <w:rPr>
          <w:rFonts w:ascii="Times New Roman" w:hAnsi="Times New Roman" w:hint="eastAsia"/>
          <w:sz w:val="24"/>
          <w:szCs w:val="24"/>
        </w:rPr>
        <w:t>š</w:t>
      </w:r>
      <w:r w:rsidRPr="00BB69DC">
        <w:rPr>
          <w:rFonts w:ascii="Times New Roman" w:hAnsi="Times New Roman"/>
          <w:sz w:val="24"/>
          <w:szCs w:val="24"/>
        </w:rPr>
        <w:t>an</w:t>
      </w:r>
      <w:r w:rsidRPr="00BB69DC">
        <w:rPr>
          <w:rFonts w:ascii="Times New Roman" w:hAnsi="Times New Roman" w:hint="eastAsia"/>
          <w:sz w:val="24"/>
          <w:szCs w:val="24"/>
        </w:rPr>
        <w:t>ā</w:t>
      </w:r>
      <w:r w:rsidRPr="00BB69DC">
        <w:rPr>
          <w:rFonts w:ascii="Times New Roman" w:hAnsi="Times New Roman"/>
          <w:sz w:val="24"/>
          <w:szCs w:val="24"/>
        </w:rPr>
        <w:t>, nosl</w:t>
      </w:r>
      <w:r w:rsidRPr="00BB69DC">
        <w:rPr>
          <w:rFonts w:ascii="Times New Roman" w:hAnsi="Times New Roman" w:hint="eastAsia"/>
          <w:sz w:val="24"/>
          <w:szCs w:val="24"/>
        </w:rPr>
        <w:t>ē</w:t>
      </w:r>
      <w:r w:rsidRPr="00BB69DC">
        <w:rPr>
          <w:rFonts w:ascii="Times New Roman" w:hAnsi="Times New Roman"/>
          <w:sz w:val="24"/>
          <w:szCs w:val="24"/>
        </w:rPr>
        <w:t>dzis konkr</w:t>
      </w:r>
      <w:r w:rsidRPr="00BB69DC">
        <w:rPr>
          <w:rFonts w:ascii="Times New Roman" w:hAnsi="Times New Roman" w:hint="eastAsia"/>
          <w:sz w:val="24"/>
          <w:szCs w:val="24"/>
        </w:rPr>
        <w:t>ē</w:t>
      </w:r>
      <w:r w:rsidRPr="00BB69DC">
        <w:rPr>
          <w:rFonts w:ascii="Times New Roman" w:hAnsi="Times New Roman"/>
          <w:sz w:val="24"/>
          <w:szCs w:val="24"/>
        </w:rPr>
        <w:t>to l</w:t>
      </w:r>
      <w:r w:rsidRPr="00BB69DC">
        <w:rPr>
          <w:rFonts w:ascii="Times New Roman" w:hAnsi="Times New Roman" w:hint="eastAsia"/>
          <w:sz w:val="24"/>
          <w:szCs w:val="24"/>
        </w:rPr>
        <w:t>ī</w:t>
      </w:r>
      <w:r w:rsidRPr="00BB69DC">
        <w:rPr>
          <w:rFonts w:ascii="Times New Roman" w:hAnsi="Times New Roman"/>
          <w:sz w:val="24"/>
          <w:szCs w:val="24"/>
        </w:rPr>
        <w:t>gumu vai l</w:t>
      </w:r>
      <w:r w:rsidRPr="00BB69DC">
        <w:rPr>
          <w:rFonts w:ascii="Times New Roman" w:hAnsi="Times New Roman" w:hint="eastAsia"/>
          <w:sz w:val="24"/>
          <w:szCs w:val="24"/>
        </w:rPr>
        <w:t>ī</w:t>
      </w:r>
      <w:r w:rsidRPr="00BB69DC">
        <w:rPr>
          <w:rFonts w:ascii="Times New Roman" w:hAnsi="Times New Roman"/>
          <w:sz w:val="24"/>
          <w:szCs w:val="24"/>
        </w:rPr>
        <w:t>gumus.</w:t>
      </w:r>
    </w:p>
    <w:p w14:paraId="3CE95BE9" w14:textId="7210AF76" w:rsidR="00162F97" w:rsidRPr="00BB69DC" w:rsidRDefault="002B2FA7" w:rsidP="00BB69DC">
      <w:pPr>
        <w:spacing w:after="0" w:line="240" w:lineRule="auto"/>
        <w:ind w:firstLine="720"/>
        <w:jc w:val="both"/>
        <w:rPr>
          <w:rFonts w:ascii="Times New Roman" w:hAnsi="Times New Roman"/>
          <w:sz w:val="24"/>
          <w:szCs w:val="24"/>
        </w:rPr>
      </w:pPr>
      <w:r>
        <w:rPr>
          <w:rFonts w:ascii="Times New Roman" w:hAnsi="Times New Roman"/>
          <w:sz w:val="24"/>
          <w:szCs w:val="24"/>
        </w:rPr>
        <w:t>D</w:t>
      </w:r>
      <w:r w:rsidR="00162F97" w:rsidRPr="00BB69DC">
        <w:rPr>
          <w:rFonts w:ascii="Times New Roman" w:hAnsi="Times New Roman"/>
          <w:sz w:val="24"/>
          <w:szCs w:val="24"/>
        </w:rPr>
        <w:t>eklar</w:t>
      </w:r>
      <w:r w:rsidR="00162F97" w:rsidRPr="00BB69DC">
        <w:rPr>
          <w:rFonts w:ascii="Times New Roman" w:hAnsi="Times New Roman" w:hint="eastAsia"/>
          <w:sz w:val="24"/>
          <w:szCs w:val="24"/>
        </w:rPr>
        <w:t>ā</w:t>
      </w:r>
      <w:r w:rsidR="00162F97" w:rsidRPr="00BB69DC">
        <w:rPr>
          <w:rFonts w:ascii="Times New Roman" w:hAnsi="Times New Roman"/>
          <w:sz w:val="24"/>
          <w:szCs w:val="24"/>
        </w:rPr>
        <w:t>cijas sagatavo</w:t>
      </w:r>
      <w:r w:rsidR="00162F97" w:rsidRPr="00BB69DC">
        <w:rPr>
          <w:rFonts w:ascii="Times New Roman" w:hAnsi="Times New Roman" w:hint="eastAsia"/>
          <w:sz w:val="24"/>
          <w:szCs w:val="24"/>
        </w:rPr>
        <w:t>š</w:t>
      </w:r>
      <w:r w:rsidR="00162F97" w:rsidRPr="00BB69DC">
        <w:rPr>
          <w:rFonts w:ascii="Times New Roman" w:hAnsi="Times New Roman"/>
          <w:sz w:val="24"/>
          <w:szCs w:val="24"/>
        </w:rPr>
        <w:t>anas br</w:t>
      </w:r>
      <w:r w:rsidR="00162F97" w:rsidRPr="00BB69DC">
        <w:rPr>
          <w:rFonts w:ascii="Times New Roman" w:hAnsi="Times New Roman" w:hint="eastAsia"/>
          <w:sz w:val="24"/>
          <w:szCs w:val="24"/>
        </w:rPr>
        <w:t>ī</w:t>
      </w:r>
      <w:r w:rsidR="00162F97" w:rsidRPr="00BB69DC">
        <w:rPr>
          <w:rFonts w:ascii="Times New Roman" w:hAnsi="Times New Roman"/>
          <w:sz w:val="24"/>
          <w:szCs w:val="24"/>
        </w:rPr>
        <w:t>d</w:t>
      </w:r>
      <w:r w:rsidR="00162F97" w:rsidRPr="00BB69DC">
        <w:rPr>
          <w:rFonts w:ascii="Times New Roman" w:hAnsi="Times New Roman" w:hint="eastAsia"/>
          <w:sz w:val="24"/>
          <w:szCs w:val="24"/>
        </w:rPr>
        <w:t>ī</w:t>
      </w:r>
      <w:r w:rsidR="00162F97" w:rsidRPr="00BB69DC">
        <w:rPr>
          <w:rFonts w:ascii="Times New Roman" w:hAnsi="Times New Roman"/>
          <w:sz w:val="24"/>
          <w:szCs w:val="24"/>
        </w:rPr>
        <w:t xml:space="preserve"> inform</w:t>
      </w:r>
      <w:r w:rsidR="00162F97" w:rsidRPr="00BB69DC">
        <w:rPr>
          <w:rFonts w:ascii="Times New Roman" w:hAnsi="Times New Roman" w:hint="eastAsia"/>
          <w:sz w:val="24"/>
          <w:szCs w:val="24"/>
        </w:rPr>
        <w:t>ā</w:t>
      </w:r>
      <w:r w:rsidR="00162F97" w:rsidRPr="00BB69DC">
        <w:rPr>
          <w:rFonts w:ascii="Times New Roman" w:hAnsi="Times New Roman"/>
          <w:sz w:val="24"/>
          <w:szCs w:val="24"/>
        </w:rPr>
        <w:t>cijas par to, vai un cik liel</w:t>
      </w:r>
      <w:r w:rsidR="00162F97" w:rsidRPr="00BB69DC">
        <w:rPr>
          <w:rFonts w:ascii="Times New Roman" w:hAnsi="Times New Roman" w:hint="eastAsia"/>
          <w:sz w:val="24"/>
          <w:szCs w:val="24"/>
        </w:rPr>
        <w:t>ā</w:t>
      </w:r>
      <w:r w:rsidR="00162F97" w:rsidRPr="00BB69DC">
        <w:rPr>
          <w:rFonts w:ascii="Times New Roman" w:hAnsi="Times New Roman"/>
          <w:sz w:val="24"/>
          <w:szCs w:val="24"/>
        </w:rPr>
        <w:t xml:space="preserve"> apm</w:t>
      </w:r>
      <w:r w:rsidR="00162F97" w:rsidRPr="00BB69DC">
        <w:rPr>
          <w:rFonts w:ascii="Times New Roman" w:hAnsi="Times New Roman" w:hint="eastAsia"/>
          <w:sz w:val="24"/>
          <w:szCs w:val="24"/>
        </w:rPr>
        <w:t>ē</w:t>
      </w:r>
      <w:r w:rsidR="00162F97" w:rsidRPr="00BB69DC">
        <w:rPr>
          <w:rFonts w:ascii="Times New Roman" w:hAnsi="Times New Roman"/>
          <w:sz w:val="24"/>
          <w:szCs w:val="24"/>
        </w:rPr>
        <w:t>r</w:t>
      </w:r>
      <w:r w:rsidR="00162F97" w:rsidRPr="00BB69DC">
        <w:rPr>
          <w:rFonts w:ascii="Times New Roman" w:hAnsi="Times New Roman" w:hint="eastAsia"/>
          <w:sz w:val="24"/>
          <w:szCs w:val="24"/>
        </w:rPr>
        <w:t>ā</w:t>
      </w:r>
      <w:r w:rsidR="00162F97" w:rsidRPr="00BB69DC">
        <w:rPr>
          <w:rFonts w:ascii="Times New Roman" w:hAnsi="Times New Roman"/>
          <w:sz w:val="24"/>
          <w:szCs w:val="24"/>
        </w:rPr>
        <w:t xml:space="preserve"> tiks piem</w:t>
      </w:r>
      <w:r w:rsidR="00162F97" w:rsidRPr="00BB69DC">
        <w:rPr>
          <w:rFonts w:ascii="Times New Roman" w:hAnsi="Times New Roman" w:hint="eastAsia"/>
          <w:sz w:val="24"/>
          <w:szCs w:val="24"/>
        </w:rPr>
        <w:t>ē</w:t>
      </w:r>
      <w:r w:rsidR="00162F97" w:rsidRPr="00BB69DC">
        <w:rPr>
          <w:rFonts w:ascii="Times New Roman" w:hAnsi="Times New Roman"/>
          <w:sz w:val="24"/>
          <w:szCs w:val="24"/>
        </w:rPr>
        <w:t>rota finan</w:t>
      </w:r>
      <w:r w:rsidR="00162F97" w:rsidRPr="00BB69DC">
        <w:rPr>
          <w:rFonts w:ascii="Times New Roman" w:hAnsi="Times New Roman" w:hint="eastAsia"/>
          <w:sz w:val="24"/>
          <w:szCs w:val="24"/>
        </w:rPr>
        <w:t>š</w:t>
      </w:r>
      <w:r w:rsidR="00162F97" w:rsidRPr="00BB69DC">
        <w:rPr>
          <w:rFonts w:ascii="Times New Roman" w:hAnsi="Times New Roman"/>
          <w:sz w:val="24"/>
          <w:szCs w:val="24"/>
        </w:rPr>
        <w:t>u korekcija, nav pieejama. T</w:t>
      </w:r>
      <w:r w:rsidR="00162F97" w:rsidRPr="00BB69DC">
        <w:rPr>
          <w:rFonts w:ascii="Times New Roman" w:hAnsi="Times New Roman" w:hint="eastAsia"/>
          <w:sz w:val="24"/>
          <w:szCs w:val="24"/>
        </w:rPr>
        <w:t>ā</w:t>
      </w:r>
      <w:r w:rsidR="00162F97" w:rsidRPr="00BB69DC">
        <w:rPr>
          <w:rFonts w:ascii="Times New Roman" w:hAnsi="Times New Roman"/>
          <w:sz w:val="24"/>
          <w:szCs w:val="24"/>
        </w:rPr>
        <w:t>pat, v</w:t>
      </w:r>
      <w:r w:rsidR="00162F97" w:rsidRPr="00BB69DC">
        <w:rPr>
          <w:rFonts w:ascii="Times New Roman" w:hAnsi="Times New Roman" w:hint="eastAsia"/>
          <w:sz w:val="24"/>
          <w:szCs w:val="24"/>
        </w:rPr>
        <w:t>ē</w:t>
      </w:r>
      <w:r w:rsidR="00162F97" w:rsidRPr="00BB69DC">
        <w:rPr>
          <w:rFonts w:ascii="Times New Roman" w:hAnsi="Times New Roman"/>
          <w:sz w:val="24"/>
          <w:szCs w:val="24"/>
        </w:rPr>
        <w:t>l nav veikta anal</w:t>
      </w:r>
      <w:r w:rsidR="00162F97" w:rsidRPr="00BB69DC">
        <w:rPr>
          <w:rFonts w:ascii="Times New Roman" w:hAnsi="Times New Roman" w:hint="eastAsia"/>
          <w:sz w:val="24"/>
          <w:szCs w:val="24"/>
        </w:rPr>
        <w:t>ī</w:t>
      </w:r>
      <w:r w:rsidR="00162F97" w:rsidRPr="00BB69DC">
        <w:rPr>
          <w:rFonts w:ascii="Times New Roman" w:hAnsi="Times New Roman"/>
          <w:sz w:val="24"/>
          <w:szCs w:val="24"/>
        </w:rPr>
        <w:t>ze par to, vai iesp</w:t>
      </w:r>
      <w:r w:rsidR="00162F97" w:rsidRPr="00BB69DC">
        <w:rPr>
          <w:rFonts w:ascii="Times New Roman" w:hAnsi="Times New Roman" w:hint="eastAsia"/>
          <w:sz w:val="24"/>
          <w:szCs w:val="24"/>
        </w:rPr>
        <w:t>ē</w:t>
      </w:r>
      <w:r w:rsidR="00162F97" w:rsidRPr="00BB69DC">
        <w:rPr>
          <w:rFonts w:ascii="Times New Roman" w:hAnsi="Times New Roman"/>
          <w:sz w:val="24"/>
          <w:szCs w:val="24"/>
        </w:rPr>
        <w:t>jam</w:t>
      </w:r>
      <w:r w:rsidR="00162F97" w:rsidRPr="00BB69DC">
        <w:rPr>
          <w:rFonts w:ascii="Times New Roman" w:hAnsi="Times New Roman" w:hint="eastAsia"/>
          <w:sz w:val="24"/>
          <w:szCs w:val="24"/>
        </w:rPr>
        <w:t>ā</w:t>
      </w:r>
      <w:r w:rsidR="00162F97" w:rsidRPr="00BB69DC">
        <w:rPr>
          <w:rFonts w:ascii="Times New Roman" w:hAnsi="Times New Roman"/>
          <w:sz w:val="24"/>
          <w:szCs w:val="24"/>
        </w:rPr>
        <w:t>s finan</w:t>
      </w:r>
      <w:r w:rsidR="00162F97" w:rsidRPr="00BB69DC">
        <w:rPr>
          <w:rFonts w:ascii="Times New Roman" w:hAnsi="Times New Roman" w:hint="eastAsia"/>
          <w:sz w:val="24"/>
          <w:szCs w:val="24"/>
        </w:rPr>
        <w:t>š</w:t>
      </w:r>
      <w:r w:rsidR="00162F97" w:rsidRPr="00BB69DC">
        <w:rPr>
          <w:rFonts w:ascii="Times New Roman" w:hAnsi="Times New Roman"/>
          <w:sz w:val="24"/>
          <w:szCs w:val="24"/>
        </w:rPr>
        <w:t xml:space="preserve">u </w:t>
      </w:r>
      <w:r w:rsidR="00162F97" w:rsidRPr="00BB69DC">
        <w:rPr>
          <w:rFonts w:ascii="Times New Roman" w:hAnsi="Times New Roman"/>
          <w:sz w:val="24"/>
          <w:szCs w:val="24"/>
        </w:rPr>
        <w:lastRenderedPageBreak/>
        <w:t>korekcijas ietekme tiks attiecin</w:t>
      </w:r>
      <w:r w:rsidR="00162F97" w:rsidRPr="00BB69DC">
        <w:rPr>
          <w:rFonts w:ascii="Times New Roman" w:hAnsi="Times New Roman" w:hint="eastAsia"/>
          <w:sz w:val="24"/>
          <w:szCs w:val="24"/>
        </w:rPr>
        <w:t>ā</w:t>
      </w:r>
      <w:r w:rsidR="00162F97" w:rsidRPr="00BB69DC">
        <w:rPr>
          <w:rFonts w:ascii="Times New Roman" w:hAnsi="Times New Roman"/>
          <w:sz w:val="24"/>
          <w:szCs w:val="24"/>
        </w:rPr>
        <w:t>ta uz tiem gadiem, kad attiec</w:t>
      </w:r>
      <w:r w:rsidR="00162F97" w:rsidRPr="00BB69DC">
        <w:rPr>
          <w:rFonts w:ascii="Times New Roman" w:hAnsi="Times New Roman" w:hint="eastAsia"/>
          <w:sz w:val="24"/>
          <w:szCs w:val="24"/>
        </w:rPr>
        <w:t>ī</w:t>
      </w:r>
      <w:r w:rsidR="00162F97" w:rsidRPr="00BB69DC">
        <w:rPr>
          <w:rFonts w:ascii="Times New Roman" w:hAnsi="Times New Roman"/>
          <w:sz w:val="24"/>
          <w:szCs w:val="24"/>
        </w:rPr>
        <w:t xml:space="preserve">gie projekti tika </w:t>
      </w:r>
      <w:r w:rsidR="00162F97" w:rsidRPr="00BB69DC">
        <w:rPr>
          <w:rFonts w:ascii="Times New Roman" w:hAnsi="Times New Roman" w:hint="eastAsia"/>
          <w:sz w:val="24"/>
          <w:szCs w:val="24"/>
        </w:rPr>
        <w:t>ī</w:t>
      </w:r>
      <w:r w:rsidR="00162F97" w:rsidRPr="00BB69DC">
        <w:rPr>
          <w:rFonts w:ascii="Times New Roman" w:hAnsi="Times New Roman"/>
          <w:sz w:val="24"/>
          <w:szCs w:val="24"/>
        </w:rPr>
        <w:t>stenoti, vai ar</w:t>
      </w:r>
      <w:r w:rsidR="00162F97" w:rsidRPr="00BB69DC">
        <w:rPr>
          <w:rFonts w:ascii="Times New Roman" w:hAnsi="Times New Roman" w:hint="eastAsia"/>
          <w:sz w:val="24"/>
          <w:szCs w:val="24"/>
        </w:rPr>
        <w:t>ī</w:t>
      </w:r>
      <w:r w:rsidR="00162F97" w:rsidRPr="00BB69DC">
        <w:rPr>
          <w:rFonts w:ascii="Times New Roman" w:hAnsi="Times New Roman"/>
          <w:sz w:val="24"/>
          <w:szCs w:val="24"/>
        </w:rPr>
        <w:t xml:space="preserve"> uz to gadu, kad KP </w:t>
      </w:r>
      <w:r>
        <w:rPr>
          <w:rFonts w:ascii="Times New Roman" w:hAnsi="Times New Roman"/>
          <w:sz w:val="24"/>
          <w:szCs w:val="24"/>
        </w:rPr>
        <w:t>ir pieņēmusi</w:t>
      </w:r>
      <w:r w:rsidR="00162F97" w:rsidRPr="00BB69DC">
        <w:rPr>
          <w:rFonts w:ascii="Times New Roman" w:hAnsi="Times New Roman"/>
          <w:sz w:val="24"/>
          <w:szCs w:val="24"/>
        </w:rPr>
        <w:t xml:space="preserve"> vai CFLA pie</w:t>
      </w:r>
      <w:r w:rsidR="00162F97" w:rsidRPr="00BB69DC">
        <w:rPr>
          <w:rFonts w:ascii="Times New Roman" w:hAnsi="Times New Roman" w:hint="eastAsia"/>
          <w:sz w:val="24"/>
          <w:szCs w:val="24"/>
        </w:rPr>
        <w:t>ņ</w:t>
      </w:r>
      <w:r w:rsidR="00162F97" w:rsidRPr="00BB69DC">
        <w:rPr>
          <w:rFonts w:ascii="Times New Roman" w:hAnsi="Times New Roman"/>
          <w:sz w:val="24"/>
          <w:szCs w:val="24"/>
        </w:rPr>
        <w:t>ems attiec</w:t>
      </w:r>
      <w:r w:rsidR="00162F97" w:rsidRPr="00BB69DC">
        <w:rPr>
          <w:rFonts w:ascii="Times New Roman" w:hAnsi="Times New Roman" w:hint="eastAsia"/>
          <w:sz w:val="24"/>
          <w:szCs w:val="24"/>
        </w:rPr>
        <w:t>ī</w:t>
      </w:r>
      <w:r w:rsidR="00162F97" w:rsidRPr="00BB69DC">
        <w:rPr>
          <w:rFonts w:ascii="Times New Roman" w:hAnsi="Times New Roman"/>
          <w:sz w:val="24"/>
          <w:szCs w:val="24"/>
        </w:rPr>
        <w:t>go l</w:t>
      </w:r>
      <w:r w:rsidR="00162F97" w:rsidRPr="00BB69DC">
        <w:rPr>
          <w:rFonts w:ascii="Times New Roman" w:hAnsi="Times New Roman" w:hint="eastAsia"/>
          <w:sz w:val="24"/>
          <w:szCs w:val="24"/>
        </w:rPr>
        <w:t>ē</w:t>
      </w:r>
      <w:r w:rsidR="00162F97" w:rsidRPr="00BB69DC">
        <w:rPr>
          <w:rFonts w:ascii="Times New Roman" w:hAnsi="Times New Roman"/>
          <w:sz w:val="24"/>
          <w:szCs w:val="24"/>
        </w:rPr>
        <w:t xml:space="preserve">mumu. </w:t>
      </w:r>
    </w:p>
    <w:p w14:paraId="5F77BD01" w14:textId="77777777" w:rsidR="00162F97" w:rsidRPr="00BB69DC" w:rsidRDefault="00162F97" w:rsidP="00BB69DC">
      <w:pPr>
        <w:spacing w:after="0" w:line="240" w:lineRule="auto"/>
        <w:ind w:firstLine="720"/>
        <w:jc w:val="both"/>
        <w:rPr>
          <w:rFonts w:ascii="Times New Roman" w:hAnsi="Times New Roman"/>
          <w:sz w:val="24"/>
          <w:szCs w:val="24"/>
        </w:rPr>
      </w:pPr>
      <w:r w:rsidRPr="00BB69DC">
        <w:rPr>
          <w:rFonts w:ascii="Times New Roman" w:hAnsi="Times New Roman" w:hint="eastAsia"/>
          <w:sz w:val="24"/>
          <w:szCs w:val="24"/>
        </w:rPr>
        <w:t>Ņ</w:t>
      </w:r>
      <w:r w:rsidRPr="00BB69DC">
        <w:rPr>
          <w:rFonts w:ascii="Times New Roman" w:hAnsi="Times New Roman"/>
          <w:sz w:val="24"/>
          <w:szCs w:val="24"/>
        </w:rPr>
        <w:t>emot v</w:t>
      </w:r>
      <w:r w:rsidRPr="00BB69DC">
        <w:rPr>
          <w:rFonts w:ascii="Times New Roman" w:hAnsi="Times New Roman" w:hint="eastAsia"/>
          <w:sz w:val="24"/>
          <w:szCs w:val="24"/>
        </w:rPr>
        <w:t>ē</w:t>
      </w:r>
      <w:r w:rsidRPr="00BB69DC">
        <w:rPr>
          <w:rFonts w:ascii="Times New Roman" w:hAnsi="Times New Roman"/>
          <w:sz w:val="24"/>
          <w:szCs w:val="24"/>
        </w:rPr>
        <w:t>r</w:t>
      </w:r>
      <w:r w:rsidRPr="00BB69DC">
        <w:rPr>
          <w:rFonts w:ascii="Times New Roman" w:hAnsi="Times New Roman" w:hint="eastAsia"/>
          <w:sz w:val="24"/>
          <w:szCs w:val="24"/>
        </w:rPr>
        <w:t>ā</w:t>
      </w:r>
      <w:r w:rsidRPr="00BB69DC">
        <w:rPr>
          <w:rFonts w:ascii="Times New Roman" w:hAnsi="Times New Roman"/>
          <w:sz w:val="24"/>
          <w:szCs w:val="24"/>
        </w:rPr>
        <w:t xml:space="preserve"> </w:t>
      </w:r>
      <w:r w:rsidRPr="00BB69DC">
        <w:rPr>
          <w:rFonts w:ascii="Times New Roman" w:hAnsi="Times New Roman" w:hint="eastAsia"/>
          <w:sz w:val="24"/>
          <w:szCs w:val="24"/>
        </w:rPr>
        <w:t>šī</w:t>
      </w:r>
      <w:r w:rsidRPr="00BB69DC">
        <w:rPr>
          <w:rFonts w:ascii="Times New Roman" w:hAnsi="Times New Roman"/>
          <w:sz w:val="24"/>
          <w:szCs w:val="24"/>
        </w:rPr>
        <w:t xml:space="preserve"> jaut</w:t>
      </w:r>
      <w:r w:rsidRPr="00BB69DC">
        <w:rPr>
          <w:rFonts w:ascii="Times New Roman" w:hAnsi="Times New Roman" w:hint="eastAsia"/>
          <w:sz w:val="24"/>
          <w:szCs w:val="24"/>
        </w:rPr>
        <w:t>ā</w:t>
      </w:r>
      <w:r w:rsidRPr="00BB69DC">
        <w:rPr>
          <w:rFonts w:ascii="Times New Roman" w:hAnsi="Times New Roman"/>
          <w:sz w:val="24"/>
          <w:szCs w:val="24"/>
        </w:rPr>
        <w:t>juma izp</w:t>
      </w:r>
      <w:r w:rsidRPr="00BB69DC">
        <w:rPr>
          <w:rFonts w:ascii="Times New Roman" w:hAnsi="Times New Roman" w:hint="eastAsia"/>
          <w:sz w:val="24"/>
          <w:szCs w:val="24"/>
        </w:rPr>
        <w:t>ē</w:t>
      </w:r>
      <w:r w:rsidRPr="00BB69DC">
        <w:rPr>
          <w:rFonts w:ascii="Times New Roman" w:hAnsi="Times New Roman"/>
          <w:sz w:val="24"/>
          <w:szCs w:val="24"/>
        </w:rPr>
        <w:t>tes agr</w:t>
      </w:r>
      <w:r w:rsidRPr="00BB69DC">
        <w:rPr>
          <w:rFonts w:ascii="Times New Roman" w:hAnsi="Times New Roman" w:hint="eastAsia"/>
          <w:sz w:val="24"/>
          <w:szCs w:val="24"/>
        </w:rPr>
        <w:t>ī</w:t>
      </w:r>
      <w:r w:rsidRPr="00BB69DC">
        <w:rPr>
          <w:rFonts w:ascii="Times New Roman" w:hAnsi="Times New Roman"/>
          <w:sz w:val="24"/>
          <w:szCs w:val="24"/>
        </w:rPr>
        <w:t>no stadiju, pa</w:t>
      </w:r>
      <w:r w:rsidRPr="00BB69DC">
        <w:rPr>
          <w:rFonts w:ascii="Times New Roman" w:hAnsi="Times New Roman" w:hint="eastAsia"/>
          <w:sz w:val="24"/>
          <w:szCs w:val="24"/>
        </w:rPr>
        <w:t>š</w:t>
      </w:r>
      <w:r w:rsidRPr="00BB69DC">
        <w:rPr>
          <w:rFonts w:ascii="Times New Roman" w:hAnsi="Times New Roman"/>
          <w:sz w:val="24"/>
          <w:szCs w:val="24"/>
        </w:rPr>
        <w:t>laik pieejam</w:t>
      </w:r>
      <w:r w:rsidRPr="00BB69DC">
        <w:rPr>
          <w:rFonts w:ascii="Times New Roman" w:hAnsi="Times New Roman" w:hint="eastAsia"/>
          <w:sz w:val="24"/>
          <w:szCs w:val="24"/>
        </w:rPr>
        <w:t>ā</w:t>
      </w:r>
      <w:r w:rsidRPr="00BB69DC">
        <w:rPr>
          <w:rFonts w:ascii="Times New Roman" w:hAnsi="Times New Roman"/>
          <w:sz w:val="24"/>
          <w:szCs w:val="24"/>
        </w:rPr>
        <w:t xml:space="preserve"> inform</w:t>
      </w:r>
      <w:r w:rsidRPr="00BB69DC">
        <w:rPr>
          <w:rFonts w:ascii="Times New Roman" w:hAnsi="Times New Roman" w:hint="eastAsia"/>
          <w:sz w:val="24"/>
          <w:szCs w:val="24"/>
        </w:rPr>
        <w:t>ā</w:t>
      </w:r>
      <w:r w:rsidRPr="00BB69DC">
        <w:rPr>
          <w:rFonts w:ascii="Times New Roman" w:hAnsi="Times New Roman"/>
          <w:sz w:val="24"/>
          <w:szCs w:val="24"/>
        </w:rPr>
        <w:t xml:space="preserve">cija nav pietiekama, lai </w:t>
      </w:r>
      <w:r w:rsidRPr="00BB69DC">
        <w:rPr>
          <w:rFonts w:ascii="Times New Roman" w:hAnsi="Times New Roman" w:hint="eastAsia"/>
          <w:sz w:val="24"/>
          <w:szCs w:val="24"/>
        </w:rPr>
        <w:t>š</w:t>
      </w:r>
      <w:r w:rsidRPr="00BB69DC">
        <w:rPr>
          <w:rFonts w:ascii="Times New Roman" w:hAnsi="Times New Roman"/>
          <w:sz w:val="24"/>
          <w:szCs w:val="24"/>
        </w:rPr>
        <w:t>o risku kvantific</w:t>
      </w:r>
      <w:r w:rsidRPr="00BB69DC">
        <w:rPr>
          <w:rFonts w:ascii="Times New Roman" w:hAnsi="Times New Roman" w:hint="eastAsia"/>
          <w:sz w:val="24"/>
          <w:szCs w:val="24"/>
        </w:rPr>
        <w:t>ē</w:t>
      </w:r>
      <w:r w:rsidRPr="00BB69DC">
        <w:rPr>
          <w:rFonts w:ascii="Times New Roman" w:hAnsi="Times New Roman"/>
          <w:sz w:val="24"/>
          <w:szCs w:val="24"/>
        </w:rPr>
        <w:t>tu.</w:t>
      </w:r>
    </w:p>
    <w:p w14:paraId="0F9AB485" w14:textId="3A40176F" w:rsidR="00162F97" w:rsidRDefault="00162F97">
      <w:pPr>
        <w:rPr>
          <w:rFonts w:ascii="RobustaTLPro-Regular" w:hAnsi="RobustaTLPro-Regular"/>
          <w:color w:val="212529"/>
          <w:sz w:val="23"/>
          <w:szCs w:val="23"/>
          <w:shd w:val="clear" w:color="auto" w:fill="FFFFFF"/>
        </w:rPr>
      </w:pPr>
      <w:r>
        <w:rPr>
          <w:rFonts w:ascii="RobustaTLPro-Regular" w:hAnsi="RobustaTLPro-Regular"/>
          <w:color w:val="212529"/>
          <w:sz w:val="23"/>
          <w:szCs w:val="23"/>
          <w:shd w:val="clear" w:color="auto" w:fill="FFFFFF"/>
        </w:rPr>
        <w:br w:type="page"/>
      </w:r>
    </w:p>
    <w:p w14:paraId="24EE6199" w14:textId="0EC969A1" w:rsidR="00043C49" w:rsidRDefault="004D466B" w:rsidP="00BB69DC">
      <w:pPr>
        <w:pStyle w:val="Heading1"/>
        <w:numPr>
          <w:ilvl w:val="0"/>
          <w:numId w:val="4"/>
        </w:numPr>
        <w:jc w:val="center"/>
        <w:rPr>
          <w:rFonts w:ascii="Times New Roman" w:hAnsi="Times New Roman" w:cs="Times New Roman"/>
          <w:sz w:val="32"/>
          <w:szCs w:val="32"/>
        </w:rPr>
      </w:pPr>
      <w:r>
        <w:lastRenderedPageBreak/>
        <w:t xml:space="preserve"> </w:t>
      </w:r>
      <w:bookmarkStart w:id="174" w:name="_Toc80106163"/>
      <w:bookmarkStart w:id="175" w:name="_Toc80111865"/>
      <w:bookmarkEnd w:id="174"/>
      <w:r w:rsidR="00043C49">
        <w:rPr>
          <w:rFonts w:ascii="Times New Roman" w:hAnsi="Times New Roman" w:cs="Times New Roman"/>
          <w:sz w:val="32"/>
          <w:szCs w:val="32"/>
        </w:rPr>
        <w:t>Ekonomikas šoku transmisijas kanāli uz valsts fiskālajiem rādītājiem</w:t>
      </w:r>
      <w:bookmarkEnd w:id="175"/>
    </w:p>
    <w:p w14:paraId="1DB34B5B" w14:textId="5585F49F" w:rsidR="00043C49" w:rsidRDefault="00043C49" w:rsidP="005C17FD">
      <w:pPr>
        <w:spacing w:after="0" w:line="240" w:lineRule="auto"/>
        <w:ind w:firstLine="720"/>
        <w:jc w:val="both"/>
        <w:rPr>
          <w:rFonts w:ascii="Times New Roman" w:hAnsi="Times New Roman" w:cs="Times New Roman"/>
          <w:color w:val="000000"/>
          <w:sz w:val="24"/>
          <w:szCs w:val="24"/>
        </w:rPr>
      </w:pPr>
      <w:r w:rsidRPr="005C17FD">
        <w:rPr>
          <w:rFonts w:ascii="Times New Roman" w:hAnsi="Times New Roman" w:cs="Times New Roman"/>
          <w:color w:val="000000"/>
          <w:sz w:val="24"/>
          <w:szCs w:val="24"/>
        </w:rPr>
        <w:t>Ekonomikas šoku izraisītā negatīvā ietekme uz fiskālajiem rādītājiem, ja tie ir prognozēti un ņemti vērā izstrādājot attiecīgā gada valsts budžetu, nav fiskālais risks. Fiskālais risks nav arī ekonomikas šoka izraisīta negatīva ietekme uz fiskālajiem rādītājiem, ja tā nav progno</w:t>
      </w:r>
      <w:r w:rsidR="005C17FD">
        <w:rPr>
          <w:rFonts w:ascii="Times New Roman" w:hAnsi="Times New Roman" w:cs="Times New Roman"/>
          <w:color w:val="000000"/>
          <w:sz w:val="24"/>
          <w:szCs w:val="24"/>
        </w:rPr>
        <w:t>zēta, bet ir aktivizēta FDL 12.</w:t>
      </w:r>
      <w:r w:rsidRPr="005C17FD">
        <w:rPr>
          <w:rFonts w:ascii="Times New Roman" w:hAnsi="Times New Roman" w:cs="Times New Roman"/>
          <w:color w:val="000000"/>
          <w:sz w:val="24"/>
          <w:szCs w:val="24"/>
        </w:rPr>
        <w:t>pantā</w:t>
      </w:r>
      <w:r w:rsidR="000D2908">
        <w:rPr>
          <w:rFonts w:ascii="Times New Roman" w:hAnsi="Times New Roman" w:cs="Times New Roman"/>
          <w:color w:val="000000"/>
          <w:sz w:val="24"/>
          <w:szCs w:val="24"/>
        </w:rPr>
        <w:t xml:space="preserve"> noteiktā</w:t>
      </w:r>
      <w:r w:rsidRPr="005C17FD">
        <w:rPr>
          <w:rFonts w:ascii="Times New Roman" w:hAnsi="Times New Roman" w:cs="Times New Roman"/>
          <w:color w:val="000000"/>
          <w:sz w:val="24"/>
          <w:szCs w:val="24"/>
        </w:rPr>
        <w:t xml:space="preserve"> izņēmuma klauzula</w:t>
      </w:r>
      <w:r w:rsidR="000D2908">
        <w:rPr>
          <w:rFonts w:ascii="Times New Roman" w:hAnsi="Times New Roman" w:cs="Times New Roman"/>
          <w:color w:val="000000"/>
          <w:sz w:val="24"/>
          <w:szCs w:val="24"/>
        </w:rPr>
        <w:t xml:space="preserve"> </w:t>
      </w:r>
      <w:r w:rsidRPr="005C17FD">
        <w:rPr>
          <w:rFonts w:ascii="Times New Roman" w:hAnsi="Times New Roman" w:cs="Times New Roman"/>
          <w:color w:val="000000"/>
          <w:sz w:val="24"/>
          <w:szCs w:val="24"/>
        </w:rPr>
        <w:t>(šajā gadījumā fiskālo rādītāju noteiktās vērtības nav saistošas). Tomēr ekonomikas šoki izraisa būtisku negatīvu ietekmi uz valsts fiskālajiem rādītājiem un optimālai fiskālai politikai būtu šī ietekme, kur iespējams, jāmazina. Valsts publisko finanšu sistēma būtu jāveido pēc iespējas noturīgāk</w:t>
      </w:r>
      <w:r w:rsidR="000D2908">
        <w:rPr>
          <w:rFonts w:ascii="Times New Roman" w:hAnsi="Times New Roman" w:cs="Times New Roman"/>
          <w:color w:val="000000"/>
          <w:sz w:val="24"/>
          <w:szCs w:val="24"/>
        </w:rPr>
        <w:t>u</w:t>
      </w:r>
      <w:r w:rsidRPr="005C17FD">
        <w:rPr>
          <w:rFonts w:ascii="Times New Roman" w:hAnsi="Times New Roman" w:cs="Times New Roman"/>
          <w:color w:val="000000"/>
          <w:sz w:val="24"/>
          <w:szCs w:val="24"/>
        </w:rPr>
        <w:t xml:space="preserve"> pret ekonomikas šokiem. Tāpēc, lai arī šie aspekti nav tieši saistīti ar fiskālajiem riskiem tajā nozīmē, kā tas noteikts valsts fiskālās disciplīnas tiesiskajā regulējumā, turpmāk deklarācijās tiks iekļauta arī informācija par to, kā ekonomikas šoki var ietekmēt fiskālos rādītājus (transmisijas kanāli). Šajā deklarācijā ir iekļauta informācija par valsts ekspozīciju uz komercsabiedrībām, garantiju ekspozīciju un ekonomikas šoku ietekmi uz valsts parādu.</w:t>
      </w:r>
    </w:p>
    <w:p w14:paraId="025E9DB5" w14:textId="7F83DD7A" w:rsidR="00043C49" w:rsidRPr="008B7FE6" w:rsidRDefault="00043C49" w:rsidP="00BB69DC">
      <w:pPr>
        <w:pStyle w:val="Heading2"/>
        <w:numPr>
          <w:ilvl w:val="1"/>
          <w:numId w:val="4"/>
        </w:numPr>
        <w:ind w:left="426"/>
        <w:jc w:val="center"/>
        <w:rPr>
          <w:rFonts w:ascii="Times New Roman" w:hAnsi="Times New Roman" w:cs="Times New Roman"/>
          <w:sz w:val="24"/>
          <w:szCs w:val="24"/>
        </w:rPr>
      </w:pPr>
      <w:bookmarkStart w:id="176" w:name="_Toc80111866"/>
      <w:r w:rsidRPr="008B7FE6">
        <w:rPr>
          <w:rFonts w:ascii="Times New Roman" w:hAnsi="Times New Roman" w:cs="Times New Roman"/>
          <w:sz w:val="24"/>
          <w:szCs w:val="24"/>
        </w:rPr>
        <w:t>Valsts kapitālsabiedrības, kuras nav pieklasificētas S.13 sektoram</w:t>
      </w:r>
      <w:bookmarkEnd w:id="176"/>
    </w:p>
    <w:p w14:paraId="02D4CC59" w14:textId="4C5E4C32" w:rsidR="00043C49" w:rsidRDefault="005C17FD" w:rsidP="00925871">
      <w:pPr>
        <w:spacing w:before="240" w:after="0" w:line="240" w:lineRule="auto"/>
        <w:ind w:firstLine="720"/>
        <w:jc w:val="both"/>
        <w:rPr>
          <w:rFonts w:ascii="Times New Roman" w:hAnsi="Times New Roman" w:cs="Times New Roman"/>
          <w:color w:val="000000"/>
          <w:sz w:val="24"/>
          <w:szCs w:val="24"/>
        </w:rPr>
      </w:pPr>
      <w:r w:rsidRPr="001660EC">
        <w:rPr>
          <w:rFonts w:ascii="Times New Roman" w:hAnsi="Times New Roman" w:cs="Times New Roman"/>
          <w:sz w:val="24"/>
          <w:szCs w:val="24"/>
        </w:rPr>
        <w:t>Covid</w:t>
      </w:r>
      <w:r w:rsidRPr="00F737C0">
        <w:rPr>
          <w:rFonts w:ascii="Times New Roman" w:hAnsi="Times New Roman"/>
          <w:sz w:val="24"/>
          <w:szCs w:val="24"/>
        </w:rPr>
        <w:t>–</w:t>
      </w:r>
      <w:r w:rsidRPr="001660EC">
        <w:rPr>
          <w:rFonts w:ascii="Times New Roman" w:hAnsi="Times New Roman" w:cs="Times New Roman"/>
          <w:sz w:val="24"/>
          <w:szCs w:val="24"/>
        </w:rPr>
        <w:t xml:space="preserve">19 </w:t>
      </w:r>
      <w:r w:rsidR="00043C49" w:rsidRPr="00655AAA">
        <w:rPr>
          <w:rFonts w:ascii="Times New Roman" w:hAnsi="Times New Roman" w:cs="Times New Roman"/>
          <w:color w:val="000000"/>
          <w:sz w:val="24"/>
          <w:szCs w:val="24"/>
        </w:rPr>
        <w:t xml:space="preserve">pandēmija </w:t>
      </w:r>
      <w:r w:rsidR="00043C49">
        <w:rPr>
          <w:rFonts w:ascii="Times New Roman" w:hAnsi="Times New Roman" w:cs="Times New Roman"/>
          <w:color w:val="000000"/>
          <w:sz w:val="24"/>
          <w:szCs w:val="24"/>
        </w:rPr>
        <w:t xml:space="preserve">atkārtoti iezīmēja tendenci, kas netika novērota gandrīz dekādi kopš globālās </w:t>
      </w:r>
      <w:r w:rsidR="007F1BA8">
        <w:rPr>
          <w:rFonts w:ascii="Times New Roman" w:hAnsi="Times New Roman" w:cs="Times New Roman"/>
          <w:color w:val="000000"/>
          <w:sz w:val="24"/>
          <w:szCs w:val="24"/>
        </w:rPr>
        <w:t xml:space="preserve">finanšu un </w:t>
      </w:r>
      <w:r w:rsidR="00043C49">
        <w:rPr>
          <w:rFonts w:ascii="Times New Roman" w:hAnsi="Times New Roman" w:cs="Times New Roman"/>
          <w:color w:val="000000"/>
          <w:sz w:val="24"/>
          <w:szCs w:val="24"/>
        </w:rPr>
        <w:t xml:space="preserve">ekonomiskās krīzes – līdztekus atbalsta pasākumiem finanšu instrumentu formā, </w:t>
      </w:r>
      <w:r>
        <w:rPr>
          <w:rFonts w:ascii="Times New Roman" w:hAnsi="Times New Roman" w:cs="Times New Roman"/>
          <w:color w:val="000000"/>
          <w:sz w:val="24"/>
          <w:szCs w:val="24"/>
        </w:rPr>
        <w:t>būtis</w:t>
      </w:r>
      <w:r w:rsidR="00043C49">
        <w:rPr>
          <w:rFonts w:ascii="Times New Roman" w:hAnsi="Times New Roman" w:cs="Times New Roman"/>
          <w:color w:val="000000"/>
          <w:sz w:val="24"/>
          <w:szCs w:val="24"/>
        </w:rPr>
        <w:t>ks atbalsts publisk</w:t>
      </w:r>
      <w:r w:rsidR="007F1BA8">
        <w:rPr>
          <w:rFonts w:ascii="Times New Roman" w:hAnsi="Times New Roman" w:cs="Times New Roman"/>
          <w:color w:val="000000"/>
          <w:sz w:val="24"/>
          <w:szCs w:val="24"/>
        </w:rPr>
        <w:t>ā sektora uz</w:t>
      </w:r>
      <w:r w:rsidR="00910288">
        <w:rPr>
          <w:rFonts w:ascii="Times New Roman" w:hAnsi="Times New Roman" w:cs="Times New Roman"/>
          <w:color w:val="000000"/>
          <w:sz w:val="24"/>
          <w:szCs w:val="24"/>
        </w:rPr>
        <w:t>ņ</w:t>
      </w:r>
      <w:r w:rsidR="007F1BA8">
        <w:rPr>
          <w:rFonts w:ascii="Times New Roman" w:hAnsi="Times New Roman" w:cs="Times New Roman"/>
          <w:color w:val="000000"/>
          <w:sz w:val="24"/>
          <w:szCs w:val="24"/>
        </w:rPr>
        <w:t xml:space="preserve">ēmumiem </w:t>
      </w:r>
      <w:r w:rsidR="00043C49">
        <w:rPr>
          <w:rFonts w:ascii="Times New Roman" w:hAnsi="Times New Roman" w:cs="Times New Roman"/>
          <w:color w:val="000000"/>
          <w:sz w:val="24"/>
          <w:szCs w:val="24"/>
        </w:rPr>
        <w:t>tika sniegts tās re</w:t>
      </w:r>
      <w:r w:rsidR="00910288">
        <w:rPr>
          <w:rFonts w:ascii="Times New Roman" w:hAnsi="Times New Roman" w:cs="Times New Roman"/>
          <w:color w:val="000000"/>
          <w:sz w:val="24"/>
          <w:szCs w:val="24"/>
        </w:rPr>
        <w:t>-</w:t>
      </w:r>
      <w:r w:rsidR="00043C49">
        <w:rPr>
          <w:rFonts w:ascii="Times New Roman" w:hAnsi="Times New Roman" w:cs="Times New Roman"/>
          <w:color w:val="000000"/>
          <w:sz w:val="24"/>
          <w:szCs w:val="24"/>
        </w:rPr>
        <w:t xml:space="preserve">kapitalizējot vai sniedzot budžeta dotācijas, lai sekmētu biznesa saglabāšanu, likviditātes </w:t>
      </w:r>
      <w:r w:rsidR="0086357E">
        <w:rPr>
          <w:rFonts w:ascii="Times New Roman" w:hAnsi="Times New Roman" w:cs="Times New Roman"/>
          <w:color w:val="000000"/>
          <w:sz w:val="24"/>
          <w:szCs w:val="24"/>
        </w:rPr>
        <w:t>nodrošināšanu</w:t>
      </w:r>
      <w:r w:rsidR="00043C49">
        <w:rPr>
          <w:rFonts w:ascii="Times New Roman" w:hAnsi="Times New Roman" w:cs="Times New Roman"/>
          <w:color w:val="000000"/>
          <w:sz w:val="24"/>
          <w:szCs w:val="24"/>
        </w:rPr>
        <w:t xml:space="preserve"> un ļautu kompānijām turpināt saistību izpildi pret kreditoriem. Šāda situācija ES, ņemot vērā stingros valsts atbalsta nosacījumu</w:t>
      </w:r>
      <w:r>
        <w:rPr>
          <w:rFonts w:ascii="Times New Roman" w:hAnsi="Times New Roman" w:cs="Times New Roman"/>
          <w:color w:val="000000"/>
          <w:sz w:val="24"/>
          <w:szCs w:val="24"/>
        </w:rPr>
        <w:t>s, ir izņēmuma gadījums un tika</w:t>
      </w:r>
      <w:r w:rsidR="00043C49">
        <w:rPr>
          <w:rFonts w:ascii="Times New Roman" w:hAnsi="Times New Roman" w:cs="Times New Roman"/>
          <w:color w:val="000000"/>
          <w:sz w:val="24"/>
          <w:szCs w:val="24"/>
        </w:rPr>
        <w:t xml:space="preserve"> pieļauts balstoties </w:t>
      </w:r>
      <w:r w:rsidR="004442F3">
        <w:rPr>
          <w:rFonts w:ascii="Times New Roman" w:hAnsi="Times New Roman" w:cs="Times New Roman"/>
          <w:color w:val="000000"/>
          <w:sz w:val="24"/>
          <w:szCs w:val="24"/>
        </w:rPr>
        <w:t xml:space="preserve"> uz </w:t>
      </w:r>
      <w:r w:rsidR="00043C49">
        <w:rPr>
          <w:rFonts w:ascii="Times New Roman" w:hAnsi="Times New Roman" w:cs="Times New Roman"/>
          <w:color w:val="000000"/>
          <w:sz w:val="24"/>
          <w:szCs w:val="24"/>
        </w:rPr>
        <w:t>pagaidu regulējum</w:t>
      </w:r>
      <w:r w:rsidR="004442F3">
        <w:rPr>
          <w:rFonts w:ascii="Times New Roman" w:hAnsi="Times New Roman" w:cs="Times New Roman"/>
          <w:color w:val="000000"/>
          <w:sz w:val="24"/>
          <w:szCs w:val="24"/>
        </w:rPr>
        <w:t>u</w:t>
      </w:r>
      <w:r w:rsidR="00043C49">
        <w:rPr>
          <w:rFonts w:ascii="Times New Roman" w:hAnsi="Times New Roman" w:cs="Times New Roman"/>
          <w:color w:val="000000"/>
          <w:sz w:val="24"/>
          <w:szCs w:val="24"/>
        </w:rPr>
        <w:t xml:space="preserve"> valsts atbalsta pasākumiem, ar ko atbalsta ekonomiku </w:t>
      </w:r>
      <w:r w:rsidRPr="001660EC">
        <w:rPr>
          <w:rFonts w:ascii="Times New Roman" w:hAnsi="Times New Roman" w:cs="Times New Roman"/>
          <w:sz w:val="24"/>
          <w:szCs w:val="24"/>
        </w:rPr>
        <w:t>Covid</w:t>
      </w:r>
      <w:r w:rsidRPr="00F737C0">
        <w:rPr>
          <w:rFonts w:ascii="Times New Roman" w:hAnsi="Times New Roman"/>
          <w:sz w:val="24"/>
          <w:szCs w:val="24"/>
        </w:rPr>
        <w:t>–</w:t>
      </w:r>
      <w:r w:rsidRPr="001660EC">
        <w:rPr>
          <w:rFonts w:ascii="Times New Roman" w:hAnsi="Times New Roman" w:cs="Times New Roman"/>
          <w:sz w:val="24"/>
          <w:szCs w:val="24"/>
        </w:rPr>
        <w:t xml:space="preserve">19 </w:t>
      </w:r>
      <w:r w:rsidR="00043C49">
        <w:rPr>
          <w:rFonts w:ascii="Times New Roman" w:hAnsi="Times New Roman" w:cs="Times New Roman"/>
          <w:color w:val="000000"/>
          <w:sz w:val="24"/>
          <w:szCs w:val="24"/>
        </w:rPr>
        <w:t>uzliesmojuma situācijā.</w:t>
      </w:r>
    </w:p>
    <w:p w14:paraId="38B03087" w14:textId="589DFF04" w:rsidR="00043C49" w:rsidRDefault="00043C49" w:rsidP="00043C49">
      <w:pPr>
        <w:spacing w:after="0" w:line="240" w:lineRule="auto"/>
        <w:jc w:val="both"/>
        <w:rPr>
          <w:rFonts w:ascii="Times New Roman" w:hAnsi="Times New Roman" w:cs="Times New Roman"/>
          <w:color w:val="000000"/>
          <w:sz w:val="24"/>
          <w:szCs w:val="24"/>
        </w:rPr>
      </w:pPr>
    </w:p>
    <w:p w14:paraId="7BF1897A" w14:textId="5FE61117" w:rsidR="00043C49" w:rsidRDefault="005C17FD" w:rsidP="005C17FD">
      <w:pPr>
        <w:spacing w:after="0" w:line="240" w:lineRule="auto"/>
        <w:jc w:val="right"/>
        <w:rPr>
          <w:rFonts w:ascii="Times New Roman" w:hAnsi="Times New Roman" w:cs="Times New Roman"/>
          <w:color w:val="000000"/>
          <w:sz w:val="24"/>
          <w:szCs w:val="24"/>
        </w:rPr>
      </w:pPr>
      <w:r w:rsidRPr="00FB6BFB">
        <w:rPr>
          <w:rFonts w:ascii="Times New Roman" w:eastAsiaTheme="minorHAnsi" w:hAnsi="Times New Roman" w:cs="Times New Roman"/>
          <w:b/>
          <w:color w:val="000000"/>
          <w:sz w:val="24"/>
          <w:szCs w:val="20"/>
        </w:rPr>
        <w:t>Tabula Nr.1</w:t>
      </w:r>
      <w:r w:rsidR="00CD5476">
        <w:rPr>
          <w:rFonts w:ascii="Times New Roman" w:eastAsiaTheme="minorHAnsi" w:hAnsi="Times New Roman" w:cs="Times New Roman"/>
          <w:b/>
          <w:color w:val="000000"/>
          <w:sz w:val="24"/>
          <w:szCs w:val="20"/>
        </w:rPr>
        <w:t>5</w:t>
      </w:r>
      <w:r>
        <w:rPr>
          <w:rFonts w:ascii="Times New Roman" w:eastAsiaTheme="minorHAnsi" w:hAnsi="Times New Roman" w:cs="Times New Roman"/>
          <w:b/>
          <w:color w:val="000000"/>
          <w:sz w:val="24"/>
          <w:szCs w:val="20"/>
        </w:rPr>
        <w:t xml:space="preserve"> </w:t>
      </w:r>
      <w:r w:rsidR="00043C49" w:rsidRPr="005C17FD">
        <w:rPr>
          <w:rFonts w:ascii="Times New Roman" w:eastAsiaTheme="minorHAnsi" w:hAnsi="Times New Roman" w:cs="Times New Roman"/>
          <w:b/>
          <w:color w:val="000000"/>
          <w:sz w:val="24"/>
          <w:szCs w:val="20"/>
        </w:rPr>
        <w:t>Covid</w:t>
      </w:r>
      <w:r w:rsidRPr="00F737C0">
        <w:rPr>
          <w:rFonts w:ascii="Times New Roman" w:hAnsi="Times New Roman"/>
          <w:sz w:val="24"/>
          <w:szCs w:val="24"/>
        </w:rPr>
        <w:t>–</w:t>
      </w:r>
      <w:r w:rsidR="00043C49" w:rsidRPr="005C17FD">
        <w:rPr>
          <w:rFonts w:ascii="Times New Roman" w:eastAsiaTheme="minorHAnsi" w:hAnsi="Times New Roman" w:cs="Times New Roman"/>
          <w:b/>
          <w:color w:val="000000"/>
          <w:sz w:val="24"/>
          <w:szCs w:val="20"/>
        </w:rPr>
        <w:t xml:space="preserve">19 krīzes seku mazināšanai sniegtais </w:t>
      </w:r>
      <w:r w:rsidR="004442F3">
        <w:rPr>
          <w:rFonts w:ascii="Times New Roman" w:eastAsiaTheme="minorHAnsi" w:hAnsi="Times New Roman" w:cs="Times New Roman"/>
          <w:b/>
          <w:color w:val="000000"/>
          <w:sz w:val="24"/>
          <w:szCs w:val="20"/>
        </w:rPr>
        <w:t>valsts</w:t>
      </w:r>
      <w:r w:rsidR="004442F3" w:rsidRPr="005C17FD">
        <w:rPr>
          <w:rFonts w:ascii="Times New Roman" w:eastAsiaTheme="minorHAnsi" w:hAnsi="Times New Roman" w:cs="Times New Roman"/>
          <w:b/>
          <w:color w:val="000000"/>
          <w:sz w:val="24"/>
          <w:szCs w:val="20"/>
        </w:rPr>
        <w:t xml:space="preserve"> </w:t>
      </w:r>
      <w:r w:rsidR="00043C49" w:rsidRPr="005C17FD">
        <w:rPr>
          <w:rFonts w:ascii="Times New Roman" w:eastAsiaTheme="minorHAnsi" w:hAnsi="Times New Roman" w:cs="Times New Roman"/>
          <w:b/>
          <w:color w:val="000000"/>
          <w:sz w:val="24"/>
          <w:szCs w:val="20"/>
        </w:rPr>
        <w:t xml:space="preserve">atbalsts </w:t>
      </w:r>
      <w:r w:rsidR="004442F3">
        <w:rPr>
          <w:rFonts w:ascii="Times New Roman" w:eastAsiaTheme="minorHAnsi" w:hAnsi="Times New Roman" w:cs="Times New Roman"/>
          <w:b/>
          <w:color w:val="000000"/>
          <w:sz w:val="24"/>
          <w:szCs w:val="20"/>
        </w:rPr>
        <w:t xml:space="preserve">publiskā sektora </w:t>
      </w:r>
      <w:r>
        <w:rPr>
          <w:rFonts w:ascii="Times New Roman" w:eastAsiaTheme="minorHAnsi" w:hAnsi="Times New Roman" w:cs="Times New Roman"/>
          <w:b/>
          <w:color w:val="000000"/>
          <w:sz w:val="24"/>
          <w:szCs w:val="20"/>
        </w:rPr>
        <w:t>komercsabiedrībām 2020.</w:t>
      </w:r>
      <w:r w:rsidR="004A68D2">
        <w:rPr>
          <w:rFonts w:ascii="Times New Roman" w:eastAsiaTheme="minorHAnsi" w:hAnsi="Times New Roman" w:cs="Times New Roman"/>
          <w:b/>
          <w:color w:val="000000"/>
          <w:sz w:val="24"/>
          <w:szCs w:val="20"/>
        </w:rPr>
        <w:t xml:space="preserve"> un 2021.</w:t>
      </w:r>
      <w:r w:rsidR="00043C49" w:rsidRPr="005C17FD">
        <w:rPr>
          <w:rFonts w:ascii="Times New Roman" w:eastAsiaTheme="minorHAnsi" w:hAnsi="Times New Roman" w:cs="Times New Roman"/>
          <w:b/>
          <w:color w:val="000000"/>
          <w:sz w:val="24"/>
          <w:szCs w:val="20"/>
        </w:rPr>
        <w:t xml:space="preserve">gadā, milj. </w:t>
      </w:r>
      <w:r w:rsidR="00043C49" w:rsidRPr="005C17FD">
        <w:rPr>
          <w:rFonts w:ascii="Times New Roman" w:eastAsiaTheme="minorHAnsi" w:hAnsi="Times New Roman" w:cs="Times New Roman"/>
          <w:b/>
          <w:i/>
          <w:color w:val="000000"/>
          <w:sz w:val="24"/>
          <w:szCs w:val="20"/>
        </w:rPr>
        <w:t>euro</w:t>
      </w:r>
      <w:r w:rsidR="00043C49" w:rsidRPr="005C17FD">
        <w:rPr>
          <w:rFonts w:ascii="Times New Roman" w:eastAsiaTheme="minorHAnsi" w:hAnsi="Times New Roman" w:cs="Times New Roman"/>
          <w:b/>
          <w:color w:val="000000"/>
          <w:sz w:val="24"/>
          <w:szCs w:val="20"/>
        </w:rPr>
        <w:t xml:space="preserve"> (ieguldījums kapitālā/dotācija)</w:t>
      </w:r>
    </w:p>
    <w:p w14:paraId="7C33F8D7" w14:textId="01DD4892" w:rsidR="00043C49" w:rsidRDefault="00043C49" w:rsidP="00043C49">
      <w:pPr>
        <w:spacing w:after="0" w:line="240" w:lineRule="auto"/>
        <w:jc w:val="center"/>
        <w:rPr>
          <w:rFonts w:ascii="Times New Roman" w:hAnsi="Times New Roman" w:cs="Times New Roman"/>
          <w:color w:val="000000"/>
          <w:sz w:val="24"/>
          <w:szCs w:val="24"/>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14"/>
        <w:gridCol w:w="1277"/>
        <w:gridCol w:w="1277"/>
      </w:tblGrid>
      <w:tr w:rsidR="004A68D2" w14:paraId="7121B451" w14:textId="36F3C14C" w:rsidTr="0052504C">
        <w:trPr>
          <w:jc w:val="center"/>
        </w:trPr>
        <w:tc>
          <w:tcPr>
            <w:tcW w:w="4814" w:type="dxa"/>
            <w:shd w:val="clear" w:color="auto" w:fill="DEEAF6" w:themeFill="accent1" w:themeFillTint="33"/>
          </w:tcPr>
          <w:p w14:paraId="0DB059D5" w14:textId="77777777" w:rsidR="004A68D2" w:rsidRDefault="004A68D2" w:rsidP="00A3140E">
            <w:pPr>
              <w:jc w:val="both"/>
              <w:rPr>
                <w:rFonts w:cs="Times New Roman"/>
                <w:color w:val="000000"/>
                <w:szCs w:val="24"/>
              </w:rPr>
            </w:pPr>
          </w:p>
        </w:tc>
        <w:tc>
          <w:tcPr>
            <w:tcW w:w="1277" w:type="dxa"/>
            <w:shd w:val="clear" w:color="auto" w:fill="DEEAF6" w:themeFill="accent1" w:themeFillTint="33"/>
          </w:tcPr>
          <w:p w14:paraId="4172EE03" w14:textId="17DCB8EA" w:rsidR="004A68D2" w:rsidRPr="00BB69DC" w:rsidRDefault="004A68D2" w:rsidP="00BB69DC">
            <w:pPr>
              <w:jc w:val="center"/>
              <w:rPr>
                <w:rFonts w:cs="Times New Roman"/>
                <w:b/>
                <w:color w:val="000000"/>
                <w:szCs w:val="24"/>
              </w:rPr>
            </w:pPr>
            <w:r w:rsidRPr="00BB69DC">
              <w:rPr>
                <w:rFonts w:cs="Times New Roman"/>
                <w:b/>
                <w:color w:val="000000"/>
                <w:szCs w:val="24"/>
              </w:rPr>
              <w:t>2020</w:t>
            </w:r>
          </w:p>
        </w:tc>
        <w:tc>
          <w:tcPr>
            <w:tcW w:w="1277" w:type="dxa"/>
            <w:shd w:val="clear" w:color="auto" w:fill="DEEAF6" w:themeFill="accent1" w:themeFillTint="33"/>
          </w:tcPr>
          <w:p w14:paraId="404B44DF" w14:textId="42EF1153" w:rsidR="004A68D2" w:rsidRPr="00BB69DC" w:rsidRDefault="004A68D2" w:rsidP="00BB69DC">
            <w:pPr>
              <w:jc w:val="center"/>
              <w:rPr>
                <w:rFonts w:cs="Times New Roman"/>
                <w:b/>
                <w:color w:val="000000"/>
                <w:szCs w:val="24"/>
              </w:rPr>
            </w:pPr>
            <w:r w:rsidRPr="00BB69DC">
              <w:rPr>
                <w:rFonts w:cs="Times New Roman"/>
                <w:b/>
                <w:color w:val="000000"/>
                <w:szCs w:val="24"/>
              </w:rPr>
              <w:t>2021</w:t>
            </w:r>
          </w:p>
        </w:tc>
      </w:tr>
      <w:tr w:rsidR="004A68D2" w14:paraId="3B370117" w14:textId="229DE4B2" w:rsidTr="0052504C">
        <w:trPr>
          <w:jc w:val="center"/>
        </w:trPr>
        <w:tc>
          <w:tcPr>
            <w:tcW w:w="4814" w:type="dxa"/>
            <w:shd w:val="clear" w:color="auto" w:fill="DEEAF6" w:themeFill="accent1" w:themeFillTint="33"/>
          </w:tcPr>
          <w:p w14:paraId="70DE431E" w14:textId="23C4DA31" w:rsidR="004A68D2" w:rsidRPr="00BB69DC" w:rsidRDefault="004A68D2" w:rsidP="00A3140E">
            <w:pPr>
              <w:jc w:val="both"/>
              <w:rPr>
                <w:rFonts w:cs="Times New Roman"/>
                <w:b/>
                <w:color w:val="000000"/>
                <w:szCs w:val="24"/>
              </w:rPr>
            </w:pPr>
            <w:r w:rsidRPr="00BB69DC">
              <w:rPr>
                <w:rFonts w:cs="Times New Roman"/>
                <w:b/>
                <w:color w:val="000000"/>
                <w:szCs w:val="24"/>
              </w:rPr>
              <w:t xml:space="preserve">AS “Air Baltic Corporation” </w:t>
            </w:r>
          </w:p>
        </w:tc>
        <w:tc>
          <w:tcPr>
            <w:tcW w:w="1277" w:type="dxa"/>
            <w:shd w:val="clear" w:color="auto" w:fill="DEEAF6" w:themeFill="accent1" w:themeFillTint="33"/>
          </w:tcPr>
          <w:p w14:paraId="19C1CF36" w14:textId="7F59B23B" w:rsidR="004A68D2" w:rsidRDefault="004A68D2" w:rsidP="00BB69DC">
            <w:pPr>
              <w:jc w:val="center"/>
              <w:rPr>
                <w:rFonts w:cs="Times New Roman"/>
                <w:color w:val="000000"/>
                <w:szCs w:val="24"/>
              </w:rPr>
            </w:pPr>
            <w:r>
              <w:rPr>
                <w:rFonts w:cs="Times New Roman"/>
                <w:color w:val="000000"/>
                <w:szCs w:val="24"/>
              </w:rPr>
              <w:t>250,0</w:t>
            </w:r>
          </w:p>
        </w:tc>
        <w:tc>
          <w:tcPr>
            <w:tcW w:w="1277" w:type="dxa"/>
            <w:shd w:val="clear" w:color="auto" w:fill="DEEAF6" w:themeFill="accent1" w:themeFillTint="33"/>
          </w:tcPr>
          <w:p w14:paraId="1E5B57A8" w14:textId="11F2758D" w:rsidR="004A68D2" w:rsidRDefault="004A68D2" w:rsidP="00BB69DC">
            <w:pPr>
              <w:jc w:val="center"/>
              <w:rPr>
                <w:rFonts w:cs="Times New Roman"/>
                <w:color w:val="000000"/>
                <w:szCs w:val="24"/>
              </w:rPr>
            </w:pPr>
            <w:r>
              <w:rPr>
                <w:rFonts w:cs="Times New Roman"/>
                <w:color w:val="000000"/>
                <w:szCs w:val="24"/>
              </w:rPr>
              <w:t>0,0</w:t>
            </w:r>
          </w:p>
        </w:tc>
      </w:tr>
      <w:tr w:rsidR="004A68D2" w14:paraId="06777A2F" w14:textId="313E9D73" w:rsidTr="0052504C">
        <w:trPr>
          <w:jc w:val="center"/>
        </w:trPr>
        <w:tc>
          <w:tcPr>
            <w:tcW w:w="4814" w:type="dxa"/>
          </w:tcPr>
          <w:p w14:paraId="4831AB38" w14:textId="72DEF84C" w:rsidR="004A68D2" w:rsidRPr="00BB69DC" w:rsidRDefault="004A68D2" w:rsidP="00A3140E">
            <w:pPr>
              <w:jc w:val="both"/>
              <w:rPr>
                <w:rFonts w:cs="Times New Roman"/>
                <w:b/>
                <w:color w:val="000000"/>
                <w:szCs w:val="24"/>
              </w:rPr>
            </w:pPr>
            <w:r w:rsidRPr="00BB69DC">
              <w:rPr>
                <w:rFonts w:cs="Times New Roman"/>
                <w:b/>
                <w:color w:val="000000"/>
                <w:szCs w:val="24"/>
              </w:rPr>
              <w:t>VAS “Latvijas gaisa satiksme”</w:t>
            </w:r>
          </w:p>
        </w:tc>
        <w:tc>
          <w:tcPr>
            <w:tcW w:w="1277" w:type="dxa"/>
          </w:tcPr>
          <w:p w14:paraId="34825158" w14:textId="674A533D" w:rsidR="004A68D2" w:rsidRDefault="004A68D2" w:rsidP="00BB69DC">
            <w:pPr>
              <w:jc w:val="center"/>
              <w:rPr>
                <w:rFonts w:cs="Times New Roman"/>
                <w:color w:val="000000"/>
                <w:szCs w:val="24"/>
              </w:rPr>
            </w:pPr>
            <w:r>
              <w:rPr>
                <w:rFonts w:cs="Times New Roman"/>
                <w:color w:val="000000"/>
                <w:szCs w:val="24"/>
              </w:rPr>
              <w:t>6,0</w:t>
            </w:r>
          </w:p>
        </w:tc>
        <w:tc>
          <w:tcPr>
            <w:tcW w:w="1277" w:type="dxa"/>
          </w:tcPr>
          <w:p w14:paraId="4A2B2150" w14:textId="1A36D584" w:rsidR="004A68D2" w:rsidRDefault="004A68D2" w:rsidP="00BB69DC">
            <w:pPr>
              <w:jc w:val="center"/>
              <w:rPr>
                <w:rFonts w:cs="Times New Roman"/>
                <w:color w:val="000000"/>
                <w:szCs w:val="24"/>
              </w:rPr>
            </w:pPr>
            <w:r>
              <w:rPr>
                <w:rFonts w:cs="Times New Roman"/>
                <w:color w:val="000000"/>
                <w:szCs w:val="24"/>
              </w:rPr>
              <w:t>0,0</w:t>
            </w:r>
          </w:p>
        </w:tc>
      </w:tr>
      <w:tr w:rsidR="004A68D2" w14:paraId="005B5EC6" w14:textId="73A9E069" w:rsidTr="0052504C">
        <w:trPr>
          <w:jc w:val="center"/>
        </w:trPr>
        <w:tc>
          <w:tcPr>
            <w:tcW w:w="4814" w:type="dxa"/>
            <w:shd w:val="clear" w:color="auto" w:fill="DEEAF6" w:themeFill="accent1" w:themeFillTint="33"/>
          </w:tcPr>
          <w:p w14:paraId="30970F0D" w14:textId="2D848740" w:rsidR="004A68D2" w:rsidRPr="00BB69DC" w:rsidRDefault="004A68D2" w:rsidP="00A3140E">
            <w:pPr>
              <w:jc w:val="both"/>
              <w:rPr>
                <w:rFonts w:cs="Times New Roman"/>
                <w:b/>
                <w:color w:val="000000"/>
                <w:szCs w:val="24"/>
              </w:rPr>
            </w:pPr>
            <w:r w:rsidRPr="00BB69DC">
              <w:rPr>
                <w:rFonts w:cs="Times New Roman"/>
                <w:b/>
                <w:color w:val="000000"/>
                <w:szCs w:val="24"/>
              </w:rPr>
              <w:t>VAS “Starptautiskā lidosta “Rīga””</w:t>
            </w:r>
          </w:p>
        </w:tc>
        <w:tc>
          <w:tcPr>
            <w:tcW w:w="1277" w:type="dxa"/>
            <w:shd w:val="clear" w:color="auto" w:fill="DEEAF6" w:themeFill="accent1" w:themeFillTint="33"/>
          </w:tcPr>
          <w:p w14:paraId="2E29457C" w14:textId="182A83C3" w:rsidR="004A68D2" w:rsidRDefault="004A68D2" w:rsidP="00BB69DC">
            <w:pPr>
              <w:jc w:val="center"/>
              <w:rPr>
                <w:rFonts w:cs="Times New Roman"/>
                <w:color w:val="000000"/>
                <w:szCs w:val="24"/>
              </w:rPr>
            </w:pPr>
            <w:r>
              <w:rPr>
                <w:rFonts w:cs="Times New Roman"/>
                <w:color w:val="000000"/>
                <w:szCs w:val="24"/>
              </w:rPr>
              <w:t>0,0</w:t>
            </w:r>
          </w:p>
        </w:tc>
        <w:tc>
          <w:tcPr>
            <w:tcW w:w="1277" w:type="dxa"/>
            <w:shd w:val="clear" w:color="auto" w:fill="DEEAF6" w:themeFill="accent1" w:themeFillTint="33"/>
          </w:tcPr>
          <w:p w14:paraId="571320FE" w14:textId="4205FCA4" w:rsidR="004A68D2" w:rsidRDefault="004A68D2" w:rsidP="00BB69DC">
            <w:pPr>
              <w:jc w:val="center"/>
              <w:rPr>
                <w:rFonts w:cs="Times New Roman"/>
                <w:color w:val="000000"/>
                <w:szCs w:val="24"/>
              </w:rPr>
            </w:pPr>
            <w:r>
              <w:rPr>
                <w:rFonts w:cs="Times New Roman"/>
                <w:color w:val="000000"/>
                <w:szCs w:val="24"/>
              </w:rPr>
              <w:t>35,2</w:t>
            </w:r>
          </w:p>
        </w:tc>
      </w:tr>
      <w:tr w:rsidR="004A68D2" w14:paraId="2E36A7CC" w14:textId="13E58C10" w:rsidTr="0052504C">
        <w:trPr>
          <w:jc w:val="center"/>
        </w:trPr>
        <w:tc>
          <w:tcPr>
            <w:tcW w:w="4814" w:type="dxa"/>
          </w:tcPr>
          <w:p w14:paraId="4C4F724C" w14:textId="6C5E6C8F" w:rsidR="004A68D2" w:rsidRPr="00BB69DC" w:rsidRDefault="004A68D2" w:rsidP="00A3140E">
            <w:pPr>
              <w:jc w:val="both"/>
              <w:rPr>
                <w:rFonts w:cs="Times New Roman"/>
                <w:b/>
                <w:color w:val="000000"/>
                <w:szCs w:val="24"/>
              </w:rPr>
            </w:pPr>
            <w:r w:rsidRPr="00BB69DC">
              <w:rPr>
                <w:rFonts w:cs="Times New Roman"/>
                <w:b/>
                <w:color w:val="000000"/>
                <w:szCs w:val="24"/>
              </w:rPr>
              <w:t>VAS “Latvijas dzelzceļš”</w:t>
            </w:r>
          </w:p>
        </w:tc>
        <w:tc>
          <w:tcPr>
            <w:tcW w:w="1277" w:type="dxa"/>
          </w:tcPr>
          <w:p w14:paraId="1EE0B96F" w14:textId="6F8B9128" w:rsidR="004A68D2" w:rsidRDefault="004A68D2" w:rsidP="00BB69DC">
            <w:pPr>
              <w:jc w:val="center"/>
              <w:rPr>
                <w:rFonts w:cs="Times New Roman"/>
                <w:color w:val="000000"/>
                <w:szCs w:val="24"/>
              </w:rPr>
            </w:pPr>
            <w:r>
              <w:rPr>
                <w:rFonts w:cs="Times New Roman"/>
                <w:color w:val="000000"/>
                <w:szCs w:val="24"/>
              </w:rPr>
              <w:t>59,6</w:t>
            </w:r>
          </w:p>
        </w:tc>
        <w:tc>
          <w:tcPr>
            <w:tcW w:w="1277" w:type="dxa"/>
          </w:tcPr>
          <w:p w14:paraId="683B08D8" w14:textId="08AEE6EB" w:rsidR="004A68D2" w:rsidRDefault="004A68D2" w:rsidP="00BB69DC">
            <w:pPr>
              <w:jc w:val="center"/>
              <w:rPr>
                <w:rFonts w:cs="Times New Roman"/>
                <w:color w:val="000000"/>
                <w:szCs w:val="24"/>
              </w:rPr>
            </w:pPr>
            <w:r>
              <w:rPr>
                <w:rFonts w:cs="Times New Roman"/>
                <w:color w:val="000000"/>
                <w:szCs w:val="24"/>
              </w:rPr>
              <w:t>0,0</w:t>
            </w:r>
          </w:p>
        </w:tc>
      </w:tr>
    </w:tbl>
    <w:p w14:paraId="59025813" w14:textId="110615CE" w:rsidR="00043C49" w:rsidRDefault="00043C49" w:rsidP="00043C49">
      <w:pPr>
        <w:spacing w:after="0" w:line="240" w:lineRule="auto"/>
        <w:jc w:val="both"/>
        <w:rPr>
          <w:rFonts w:ascii="Times New Roman" w:hAnsi="Times New Roman" w:cs="Times New Roman"/>
          <w:color w:val="000000"/>
          <w:sz w:val="24"/>
          <w:szCs w:val="24"/>
        </w:rPr>
      </w:pPr>
    </w:p>
    <w:p w14:paraId="7E050D11" w14:textId="317F393B" w:rsidR="003C7D88" w:rsidRDefault="003C7D88" w:rsidP="00043C49">
      <w:pPr>
        <w:spacing w:after="0" w:line="240" w:lineRule="auto"/>
        <w:jc w:val="both"/>
        <w:rPr>
          <w:rFonts w:ascii="Times New Roman" w:hAnsi="Times New Roman" w:cs="Times New Roman"/>
          <w:color w:val="000000"/>
          <w:sz w:val="24"/>
          <w:szCs w:val="24"/>
        </w:rPr>
      </w:pPr>
    </w:p>
    <w:p w14:paraId="49F9C5DD" w14:textId="320D929A" w:rsidR="00043C49" w:rsidRPr="00BB69DC" w:rsidRDefault="002667B7" w:rsidP="00925871">
      <w:pPr>
        <w:spacing w:after="0" w:line="240" w:lineRule="auto"/>
        <w:jc w:val="center"/>
        <w:rPr>
          <w:noProof/>
          <w:lang w:eastAsia="lv-LV"/>
        </w:rPr>
      </w:pPr>
      <w:r>
        <w:rPr>
          <w:noProof/>
          <w:lang w:eastAsia="lv-LV"/>
        </w:rPr>
        <w:lastRenderedPageBreak/>
        <w:drawing>
          <wp:inline distT="0" distB="0" distL="0" distR="0" wp14:anchorId="3FAD70B2" wp14:editId="771F9BC8">
            <wp:extent cx="5429251" cy="2654300"/>
            <wp:effectExtent l="0" t="0" r="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F56AB7" w14:textId="130F3871" w:rsidR="00043C49" w:rsidRDefault="004A4C72" w:rsidP="003C7D88">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4.1</w:t>
      </w:r>
      <w:r w:rsidR="00925871" w:rsidRPr="00925871">
        <w:rPr>
          <w:rFonts w:ascii="Times New Roman" w:hAnsi="Times New Roman" w:cs="Times New Roman"/>
          <w:b/>
          <w:color w:val="000000"/>
          <w:sz w:val="24"/>
          <w:szCs w:val="24"/>
        </w:rPr>
        <w:t>.</w:t>
      </w:r>
      <w:r w:rsidR="00043C49" w:rsidRPr="00925871">
        <w:rPr>
          <w:rFonts w:ascii="Times New Roman" w:hAnsi="Times New Roman" w:cs="Times New Roman"/>
          <w:b/>
          <w:color w:val="000000"/>
          <w:sz w:val="24"/>
          <w:szCs w:val="24"/>
        </w:rPr>
        <w:t>attēls</w:t>
      </w:r>
      <w:r w:rsidR="00925871" w:rsidRPr="00925871">
        <w:rPr>
          <w:rFonts w:ascii="Times New Roman" w:hAnsi="Times New Roman" w:cs="Times New Roman"/>
          <w:b/>
          <w:color w:val="000000"/>
          <w:sz w:val="24"/>
          <w:szCs w:val="24"/>
        </w:rPr>
        <w:t>.</w:t>
      </w:r>
      <w:r w:rsidR="00043C49">
        <w:rPr>
          <w:rFonts w:ascii="Times New Roman" w:hAnsi="Times New Roman" w:cs="Times New Roman"/>
          <w:color w:val="000000"/>
          <w:sz w:val="24"/>
          <w:szCs w:val="24"/>
        </w:rPr>
        <w:t xml:space="preserve"> </w:t>
      </w:r>
      <w:r w:rsidR="00043C49" w:rsidRPr="00B72D96">
        <w:rPr>
          <w:rFonts w:ascii="Times New Roman" w:hAnsi="Times New Roman" w:cs="Times New Roman"/>
          <w:color w:val="000000"/>
          <w:sz w:val="24"/>
          <w:szCs w:val="24"/>
        </w:rPr>
        <w:t>Vispārējā valdības sektora līdzdalības vērtība</w:t>
      </w:r>
      <w:r w:rsidR="00043C49">
        <w:rPr>
          <w:rFonts w:ascii="Times New Roman" w:hAnsi="Times New Roman" w:cs="Times New Roman"/>
          <w:color w:val="000000"/>
          <w:sz w:val="24"/>
          <w:szCs w:val="24"/>
        </w:rPr>
        <w:t xml:space="preserve"> publisk</w:t>
      </w:r>
      <w:r w:rsidR="00C92923">
        <w:rPr>
          <w:rFonts w:ascii="Times New Roman" w:hAnsi="Times New Roman" w:cs="Times New Roman"/>
          <w:color w:val="000000"/>
          <w:sz w:val="24"/>
          <w:szCs w:val="24"/>
        </w:rPr>
        <w:t>ā sektora</w:t>
      </w:r>
      <w:r w:rsidR="00043C49" w:rsidRPr="00B72D96">
        <w:rPr>
          <w:rFonts w:ascii="Times New Roman" w:hAnsi="Times New Roman" w:cs="Times New Roman"/>
          <w:color w:val="000000"/>
          <w:sz w:val="24"/>
          <w:szCs w:val="24"/>
        </w:rPr>
        <w:t xml:space="preserve"> komercsabiedrību kapitālā</w:t>
      </w:r>
      <w:r w:rsidR="00C92923">
        <w:rPr>
          <w:rFonts w:ascii="Times New Roman" w:hAnsi="Times New Roman" w:cs="Times New Roman"/>
          <w:color w:val="000000"/>
          <w:sz w:val="24"/>
          <w:szCs w:val="24"/>
        </w:rPr>
        <w:t xml:space="preserve">  </w:t>
      </w:r>
      <w:r w:rsidR="003C7D88">
        <w:rPr>
          <w:rFonts w:ascii="Times New Roman" w:hAnsi="Times New Roman" w:cs="Times New Roman"/>
          <w:color w:val="000000"/>
          <w:sz w:val="24"/>
          <w:szCs w:val="24"/>
        </w:rPr>
        <w:t>(% no IKP)</w:t>
      </w:r>
    </w:p>
    <w:p w14:paraId="37D78098" w14:textId="49F50983" w:rsidR="004442F3" w:rsidRDefault="004442F3" w:rsidP="003C7D88">
      <w:pPr>
        <w:spacing w:after="0" w:line="240" w:lineRule="auto"/>
        <w:jc w:val="center"/>
        <w:rPr>
          <w:rFonts w:ascii="Times New Roman" w:hAnsi="Times New Roman" w:cs="Times New Roman"/>
          <w:color w:val="000000"/>
          <w:sz w:val="24"/>
          <w:szCs w:val="24"/>
        </w:rPr>
      </w:pPr>
    </w:p>
    <w:p w14:paraId="5F0BB164" w14:textId="6374CAAA" w:rsidR="00043C49" w:rsidRDefault="00043C49" w:rsidP="0092587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Atbilstoši F</w:t>
      </w:r>
      <w:r w:rsidR="00925871">
        <w:rPr>
          <w:rFonts w:ascii="Times New Roman" w:hAnsi="Times New Roman" w:cs="Times New Roman"/>
          <w:color w:val="000000"/>
          <w:sz w:val="24"/>
          <w:szCs w:val="24"/>
        </w:rPr>
        <w:t xml:space="preserve">M </w:t>
      </w:r>
      <w:r>
        <w:rPr>
          <w:rFonts w:ascii="Times New Roman" w:hAnsi="Times New Roman" w:cs="Times New Roman"/>
          <w:color w:val="000000"/>
          <w:sz w:val="24"/>
          <w:szCs w:val="24"/>
        </w:rPr>
        <w:t xml:space="preserve">apkopotajiem datiem, kas tiek akumulēti atbilstoši </w:t>
      </w:r>
      <w:r w:rsidRPr="00FA6CBD">
        <w:rPr>
          <w:rFonts w:ascii="Times New Roman" w:hAnsi="Times New Roman" w:cs="Times New Roman"/>
          <w:color w:val="000000"/>
          <w:sz w:val="24"/>
          <w:szCs w:val="24"/>
        </w:rPr>
        <w:t>Padom</w:t>
      </w:r>
      <w:r w:rsidR="00925871">
        <w:rPr>
          <w:rFonts w:ascii="Times New Roman" w:hAnsi="Times New Roman" w:cs="Times New Roman"/>
          <w:color w:val="000000"/>
          <w:sz w:val="24"/>
          <w:szCs w:val="24"/>
        </w:rPr>
        <w:t>es Direktīv</w:t>
      </w:r>
      <w:r w:rsidR="00C92923">
        <w:rPr>
          <w:rFonts w:ascii="Times New Roman" w:hAnsi="Times New Roman" w:cs="Times New Roman"/>
          <w:color w:val="000000"/>
          <w:sz w:val="24"/>
          <w:szCs w:val="24"/>
        </w:rPr>
        <w:t>ai</w:t>
      </w:r>
      <w:r w:rsidR="00925871">
        <w:rPr>
          <w:rFonts w:ascii="Times New Roman" w:hAnsi="Times New Roman" w:cs="Times New Roman"/>
          <w:color w:val="000000"/>
          <w:sz w:val="24"/>
          <w:szCs w:val="24"/>
        </w:rPr>
        <w:t xml:space="preserve"> 2011/85/ES (2011.</w:t>
      </w:r>
      <w:r w:rsidRPr="00FA6CBD">
        <w:rPr>
          <w:rFonts w:ascii="Times New Roman" w:hAnsi="Times New Roman" w:cs="Times New Roman"/>
          <w:color w:val="000000"/>
          <w:sz w:val="24"/>
          <w:szCs w:val="24"/>
        </w:rPr>
        <w:t>gada 8.novembris) par prasībām dalībvalstu budžeta struktūrām</w:t>
      </w:r>
      <w:r>
        <w:rPr>
          <w:rFonts w:ascii="Times New Roman" w:hAnsi="Times New Roman" w:cs="Times New Roman"/>
          <w:color w:val="000000"/>
          <w:sz w:val="24"/>
          <w:szCs w:val="24"/>
        </w:rPr>
        <w:t>, var secināt, ka vispārējās valdības sektora līdzdalība publisk</w:t>
      </w:r>
      <w:r w:rsidR="00C92923">
        <w:rPr>
          <w:rFonts w:ascii="Times New Roman" w:hAnsi="Times New Roman" w:cs="Times New Roman"/>
          <w:color w:val="000000"/>
          <w:sz w:val="24"/>
          <w:szCs w:val="24"/>
        </w:rPr>
        <w:t>ā sektora</w:t>
      </w:r>
      <w:r>
        <w:rPr>
          <w:rFonts w:ascii="Times New Roman" w:hAnsi="Times New Roman" w:cs="Times New Roman"/>
          <w:color w:val="000000"/>
          <w:sz w:val="24"/>
          <w:szCs w:val="24"/>
        </w:rPr>
        <w:t xml:space="preserve"> komercsabiedrībās ir </w:t>
      </w:r>
      <w:r w:rsidR="00925871">
        <w:rPr>
          <w:rFonts w:ascii="Times New Roman" w:hAnsi="Times New Roman" w:cs="Times New Roman"/>
          <w:color w:val="000000"/>
          <w:sz w:val="24"/>
          <w:szCs w:val="24"/>
        </w:rPr>
        <w:t>pamatā stabila</w:t>
      </w:r>
      <w:r w:rsidR="005D68DD">
        <w:rPr>
          <w:rFonts w:ascii="Times New Roman" w:hAnsi="Times New Roman" w:cs="Times New Roman"/>
          <w:color w:val="000000"/>
          <w:sz w:val="24"/>
          <w:szCs w:val="24"/>
        </w:rPr>
        <w:t xml:space="preserve"> līdz 2017.gadam. B</w:t>
      </w:r>
      <w:r>
        <w:rPr>
          <w:rFonts w:ascii="Times New Roman" w:hAnsi="Times New Roman" w:cs="Times New Roman"/>
          <w:color w:val="000000"/>
          <w:sz w:val="24"/>
          <w:szCs w:val="24"/>
        </w:rPr>
        <w:t>ūtis</w:t>
      </w:r>
      <w:r w:rsidR="005D68DD">
        <w:rPr>
          <w:rFonts w:ascii="Times New Roman" w:hAnsi="Times New Roman" w:cs="Times New Roman"/>
          <w:color w:val="000000"/>
          <w:sz w:val="24"/>
          <w:szCs w:val="24"/>
        </w:rPr>
        <w:t>ks</w:t>
      </w:r>
      <w:r>
        <w:rPr>
          <w:rFonts w:ascii="Times New Roman" w:hAnsi="Times New Roman" w:cs="Times New Roman"/>
          <w:color w:val="000000"/>
          <w:sz w:val="24"/>
          <w:szCs w:val="24"/>
        </w:rPr>
        <w:t xml:space="preserve"> </w:t>
      </w:r>
      <w:r w:rsidR="005D68DD">
        <w:rPr>
          <w:rFonts w:ascii="Times New Roman" w:hAnsi="Times New Roman" w:cs="Times New Roman"/>
          <w:color w:val="000000"/>
          <w:sz w:val="24"/>
          <w:szCs w:val="24"/>
        </w:rPr>
        <w:t xml:space="preserve">pieaugums </w:t>
      </w:r>
      <w:r>
        <w:rPr>
          <w:rFonts w:ascii="Times New Roman" w:hAnsi="Times New Roman" w:cs="Times New Roman"/>
          <w:color w:val="000000"/>
          <w:sz w:val="24"/>
          <w:szCs w:val="24"/>
        </w:rPr>
        <w:t xml:space="preserve">līdzdalības vērtībā </w:t>
      </w:r>
      <w:r w:rsidR="005D68DD">
        <w:rPr>
          <w:rFonts w:ascii="Times New Roman" w:hAnsi="Times New Roman" w:cs="Times New Roman"/>
          <w:color w:val="000000"/>
          <w:sz w:val="24"/>
          <w:szCs w:val="24"/>
        </w:rPr>
        <w:t xml:space="preserve">2017.gadā </w:t>
      </w:r>
      <w:r>
        <w:rPr>
          <w:rFonts w:ascii="Times New Roman" w:hAnsi="Times New Roman" w:cs="Times New Roman"/>
          <w:color w:val="000000"/>
          <w:sz w:val="24"/>
          <w:szCs w:val="24"/>
        </w:rPr>
        <w:t xml:space="preserve">ir saistītas ar vienreizējo darījumu, kad </w:t>
      </w:r>
      <w:r w:rsidRPr="006C3160">
        <w:rPr>
          <w:rFonts w:ascii="Times New Roman" w:hAnsi="Times New Roman" w:cs="Times New Roman"/>
          <w:color w:val="000000"/>
          <w:sz w:val="24"/>
          <w:szCs w:val="24"/>
        </w:rPr>
        <w:t>AS "Latvenergo" saņēma no valsts vienreizēju kompensāciju, vienlaikus at</w:t>
      </w:r>
      <w:r w:rsidR="00925871">
        <w:rPr>
          <w:rFonts w:ascii="Times New Roman" w:hAnsi="Times New Roman" w:cs="Times New Roman"/>
          <w:color w:val="000000"/>
          <w:sz w:val="24"/>
          <w:szCs w:val="24"/>
        </w:rPr>
        <w:t>sakoties turpmāk saņemt 75</w:t>
      </w:r>
      <w:r w:rsidRPr="006C3160">
        <w:rPr>
          <w:rFonts w:ascii="Times New Roman" w:hAnsi="Times New Roman" w:cs="Times New Roman"/>
          <w:color w:val="000000"/>
          <w:sz w:val="24"/>
          <w:szCs w:val="24"/>
        </w:rPr>
        <w:t>% no ikgadējiem elektriskās jaudas maksājumiem koģenerācijas stacijām TEC-1 un TEC-2.</w:t>
      </w:r>
      <w:r w:rsidR="005D68DD">
        <w:rPr>
          <w:rFonts w:ascii="Times New Roman" w:hAnsi="Times New Roman" w:cs="Times New Roman"/>
          <w:color w:val="000000"/>
          <w:sz w:val="24"/>
          <w:szCs w:val="24"/>
        </w:rPr>
        <w:t xml:space="preserve"> Savukārt 2018. un 2019.gadā novērotais samazinājums ir saistīts ar AS “Latvenergo” restrukturizāciju.</w:t>
      </w:r>
    </w:p>
    <w:p w14:paraId="67FCCCB6" w14:textId="342733CE" w:rsidR="00043C49" w:rsidRDefault="00043C49" w:rsidP="0092587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Tātad kopumā var secināt, ka vispārējās valdības sektora ekspozīcija </w:t>
      </w:r>
      <w:r w:rsidR="00C92923">
        <w:rPr>
          <w:rFonts w:ascii="Times New Roman" w:hAnsi="Times New Roman" w:cs="Times New Roman"/>
          <w:color w:val="000000"/>
          <w:sz w:val="24"/>
          <w:szCs w:val="24"/>
        </w:rPr>
        <w:t xml:space="preserve">attiecībā uz </w:t>
      </w:r>
      <w:r>
        <w:rPr>
          <w:rFonts w:ascii="Times New Roman" w:hAnsi="Times New Roman" w:cs="Times New Roman"/>
          <w:color w:val="000000"/>
          <w:sz w:val="24"/>
          <w:szCs w:val="24"/>
        </w:rPr>
        <w:t>publisk</w:t>
      </w:r>
      <w:r w:rsidR="00C92923">
        <w:rPr>
          <w:rFonts w:ascii="Times New Roman" w:hAnsi="Times New Roman" w:cs="Times New Roman"/>
          <w:color w:val="000000"/>
          <w:sz w:val="24"/>
          <w:szCs w:val="24"/>
        </w:rPr>
        <w:t>ā sektora</w:t>
      </w:r>
      <w:r>
        <w:rPr>
          <w:rFonts w:ascii="Times New Roman" w:hAnsi="Times New Roman" w:cs="Times New Roman"/>
          <w:color w:val="000000"/>
          <w:sz w:val="24"/>
          <w:szCs w:val="24"/>
        </w:rPr>
        <w:t xml:space="preserve"> kapitālsabiedrīb</w:t>
      </w:r>
      <w:r w:rsidR="00C92923">
        <w:rPr>
          <w:rFonts w:ascii="Times New Roman" w:hAnsi="Times New Roman" w:cs="Times New Roman"/>
          <w:color w:val="000000"/>
          <w:sz w:val="24"/>
          <w:szCs w:val="24"/>
        </w:rPr>
        <w:t xml:space="preserve">ām </w:t>
      </w:r>
      <w:r>
        <w:rPr>
          <w:rFonts w:ascii="Times New Roman" w:hAnsi="Times New Roman" w:cs="Times New Roman"/>
          <w:color w:val="000000"/>
          <w:sz w:val="24"/>
          <w:szCs w:val="24"/>
        </w:rPr>
        <w:t xml:space="preserve"> ir svārstīga laikā, </w:t>
      </w:r>
      <w:r w:rsidR="00C92923">
        <w:rPr>
          <w:rFonts w:ascii="Times New Roman" w:hAnsi="Times New Roman" w:cs="Times New Roman"/>
          <w:color w:val="000000"/>
          <w:sz w:val="24"/>
          <w:szCs w:val="24"/>
        </w:rPr>
        <w:t xml:space="preserve">bet </w:t>
      </w:r>
      <w:r>
        <w:rPr>
          <w:rFonts w:ascii="Times New Roman" w:hAnsi="Times New Roman" w:cs="Times New Roman"/>
          <w:color w:val="000000"/>
          <w:sz w:val="24"/>
          <w:szCs w:val="24"/>
        </w:rPr>
        <w:t>svārstību koridors ir noteiktās robežās</w:t>
      </w:r>
      <w:r w:rsidR="00C929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 nenorāda uz būtisku riska pieaugumu.</w:t>
      </w:r>
    </w:p>
    <w:p w14:paraId="71E0A78C" w14:textId="5EFB393B" w:rsidR="00043C49" w:rsidRDefault="00043C49" w:rsidP="00043C49">
      <w:pPr>
        <w:spacing w:after="0" w:line="240" w:lineRule="auto"/>
        <w:jc w:val="both"/>
        <w:rPr>
          <w:rFonts w:ascii="Times New Roman" w:hAnsi="Times New Roman" w:cs="Times New Roman"/>
          <w:color w:val="000000"/>
          <w:sz w:val="24"/>
          <w:szCs w:val="24"/>
        </w:rPr>
      </w:pPr>
    </w:p>
    <w:p w14:paraId="528888FD" w14:textId="128FBE5E" w:rsidR="00043C49" w:rsidRDefault="002D6F36" w:rsidP="00925871">
      <w:pPr>
        <w:spacing w:after="0" w:line="240" w:lineRule="auto"/>
        <w:jc w:val="center"/>
        <w:rPr>
          <w:rFonts w:ascii="Times New Roman" w:hAnsi="Times New Roman" w:cs="Times New Roman"/>
          <w:color w:val="000000"/>
          <w:sz w:val="24"/>
          <w:szCs w:val="24"/>
        </w:rPr>
      </w:pPr>
      <w:r w:rsidRPr="002D6F36">
        <w:rPr>
          <w:noProof/>
          <w:lang w:eastAsia="lv-LV"/>
        </w:rPr>
        <w:t xml:space="preserve"> </w:t>
      </w:r>
      <w:r>
        <w:rPr>
          <w:noProof/>
          <w:lang w:eastAsia="lv-LV"/>
        </w:rPr>
        <w:drawing>
          <wp:inline distT="0" distB="0" distL="0" distR="0" wp14:anchorId="4F844A13" wp14:editId="7782ECF7">
            <wp:extent cx="5937250" cy="3151188"/>
            <wp:effectExtent l="0" t="0" r="635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74A7C">
        <w:rPr>
          <w:noProof/>
          <w:lang w:eastAsia="lv-LV"/>
        </w:rPr>
        <w:t xml:space="preserve"> </w:t>
      </w:r>
      <w:r w:rsidR="00074A7C" w:rsidRPr="00E96F63">
        <w:rPr>
          <w:noProof/>
          <w:lang w:eastAsia="lv-LV"/>
        </w:rPr>
        <w:t xml:space="preserve"> </w:t>
      </w:r>
    </w:p>
    <w:p w14:paraId="4261D521" w14:textId="2F86D120" w:rsidR="00043C49" w:rsidRDefault="004A4C72" w:rsidP="00925871">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4.2</w:t>
      </w:r>
      <w:r w:rsidR="00925871" w:rsidRPr="00925871">
        <w:rPr>
          <w:rFonts w:ascii="Times New Roman" w:hAnsi="Times New Roman" w:cs="Times New Roman"/>
          <w:b/>
          <w:color w:val="000000"/>
          <w:sz w:val="24"/>
          <w:szCs w:val="24"/>
        </w:rPr>
        <w:t>.</w:t>
      </w:r>
      <w:r w:rsidR="00043C49" w:rsidRPr="00925871">
        <w:rPr>
          <w:rFonts w:ascii="Times New Roman" w:hAnsi="Times New Roman" w:cs="Times New Roman"/>
          <w:b/>
          <w:color w:val="000000"/>
          <w:sz w:val="24"/>
          <w:szCs w:val="24"/>
        </w:rPr>
        <w:t>attēls.</w:t>
      </w:r>
      <w:r w:rsidR="00043C49">
        <w:rPr>
          <w:rFonts w:ascii="Times New Roman" w:hAnsi="Times New Roman" w:cs="Times New Roman"/>
          <w:color w:val="000000"/>
          <w:sz w:val="24"/>
          <w:szCs w:val="24"/>
        </w:rPr>
        <w:t xml:space="preserve"> Vispārējās valdības kontrolēto p</w:t>
      </w:r>
      <w:r w:rsidR="00043C49" w:rsidRPr="00E96F63">
        <w:rPr>
          <w:rFonts w:ascii="Times New Roman" w:hAnsi="Times New Roman" w:cs="Times New Roman"/>
          <w:color w:val="000000"/>
          <w:sz w:val="24"/>
          <w:szCs w:val="24"/>
        </w:rPr>
        <w:t>ublisko kapitālsabiedrību</w:t>
      </w:r>
      <w:r w:rsidR="00043C49">
        <w:rPr>
          <w:rFonts w:ascii="Times New Roman" w:hAnsi="Times New Roman" w:cs="Times New Roman"/>
          <w:color w:val="000000"/>
          <w:sz w:val="24"/>
          <w:szCs w:val="24"/>
        </w:rPr>
        <w:t xml:space="preserve"> (ārpus S.13)</w:t>
      </w:r>
      <w:r w:rsidR="00043C49" w:rsidRPr="00E96F63">
        <w:rPr>
          <w:rFonts w:ascii="Times New Roman" w:hAnsi="Times New Roman" w:cs="Times New Roman"/>
          <w:color w:val="000000"/>
          <w:sz w:val="24"/>
          <w:szCs w:val="24"/>
        </w:rPr>
        <w:t xml:space="preserve"> kopējais saistību apmērs</w:t>
      </w:r>
      <w:r w:rsidR="00043C49">
        <w:rPr>
          <w:rFonts w:ascii="Times New Roman" w:hAnsi="Times New Roman" w:cs="Times New Roman"/>
          <w:color w:val="000000"/>
          <w:sz w:val="24"/>
          <w:szCs w:val="24"/>
        </w:rPr>
        <w:t xml:space="preserve"> 2013.</w:t>
      </w:r>
      <w:r w:rsidR="00925871" w:rsidRPr="00925871">
        <w:rPr>
          <w:rFonts w:ascii="Times New Roman" w:hAnsi="Times New Roman"/>
          <w:sz w:val="24"/>
          <w:szCs w:val="24"/>
        </w:rPr>
        <w:t xml:space="preserve"> </w:t>
      </w:r>
      <w:r w:rsidR="00925871" w:rsidRPr="00F737C0">
        <w:rPr>
          <w:rFonts w:ascii="Times New Roman" w:hAnsi="Times New Roman"/>
          <w:sz w:val="24"/>
          <w:szCs w:val="24"/>
        </w:rPr>
        <w:t>–</w:t>
      </w:r>
      <w:r w:rsidR="00925871">
        <w:rPr>
          <w:rFonts w:ascii="Times New Roman" w:hAnsi="Times New Roman"/>
          <w:sz w:val="24"/>
          <w:szCs w:val="24"/>
        </w:rPr>
        <w:t xml:space="preserve"> </w:t>
      </w:r>
      <w:r w:rsidR="00043C49">
        <w:rPr>
          <w:rFonts w:ascii="Times New Roman" w:hAnsi="Times New Roman" w:cs="Times New Roman"/>
          <w:color w:val="000000"/>
          <w:sz w:val="24"/>
          <w:szCs w:val="24"/>
        </w:rPr>
        <w:t>201</w:t>
      </w:r>
      <w:r w:rsidR="002D6F36">
        <w:rPr>
          <w:rFonts w:ascii="Times New Roman" w:hAnsi="Times New Roman" w:cs="Times New Roman"/>
          <w:color w:val="000000"/>
          <w:sz w:val="24"/>
          <w:szCs w:val="24"/>
        </w:rPr>
        <w:t>9</w:t>
      </w:r>
      <w:r w:rsidR="00043C49">
        <w:rPr>
          <w:rFonts w:ascii="Times New Roman" w:hAnsi="Times New Roman" w:cs="Times New Roman"/>
          <w:color w:val="000000"/>
          <w:sz w:val="24"/>
          <w:szCs w:val="24"/>
        </w:rPr>
        <w:t>.gada vidējā vērtība</w:t>
      </w:r>
      <w:r w:rsidR="00043C49" w:rsidRPr="00E96F63">
        <w:rPr>
          <w:rFonts w:ascii="Times New Roman" w:hAnsi="Times New Roman" w:cs="Times New Roman"/>
          <w:color w:val="000000"/>
          <w:sz w:val="24"/>
          <w:szCs w:val="24"/>
        </w:rPr>
        <w:t>, % no IKP</w:t>
      </w:r>
    </w:p>
    <w:p w14:paraId="3E3A36CB" w14:textId="3E73BBE5" w:rsidR="00043C49" w:rsidRDefault="00043C49" w:rsidP="00043C49">
      <w:pPr>
        <w:spacing w:after="0" w:line="240" w:lineRule="auto"/>
        <w:jc w:val="both"/>
        <w:rPr>
          <w:rFonts w:ascii="Times New Roman" w:hAnsi="Times New Roman" w:cs="Times New Roman"/>
          <w:color w:val="000000"/>
          <w:sz w:val="24"/>
          <w:szCs w:val="24"/>
        </w:rPr>
      </w:pPr>
    </w:p>
    <w:p w14:paraId="5A54E17C" w14:textId="46E24ABD" w:rsidR="00043C49" w:rsidRDefault="00043C49" w:rsidP="0092587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Starpvalstu salīdzinājumam tiek izmantoti </w:t>
      </w:r>
      <w:r w:rsidRPr="00910288">
        <w:rPr>
          <w:rFonts w:ascii="Times New Roman" w:hAnsi="Times New Roman" w:cs="Times New Roman"/>
          <w:i/>
          <w:color w:val="000000"/>
          <w:sz w:val="24"/>
          <w:szCs w:val="24"/>
        </w:rPr>
        <w:t>Eurostat</w:t>
      </w:r>
      <w:r>
        <w:rPr>
          <w:rFonts w:ascii="Times New Roman" w:hAnsi="Times New Roman" w:cs="Times New Roman"/>
          <w:color w:val="000000"/>
          <w:sz w:val="24"/>
          <w:szCs w:val="24"/>
        </w:rPr>
        <w:t xml:space="preserve"> dati par vispārējās valdības kontrolēto p</w:t>
      </w:r>
      <w:r w:rsidRPr="00E96F63">
        <w:rPr>
          <w:rFonts w:ascii="Times New Roman" w:hAnsi="Times New Roman" w:cs="Times New Roman"/>
          <w:color w:val="000000"/>
          <w:sz w:val="24"/>
          <w:szCs w:val="24"/>
        </w:rPr>
        <w:t>ublisko kapitālsabiedrību</w:t>
      </w:r>
      <w:r>
        <w:rPr>
          <w:rFonts w:ascii="Times New Roman" w:hAnsi="Times New Roman" w:cs="Times New Roman"/>
          <w:color w:val="000000"/>
          <w:sz w:val="24"/>
          <w:szCs w:val="24"/>
        </w:rPr>
        <w:t xml:space="preserve"> (ārpus S.13) kopējo saistību apmēru, kas varētu pat precīzāk atspoguļot potenciālo ietekmes lielumu. </w:t>
      </w:r>
      <w:r w:rsidR="00BD74FD">
        <w:rPr>
          <w:rFonts w:ascii="Times New Roman" w:hAnsi="Times New Roman" w:cs="Times New Roman"/>
          <w:color w:val="000000"/>
          <w:sz w:val="24"/>
          <w:szCs w:val="24"/>
        </w:rPr>
        <w:t xml:space="preserve">Kā redzams </w:t>
      </w:r>
      <w:r w:rsidR="004A4C72">
        <w:rPr>
          <w:rFonts w:ascii="Times New Roman" w:hAnsi="Times New Roman" w:cs="Times New Roman"/>
          <w:color w:val="000000"/>
          <w:sz w:val="24"/>
          <w:szCs w:val="24"/>
        </w:rPr>
        <w:t>4.2</w:t>
      </w:r>
      <w:r w:rsidR="00925871">
        <w:rPr>
          <w:rFonts w:ascii="Times New Roman" w:hAnsi="Times New Roman" w:cs="Times New Roman"/>
          <w:color w:val="000000"/>
          <w:sz w:val="24"/>
          <w:szCs w:val="24"/>
        </w:rPr>
        <w:t>.</w:t>
      </w:r>
      <w:r>
        <w:rPr>
          <w:rFonts w:ascii="Times New Roman" w:hAnsi="Times New Roman" w:cs="Times New Roman"/>
          <w:color w:val="000000"/>
          <w:sz w:val="24"/>
          <w:szCs w:val="24"/>
        </w:rPr>
        <w:t>attēl</w:t>
      </w:r>
      <w:r w:rsidR="00925871">
        <w:rPr>
          <w:rFonts w:ascii="Times New Roman" w:hAnsi="Times New Roman" w:cs="Times New Roman"/>
          <w:color w:val="000000"/>
          <w:sz w:val="24"/>
          <w:szCs w:val="24"/>
        </w:rPr>
        <w:t>ā</w:t>
      </w:r>
      <w:r>
        <w:rPr>
          <w:rFonts w:ascii="Times New Roman" w:hAnsi="Times New Roman" w:cs="Times New Roman"/>
          <w:color w:val="000000"/>
          <w:sz w:val="24"/>
          <w:szCs w:val="24"/>
        </w:rPr>
        <w:t>, Latvija</w:t>
      </w:r>
      <w:r w:rsidR="00BD74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mērot </w:t>
      </w:r>
      <w:r w:rsidR="00BD74FD">
        <w:rPr>
          <w:rFonts w:ascii="Times New Roman" w:hAnsi="Times New Roman" w:cs="Times New Roman"/>
          <w:color w:val="000000"/>
          <w:sz w:val="24"/>
          <w:szCs w:val="24"/>
        </w:rPr>
        <w:t>minēto kapitālsabiedrību</w:t>
      </w:r>
      <w:r>
        <w:rPr>
          <w:rFonts w:ascii="Times New Roman" w:hAnsi="Times New Roman" w:cs="Times New Roman"/>
          <w:color w:val="000000"/>
          <w:sz w:val="24"/>
          <w:szCs w:val="24"/>
        </w:rPr>
        <w:t xml:space="preserve"> saistību apmēru</w:t>
      </w:r>
      <w:r w:rsidR="00BD74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atrodas būtiski zem ES vidējā rādītāja. </w:t>
      </w:r>
    </w:p>
    <w:p w14:paraId="2BEC17DB" w14:textId="725A0AC0" w:rsidR="00043C49" w:rsidRDefault="00043C49" w:rsidP="00043C49">
      <w:pPr>
        <w:spacing w:after="0" w:line="240" w:lineRule="auto"/>
        <w:jc w:val="both"/>
        <w:rPr>
          <w:rFonts w:ascii="Times New Roman" w:hAnsi="Times New Roman" w:cs="Times New Roman"/>
          <w:color w:val="000000"/>
          <w:sz w:val="24"/>
          <w:szCs w:val="24"/>
        </w:rPr>
      </w:pPr>
    </w:p>
    <w:p w14:paraId="1B5BE7D4" w14:textId="7B4584E7" w:rsidR="00043C49" w:rsidRPr="002E5F66" w:rsidRDefault="00925871" w:rsidP="00BB69DC">
      <w:pPr>
        <w:pStyle w:val="Heading2"/>
        <w:numPr>
          <w:ilvl w:val="1"/>
          <w:numId w:val="4"/>
        </w:numPr>
        <w:spacing w:before="120" w:after="120" w:line="240" w:lineRule="auto"/>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177" w:name="_Toc80111867"/>
      <w:r w:rsidR="00043C49" w:rsidRPr="002E5F66">
        <w:rPr>
          <w:rFonts w:ascii="Times New Roman" w:hAnsi="Times New Roman" w:cs="Times New Roman"/>
          <w:color w:val="000000"/>
          <w:sz w:val="24"/>
          <w:szCs w:val="24"/>
        </w:rPr>
        <w:t>Vispārējās valdības sektora galvojumi</w:t>
      </w:r>
      <w:bookmarkEnd w:id="177"/>
    </w:p>
    <w:p w14:paraId="45B01D92" w14:textId="2731DBAF" w:rsidR="00043C49" w:rsidRDefault="00043C49" w:rsidP="003E63F7">
      <w:pPr>
        <w:spacing w:before="240"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Vēl viena </w:t>
      </w:r>
      <w:r w:rsidR="00BD74FD">
        <w:rPr>
          <w:rFonts w:ascii="Times New Roman" w:hAnsi="Times New Roman" w:cs="Times New Roman"/>
          <w:color w:val="000000"/>
          <w:sz w:val="24"/>
          <w:szCs w:val="24"/>
        </w:rPr>
        <w:t xml:space="preserve">valsts </w:t>
      </w:r>
      <w:r>
        <w:rPr>
          <w:rFonts w:ascii="Times New Roman" w:hAnsi="Times New Roman" w:cs="Times New Roman"/>
          <w:color w:val="000000"/>
          <w:sz w:val="24"/>
          <w:szCs w:val="24"/>
        </w:rPr>
        <w:t xml:space="preserve">sniegtā atbalsta forma publiskajām un privātajām komercsabiedrībām </w:t>
      </w:r>
      <w:r w:rsidR="00910288">
        <w:rPr>
          <w:rFonts w:ascii="Times New Roman" w:hAnsi="Times New Roman" w:cs="Times New Roman"/>
          <w:color w:val="000000"/>
          <w:sz w:val="24"/>
          <w:szCs w:val="24"/>
        </w:rPr>
        <w:br/>
      </w:r>
      <w:r>
        <w:rPr>
          <w:rFonts w:ascii="Times New Roman" w:hAnsi="Times New Roman" w:cs="Times New Roman"/>
          <w:color w:val="000000"/>
          <w:sz w:val="24"/>
          <w:szCs w:val="24"/>
        </w:rPr>
        <w:t>Covid</w:t>
      </w:r>
      <w:r w:rsidR="003E63F7" w:rsidRPr="00F737C0">
        <w:rPr>
          <w:rFonts w:ascii="Times New Roman" w:hAnsi="Times New Roman"/>
          <w:sz w:val="24"/>
          <w:szCs w:val="24"/>
        </w:rPr>
        <w:t>–</w:t>
      </w:r>
      <w:r>
        <w:rPr>
          <w:rFonts w:ascii="Times New Roman" w:hAnsi="Times New Roman" w:cs="Times New Roman"/>
          <w:color w:val="000000"/>
          <w:sz w:val="24"/>
          <w:szCs w:val="24"/>
        </w:rPr>
        <w:t>19 krīzes seku mazināšanai gan Latvijā, gan Eiropā un pasaulē, ir atbalsts ar finanšu instrumentiem t.sk. vispārējās valdības sektora galvojumiem.</w:t>
      </w:r>
    </w:p>
    <w:p w14:paraId="7C71536B" w14:textId="1397D684" w:rsidR="00043C49" w:rsidRDefault="00043C49" w:rsidP="003E63F7">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Ietekme uz publiskajām finansēm šajā gadījumā iestājas, ja galvojuma saņēmējs nav spējīgs segt savas kredītsaistības un </w:t>
      </w:r>
      <w:r w:rsidR="00BD74FD">
        <w:rPr>
          <w:rFonts w:ascii="Times New Roman" w:hAnsi="Times New Roman" w:cs="Times New Roman"/>
          <w:color w:val="000000"/>
          <w:sz w:val="24"/>
          <w:szCs w:val="24"/>
        </w:rPr>
        <w:t xml:space="preserve">vispārējās valdības </w:t>
      </w:r>
      <w:r>
        <w:rPr>
          <w:rFonts w:ascii="Times New Roman" w:hAnsi="Times New Roman" w:cs="Times New Roman"/>
          <w:color w:val="000000"/>
          <w:sz w:val="24"/>
          <w:szCs w:val="24"/>
        </w:rPr>
        <w:t xml:space="preserve">sektoram ir </w:t>
      </w:r>
      <w:r w:rsidR="00BD74FD">
        <w:rPr>
          <w:rFonts w:ascii="Times New Roman" w:hAnsi="Times New Roman" w:cs="Times New Roman"/>
          <w:color w:val="000000"/>
          <w:sz w:val="24"/>
          <w:szCs w:val="24"/>
        </w:rPr>
        <w:t xml:space="preserve">tās </w:t>
      </w:r>
      <w:r>
        <w:rPr>
          <w:rFonts w:ascii="Times New Roman" w:hAnsi="Times New Roman" w:cs="Times New Roman"/>
          <w:color w:val="000000"/>
          <w:sz w:val="24"/>
          <w:szCs w:val="24"/>
        </w:rPr>
        <w:t>jāpārņem. Papildu risks var rasties arī gadījumā, ja sākotnēji novērtētie zaudējumi no galvojumu sniegšanas</w:t>
      </w:r>
      <w:r w:rsidR="00D717A0">
        <w:rPr>
          <w:rFonts w:ascii="Times New Roman" w:hAnsi="Times New Roman" w:cs="Times New Roman"/>
          <w:color w:val="000000"/>
          <w:sz w:val="24"/>
          <w:szCs w:val="24"/>
        </w:rPr>
        <w:t>, kas uzskaitīti kā vispārējās valdības sektora izdevumi,</w:t>
      </w:r>
      <w:r>
        <w:rPr>
          <w:rFonts w:ascii="Times New Roman" w:hAnsi="Times New Roman" w:cs="Times New Roman"/>
          <w:color w:val="000000"/>
          <w:sz w:val="24"/>
          <w:szCs w:val="24"/>
        </w:rPr>
        <w:t xml:space="preserve"> realizējas lielākā apmērā.</w:t>
      </w:r>
    </w:p>
    <w:p w14:paraId="25F38A6D" w14:textId="62117C35" w:rsidR="00C04424" w:rsidRDefault="00D717A0" w:rsidP="00C044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C04424">
        <w:rPr>
          <w:rFonts w:ascii="Times New Roman" w:hAnsi="Times New Roman" w:cs="Times New Roman"/>
          <w:color w:val="000000"/>
          <w:sz w:val="24"/>
          <w:szCs w:val="24"/>
        </w:rPr>
        <w:t>ispārējās valdības sektora galvojumu vidējā vērtība 2010.</w:t>
      </w:r>
      <w:r w:rsidR="00C04424" w:rsidRPr="00F737C0">
        <w:rPr>
          <w:rFonts w:ascii="Times New Roman" w:hAnsi="Times New Roman"/>
          <w:sz w:val="24"/>
          <w:szCs w:val="24"/>
        </w:rPr>
        <w:t>–</w:t>
      </w:r>
      <w:r w:rsidR="00C04424">
        <w:rPr>
          <w:rFonts w:ascii="Times New Roman" w:hAnsi="Times New Roman" w:cs="Times New Roman"/>
          <w:color w:val="000000"/>
          <w:sz w:val="24"/>
          <w:szCs w:val="24"/>
        </w:rPr>
        <w:t>201</w:t>
      </w:r>
      <w:r w:rsidR="00F86722">
        <w:rPr>
          <w:rFonts w:ascii="Times New Roman" w:hAnsi="Times New Roman" w:cs="Times New Roman"/>
          <w:color w:val="000000"/>
          <w:sz w:val="24"/>
          <w:szCs w:val="24"/>
        </w:rPr>
        <w:t>9</w:t>
      </w:r>
      <w:r w:rsidR="00C04424">
        <w:rPr>
          <w:rFonts w:ascii="Times New Roman" w:hAnsi="Times New Roman" w:cs="Times New Roman"/>
          <w:color w:val="000000"/>
          <w:sz w:val="24"/>
          <w:szCs w:val="24"/>
        </w:rPr>
        <w:t>.gadam</w:t>
      </w:r>
      <w:r>
        <w:rPr>
          <w:rFonts w:ascii="Times New Roman" w:hAnsi="Times New Roman" w:cs="Times New Roman"/>
          <w:color w:val="000000"/>
          <w:sz w:val="24"/>
          <w:szCs w:val="24"/>
        </w:rPr>
        <w:t>, kas izteikta % no IKP ES dalībvalstu griezumā, ir atspoguļota 4.3.attēlā</w:t>
      </w:r>
      <w:r w:rsidR="00C04424">
        <w:rPr>
          <w:rFonts w:ascii="Times New Roman" w:hAnsi="Times New Roman" w:cs="Times New Roman"/>
          <w:color w:val="000000"/>
          <w:sz w:val="24"/>
          <w:szCs w:val="24"/>
        </w:rPr>
        <w:t xml:space="preserve">. No </w:t>
      </w:r>
      <w:r w:rsidR="00C04424" w:rsidRPr="00910288">
        <w:rPr>
          <w:rFonts w:ascii="Times New Roman" w:hAnsi="Times New Roman" w:cs="Times New Roman"/>
          <w:i/>
          <w:color w:val="000000"/>
          <w:sz w:val="24"/>
          <w:szCs w:val="24"/>
        </w:rPr>
        <w:t>Eurostat</w:t>
      </w:r>
      <w:r w:rsidR="00C04424">
        <w:rPr>
          <w:rFonts w:ascii="Times New Roman" w:hAnsi="Times New Roman" w:cs="Times New Roman"/>
          <w:color w:val="000000"/>
          <w:sz w:val="24"/>
          <w:szCs w:val="24"/>
        </w:rPr>
        <w:t xml:space="preserve"> apkopotajiem datiem var viennozīmīgi secināt, ka Latvijas gadījumā vispārējās valdības sektora galvojumu vidējā vērtība ir zema</w:t>
      </w:r>
      <w:r>
        <w:rPr>
          <w:rFonts w:ascii="Times New Roman" w:hAnsi="Times New Roman" w:cs="Times New Roman"/>
          <w:color w:val="000000"/>
          <w:sz w:val="24"/>
          <w:szCs w:val="24"/>
        </w:rPr>
        <w:t>,</w:t>
      </w:r>
      <w:r w:rsidR="00C04424">
        <w:rPr>
          <w:rFonts w:ascii="Times New Roman" w:hAnsi="Times New Roman" w:cs="Times New Roman"/>
          <w:color w:val="000000"/>
          <w:sz w:val="24"/>
          <w:szCs w:val="24"/>
        </w:rPr>
        <w:t xml:space="preserve"> to salīdzinot ar citu ES valstu </w:t>
      </w:r>
      <w:r>
        <w:rPr>
          <w:rFonts w:ascii="Times New Roman" w:hAnsi="Times New Roman" w:cs="Times New Roman"/>
          <w:color w:val="000000"/>
          <w:sz w:val="24"/>
          <w:szCs w:val="24"/>
        </w:rPr>
        <w:t xml:space="preserve">attiecīgo </w:t>
      </w:r>
      <w:r w:rsidR="00C04424">
        <w:rPr>
          <w:rFonts w:ascii="Times New Roman" w:hAnsi="Times New Roman" w:cs="Times New Roman"/>
          <w:color w:val="000000"/>
          <w:sz w:val="24"/>
          <w:szCs w:val="24"/>
        </w:rPr>
        <w:t>rādītā</w:t>
      </w:r>
      <w:r>
        <w:rPr>
          <w:rFonts w:ascii="Times New Roman" w:hAnsi="Times New Roman" w:cs="Times New Roman"/>
          <w:color w:val="000000"/>
          <w:sz w:val="24"/>
          <w:szCs w:val="24"/>
        </w:rPr>
        <w:t>ju</w:t>
      </w:r>
      <w:r w:rsidR="00C04424">
        <w:rPr>
          <w:rFonts w:ascii="Times New Roman" w:hAnsi="Times New Roman" w:cs="Times New Roman"/>
          <w:color w:val="000000"/>
          <w:sz w:val="24"/>
          <w:szCs w:val="24"/>
        </w:rPr>
        <w:t>.</w:t>
      </w:r>
      <w:r w:rsidR="00922092">
        <w:rPr>
          <w:rFonts w:ascii="Times New Roman" w:hAnsi="Times New Roman" w:cs="Times New Roman"/>
          <w:color w:val="000000"/>
          <w:sz w:val="24"/>
          <w:szCs w:val="24"/>
        </w:rPr>
        <w:t xml:space="preserve">  </w:t>
      </w:r>
    </w:p>
    <w:p w14:paraId="644570D7" w14:textId="3A5B1468" w:rsidR="00043C49" w:rsidRDefault="00043C49" w:rsidP="00043C49">
      <w:pPr>
        <w:spacing w:after="0" w:line="240" w:lineRule="auto"/>
        <w:jc w:val="both"/>
        <w:rPr>
          <w:rFonts w:ascii="Times New Roman" w:hAnsi="Times New Roman" w:cs="Times New Roman"/>
          <w:color w:val="000000"/>
          <w:sz w:val="24"/>
          <w:szCs w:val="24"/>
        </w:rPr>
      </w:pPr>
    </w:p>
    <w:p w14:paraId="5706C2EB" w14:textId="53D6F750" w:rsidR="00043C49" w:rsidRDefault="008E4EE5" w:rsidP="003E63F7">
      <w:pPr>
        <w:spacing w:after="0" w:line="240" w:lineRule="auto"/>
        <w:jc w:val="center"/>
        <w:rPr>
          <w:rFonts w:ascii="Times New Roman" w:hAnsi="Times New Roman" w:cs="Times New Roman"/>
          <w:color w:val="000000"/>
          <w:sz w:val="24"/>
          <w:szCs w:val="24"/>
        </w:rPr>
      </w:pPr>
      <w:r>
        <w:rPr>
          <w:noProof/>
          <w:lang w:eastAsia="lv-LV"/>
        </w:rPr>
        <w:drawing>
          <wp:inline distT="0" distB="0" distL="0" distR="0" wp14:anchorId="1CFE5678" wp14:editId="22A2D218">
            <wp:extent cx="5984875" cy="3094038"/>
            <wp:effectExtent l="0" t="0" r="1587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73DE76" w14:textId="737E03B3" w:rsidR="00043C49" w:rsidRDefault="003E63F7" w:rsidP="003E63F7">
      <w:pPr>
        <w:spacing w:after="0" w:line="240" w:lineRule="auto"/>
        <w:jc w:val="center"/>
        <w:rPr>
          <w:rFonts w:ascii="Times New Roman" w:hAnsi="Times New Roman" w:cs="Times New Roman"/>
          <w:color w:val="000000"/>
          <w:sz w:val="24"/>
          <w:szCs w:val="24"/>
        </w:rPr>
      </w:pPr>
      <w:r w:rsidRPr="003E63F7">
        <w:rPr>
          <w:rFonts w:ascii="Times New Roman" w:hAnsi="Times New Roman" w:cs="Times New Roman"/>
          <w:b/>
          <w:color w:val="000000"/>
          <w:sz w:val="24"/>
          <w:szCs w:val="24"/>
        </w:rPr>
        <w:t>4.3.</w:t>
      </w:r>
      <w:r w:rsidR="00043C49" w:rsidRPr="003E63F7">
        <w:rPr>
          <w:rFonts w:ascii="Times New Roman" w:hAnsi="Times New Roman" w:cs="Times New Roman"/>
          <w:b/>
          <w:color w:val="000000"/>
          <w:sz w:val="24"/>
          <w:szCs w:val="24"/>
        </w:rPr>
        <w:t>attēls.</w:t>
      </w:r>
      <w:r w:rsidR="00043C49">
        <w:rPr>
          <w:rFonts w:ascii="Times New Roman" w:hAnsi="Times New Roman" w:cs="Times New Roman"/>
          <w:color w:val="000000"/>
          <w:sz w:val="24"/>
          <w:szCs w:val="24"/>
        </w:rPr>
        <w:t xml:space="preserve"> Vispārējās valdības sektora galvojumu vidējā vērtība 2010.</w:t>
      </w:r>
      <w:r w:rsidRPr="00F737C0">
        <w:rPr>
          <w:rFonts w:ascii="Times New Roman" w:hAnsi="Times New Roman"/>
          <w:sz w:val="24"/>
          <w:szCs w:val="24"/>
        </w:rPr>
        <w:t>–</w:t>
      </w:r>
      <w:r w:rsidR="00043C49">
        <w:rPr>
          <w:rFonts w:ascii="Times New Roman" w:hAnsi="Times New Roman" w:cs="Times New Roman"/>
          <w:color w:val="000000"/>
          <w:sz w:val="24"/>
          <w:szCs w:val="24"/>
        </w:rPr>
        <w:t>201</w:t>
      </w:r>
      <w:r w:rsidR="0072265A">
        <w:rPr>
          <w:rFonts w:ascii="Times New Roman" w:hAnsi="Times New Roman" w:cs="Times New Roman"/>
          <w:color w:val="000000"/>
          <w:sz w:val="24"/>
          <w:szCs w:val="24"/>
        </w:rPr>
        <w:t>9</w:t>
      </w:r>
      <w:r w:rsidR="00043C49">
        <w:rPr>
          <w:rFonts w:ascii="Times New Roman" w:hAnsi="Times New Roman" w:cs="Times New Roman"/>
          <w:color w:val="000000"/>
          <w:sz w:val="24"/>
          <w:szCs w:val="24"/>
        </w:rPr>
        <w:t>.gadam, % no IKP</w:t>
      </w:r>
      <w:r>
        <w:rPr>
          <w:rFonts w:ascii="Times New Roman" w:hAnsi="Times New Roman" w:cs="Times New Roman"/>
          <w:color w:val="000000"/>
          <w:sz w:val="24"/>
          <w:szCs w:val="24"/>
        </w:rPr>
        <w:br/>
      </w:r>
      <w:r w:rsidR="00043C49">
        <w:rPr>
          <w:rFonts w:ascii="Times New Roman" w:hAnsi="Times New Roman" w:cs="Times New Roman"/>
          <w:color w:val="000000"/>
          <w:sz w:val="24"/>
          <w:szCs w:val="24"/>
        </w:rPr>
        <w:t xml:space="preserve"> </w:t>
      </w:r>
      <w:r w:rsidR="00043C49" w:rsidRPr="003E0450">
        <w:rPr>
          <w:rFonts w:ascii="Times New Roman" w:hAnsi="Times New Roman" w:cs="Times New Roman"/>
          <w:color w:val="000000"/>
          <w:szCs w:val="24"/>
        </w:rPr>
        <w:t>(</w:t>
      </w:r>
      <w:r w:rsidR="00043C49" w:rsidRPr="00910288">
        <w:rPr>
          <w:rFonts w:ascii="Times New Roman" w:hAnsi="Times New Roman" w:cs="Times New Roman"/>
          <w:i/>
          <w:color w:val="000000"/>
          <w:szCs w:val="24"/>
        </w:rPr>
        <w:t>sniegti ārpus vispārējās valdības sektora klasificētām institūcijām, un neiekļauj tādus, kas jau ir atzīti vispārējās valdības parādā atbilstoši EK</w:t>
      </w:r>
      <w:r w:rsidRPr="00910288">
        <w:rPr>
          <w:rFonts w:ascii="Times New Roman" w:hAnsi="Times New Roman" w:cs="Times New Roman"/>
          <w:i/>
          <w:color w:val="000000"/>
          <w:szCs w:val="24"/>
        </w:rPr>
        <w:t>S</w:t>
      </w:r>
      <w:r w:rsidR="00043C49" w:rsidRPr="00910288">
        <w:rPr>
          <w:rFonts w:ascii="Times New Roman" w:hAnsi="Times New Roman" w:cs="Times New Roman"/>
          <w:i/>
          <w:color w:val="000000"/>
          <w:szCs w:val="24"/>
        </w:rPr>
        <w:t xml:space="preserve"> metodoloģijai</w:t>
      </w:r>
      <w:r w:rsidR="00043C49" w:rsidRPr="003E0450">
        <w:rPr>
          <w:rFonts w:ascii="Times New Roman" w:hAnsi="Times New Roman" w:cs="Times New Roman"/>
          <w:color w:val="000000"/>
          <w:szCs w:val="24"/>
        </w:rPr>
        <w:t>)</w:t>
      </w:r>
    </w:p>
    <w:p w14:paraId="2E2A27F7" w14:textId="5C40CD88" w:rsidR="00043C49" w:rsidRDefault="00043C49" w:rsidP="00043C49">
      <w:pPr>
        <w:spacing w:after="0" w:line="240" w:lineRule="auto"/>
        <w:jc w:val="both"/>
        <w:rPr>
          <w:rFonts w:ascii="Times New Roman" w:hAnsi="Times New Roman" w:cs="Times New Roman"/>
          <w:color w:val="000000"/>
          <w:sz w:val="24"/>
          <w:szCs w:val="24"/>
        </w:rPr>
      </w:pPr>
    </w:p>
    <w:p w14:paraId="0F658558" w14:textId="727BD022" w:rsidR="00916397" w:rsidRDefault="00916397" w:rsidP="008D7BC1">
      <w:pPr>
        <w:spacing w:after="0" w:line="240" w:lineRule="auto"/>
        <w:ind w:firstLine="720"/>
        <w:jc w:val="both"/>
        <w:rPr>
          <w:rFonts w:ascii="Times New Roman" w:hAnsi="Times New Roman" w:cs="Times New Roman"/>
          <w:color w:val="000000"/>
          <w:sz w:val="24"/>
          <w:szCs w:val="24"/>
        </w:rPr>
      </w:pPr>
    </w:p>
    <w:p w14:paraId="6F35D9B2" w14:textId="37DFFFF3" w:rsidR="00916397" w:rsidRPr="006637CC" w:rsidRDefault="00916397" w:rsidP="00916397">
      <w:pPr>
        <w:pStyle w:val="Heading2"/>
        <w:numPr>
          <w:ilvl w:val="1"/>
          <w:numId w:val="4"/>
        </w:numPr>
        <w:tabs>
          <w:tab w:val="left" w:pos="3261"/>
        </w:tabs>
        <w:spacing w:before="120" w:after="120" w:line="240" w:lineRule="auto"/>
        <w:ind w:left="426"/>
        <w:jc w:val="center"/>
        <w:rPr>
          <w:rFonts w:ascii="Times New Roman" w:hAnsi="Times New Roman" w:cs="Times New Roman"/>
          <w:bCs w:val="0"/>
          <w:sz w:val="24"/>
          <w:szCs w:val="24"/>
        </w:rPr>
      </w:pPr>
      <w:bookmarkStart w:id="178" w:name="_Toc80111868"/>
      <w:r w:rsidRPr="006637CC">
        <w:rPr>
          <w:rFonts w:ascii="Times New Roman" w:hAnsi="Times New Roman" w:cs="Times New Roman"/>
          <w:bCs w:val="0"/>
          <w:sz w:val="24"/>
          <w:szCs w:val="24"/>
        </w:rPr>
        <w:t>Valsts parāda vadība un ilgtspēja</w:t>
      </w:r>
      <w:bookmarkEnd w:id="178"/>
    </w:p>
    <w:p w14:paraId="7FED6BC2" w14:textId="77777777" w:rsidR="00916397" w:rsidRPr="006F2A55" w:rsidRDefault="00916397" w:rsidP="00916397">
      <w:pPr>
        <w:spacing w:after="0" w:line="240" w:lineRule="auto"/>
        <w:ind w:firstLine="709"/>
        <w:jc w:val="both"/>
        <w:rPr>
          <w:rFonts w:ascii="Times New Roman" w:hAnsi="Times New Roman" w:cs="Times New Roman"/>
          <w:sz w:val="24"/>
          <w:szCs w:val="24"/>
        </w:rPr>
      </w:pPr>
      <w:r w:rsidRPr="006F2A55">
        <w:rPr>
          <w:rFonts w:ascii="Times New Roman" w:hAnsi="Times New Roman" w:cs="Times New Roman"/>
          <w:sz w:val="24"/>
          <w:szCs w:val="24"/>
        </w:rPr>
        <w:t>2020.gada martā Latvijas Republikā un daudzviet pasaulē spēkā stājušies ar Covid–19 izplatību saistīti ierobežojumi, kam ir paredzama būtiska ietekme uz ekonomikas attīstību un fiskālajiem rādītājiem, tomēr šīs ietekmes apmēru un ilgumu joprojām nav iespējams precīzi prognozēt, līdz ar to ar Covid–19 izplatību saistīto ierobežojumu pilno sagaidāmo ietekmi uz valsts parādu un parāda apkalpošanas izdevumiem vidējā termiņā pašreiz var novērtēt indikatīvi.</w:t>
      </w:r>
    </w:p>
    <w:p w14:paraId="524BF978" w14:textId="77777777" w:rsidR="00916397" w:rsidRPr="005F3A28" w:rsidRDefault="00916397" w:rsidP="00916397">
      <w:pPr>
        <w:spacing w:after="0" w:line="240" w:lineRule="auto"/>
        <w:ind w:firstLine="709"/>
        <w:jc w:val="both"/>
        <w:rPr>
          <w:rFonts w:ascii="Times New Roman" w:hAnsi="Times New Roman" w:cs="Times New Roman"/>
          <w:sz w:val="24"/>
          <w:szCs w:val="24"/>
        </w:rPr>
      </w:pPr>
      <w:r w:rsidRPr="005F3A28">
        <w:rPr>
          <w:rFonts w:ascii="Times New Roman" w:hAnsi="Times New Roman" w:cs="Times New Roman"/>
          <w:sz w:val="24"/>
          <w:szCs w:val="24"/>
        </w:rPr>
        <w:t xml:space="preserve">Covid-19 uzliesmojums izraisīja nepieciešamību 2020.gadā ievērojamā apjomā nodrošināt finansējumu Covid-19 uzliesmojuma ietekmes mazināšanai un ekonomikas atbalstam ārkārtas situācijā, veicot aizņemšanos finanšu tirgos, aizņemšanos no </w:t>
      </w:r>
      <w:r>
        <w:rPr>
          <w:rFonts w:ascii="Times New Roman" w:hAnsi="Times New Roman" w:cs="Times New Roman"/>
          <w:sz w:val="24"/>
          <w:szCs w:val="24"/>
        </w:rPr>
        <w:t>SFI</w:t>
      </w:r>
      <w:r w:rsidRPr="005F3A28">
        <w:rPr>
          <w:rFonts w:ascii="Times New Roman" w:hAnsi="Times New Roman" w:cs="Times New Roman"/>
          <w:sz w:val="24"/>
          <w:szCs w:val="24"/>
        </w:rPr>
        <w:t xml:space="preserve"> un </w:t>
      </w:r>
      <w:r>
        <w:rPr>
          <w:rFonts w:ascii="Times New Roman" w:hAnsi="Times New Roman" w:cs="Times New Roman"/>
          <w:sz w:val="24"/>
          <w:szCs w:val="24"/>
        </w:rPr>
        <w:t>EK</w:t>
      </w:r>
      <w:r w:rsidRPr="005F3A28">
        <w:rPr>
          <w:rFonts w:ascii="Times New Roman" w:hAnsi="Times New Roman" w:cs="Times New Roman"/>
          <w:sz w:val="24"/>
          <w:szCs w:val="24"/>
        </w:rPr>
        <w:t xml:space="preserve"> (SURE), kā rezultātā </w:t>
      </w:r>
      <w:r w:rsidRPr="005F3A28">
        <w:rPr>
          <w:rFonts w:ascii="Times New Roman" w:hAnsi="Times New Roman" w:cs="Times New Roman"/>
          <w:sz w:val="24"/>
          <w:szCs w:val="24"/>
        </w:rPr>
        <w:lastRenderedPageBreak/>
        <w:t xml:space="preserve">ievērojami pieauga vispārējās valdības parāds. 2020.gada beigās vispārējās valdības parāds pēc EKS metodoloģijas sasniedza 12,7 mljrd. </w:t>
      </w:r>
      <w:r w:rsidRPr="00A25081">
        <w:rPr>
          <w:rFonts w:ascii="Times New Roman" w:hAnsi="Times New Roman" w:cs="Times New Roman"/>
          <w:i/>
          <w:sz w:val="24"/>
          <w:szCs w:val="24"/>
        </w:rPr>
        <w:t>euro</w:t>
      </w:r>
      <w:r w:rsidRPr="005F3A28">
        <w:rPr>
          <w:rFonts w:ascii="Times New Roman" w:hAnsi="Times New Roman" w:cs="Times New Roman"/>
          <w:sz w:val="24"/>
          <w:szCs w:val="24"/>
        </w:rPr>
        <w:t xml:space="preserve"> jeb 43,5% no IKP . Vispārējās valdības parāda līmeni galvenokārt ietekmē valsts parāds, kas 2020.gada beigās bija 12,4 mljrd.</w:t>
      </w:r>
      <w:r>
        <w:rPr>
          <w:rFonts w:ascii="Times New Roman" w:hAnsi="Times New Roman" w:cs="Times New Roman"/>
          <w:sz w:val="24"/>
          <w:szCs w:val="24"/>
        </w:rPr>
        <w:t xml:space="preserve"> </w:t>
      </w:r>
      <w:r w:rsidRPr="00A25081">
        <w:rPr>
          <w:rFonts w:ascii="Times New Roman" w:hAnsi="Times New Roman" w:cs="Times New Roman"/>
          <w:i/>
          <w:sz w:val="24"/>
          <w:szCs w:val="24"/>
        </w:rPr>
        <w:t>euro</w:t>
      </w:r>
      <w:r w:rsidRPr="005F3A28">
        <w:rPr>
          <w:rFonts w:ascii="Times New Roman" w:hAnsi="Times New Roman" w:cs="Times New Roman"/>
          <w:sz w:val="24"/>
          <w:szCs w:val="24"/>
        </w:rPr>
        <w:t xml:space="preserve">. </w:t>
      </w:r>
    </w:p>
    <w:p w14:paraId="47AE6482" w14:textId="77777777" w:rsidR="00916397" w:rsidRDefault="00916397" w:rsidP="00916397">
      <w:pPr>
        <w:spacing w:after="0" w:line="240" w:lineRule="auto"/>
        <w:ind w:firstLine="709"/>
        <w:jc w:val="both"/>
        <w:rPr>
          <w:rFonts w:ascii="Times New Roman" w:hAnsi="Times New Roman" w:cs="Times New Roman"/>
          <w:sz w:val="24"/>
          <w:szCs w:val="24"/>
        </w:rPr>
      </w:pPr>
      <w:r w:rsidRPr="005F3A28">
        <w:rPr>
          <w:rFonts w:ascii="Times New Roman" w:hAnsi="Times New Roman" w:cs="Times New Roman"/>
          <w:sz w:val="24"/>
          <w:szCs w:val="24"/>
        </w:rPr>
        <w:t xml:space="preserve">Lai mazinātu šādos apstākļos veicamo aizņemšanās izmaksu (procentu izdevumu) ietekmi uz valsts budžetu, </w:t>
      </w:r>
      <w:r>
        <w:rPr>
          <w:rFonts w:ascii="Times New Roman" w:hAnsi="Times New Roman" w:cs="Times New Roman"/>
          <w:sz w:val="24"/>
          <w:szCs w:val="24"/>
        </w:rPr>
        <w:t>VK</w:t>
      </w:r>
      <w:r w:rsidRPr="005F3A28">
        <w:rPr>
          <w:rFonts w:ascii="Times New Roman" w:hAnsi="Times New Roman" w:cs="Times New Roman"/>
          <w:sz w:val="24"/>
          <w:szCs w:val="24"/>
        </w:rPr>
        <w:t xml:space="preserve"> finanšu tirgos piesaistīja resursus uz salīdzinoši īsiem termiņiem un ar iespējami zemākām procentu likmēm, vienlaikus nepalielinot valsts parāda pārfinansēšanas risku tuvākajos gados.</w:t>
      </w:r>
    </w:p>
    <w:p w14:paraId="0852A8FF" w14:textId="77777777" w:rsidR="00916397" w:rsidRDefault="00916397" w:rsidP="00916397">
      <w:pPr>
        <w:spacing w:after="0" w:line="240" w:lineRule="auto"/>
        <w:ind w:firstLine="709"/>
        <w:jc w:val="both"/>
        <w:rPr>
          <w:rFonts w:ascii="Times New Roman" w:hAnsi="Times New Roman" w:cs="Times New Roman"/>
          <w:sz w:val="24"/>
          <w:szCs w:val="24"/>
        </w:rPr>
      </w:pPr>
      <w:r w:rsidRPr="005F3A28">
        <w:rPr>
          <w:rFonts w:ascii="Times New Roman" w:hAnsi="Times New Roman" w:cs="Times New Roman"/>
          <w:sz w:val="24"/>
          <w:szCs w:val="24"/>
        </w:rPr>
        <w:t xml:space="preserve">2021.gada I pusgadā </w:t>
      </w:r>
      <w:r>
        <w:rPr>
          <w:rFonts w:ascii="Times New Roman" w:hAnsi="Times New Roman" w:cs="Times New Roman"/>
          <w:sz w:val="24"/>
          <w:szCs w:val="24"/>
        </w:rPr>
        <w:t>VK</w:t>
      </w:r>
      <w:r w:rsidRPr="005F3A28">
        <w:rPr>
          <w:rFonts w:ascii="Times New Roman" w:hAnsi="Times New Roman" w:cs="Times New Roman"/>
          <w:sz w:val="24"/>
          <w:szCs w:val="24"/>
        </w:rPr>
        <w:t xml:space="preserve"> veica aizņemšanās pasākumus, nodrošinot resursus valsts budžeta deficīta finansēšanai un valsts aizdevumu nodrošināšanai, t.sk. Covid-19 uzliesmojuma ietekmes mazināšanas pasākumu finansēšanai un ekonomikas atbalstam, kā arī valsts parāda saistību izpildei. Starptautiskajos finanšu tirgos martā veikta 10 gadu eiroobligāciju emisija 1,250 mljrd. </w:t>
      </w:r>
      <w:r w:rsidRPr="000E0468">
        <w:rPr>
          <w:rFonts w:ascii="Times New Roman" w:hAnsi="Times New Roman" w:cs="Times New Roman"/>
          <w:i/>
          <w:sz w:val="24"/>
          <w:szCs w:val="24"/>
        </w:rPr>
        <w:t>euro</w:t>
      </w:r>
      <w:r w:rsidRPr="005F3A28">
        <w:rPr>
          <w:rFonts w:ascii="Times New Roman" w:hAnsi="Times New Roman" w:cs="Times New Roman"/>
          <w:sz w:val="24"/>
          <w:szCs w:val="24"/>
        </w:rPr>
        <w:t xml:space="preserve"> apmērā ar ienesīgumu 0,105% un fiksējot kupona likmi 0,000%, kas ir vēsturiski zemākais Latvijas parāda vērtspapīru emisijās starptautiskajos tirgos jebkad sasniegtais tik gara termiņa ienesīguma un kupona līmenis. Iekšējā finanšu tirgū veiktas 2025., 2026., 2028. un 2031.gadā dzēšamo eiroobligāciju papildu emisijas – kopā 242,250 milj. </w:t>
      </w:r>
      <w:r w:rsidRPr="000E0468">
        <w:rPr>
          <w:rFonts w:ascii="Times New Roman" w:hAnsi="Times New Roman" w:cs="Times New Roman"/>
          <w:i/>
          <w:sz w:val="24"/>
          <w:szCs w:val="24"/>
        </w:rPr>
        <w:t>euro</w:t>
      </w:r>
      <w:r w:rsidRPr="005F3A28">
        <w:rPr>
          <w:rFonts w:ascii="Times New Roman" w:hAnsi="Times New Roman" w:cs="Times New Roman"/>
          <w:sz w:val="24"/>
          <w:szCs w:val="24"/>
        </w:rPr>
        <w:t xml:space="preserve"> (nominālvērtībā), fiksējot zemus, t.sk. negatīvus, ienesīguma līmeņus robežās no -0,422% līdz 0,115% (atkarībā no termiņa). Papildus finanšu tirgos veiktajiem aizņēmumiem ar finansiāli izdevīgiem nosacījumiem veikta aizņemšanās no </w:t>
      </w:r>
      <w:r>
        <w:rPr>
          <w:rFonts w:ascii="Times New Roman" w:hAnsi="Times New Roman" w:cs="Times New Roman"/>
          <w:sz w:val="24"/>
          <w:szCs w:val="24"/>
        </w:rPr>
        <w:t>SFI</w:t>
      </w:r>
      <w:r w:rsidRPr="005F3A28">
        <w:rPr>
          <w:rFonts w:ascii="Times New Roman" w:hAnsi="Times New Roman" w:cs="Times New Roman"/>
          <w:sz w:val="24"/>
          <w:szCs w:val="24"/>
        </w:rPr>
        <w:t xml:space="preserve"> spēkā esošo līgumu ietvaros: no Ziemeļu Investīciju bankas 250 milj. </w:t>
      </w:r>
      <w:r w:rsidRPr="000E0468">
        <w:rPr>
          <w:rFonts w:ascii="Times New Roman" w:hAnsi="Times New Roman" w:cs="Times New Roman"/>
          <w:i/>
          <w:sz w:val="24"/>
          <w:szCs w:val="24"/>
        </w:rPr>
        <w:t>euro</w:t>
      </w:r>
      <w:r w:rsidRPr="005F3A28">
        <w:rPr>
          <w:rFonts w:ascii="Times New Roman" w:hAnsi="Times New Roman" w:cs="Times New Roman"/>
          <w:sz w:val="24"/>
          <w:szCs w:val="24"/>
        </w:rPr>
        <w:t xml:space="preserve"> apmērā un </w:t>
      </w:r>
      <w:r>
        <w:rPr>
          <w:rFonts w:ascii="Times New Roman" w:hAnsi="Times New Roman" w:cs="Times New Roman"/>
          <w:sz w:val="24"/>
          <w:szCs w:val="24"/>
        </w:rPr>
        <w:t>EK</w:t>
      </w:r>
      <w:r w:rsidRPr="005F3A28">
        <w:rPr>
          <w:rFonts w:ascii="Times New Roman" w:hAnsi="Times New Roman" w:cs="Times New Roman"/>
          <w:sz w:val="24"/>
          <w:szCs w:val="24"/>
        </w:rPr>
        <w:t xml:space="preserve"> finansēšanas instrumenta SURE 185 milj. </w:t>
      </w:r>
      <w:r w:rsidRPr="000E0468">
        <w:rPr>
          <w:rFonts w:ascii="Times New Roman" w:hAnsi="Times New Roman" w:cs="Times New Roman"/>
          <w:i/>
          <w:sz w:val="24"/>
          <w:szCs w:val="24"/>
        </w:rPr>
        <w:t>euro</w:t>
      </w:r>
      <w:r w:rsidRPr="005F3A28">
        <w:rPr>
          <w:rFonts w:ascii="Times New Roman" w:hAnsi="Times New Roman" w:cs="Times New Roman"/>
          <w:sz w:val="24"/>
          <w:szCs w:val="24"/>
        </w:rPr>
        <w:t xml:space="preserve"> apmērā. Papildu finansējuma piesaistes iespēju nodrošināšanai veikti tehniski grozījumi līgumā ar Eiropas Investīciju banku par aizņēmuma 400 milj.</w:t>
      </w:r>
      <w:r w:rsidRPr="000E0468">
        <w:rPr>
          <w:rFonts w:ascii="Times New Roman" w:hAnsi="Times New Roman" w:cs="Times New Roman"/>
          <w:i/>
          <w:sz w:val="24"/>
          <w:szCs w:val="24"/>
        </w:rPr>
        <w:t>euro</w:t>
      </w:r>
      <w:r w:rsidRPr="005F3A28">
        <w:rPr>
          <w:rFonts w:ascii="Times New Roman" w:hAnsi="Times New Roman" w:cs="Times New Roman"/>
          <w:sz w:val="24"/>
          <w:szCs w:val="24"/>
        </w:rPr>
        <w:t xml:space="preserve"> pieejamību ES fondu finansēto projektu līdzfinansēšanai līdz 2022.gada janvārim.</w:t>
      </w:r>
    </w:p>
    <w:p w14:paraId="6629E2FA" w14:textId="77777777" w:rsidR="00916397" w:rsidRDefault="00916397" w:rsidP="00916397">
      <w:pPr>
        <w:spacing w:after="0" w:line="240" w:lineRule="auto"/>
        <w:ind w:firstLine="709"/>
        <w:jc w:val="both"/>
        <w:rPr>
          <w:rFonts w:ascii="Times New Roman" w:hAnsi="Times New Roman" w:cs="Times New Roman"/>
          <w:sz w:val="24"/>
          <w:szCs w:val="24"/>
        </w:rPr>
      </w:pPr>
      <w:r w:rsidRPr="005F3A28">
        <w:rPr>
          <w:rFonts w:ascii="Times New Roman" w:hAnsi="Times New Roman" w:cs="Times New Roman"/>
          <w:sz w:val="24"/>
          <w:szCs w:val="24"/>
        </w:rPr>
        <w:t xml:space="preserve">Arī turpmāk finansējums ekonomikas atbalstam un Covid-19 uzliesmojuma seku mazināšanai tiks nodrošināts nepieciešamajā apjomā, aizņemoties iekšējā un starptautiskajos finanšu tirgos, kā arī izmantojot finansiāli izdevīgas aizņemšanās iespējas no </w:t>
      </w:r>
      <w:r>
        <w:rPr>
          <w:rFonts w:ascii="Times New Roman" w:hAnsi="Times New Roman" w:cs="Times New Roman"/>
          <w:sz w:val="24"/>
          <w:szCs w:val="24"/>
        </w:rPr>
        <w:t>SFI</w:t>
      </w:r>
      <w:r w:rsidRPr="005F3A28">
        <w:rPr>
          <w:rFonts w:ascii="Times New Roman" w:hAnsi="Times New Roman" w:cs="Times New Roman"/>
          <w:sz w:val="24"/>
          <w:szCs w:val="24"/>
        </w:rPr>
        <w:t xml:space="preserve"> (Eiropas Investīciju bankas u.c.) un </w:t>
      </w:r>
      <w:r>
        <w:rPr>
          <w:rFonts w:ascii="Times New Roman" w:hAnsi="Times New Roman" w:cs="Times New Roman"/>
          <w:sz w:val="24"/>
          <w:szCs w:val="24"/>
        </w:rPr>
        <w:t>EK</w:t>
      </w:r>
      <w:r w:rsidRPr="005F3A28">
        <w:rPr>
          <w:rFonts w:ascii="Times New Roman" w:hAnsi="Times New Roman" w:cs="Times New Roman"/>
          <w:sz w:val="24"/>
          <w:szCs w:val="24"/>
        </w:rPr>
        <w:t xml:space="preserve"> finansēšanas instrumentiem (SURE, RRF). Iekšējā finanšu tirgū resursu piesaiste tiks nodrošināta ar apgrozībā esošo eiroobligāciju papildu laidieniem, izmantojot iekšējā finanšu tirgus potenciālu un iespēju aizņemties ar vēsturiski zemākajām, t.sk. negatīvām, procentu likmēm. Aizņemšanos starptautiskajos finanšu tirgos plānots nodrošināt ar publiskām ilgtermiņa etalona eiroobligāciju un ilgtspējīgo (piemēram, “zaļo”) obligāciju emisijām, uzturot pēc iespējas plašākas un elastīgākas finansiāli izdevīgākā aizņemšanās instrumenta izvēles iespējas.</w:t>
      </w:r>
    </w:p>
    <w:p w14:paraId="6FF56E54" w14:textId="77777777" w:rsidR="00916397" w:rsidRPr="006F2A55" w:rsidRDefault="00916397" w:rsidP="00916397">
      <w:pPr>
        <w:spacing w:after="0" w:line="240" w:lineRule="auto"/>
        <w:ind w:firstLine="709"/>
        <w:jc w:val="both"/>
        <w:rPr>
          <w:rFonts w:ascii="Times New Roman" w:hAnsi="Times New Roman" w:cs="Times New Roman"/>
          <w:sz w:val="24"/>
          <w:szCs w:val="24"/>
        </w:rPr>
      </w:pPr>
      <w:r w:rsidRPr="009843D6">
        <w:rPr>
          <w:rFonts w:ascii="Times New Roman" w:hAnsi="Times New Roman" w:cs="Times New Roman"/>
          <w:sz w:val="24"/>
          <w:szCs w:val="24"/>
        </w:rPr>
        <w:t xml:space="preserve">Ņemot vērā </w:t>
      </w:r>
      <w:r>
        <w:rPr>
          <w:rFonts w:ascii="Times New Roman" w:hAnsi="Times New Roman" w:cs="Times New Roman"/>
          <w:sz w:val="24"/>
          <w:szCs w:val="24"/>
        </w:rPr>
        <w:t>FM</w:t>
      </w:r>
      <w:r w:rsidRPr="009843D6">
        <w:rPr>
          <w:rFonts w:ascii="Times New Roman" w:hAnsi="Times New Roman" w:cs="Times New Roman"/>
          <w:sz w:val="24"/>
          <w:szCs w:val="24"/>
        </w:rPr>
        <w:t xml:space="preserve"> valsts budžeta finansiālās bilances prognozes pie nemainīgas valdības politikas</w:t>
      </w:r>
      <w:r>
        <w:rPr>
          <w:rFonts w:ascii="Times New Roman" w:hAnsi="Times New Roman" w:cs="Times New Roman"/>
          <w:sz w:val="24"/>
          <w:szCs w:val="24"/>
        </w:rPr>
        <w:t xml:space="preserve"> un</w:t>
      </w:r>
      <w:r w:rsidRPr="009843D6">
        <w:rPr>
          <w:rFonts w:ascii="Times New Roman" w:hAnsi="Times New Roman" w:cs="Times New Roman"/>
          <w:sz w:val="24"/>
          <w:szCs w:val="24"/>
        </w:rPr>
        <w:t xml:space="preserve"> </w:t>
      </w:r>
      <w:r>
        <w:rPr>
          <w:rFonts w:ascii="Times New Roman" w:hAnsi="Times New Roman" w:cs="Times New Roman"/>
          <w:sz w:val="24"/>
          <w:szCs w:val="24"/>
        </w:rPr>
        <w:t>a</w:t>
      </w:r>
      <w:r w:rsidRPr="009843D6">
        <w:rPr>
          <w:rFonts w:ascii="Times New Roman" w:hAnsi="Times New Roman" w:cs="Times New Roman"/>
          <w:sz w:val="24"/>
          <w:szCs w:val="24"/>
        </w:rPr>
        <w:t>tbilstoši aktuālajam novērtējumam, kurš sagatavots joprojām lielas nenoteiktības apstākļos, sagaidāms, ka nepieciešamība nodrošināt finanšu resursus valsts apdraudējuma un tā seku novēršanas un pārvarēšanas pasākumiem sakarā ar Covid-19 izplatību izraisīs vispārējās valdības parāda pieaugumu 2021.gadā līdz ~49% no IKP</w:t>
      </w:r>
      <w:r>
        <w:rPr>
          <w:rFonts w:ascii="Times New Roman" w:hAnsi="Times New Roman" w:cs="Times New Roman"/>
          <w:sz w:val="24"/>
          <w:szCs w:val="24"/>
        </w:rPr>
        <w:t xml:space="preserve"> un 2022.gadā līdz ~50% no IKP</w:t>
      </w:r>
      <w:r w:rsidRPr="009843D6">
        <w:rPr>
          <w:rFonts w:ascii="Times New Roman" w:hAnsi="Times New Roman" w:cs="Times New Roman"/>
          <w:sz w:val="24"/>
          <w:szCs w:val="24"/>
        </w:rPr>
        <w:t xml:space="preserve">. Pēc 2022.-2023.gadā plānotās valsts parāda atmaksas, kā arī stabilizējoties situācijai sakarā ar Covid-19 uzliesmojuma ietekmi uz valsts budžeta fiskālajiem radītajiem, sagaidāms, ka vispārējās valdības parāda apjoms, sākot ar 2023.gadu nedaudz samazināsies un stabilizēsies attiecībā pret </w:t>
      </w:r>
      <w:r>
        <w:rPr>
          <w:rFonts w:ascii="Times New Roman" w:hAnsi="Times New Roman" w:cs="Times New Roman"/>
          <w:sz w:val="24"/>
          <w:szCs w:val="24"/>
        </w:rPr>
        <w:t>IKP</w:t>
      </w:r>
      <w:r w:rsidRPr="009843D6">
        <w:rPr>
          <w:rFonts w:ascii="Times New Roman" w:hAnsi="Times New Roman" w:cs="Times New Roman"/>
          <w:sz w:val="24"/>
          <w:szCs w:val="24"/>
        </w:rPr>
        <w:t xml:space="preserve"> vidējā termiņā</w:t>
      </w:r>
      <w:r>
        <w:rPr>
          <w:rFonts w:ascii="Times New Roman" w:hAnsi="Times New Roman" w:cs="Times New Roman"/>
          <w:sz w:val="24"/>
          <w:szCs w:val="24"/>
        </w:rPr>
        <w:t>.</w:t>
      </w:r>
    </w:p>
    <w:p w14:paraId="359680BB" w14:textId="77777777" w:rsidR="00916397" w:rsidRPr="006F2A55" w:rsidRDefault="00916397" w:rsidP="00916397">
      <w:pPr>
        <w:spacing w:after="0" w:line="240" w:lineRule="auto"/>
        <w:ind w:firstLine="709"/>
        <w:jc w:val="both"/>
        <w:rPr>
          <w:rFonts w:ascii="Times New Roman" w:hAnsi="Times New Roman" w:cs="Times New Roman"/>
          <w:sz w:val="24"/>
          <w:szCs w:val="24"/>
        </w:rPr>
      </w:pPr>
      <w:r w:rsidRPr="006F2A55">
        <w:rPr>
          <w:rFonts w:ascii="Times New Roman" w:hAnsi="Times New Roman" w:cs="Times New Roman"/>
          <w:sz w:val="24"/>
          <w:szCs w:val="24"/>
        </w:rPr>
        <w:t xml:space="preserve">Vidējā termiņā, neskatoties uz prognozēto parāda līmeņa pieaugumu, ar lielu varbūtību prognozējams, ka </w:t>
      </w:r>
      <w:r>
        <w:rPr>
          <w:rFonts w:ascii="Times New Roman" w:hAnsi="Times New Roman" w:cs="Times New Roman"/>
          <w:sz w:val="24"/>
          <w:szCs w:val="24"/>
        </w:rPr>
        <w:t>FDL</w:t>
      </w:r>
      <w:r w:rsidRPr="006F2A55">
        <w:rPr>
          <w:rFonts w:ascii="Times New Roman" w:hAnsi="Times New Roman" w:cs="Times New Roman"/>
          <w:sz w:val="24"/>
          <w:szCs w:val="24"/>
        </w:rPr>
        <w:t xml:space="preserve"> noteiktais parāda nosacījums (</w:t>
      </w:r>
      <w:r>
        <w:rPr>
          <w:rFonts w:ascii="Times New Roman" w:hAnsi="Times New Roman" w:cs="Times New Roman"/>
          <w:sz w:val="24"/>
          <w:szCs w:val="24"/>
        </w:rPr>
        <w:t xml:space="preserve">t.i. </w:t>
      </w:r>
      <w:r w:rsidRPr="006F2A55">
        <w:rPr>
          <w:rFonts w:ascii="Times New Roman" w:hAnsi="Times New Roman" w:cs="Times New Roman"/>
          <w:sz w:val="24"/>
          <w:szCs w:val="24"/>
        </w:rPr>
        <w:t xml:space="preserve">60% no IKP) tiks ievērots. Vienlaicīgi </w:t>
      </w:r>
      <w:r>
        <w:rPr>
          <w:rFonts w:ascii="Times New Roman" w:hAnsi="Times New Roman" w:cs="Times New Roman"/>
          <w:sz w:val="24"/>
          <w:szCs w:val="24"/>
        </w:rPr>
        <w:t>EK</w:t>
      </w:r>
      <w:r w:rsidRPr="006F2A55">
        <w:rPr>
          <w:rFonts w:ascii="Times New Roman" w:hAnsi="Times New Roman" w:cs="Times New Roman"/>
          <w:sz w:val="24"/>
          <w:szCs w:val="24"/>
        </w:rPr>
        <w:t xml:space="preserve"> novērtējums par Latviju norāda, ka ilgtermiņā (t.i. 10 gadu periodā) tiek saglabāta parāda ilgtspēja un ir sagaidāms, ka pieeja finanšu tirgiem tiks saglabāta uz labvēlīgiem nosacījumiem.</w:t>
      </w:r>
    </w:p>
    <w:p w14:paraId="69D55548" w14:textId="77777777" w:rsidR="00916397" w:rsidRDefault="00916397" w:rsidP="00BB69DC">
      <w:pPr>
        <w:pStyle w:val="ListParagraph"/>
        <w:numPr>
          <w:ilvl w:val="1"/>
          <w:numId w:val="4"/>
        </w:numPr>
      </w:pPr>
      <w:r>
        <w:br w:type="page"/>
      </w:r>
    </w:p>
    <w:p w14:paraId="27E321B0" w14:textId="64461434" w:rsidR="00334442" w:rsidRPr="00367D2C" w:rsidRDefault="00F609E6">
      <w:pPr>
        <w:pStyle w:val="Heading1"/>
        <w:numPr>
          <w:ilvl w:val="0"/>
          <w:numId w:val="0"/>
        </w:numPr>
        <w:ind w:left="426"/>
        <w:jc w:val="center"/>
        <w:rPr>
          <w:rFonts w:ascii="Times New Roman" w:hAnsi="Times New Roman" w:cs="Times New Roman"/>
          <w:sz w:val="32"/>
          <w:szCs w:val="32"/>
        </w:rPr>
      </w:pPr>
      <w:bookmarkStart w:id="179" w:name="_Toc80111869"/>
      <w:r w:rsidRPr="00367D2C">
        <w:rPr>
          <w:rFonts w:ascii="Times New Roman" w:hAnsi="Times New Roman" w:cs="Times New Roman"/>
          <w:sz w:val="32"/>
          <w:szCs w:val="32"/>
        </w:rPr>
        <w:lastRenderedPageBreak/>
        <w:t>5</w:t>
      </w:r>
      <w:r w:rsidR="00974C98" w:rsidRPr="00367D2C">
        <w:rPr>
          <w:rFonts w:ascii="Times New Roman" w:hAnsi="Times New Roman" w:cs="Times New Roman"/>
          <w:sz w:val="32"/>
          <w:szCs w:val="32"/>
        </w:rPr>
        <w:t xml:space="preserve">. </w:t>
      </w:r>
      <w:r w:rsidR="00E12711" w:rsidRPr="00367D2C">
        <w:rPr>
          <w:rFonts w:ascii="Times New Roman" w:hAnsi="Times New Roman" w:cs="Times New Roman"/>
          <w:sz w:val="32"/>
          <w:szCs w:val="32"/>
        </w:rPr>
        <w:t>Iepriekšējā laika perioda fiskālo rādītāju iznākumu un prognožu salīdzinājums</w:t>
      </w:r>
      <w:bookmarkEnd w:id="171"/>
      <w:bookmarkEnd w:id="172"/>
      <w:bookmarkEnd w:id="179"/>
    </w:p>
    <w:p w14:paraId="4F902C5C" w14:textId="77777777" w:rsidR="00CD680F" w:rsidRPr="00501181" w:rsidRDefault="00CD680F" w:rsidP="00CD680F">
      <w:pPr>
        <w:spacing w:after="0" w:line="240" w:lineRule="auto"/>
        <w:ind w:firstLine="720"/>
        <w:jc w:val="both"/>
        <w:rPr>
          <w:rFonts w:ascii="Times New Roman" w:hAnsi="Times New Roman" w:cs="Times New Roman"/>
          <w:bCs/>
          <w:sz w:val="24"/>
          <w:szCs w:val="24"/>
        </w:rPr>
      </w:pPr>
      <w:r w:rsidRPr="00501181">
        <w:rPr>
          <w:rFonts w:ascii="Times New Roman" w:hAnsi="Times New Roman" w:cs="Times New Roman"/>
          <w:bCs/>
          <w:sz w:val="24"/>
          <w:szCs w:val="24"/>
        </w:rPr>
        <w:t xml:space="preserve">Lai vērtētu fiskālo risku vadības sistēmas efektivitāti, nepieciešams novērtēt, cik lielā mērā fiskālo rādītāju iznākums atšķiras no to prognozēm. Būtisks faktors šo atšķirību veidošanā ir faktisko makroekonomisko rādītāju novirzēm no to prognozētajām vērtībām.  </w:t>
      </w:r>
    </w:p>
    <w:p w14:paraId="6902B3F0" w14:textId="77777777" w:rsidR="00CD680F" w:rsidRPr="00501181" w:rsidRDefault="00CD680F" w:rsidP="00CD680F">
      <w:pPr>
        <w:spacing w:after="0" w:line="240" w:lineRule="auto"/>
        <w:ind w:firstLine="720"/>
        <w:jc w:val="both"/>
        <w:rPr>
          <w:rFonts w:ascii="Times New Roman" w:hAnsi="Times New Roman" w:cs="Times New Roman"/>
          <w:bCs/>
          <w:sz w:val="24"/>
          <w:szCs w:val="24"/>
        </w:rPr>
      </w:pPr>
      <w:r w:rsidRPr="00501181">
        <w:rPr>
          <w:rFonts w:ascii="Times New Roman" w:hAnsi="Times New Roman" w:cs="Times New Roman"/>
          <w:bCs/>
          <w:sz w:val="24"/>
          <w:szCs w:val="24"/>
        </w:rPr>
        <w:t>Fiskālo risku vadības mērķis ir nodrošināt fiskālo rādītāju (plānotā vispārējās valdības budžeta strukturālā bilance, plānotā vispārējās valdības budžeta bilance, prognozētie valsts budžeta ieņēmumi un koriģētie maksimāli pieļaujamie valsts budžeta izdevumi) stabilitāti vidējā termiņā.</w:t>
      </w:r>
    </w:p>
    <w:p w14:paraId="502DD0B6" w14:textId="6F81FE3B" w:rsidR="0008688D" w:rsidRPr="00931EF1" w:rsidRDefault="0008688D" w:rsidP="0008688D">
      <w:pPr>
        <w:spacing w:after="0" w:line="240" w:lineRule="auto"/>
        <w:ind w:firstLine="720"/>
        <w:jc w:val="both"/>
        <w:rPr>
          <w:rFonts w:ascii="Times New Roman" w:hAnsi="Times New Roman" w:cs="Times New Roman"/>
          <w:bCs/>
          <w:sz w:val="24"/>
          <w:szCs w:val="24"/>
        </w:rPr>
      </w:pPr>
      <w:r w:rsidRPr="00931EF1">
        <w:rPr>
          <w:rFonts w:ascii="Times New Roman" w:hAnsi="Times New Roman" w:cs="Times New Roman"/>
          <w:bCs/>
          <w:sz w:val="24"/>
          <w:szCs w:val="24"/>
        </w:rPr>
        <w:t>Būtiskākie fiskālie rādītāji ir vispārējās valdības budžeta strukturālā bilance un vispārējās valdības budžeta bilance</w:t>
      </w:r>
      <w:r w:rsidR="00B400DB">
        <w:rPr>
          <w:rFonts w:ascii="Times New Roman" w:hAnsi="Times New Roman" w:cs="Times New Roman"/>
          <w:bCs/>
          <w:sz w:val="24"/>
          <w:szCs w:val="24"/>
        </w:rPr>
        <w:t xml:space="preserve"> </w:t>
      </w:r>
      <w:r w:rsidR="00B400DB" w:rsidRPr="00501181">
        <w:rPr>
          <w:rFonts w:ascii="Times New Roman" w:hAnsi="Times New Roman" w:cs="Times New Roman"/>
          <w:bCs/>
          <w:sz w:val="24"/>
          <w:szCs w:val="24"/>
        </w:rPr>
        <w:t>(skat. tabulu Nr.1</w:t>
      </w:r>
      <w:r w:rsidR="00CD5476">
        <w:rPr>
          <w:rFonts w:ascii="Times New Roman" w:hAnsi="Times New Roman" w:cs="Times New Roman"/>
          <w:bCs/>
          <w:sz w:val="24"/>
          <w:szCs w:val="24"/>
        </w:rPr>
        <w:t>6</w:t>
      </w:r>
      <w:r w:rsidR="00B400DB" w:rsidRPr="00501181">
        <w:rPr>
          <w:rFonts w:ascii="Times New Roman" w:hAnsi="Times New Roman" w:cs="Times New Roman"/>
          <w:bCs/>
          <w:sz w:val="24"/>
          <w:szCs w:val="24"/>
        </w:rPr>
        <w:t>).</w:t>
      </w:r>
    </w:p>
    <w:p w14:paraId="662627DF" w14:textId="4FCAEF18" w:rsidR="00CD680F" w:rsidRDefault="00CD680F" w:rsidP="00CD680F">
      <w:pPr>
        <w:spacing w:before="240"/>
        <w:jc w:val="right"/>
        <w:rPr>
          <w:rFonts w:ascii="Times New Roman" w:hAnsi="Times New Roman" w:cs="Times New Roman"/>
          <w:b/>
          <w:sz w:val="24"/>
          <w:szCs w:val="24"/>
        </w:rPr>
      </w:pPr>
      <w:r w:rsidRPr="00501181">
        <w:rPr>
          <w:rFonts w:ascii="Times New Roman" w:hAnsi="Times New Roman" w:cs="Times New Roman"/>
          <w:b/>
          <w:sz w:val="24"/>
          <w:szCs w:val="24"/>
        </w:rPr>
        <w:t>Tabula Nr.</w:t>
      </w:r>
      <w:r w:rsidR="00594149" w:rsidRPr="00501181">
        <w:rPr>
          <w:rFonts w:ascii="Times New Roman" w:hAnsi="Times New Roman" w:cs="Times New Roman"/>
          <w:b/>
          <w:sz w:val="24"/>
          <w:szCs w:val="24"/>
        </w:rPr>
        <w:t>1</w:t>
      </w:r>
      <w:r w:rsidR="00CD5476">
        <w:rPr>
          <w:rFonts w:ascii="Times New Roman" w:hAnsi="Times New Roman" w:cs="Times New Roman"/>
          <w:b/>
          <w:sz w:val="24"/>
          <w:szCs w:val="24"/>
        </w:rPr>
        <w:t>6</w:t>
      </w:r>
      <w:r w:rsidR="00594149" w:rsidRPr="00501181">
        <w:rPr>
          <w:rFonts w:ascii="Times New Roman" w:hAnsi="Times New Roman" w:cs="Times New Roman"/>
          <w:b/>
          <w:sz w:val="24"/>
          <w:szCs w:val="24"/>
        </w:rPr>
        <w:t xml:space="preserve"> </w:t>
      </w:r>
      <w:r w:rsidRPr="00501181">
        <w:rPr>
          <w:rFonts w:ascii="Times New Roman" w:hAnsi="Times New Roman" w:cs="Times New Roman"/>
          <w:b/>
          <w:sz w:val="24"/>
          <w:szCs w:val="24"/>
        </w:rPr>
        <w:t>Vispārējās valdības budžeta strukturālā bilance, % no IKP</w:t>
      </w:r>
    </w:p>
    <w:tbl>
      <w:tblPr>
        <w:tblStyle w:val="GridTable6Colorful-Accent1"/>
        <w:tblW w:w="10028" w:type="dxa"/>
        <w:jc w:val="center"/>
        <w:tblLayout w:type="fixed"/>
        <w:tblLook w:val="04A0" w:firstRow="1" w:lastRow="0" w:firstColumn="1" w:lastColumn="0" w:noHBand="0" w:noVBand="1"/>
      </w:tblPr>
      <w:tblGrid>
        <w:gridCol w:w="1154"/>
        <w:gridCol w:w="909"/>
        <w:gridCol w:w="732"/>
        <w:gridCol w:w="907"/>
        <w:gridCol w:w="734"/>
        <w:gridCol w:w="907"/>
        <w:gridCol w:w="734"/>
        <w:gridCol w:w="734"/>
        <w:gridCol w:w="734"/>
        <w:gridCol w:w="907"/>
        <w:gridCol w:w="734"/>
        <w:gridCol w:w="842"/>
      </w:tblGrid>
      <w:tr w:rsidR="00B400DB" w:rsidRPr="0065289B" w14:paraId="08214235" w14:textId="77777777" w:rsidTr="000967DB">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167" w:type="dxa"/>
            <w:vMerge w:val="restart"/>
            <w:hideMark/>
          </w:tcPr>
          <w:p w14:paraId="37935600" w14:textId="77777777" w:rsidR="00B400DB" w:rsidRPr="0065289B" w:rsidRDefault="00B400DB" w:rsidP="000967DB">
            <w:pPr>
              <w:jc w:val="both"/>
              <w:rPr>
                <w:rFonts w:ascii="Times New Roman" w:hAnsi="Times New Roman" w:cs="Times New Roman"/>
                <w:b w:val="0"/>
                <w:bCs w:val="0"/>
                <w:color w:val="000000" w:themeColor="text1"/>
                <w:highlight w:val="yellow"/>
              </w:rPr>
            </w:pPr>
            <w:r w:rsidRPr="0065289B">
              <w:rPr>
                <w:rFonts w:ascii="Times New Roman" w:hAnsi="Times New Roman" w:cs="Times New Roman"/>
                <w:color w:val="000000" w:themeColor="text1"/>
                <w:szCs w:val="24"/>
              </w:rPr>
              <w:t> </w:t>
            </w:r>
          </w:p>
        </w:tc>
        <w:tc>
          <w:tcPr>
            <w:tcW w:w="1658" w:type="dxa"/>
            <w:gridSpan w:val="2"/>
            <w:vAlign w:val="center"/>
          </w:tcPr>
          <w:p w14:paraId="2A5712F8" w14:textId="77777777" w:rsidR="00B400DB" w:rsidRPr="008C4DD4" w:rsidRDefault="00B400DB" w:rsidP="00096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8"/>
                <w:highlight w:val="yellow"/>
              </w:rPr>
            </w:pPr>
            <w:r w:rsidRPr="008C4DD4">
              <w:rPr>
                <w:rFonts w:ascii="Times New Roman" w:hAnsi="Times New Roman" w:cs="Times New Roman"/>
                <w:color w:val="000000" w:themeColor="text1"/>
                <w:sz w:val="18"/>
                <w:szCs w:val="24"/>
              </w:rPr>
              <w:t>2016</w:t>
            </w:r>
          </w:p>
        </w:tc>
        <w:tc>
          <w:tcPr>
            <w:tcW w:w="1659" w:type="dxa"/>
            <w:gridSpan w:val="2"/>
            <w:vAlign w:val="center"/>
            <w:hideMark/>
          </w:tcPr>
          <w:p w14:paraId="697F8D2E" w14:textId="77777777" w:rsidR="00B400DB" w:rsidRPr="008C4DD4" w:rsidRDefault="00B400DB" w:rsidP="00096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8"/>
                <w:highlight w:val="yellow"/>
              </w:rPr>
            </w:pPr>
            <w:r w:rsidRPr="008C4DD4">
              <w:rPr>
                <w:rFonts w:ascii="Times New Roman" w:hAnsi="Times New Roman" w:cs="Times New Roman"/>
                <w:color w:val="000000" w:themeColor="text1"/>
                <w:sz w:val="18"/>
                <w:szCs w:val="24"/>
              </w:rPr>
              <w:t>2017</w:t>
            </w:r>
          </w:p>
        </w:tc>
        <w:tc>
          <w:tcPr>
            <w:tcW w:w="1659" w:type="dxa"/>
            <w:gridSpan w:val="2"/>
            <w:vAlign w:val="center"/>
            <w:hideMark/>
          </w:tcPr>
          <w:p w14:paraId="5D581CCA" w14:textId="77777777" w:rsidR="00B400DB" w:rsidRPr="008C4DD4" w:rsidRDefault="00B400DB" w:rsidP="00096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18"/>
              </w:rPr>
            </w:pPr>
            <w:r w:rsidRPr="008C4DD4">
              <w:rPr>
                <w:rFonts w:ascii="Times New Roman" w:hAnsi="Times New Roman" w:cs="Times New Roman"/>
                <w:color w:val="000000" w:themeColor="text1"/>
                <w:sz w:val="18"/>
                <w:szCs w:val="24"/>
              </w:rPr>
              <w:t>2018</w:t>
            </w:r>
          </w:p>
        </w:tc>
        <w:tc>
          <w:tcPr>
            <w:tcW w:w="1484" w:type="dxa"/>
            <w:gridSpan w:val="2"/>
            <w:vAlign w:val="center"/>
            <w:hideMark/>
          </w:tcPr>
          <w:p w14:paraId="18554D9F" w14:textId="77777777" w:rsidR="00B400DB" w:rsidRPr="008C4DD4" w:rsidRDefault="00B400DB" w:rsidP="00096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rPr>
            </w:pPr>
            <w:r w:rsidRPr="008C4DD4">
              <w:rPr>
                <w:rFonts w:ascii="Times New Roman" w:hAnsi="Times New Roman" w:cs="Times New Roman"/>
                <w:color w:val="000000" w:themeColor="text1"/>
                <w:sz w:val="18"/>
                <w:szCs w:val="24"/>
              </w:rPr>
              <w:t>2019</w:t>
            </w:r>
          </w:p>
        </w:tc>
        <w:tc>
          <w:tcPr>
            <w:tcW w:w="1659" w:type="dxa"/>
            <w:gridSpan w:val="2"/>
            <w:vAlign w:val="center"/>
          </w:tcPr>
          <w:p w14:paraId="1B8F973E" w14:textId="77777777" w:rsidR="00B400DB" w:rsidRPr="008C4DD4" w:rsidRDefault="00B400DB" w:rsidP="00096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rPr>
            </w:pPr>
            <w:r w:rsidRPr="008C4DD4">
              <w:rPr>
                <w:rFonts w:ascii="Times New Roman" w:hAnsi="Times New Roman" w:cs="Times New Roman"/>
                <w:color w:val="000000" w:themeColor="text1"/>
                <w:sz w:val="18"/>
                <w:szCs w:val="24"/>
              </w:rPr>
              <w:t>2020</w:t>
            </w:r>
          </w:p>
        </w:tc>
        <w:tc>
          <w:tcPr>
            <w:tcW w:w="742" w:type="dxa"/>
            <w:vAlign w:val="center"/>
          </w:tcPr>
          <w:p w14:paraId="6EA9EE20" w14:textId="77777777" w:rsidR="00B400DB" w:rsidRPr="008C4DD4" w:rsidRDefault="00B400DB" w:rsidP="00096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rPr>
            </w:pPr>
            <w:r w:rsidRPr="008C4DD4">
              <w:rPr>
                <w:rFonts w:ascii="Times New Roman" w:hAnsi="Times New Roman" w:cs="Times New Roman"/>
                <w:color w:val="000000" w:themeColor="text1"/>
                <w:sz w:val="18"/>
                <w:szCs w:val="24"/>
              </w:rPr>
              <w:t>2021</w:t>
            </w:r>
          </w:p>
        </w:tc>
      </w:tr>
      <w:tr w:rsidR="00B400DB" w:rsidRPr="0065289B" w14:paraId="117CE225" w14:textId="77777777" w:rsidTr="000967DB">
        <w:trPr>
          <w:cnfStyle w:val="000000100000" w:firstRow="0" w:lastRow="0" w:firstColumn="0" w:lastColumn="0" w:oddVBand="0" w:evenVBand="0" w:oddHBand="1" w:evenHBand="0" w:firstRowFirstColumn="0" w:firstRowLastColumn="0" w:lastRowFirstColumn="0" w:lastRowLastColumn="0"/>
          <w:trHeight w:val="815"/>
          <w:jc w:val="center"/>
        </w:trPr>
        <w:tc>
          <w:tcPr>
            <w:cnfStyle w:val="001000000000" w:firstRow="0" w:lastRow="0" w:firstColumn="1" w:lastColumn="0" w:oddVBand="0" w:evenVBand="0" w:oddHBand="0" w:evenHBand="0" w:firstRowFirstColumn="0" w:firstRowLastColumn="0" w:lastRowFirstColumn="0" w:lastRowLastColumn="0"/>
            <w:tcW w:w="1167" w:type="dxa"/>
            <w:vMerge/>
            <w:hideMark/>
          </w:tcPr>
          <w:p w14:paraId="7EF5930A" w14:textId="77777777" w:rsidR="00B400DB" w:rsidRPr="0065289B" w:rsidRDefault="00B400DB" w:rsidP="000967DB">
            <w:pPr>
              <w:jc w:val="both"/>
              <w:rPr>
                <w:rFonts w:ascii="Times New Roman" w:hAnsi="Times New Roman" w:cs="Times New Roman"/>
                <w:b w:val="0"/>
                <w:bCs w:val="0"/>
                <w:color w:val="000000" w:themeColor="text1"/>
                <w:highlight w:val="yellow"/>
              </w:rPr>
            </w:pPr>
          </w:p>
        </w:tc>
        <w:tc>
          <w:tcPr>
            <w:tcW w:w="918" w:type="dxa"/>
            <w:vAlign w:val="center"/>
          </w:tcPr>
          <w:p w14:paraId="2E16D1C8"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VTBIL noteiktais mērķis</w:t>
            </w:r>
          </w:p>
        </w:tc>
        <w:tc>
          <w:tcPr>
            <w:tcW w:w="740" w:type="dxa"/>
            <w:vAlign w:val="center"/>
          </w:tcPr>
          <w:p w14:paraId="3C7AB5E8"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r w:rsidRPr="008C4DD4">
              <w:rPr>
                <w:rFonts w:ascii="Times New Roman" w:hAnsi="Times New Roman" w:cs="Times New Roman"/>
                <w:color w:val="000000" w:themeColor="text1"/>
                <w:sz w:val="16"/>
                <w:szCs w:val="16"/>
              </w:rPr>
              <w:t>Fakts*</w:t>
            </w:r>
          </w:p>
        </w:tc>
        <w:tc>
          <w:tcPr>
            <w:tcW w:w="917" w:type="dxa"/>
            <w:vAlign w:val="center"/>
            <w:hideMark/>
          </w:tcPr>
          <w:p w14:paraId="4AA14D5D"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r w:rsidRPr="008C4DD4">
              <w:rPr>
                <w:rFonts w:ascii="Times New Roman" w:hAnsi="Times New Roman" w:cs="Times New Roman"/>
                <w:color w:val="000000" w:themeColor="text1"/>
                <w:sz w:val="16"/>
                <w:szCs w:val="16"/>
              </w:rPr>
              <w:t>VTBIL noteiktais mērķis</w:t>
            </w:r>
          </w:p>
        </w:tc>
        <w:tc>
          <w:tcPr>
            <w:tcW w:w="742" w:type="dxa"/>
            <w:vAlign w:val="center"/>
          </w:tcPr>
          <w:p w14:paraId="2921B896"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r w:rsidRPr="008C4DD4">
              <w:rPr>
                <w:rFonts w:ascii="Times New Roman" w:hAnsi="Times New Roman" w:cs="Times New Roman"/>
                <w:color w:val="000000" w:themeColor="text1"/>
                <w:sz w:val="16"/>
                <w:szCs w:val="16"/>
              </w:rPr>
              <w:t>Fakts*</w:t>
            </w:r>
          </w:p>
        </w:tc>
        <w:tc>
          <w:tcPr>
            <w:tcW w:w="917" w:type="dxa"/>
            <w:vAlign w:val="center"/>
          </w:tcPr>
          <w:p w14:paraId="0DB31721"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VTBIL noteiktais mērķis</w:t>
            </w:r>
          </w:p>
        </w:tc>
        <w:tc>
          <w:tcPr>
            <w:tcW w:w="742" w:type="dxa"/>
            <w:vAlign w:val="center"/>
          </w:tcPr>
          <w:p w14:paraId="2A8B0F27"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Fakts*</w:t>
            </w:r>
          </w:p>
        </w:tc>
        <w:tc>
          <w:tcPr>
            <w:tcW w:w="742" w:type="dxa"/>
            <w:vAlign w:val="center"/>
          </w:tcPr>
          <w:p w14:paraId="33D10D8E"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Mērķis</w:t>
            </w:r>
          </w:p>
        </w:tc>
        <w:tc>
          <w:tcPr>
            <w:tcW w:w="742" w:type="dxa"/>
            <w:vAlign w:val="center"/>
          </w:tcPr>
          <w:p w14:paraId="7601D7E0" w14:textId="77777777" w:rsidR="00B400DB" w:rsidRPr="008C4DD4" w:rsidRDefault="00B400DB" w:rsidP="00096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Fakts*</w:t>
            </w:r>
          </w:p>
        </w:tc>
        <w:tc>
          <w:tcPr>
            <w:tcW w:w="917" w:type="dxa"/>
            <w:vAlign w:val="center"/>
          </w:tcPr>
          <w:p w14:paraId="3FC39DAB"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VTBIL noteiktais mērķis</w:t>
            </w:r>
          </w:p>
        </w:tc>
        <w:tc>
          <w:tcPr>
            <w:tcW w:w="742" w:type="dxa"/>
            <w:vAlign w:val="center"/>
          </w:tcPr>
          <w:p w14:paraId="4E84752C"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Fakts*</w:t>
            </w:r>
          </w:p>
        </w:tc>
        <w:tc>
          <w:tcPr>
            <w:tcW w:w="851" w:type="dxa"/>
            <w:vAlign w:val="center"/>
          </w:tcPr>
          <w:p w14:paraId="4A9000D6"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VTBIL noteiktais mērķis</w:t>
            </w:r>
          </w:p>
        </w:tc>
      </w:tr>
      <w:tr w:rsidR="00B400DB" w:rsidRPr="0065289B" w14:paraId="685A50F5" w14:textId="77777777" w:rsidTr="000967DB">
        <w:trPr>
          <w:trHeight w:val="547"/>
          <w:jc w:val="center"/>
        </w:trPr>
        <w:tc>
          <w:tcPr>
            <w:cnfStyle w:val="001000000000" w:firstRow="0" w:lastRow="0" w:firstColumn="1" w:lastColumn="0" w:oddVBand="0" w:evenVBand="0" w:oddHBand="0" w:evenHBand="0" w:firstRowFirstColumn="0" w:firstRowLastColumn="0" w:lastRowFirstColumn="0" w:lastRowLastColumn="0"/>
            <w:tcW w:w="1167" w:type="dxa"/>
          </w:tcPr>
          <w:p w14:paraId="7EFC5518" w14:textId="77777777" w:rsidR="00B400DB" w:rsidRPr="008C4DD4" w:rsidRDefault="00B400DB" w:rsidP="000967DB">
            <w:pPr>
              <w:jc w:val="both"/>
              <w:rPr>
                <w:rFonts w:ascii="Times New Roman" w:hAnsi="Times New Roman" w:cs="Times New Roman"/>
                <w:b w:val="0"/>
                <w:bCs w:val="0"/>
                <w:color w:val="000000" w:themeColor="text1"/>
                <w:sz w:val="18"/>
                <w:szCs w:val="20"/>
              </w:rPr>
            </w:pPr>
            <w:r w:rsidRPr="008C4DD4">
              <w:rPr>
                <w:rFonts w:ascii="Times New Roman" w:hAnsi="Times New Roman" w:cs="Times New Roman"/>
                <w:color w:val="000000" w:themeColor="text1"/>
                <w:sz w:val="18"/>
                <w:szCs w:val="20"/>
              </w:rPr>
              <w:t xml:space="preserve">VTBIL 2016 </w:t>
            </w:r>
            <w:r w:rsidRPr="008C4DD4">
              <w:rPr>
                <w:rFonts w:ascii="Times New Roman" w:hAnsi="Times New Roman"/>
                <w:color w:val="000000" w:themeColor="text1"/>
                <w:sz w:val="18"/>
                <w:szCs w:val="20"/>
              </w:rPr>
              <w:t xml:space="preserve">– </w:t>
            </w:r>
            <w:r w:rsidRPr="008C4DD4">
              <w:rPr>
                <w:rFonts w:ascii="Times New Roman" w:hAnsi="Times New Roman" w:cs="Times New Roman"/>
                <w:color w:val="000000" w:themeColor="text1"/>
                <w:sz w:val="18"/>
                <w:szCs w:val="20"/>
              </w:rPr>
              <w:t>2018</w:t>
            </w:r>
          </w:p>
        </w:tc>
        <w:tc>
          <w:tcPr>
            <w:tcW w:w="918" w:type="dxa"/>
            <w:vAlign w:val="center"/>
          </w:tcPr>
          <w:p w14:paraId="315967A4"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-0,9</w:t>
            </w:r>
          </w:p>
        </w:tc>
        <w:tc>
          <w:tcPr>
            <w:tcW w:w="740" w:type="dxa"/>
            <w:vAlign w:val="center"/>
          </w:tcPr>
          <w:p w14:paraId="4DE9C409"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-0,4</w:t>
            </w:r>
          </w:p>
        </w:tc>
        <w:tc>
          <w:tcPr>
            <w:tcW w:w="917" w:type="dxa"/>
            <w:vAlign w:val="center"/>
          </w:tcPr>
          <w:p w14:paraId="1C1275B9"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-1,0</w:t>
            </w:r>
          </w:p>
        </w:tc>
        <w:tc>
          <w:tcPr>
            <w:tcW w:w="742" w:type="dxa"/>
            <w:vAlign w:val="center"/>
          </w:tcPr>
          <w:p w14:paraId="0B3AF5A1"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6FEDD689"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-0,8</w:t>
            </w:r>
          </w:p>
        </w:tc>
        <w:tc>
          <w:tcPr>
            <w:tcW w:w="742" w:type="dxa"/>
            <w:vAlign w:val="center"/>
          </w:tcPr>
          <w:p w14:paraId="124C36B1"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10DACD97"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350DD08E"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6E06A1FD"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0F814EEA"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851" w:type="dxa"/>
            <w:vAlign w:val="center"/>
          </w:tcPr>
          <w:p w14:paraId="6EBD1EFA"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B400DB" w:rsidRPr="0065289B" w14:paraId="6E669025" w14:textId="77777777" w:rsidTr="000967DB">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1167" w:type="dxa"/>
            <w:hideMark/>
          </w:tcPr>
          <w:p w14:paraId="6BE0B5D2" w14:textId="77777777" w:rsidR="00B400DB" w:rsidRPr="008C4DD4" w:rsidRDefault="00B400DB" w:rsidP="000967DB">
            <w:pPr>
              <w:jc w:val="both"/>
              <w:rPr>
                <w:rFonts w:ascii="Times New Roman" w:hAnsi="Times New Roman" w:cs="Times New Roman"/>
                <w:b w:val="0"/>
                <w:bCs w:val="0"/>
                <w:color w:val="000000" w:themeColor="text1"/>
                <w:sz w:val="18"/>
                <w:szCs w:val="20"/>
              </w:rPr>
            </w:pPr>
            <w:r w:rsidRPr="008C4DD4">
              <w:rPr>
                <w:rFonts w:ascii="Times New Roman" w:hAnsi="Times New Roman" w:cs="Times New Roman"/>
                <w:color w:val="000000" w:themeColor="text1"/>
                <w:sz w:val="18"/>
                <w:szCs w:val="20"/>
              </w:rPr>
              <w:t xml:space="preserve">VTBIL 2017 </w:t>
            </w:r>
            <w:r w:rsidRPr="008C4DD4">
              <w:rPr>
                <w:rFonts w:ascii="Times New Roman" w:hAnsi="Times New Roman"/>
                <w:color w:val="000000" w:themeColor="text1"/>
                <w:sz w:val="18"/>
                <w:szCs w:val="20"/>
              </w:rPr>
              <w:t xml:space="preserve">– </w:t>
            </w:r>
            <w:r w:rsidRPr="008C4DD4">
              <w:rPr>
                <w:rFonts w:ascii="Times New Roman" w:hAnsi="Times New Roman" w:cs="Times New Roman"/>
                <w:color w:val="000000" w:themeColor="text1"/>
                <w:sz w:val="18"/>
                <w:szCs w:val="20"/>
              </w:rPr>
              <w:t>2019</w:t>
            </w:r>
          </w:p>
        </w:tc>
        <w:tc>
          <w:tcPr>
            <w:tcW w:w="918" w:type="dxa"/>
            <w:vAlign w:val="center"/>
          </w:tcPr>
          <w:p w14:paraId="26AC2BEE"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0" w:type="dxa"/>
            <w:vAlign w:val="center"/>
          </w:tcPr>
          <w:p w14:paraId="361E2001"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3CBE9856"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-1,0</w:t>
            </w:r>
          </w:p>
        </w:tc>
        <w:tc>
          <w:tcPr>
            <w:tcW w:w="742" w:type="dxa"/>
            <w:vAlign w:val="center"/>
          </w:tcPr>
          <w:p w14:paraId="76E6EA23"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1,4</w:t>
            </w:r>
          </w:p>
        </w:tc>
        <w:tc>
          <w:tcPr>
            <w:tcW w:w="917" w:type="dxa"/>
            <w:vAlign w:val="center"/>
            <w:hideMark/>
          </w:tcPr>
          <w:p w14:paraId="13B14B2F"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-1,1</w:t>
            </w:r>
          </w:p>
        </w:tc>
        <w:tc>
          <w:tcPr>
            <w:tcW w:w="742" w:type="dxa"/>
            <w:vAlign w:val="center"/>
          </w:tcPr>
          <w:p w14:paraId="139E1754"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hideMark/>
          </w:tcPr>
          <w:p w14:paraId="32F1AF68"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-1,0</w:t>
            </w:r>
          </w:p>
        </w:tc>
        <w:tc>
          <w:tcPr>
            <w:tcW w:w="742" w:type="dxa"/>
            <w:vAlign w:val="center"/>
          </w:tcPr>
          <w:p w14:paraId="7CE303F7"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2C1C1D1B"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4D9570BF"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851" w:type="dxa"/>
            <w:vAlign w:val="center"/>
          </w:tcPr>
          <w:p w14:paraId="7913245A"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r>
      <w:tr w:rsidR="00B400DB" w:rsidRPr="0065289B" w14:paraId="5427C0AE" w14:textId="77777777" w:rsidTr="000967DB">
        <w:trPr>
          <w:trHeight w:val="443"/>
          <w:jc w:val="center"/>
        </w:trPr>
        <w:tc>
          <w:tcPr>
            <w:cnfStyle w:val="001000000000" w:firstRow="0" w:lastRow="0" w:firstColumn="1" w:lastColumn="0" w:oddVBand="0" w:evenVBand="0" w:oddHBand="0" w:evenHBand="0" w:firstRowFirstColumn="0" w:firstRowLastColumn="0" w:lastRowFirstColumn="0" w:lastRowLastColumn="0"/>
            <w:tcW w:w="1167" w:type="dxa"/>
          </w:tcPr>
          <w:p w14:paraId="6FB4DA98" w14:textId="77777777" w:rsidR="00B400DB" w:rsidRPr="008C4DD4" w:rsidRDefault="00B400DB" w:rsidP="000967DB">
            <w:pPr>
              <w:jc w:val="both"/>
              <w:rPr>
                <w:rFonts w:ascii="Times New Roman" w:hAnsi="Times New Roman" w:cs="Times New Roman"/>
                <w:color w:val="000000" w:themeColor="text1"/>
                <w:sz w:val="18"/>
                <w:szCs w:val="20"/>
              </w:rPr>
            </w:pPr>
            <w:r w:rsidRPr="008C4DD4">
              <w:rPr>
                <w:rFonts w:ascii="Times New Roman" w:hAnsi="Times New Roman" w:cs="Times New Roman"/>
                <w:color w:val="000000" w:themeColor="text1"/>
                <w:sz w:val="18"/>
                <w:szCs w:val="20"/>
              </w:rPr>
              <w:t xml:space="preserve">VTBIL 2018 </w:t>
            </w:r>
            <w:r w:rsidRPr="008C4DD4">
              <w:rPr>
                <w:rFonts w:ascii="Times New Roman" w:hAnsi="Times New Roman"/>
                <w:color w:val="000000" w:themeColor="text1"/>
                <w:sz w:val="18"/>
                <w:szCs w:val="20"/>
              </w:rPr>
              <w:t xml:space="preserve">– </w:t>
            </w:r>
            <w:r w:rsidRPr="008C4DD4">
              <w:rPr>
                <w:rFonts w:ascii="Times New Roman" w:hAnsi="Times New Roman" w:cs="Times New Roman"/>
                <w:color w:val="000000" w:themeColor="text1"/>
                <w:sz w:val="18"/>
                <w:szCs w:val="20"/>
              </w:rPr>
              <w:t>2020</w:t>
            </w:r>
          </w:p>
        </w:tc>
        <w:tc>
          <w:tcPr>
            <w:tcW w:w="918" w:type="dxa"/>
            <w:vAlign w:val="center"/>
          </w:tcPr>
          <w:p w14:paraId="0832DC81"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0" w:type="dxa"/>
            <w:vAlign w:val="center"/>
          </w:tcPr>
          <w:p w14:paraId="2241E7E7"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556A54BF"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2" w:type="dxa"/>
            <w:vAlign w:val="center"/>
          </w:tcPr>
          <w:p w14:paraId="6B41F654"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5C93F7A4"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-1,2</w:t>
            </w:r>
          </w:p>
        </w:tc>
        <w:tc>
          <w:tcPr>
            <w:tcW w:w="742" w:type="dxa"/>
            <w:vAlign w:val="center"/>
          </w:tcPr>
          <w:p w14:paraId="3390239F"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1,7</w:t>
            </w:r>
          </w:p>
        </w:tc>
        <w:tc>
          <w:tcPr>
            <w:tcW w:w="742" w:type="dxa"/>
            <w:vAlign w:val="center"/>
          </w:tcPr>
          <w:p w14:paraId="3BB36AD2"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-0,6</w:t>
            </w:r>
          </w:p>
        </w:tc>
        <w:tc>
          <w:tcPr>
            <w:tcW w:w="742" w:type="dxa"/>
            <w:vAlign w:val="center"/>
          </w:tcPr>
          <w:p w14:paraId="6D15CEE1"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78AE90B6"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-0,4</w:t>
            </w:r>
          </w:p>
        </w:tc>
        <w:tc>
          <w:tcPr>
            <w:tcW w:w="742" w:type="dxa"/>
            <w:vAlign w:val="center"/>
          </w:tcPr>
          <w:p w14:paraId="5BF28370"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851" w:type="dxa"/>
            <w:vAlign w:val="center"/>
          </w:tcPr>
          <w:p w14:paraId="01A93A21"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B400DB" w:rsidRPr="0065289B" w14:paraId="2D859FCD" w14:textId="77777777" w:rsidTr="000967DB">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1167" w:type="dxa"/>
          </w:tcPr>
          <w:p w14:paraId="1417B200" w14:textId="77777777" w:rsidR="00B400DB" w:rsidRPr="008C4DD4" w:rsidRDefault="00B400DB" w:rsidP="000967DB">
            <w:pPr>
              <w:jc w:val="both"/>
              <w:rPr>
                <w:rFonts w:ascii="Times New Roman" w:hAnsi="Times New Roman" w:cs="Times New Roman"/>
                <w:color w:val="000000" w:themeColor="text1"/>
                <w:sz w:val="18"/>
                <w:szCs w:val="20"/>
              </w:rPr>
            </w:pPr>
            <w:r w:rsidRPr="008C4DD4">
              <w:rPr>
                <w:rFonts w:ascii="Times New Roman" w:hAnsi="Times New Roman" w:cs="Times New Roman"/>
                <w:color w:val="000000" w:themeColor="text1"/>
                <w:sz w:val="18"/>
                <w:szCs w:val="20"/>
              </w:rPr>
              <w:t>Budžeta likums 2019.gadam</w:t>
            </w:r>
          </w:p>
        </w:tc>
        <w:tc>
          <w:tcPr>
            <w:tcW w:w="918" w:type="dxa"/>
            <w:vAlign w:val="center"/>
          </w:tcPr>
          <w:p w14:paraId="6C146052"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0" w:type="dxa"/>
            <w:vAlign w:val="center"/>
          </w:tcPr>
          <w:p w14:paraId="64C01E13"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394EBB82"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2" w:type="dxa"/>
            <w:vAlign w:val="center"/>
          </w:tcPr>
          <w:p w14:paraId="1C7C46B1"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66B0AD52"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22F60566"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5339CF07"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-0,5</w:t>
            </w:r>
          </w:p>
        </w:tc>
        <w:tc>
          <w:tcPr>
            <w:tcW w:w="742" w:type="dxa"/>
            <w:vAlign w:val="center"/>
          </w:tcPr>
          <w:p w14:paraId="6BC8297D"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-0,7</w:t>
            </w:r>
          </w:p>
        </w:tc>
        <w:tc>
          <w:tcPr>
            <w:tcW w:w="917" w:type="dxa"/>
            <w:vAlign w:val="center"/>
          </w:tcPr>
          <w:p w14:paraId="78EC9A77"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27EEC363"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851" w:type="dxa"/>
            <w:vAlign w:val="center"/>
          </w:tcPr>
          <w:p w14:paraId="0DCA860F"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r>
      <w:tr w:rsidR="00B400DB" w:rsidRPr="0065289B" w14:paraId="487A320E" w14:textId="77777777" w:rsidTr="000967DB">
        <w:trPr>
          <w:trHeight w:val="443"/>
          <w:jc w:val="center"/>
        </w:trPr>
        <w:tc>
          <w:tcPr>
            <w:cnfStyle w:val="001000000000" w:firstRow="0" w:lastRow="0" w:firstColumn="1" w:lastColumn="0" w:oddVBand="0" w:evenVBand="0" w:oddHBand="0" w:evenHBand="0" w:firstRowFirstColumn="0" w:firstRowLastColumn="0" w:lastRowFirstColumn="0" w:lastRowLastColumn="0"/>
            <w:tcW w:w="1167" w:type="dxa"/>
          </w:tcPr>
          <w:p w14:paraId="7A5057B5" w14:textId="77777777" w:rsidR="00B400DB" w:rsidRPr="008C4DD4" w:rsidRDefault="00B400DB" w:rsidP="000967DB">
            <w:pPr>
              <w:jc w:val="both"/>
              <w:rPr>
                <w:rFonts w:ascii="Times New Roman" w:hAnsi="Times New Roman" w:cs="Times New Roman"/>
                <w:color w:val="000000" w:themeColor="text1"/>
                <w:sz w:val="18"/>
                <w:szCs w:val="20"/>
              </w:rPr>
            </w:pPr>
            <w:r w:rsidRPr="008C4DD4">
              <w:rPr>
                <w:rFonts w:ascii="Times New Roman" w:hAnsi="Times New Roman" w:cs="Times New Roman"/>
                <w:color w:val="000000" w:themeColor="text1"/>
                <w:sz w:val="18"/>
                <w:szCs w:val="20"/>
              </w:rPr>
              <w:t xml:space="preserve">VTBIL 2020 </w:t>
            </w:r>
            <w:r w:rsidRPr="008C4DD4">
              <w:rPr>
                <w:rFonts w:ascii="Times New Roman" w:hAnsi="Times New Roman"/>
                <w:color w:val="000000" w:themeColor="text1"/>
                <w:sz w:val="18"/>
                <w:szCs w:val="20"/>
              </w:rPr>
              <w:t xml:space="preserve">– </w:t>
            </w:r>
            <w:r w:rsidRPr="008C4DD4">
              <w:rPr>
                <w:rFonts w:ascii="Times New Roman" w:hAnsi="Times New Roman" w:cs="Times New Roman"/>
                <w:color w:val="000000" w:themeColor="text1"/>
                <w:sz w:val="18"/>
                <w:szCs w:val="20"/>
              </w:rPr>
              <w:t>2022</w:t>
            </w:r>
          </w:p>
        </w:tc>
        <w:tc>
          <w:tcPr>
            <w:tcW w:w="918" w:type="dxa"/>
            <w:vAlign w:val="center"/>
          </w:tcPr>
          <w:p w14:paraId="7741AB98"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0" w:type="dxa"/>
            <w:vAlign w:val="center"/>
          </w:tcPr>
          <w:p w14:paraId="2D60D557"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76E52C77"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2" w:type="dxa"/>
            <w:vAlign w:val="center"/>
          </w:tcPr>
          <w:p w14:paraId="50E7C478"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66691784"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68B820AE"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7ACAAB78"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4C2108E3"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2A5ED4B1"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8C4DD4">
              <w:rPr>
                <w:rFonts w:ascii="Times New Roman" w:hAnsi="Times New Roman" w:cs="Times New Roman"/>
                <w:color w:val="000000" w:themeColor="text1"/>
                <w:sz w:val="16"/>
                <w:szCs w:val="16"/>
              </w:rPr>
              <w:t>-0,5</w:t>
            </w:r>
          </w:p>
        </w:tc>
        <w:tc>
          <w:tcPr>
            <w:tcW w:w="742" w:type="dxa"/>
            <w:vAlign w:val="center"/>
          </w:tcPr>
          <w:p w14:paraId="1312572E"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851" w:type="dxa"/>
            <w:vAlign w:val="center"/>
          </w:tcPr>
          <w:p w14:paraId="41A74120" w14:textId="77777777" w:rsidR="00B400DB" w:rsidRPr="008C4DD4" w:rsidRDefault="00B400DB" w:rsidP="000967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B400DB" w:rsidRPr="0065289B" w14:paraId="218E1707" w14:textId="77777777" w:rsidTr="000967DB">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1167" w:type="dxa"/>
          </w:tcPr>
          <w:p w14:paraId="12DF1D3A" w14:textId="77777777" w:rsidR="00B400DB" w:rsidRPr="008C4DD4" w:rsidRDefault="00B400DB" w:rsidP="000967DB">
            <w:pPr>
              <w:jc w:val="both"/>
              <w:rPr>
                <w:rFonts w:ascii="Times New Roman" w:hAnsi="Times New Roman" w:cs="Times New Roman"/>
                <w:color w:val="000000" w:themeColor="text1"/>
                <w:sz w:val="18"/>
                <w:szCs w:val="20"/>
              </w:rPr>
            </w:pPr>
            <w:r w:rsidRPr="008C4DD4">
              <w:rPr>
                <w:rFonts w:ascii="Times New Roman" w:hAnsi="Times New Roman" w:cs="Times New Roman"/>
                <w:color w:val="000000" w:themeColor="text1"/>
                <w:sz w:val="18"/>
                <w:szCs w:val="20"/>
              </w:rPr>
              <w:t xml:space="preserve">VTBIL 2021 </w:t>
            </w:r>
            <w:r w:rsidRPr="008C4DD4">
              <w:rPr>
                <w:rFonts w:ascii="Times New Roman" w:hAnsi="Times New Roman"/>
                <w:color w:val="000000" w:themeColor="text1"/>
                <w:sz w:val="18"/>
                <w:szCs w:val="20"/>
              </w:rPr>
              <w:t xml:space="preserve">– </w:t>
            </w:r>
            <w:r w:rsidRPr="008C4DD4">
              <w:rPr>
                <w:rFonts w:ascii="Times New Roman" w:hAnsi="Times New Roman" w:cs="Times New Roman"/>
                <w:color w:val="000000" w:themeColor="text1"/>
                <w:sz w:val="18"/>
                <w:szCs w:val="20"/>
              </w:rPr>
              <w:t>2023</w:t>
            </w:r>
          </w:p>
        </w:tc>
        <w:tc>
          <w:tcPr>
            <w:tcW w:w="918" w:type="dxa"/>
            <w:vAlign w:val="center"/>
          </w:tcPr>
          <w:p w14:paraId="14710141"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0" w:type="dxa"/>
            <w:vAlign w:val="center"/>
          </w:tcPr>
          <w:p w14:paraId="4E49E385"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03AA350B"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742" w:type="dxa"/>
            <w:vAlign w:val="center"/>
          </w:tcPr>
          <w:p w14:paraId="33C1A4AA"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highlight w:val="yellow"/>
              </w:rPr>
            </w:pPr>
          </w:p>
        </w:tc>
        <w:tc>
          <w:tcPr>
            <w:tcW w:w="917" w:type="dxa"/>
            <w:vAlign w:val="center"/>
          </w:tcPr>
          <w:p w14:paraId="26D6D40B"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1A916C03"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57E9638A"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2F9C84AB"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917" w:type="dxa"/>
            <w:vAlign w:val="center"/>
          </w:tcPr>
          <w:p w14:paraId="229A5E4D"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42" w:type="dxa"/>
            <w:vAlign w:val="center"/>
          </w:tcPr>
          <w:p w14:paraId="17208312"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851" w:type="dxa"/>
            <w:vAlign w:val="center"/>
          </w:tcPr>
          <w:p w14:paraId="55510DDF" w14:textId="77777777" w:rsidR="00B400DB" w:rsidRPr="008C4DD4" w:rsidRDefault="00B400DB" w:rsidP="000967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w:t>
            </w:r>
          </w:p>
        </w:tc>
      </w:tr>
    </w:tbl>
    <w:p w14:paraId="42676DAB" w14:textId="37435DFC" w:rsidR="00501181" w:rsidRDefault="008E2D5B" w:rsidP="00501181">
      <w:pPr>
        <w:ind w:firstLine="720"/>
        <w:jc w:val="both"/>
        <w:rPr>
          <w:rFonts w:ascii="Times New Roman" w:hAnsi="Times New Roman" w:cs="Times New Roman"/>
          <w:bCs/>
          <w:sz w:val="24"/>
          <w:szCs w:val="24"/>
          <w:highlight w:val="yellow"/>
        </w:rPr>
      </w:pPr>
      <w:r w:rsidRPr="00501181">
        <w:rPr>
          <w:rFonts w:ascii="Times New Roman" w:hAnsi="Times New Roman" w:cs="Times New Roman"/>
          <w:i/>
          <w:sz w:val="20"/>
          <w:szCs w:val="24"/>
        </w:rPr>
        <w:t>*</w:t>
      </w:r>
      <w:r w:rsidR="00501181" w:rsidRPr="00501181">
        <w:rPr>
          <w:rFonts w:ascii="Times New Roman" w:hAnsi="Times New Roman" w:cs="Times New Roman"/>
          <w:i/>
          <w:sz w:val="20"/>
          <w:szCs w:val="24"/>
        </w:rPr>
        <w:t xml:space="preserve"> </w:t>
      </w:r>
      <w:r w:rsidR="00501181" w:rsidRPr="00931EF1">
        <w:rPr>
          <w:rFonts w:ascii="Times New Roman" w:hAnsi="Times New Roman" w:cs="Times New Roman"/>
          <w:i/>
          <w:sz w:val="20"/>
          <w:szCs w:val="24"/>
        </w:rPr>
        <w:t xml:space="preserve">saskaņā ar </w:t>
      </w:r>
      <w:r w:rsidR="00501181">
        <w:rPr>
          <w:rFonts w:ascii="Times New Roman" w:hAnsi="Times New Roman" w:cs="Times New Roman"/>
          <w:i/>
          <w:sz w:val="20"/>
          <w:szCs w:val="24"/>
        </w:rPr>
        <w:t>Eurostat 202</w:t>
      </w:r>
      <w:r w:rsidR="00B400DB">
        <w:rPr>
          <w:rFonts w:ascii="Times New Roman" w:hAnsi="Times New Roman" w:cs="Times New Roman"/>
          <w:i/>
          <w:sz w:val="20"/>
          <w:szCs w:val="24"/>
        </w:rPr>
        <w:t>1</w:t>
      </w:r>
      <w:r w:rsidR="00501181">
        <w:rPr>
          <w:rFonts w:ascii="Times New Roman" w:hAnsi="Times New Roman" w:cs="Times New Roman"/>
          <w:i/>
          <w:sz w:val="20"/>
          <w:szCs w:val="24"/>
        </w:rPr>
        <w:t>.gada aprīļa vispārējās valdības budžeta notifikācijas datiem</w:t>
      </w:r>
      <w:r w:rsidR="00501181" w:rsidRPr="001054F7">
        <w:rPr>
          <w:rFonts w:ascii="Times New Roman" w:hAnsi="Times New Roman" w:cs="Times New Roman"/>
          <w:bCs/>
          <w:sz w:val="24"/>
          <w:szCs w:val="24"/>
          <w:highlight w:val="yellow"/>
        </w:rPr>
        <w:t xml:space="preserve"> </w:t>
      </w:r>
    </w:p>
    <w:p w14:paraId="3CC99B73" w14:textId="3623A8E5" w:rsidR="0048314B" w:rsidRPr="00B603B9" w:rsidRDefault="00501181" w:rsidP="0048314B">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Analizējot atšķirības starp plānotajiem un faktiskajiem strukturālās budžeta bilances rādītājiem, jāsecina, ka budžeta bilances cikliskās komponentes ietekme arvien vairāk pieaug. Ja, salīdzinot 2017.</w:t>
      </w:r>
      <w:r w:rsidR="00594149">
        <w:rPr>
          <w:rFonts w:ascii="Times New Roman" w:hAnsi="Times New Roman" w:cs="Times New Roman"/>
          <w:color w:val="000000"/>
          <w:sz w:val="24"/>
          <w:szCs w:val="24"/>
        </w:rPr>
        <w:t xml:space="preserve"> </w:t>
      </w:r>
      <w:r w:rsidR="00594149" w:rsidRPr="00835CFD">
        <w:rPr>
          <w:rFonts w:ascii="Times New Roman" w:hAnsi="Times New Roman" w:cs="Times New Roman"/>
          <w:color w:val="000000"/>
          <w:sz w:val="24"/>
          <w:szCs w:val="24"/>
        </w:rPr>
        <w:t>–</w:t>
      </w:r>
      <w:r w:rsidR="00594149">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2019.gada </w:t>
      </w:r>
      <w:r w:rsidR="00E950D6">
        <w:rPr>
          <w:rFonts w:ascii="Times New Roman" w:hAnsi="Times New Roman" w:cs="Times New Roman"/>
          <w:bCs/>
          <w:sz w:val="24"/>
          <w:szCs w:val="24"/>
        </w:rPr>
        <w:t>VTBIL</w:t>
      </w:r>
      <w:r>
        <w:rPr>
          <w:rFonts w:ascii="Times New Roman" w:hAnsi="Times New Roman" w:cs="Times New Roman"/>
          <w:bCs/>
          <w:sz w:val="24"/>
          <w:szCs w:val="24"/>
        </w:rPr>
        <w:t xml:space="preserve"> prognozi ar 2017.gada faktisko izpildi, budžeta bilances cikliskās komponente palielinājās par 0,</w:t>
      </w:r>
      <w:r w:rsidR="00B400DB">
        <w:rPr>
          <w:rFonts w:ascii="Times New Roman" w:hAnsi="Times New Roman" w:cs="Times New Roman"/>
          <w:bCs/>
          <w:sz w:val="24"/>
          <w:szCs w:val="24"/>
        </w:rPr>
        <w:t>7</w:t>
      </w:r>
      <w:r>
        <w:rPr>
          <w:rFonts w:ascii="Times New Roman" w:hAnsi="Times New Roman" w:cs="Times New Roman"/>
          <w:bCs/>
          <w:sz w:val="24"/>
          <w:szCs w:val="24"/>
        </w:rPr>
        <w:t xml:space="preserve"> procentpunktiem no IKP, tad 2018.gadā, salīdzinot </w:t>
      </w:r>
      <w:r w:rsidR="00E02064">
        <w:rPr>
          <w:rFonts w:ascii="Times New Roman" w:hAnsi="Times New Roman" w:cs="Times New Roman"/>
          <w:bCs/>
          <w:sz w:val="24"/>
          <w:szCs w:val="24"/>
        </w:rPr>
        <w:br/>
      </w:r>
      <w:r>
        <w:rPr>
          <w:rFonts w:ascii="Times New Roman" w:hAnsi="Times New Roman" w:cs="Times New Roman"/>
          <w:bCs/>
          <w:sz w:val="24"/>
          <w:szCs w:val="24"/>
        </w:rPr>
        <w:t>2018.</w:t>
      </w:r>
      <w:r w:rsidR="00594149">
        <w:rPr>
          <w:rFonts w:ascii="Times New Roman" w:hAnsi="Times New Roman" w:cs="Times New Roman"/>
          <w:color w:val="000000"/>
          <w:sz w:val="24"/>
          <w:szCs w:val="24"/>
        </w:rPr>
        <w:t xml:space="preserve"> </w:t>
      </w:r>
      <w:r w:rsidR="00594149" w:rsidRPr="00835CFD">
        <w:rPr>
          <w:rFonts w:ascii="Times New Roman" w:hAnsi="Times New Roman" w:cs="Times New Roman"/>
          <w:color w:val="000000"/>
          <w:sz w:val="24"/>
          <w:szCs w:val="24"/>
        </w:rPr>
        <w:t>–</w:t>
      </w:r>
      <w:r w:rsidR="00594149">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2020.gada </w:t>
      </w:r>
      <w:r w:rsidR="00E950D6">
        <w:rPr>
          <w:rFonts w:ascii="Times New Roman" w:hAnsi="Times New Roman" w:cs="Times New Roman"/>
          <w:bCs/>
          <w:sz w:val="24"/>
          <w:szCs w:val="24"/>
        </w:rPr>
        <w:t>VTBIL</w:t>
      </w:r>
      <w:r>
        <w:rPr>
          <w:rFonts w:ascii="Times New Roman" w:hAnsi="Times New Roman" w:cs="Times New Roman"/>
          <w:bCs/>
          <w:sz w:val="24"/>
          <w:szCs w:val="24"/>
        </w:rPr>
        <w:t xml:space="preserve"> prognozi ar 2018.gada faktisko izpildi, budžeta bilances cikliskās komponente ir palielinājusies par 0,</w:t>
      </w:r>
      <w:r w:rsidR="00B400DB">
        <w:rPr>
          <w:rFonts w:ascii="Times New Roman" w:hAnsi="Times New Roman" w:cs="Times New Roman"/>
          <w:bCs/>
          <w:sz w:val="24"/>
          <w:szCs w:val="24"/>
        </w:rPr>
        <w:t>8</w:t>
      </w:r>
      <w:r>
        <w:rPr>
          <w:rFonts w:ascii="Times New Roman" w:hAnsi="Times New Roman" w:cs="Times New Roman"/>
          <w:bCs/>
          <w:sz w:val="24"/>
          <w:szCs w:val="24"/>
        </w:rPr>
        <w:t xml:space="preserve"> procentpunktiem no IKP. Savukārt 2019.gadā budžeta bilances cikliskā komponente ir palielinājusies par 0,2 procentpunktiem, salīdzinot ar 2019.gada valsts budžeta likumu. </w:t>
      </w:r>
      <w:r w:rsidR="00B400DB">
        <w:rPr>
          <w:rFonts w:ascii="Times New Roman" w:hAnsi="Times New Roman" w:cs="Times New Roman"/>
          <w:bCs/>
          <w:sz w:val="24"/>
          <w:szCs w:val="24"/>
        </w:rPr>
        <w:t xml:space="preserve">2020. gadā budžeta cikliskā komponente ir par 1,9 procentpunktiem zemāka kā tika prognozēts 2020. – 2022.gada VTBIL. Izstrādājot 2020. – 2022.gada VTBIL vēl netika ņemta vērā Covid-19 pandēmijas ietekme. </w:t>
      </w:r>
      <w:r>
        <w:rPr>
          <w:rFonts w:ascii="Times New Roman" w:hAnsi="Times New Roman" w:cs="Times New Roman"/>
          <w:bCs/>
          <w:sz w:val="24"/>
          <w:szCs w:val="24"/>
        </w:rPr>
        <w:t>Budžeta bilances cikliskās komponentes izmaiņas liecina, ka laika periodā no 2017.gadam līdz 2019.gadam faktiskais IKP pārsniedza potenciālā IKP vērtību, tādējādi nodrošinot papildus ieņēmumus vispārējās valdības budžetā. Taču ņemot vērā Covid</w:t>
      </w:r>
      <w:r w:rsidR="00594149" w:rsidRPr="00835CFD">
        <w:rPr>
          <w:rFonts w:ascii="Times New Roman" w:hAnsi="Times New Roman" w:cs="Times New Roman"/>
          <w:color w:val="000000"/>
          <w:sz w:val="24"/>
          <w:szCs w:val="24"/>
        </w:rPr>
        <w:t>–</w:t>
      </w:r>
      <w:r>
        <w:rPr>
          <w:rFonts w:ascii="Times New Roman" w:hAnsi="Times New Roman" w:cs="Times New Roman"/>
          <w:bCs/>
          <w:sz w:val="24"/>
          <w:szCs w:val="24"/>
        </w:rPr>
        <w:t>19 pandēmijas ietekmi 2020.gadā</w:t>
      </w:r>
      <w:r w:rsidR="00B400DB">
        <w:rPr>
          <w:rFonts w:ascii="Times New Roman" w:hAnsi="Times New Roman" w:cs="Times New Roman"/>
          <w:bCs/>
          <w:sz w:val="24"/>
          <w:szCs w:val="24"/>
        </w:rPr>
        <w:t>,</w:t>
      </w:r>
      <w:r>
        <w:rPr>
          <w:rFonts w:ascii="Times New Roman" w:hAnsi="Times New Roman" w:cs="Times New Roman"/>
          <w:bCs/>
          <w:sz w:val="24"/>
          <w:szCs w:val="24"/>
        </w:rPr>
        <w:t xml:space="preserve"> faktiskais IKP </w:t>
      </w:r>
      <w:r w:rsidR="00B400DB">
        <w:rPr>
          <w:rFonts w:ascii="Times New Roman" w:hAnsi="Times New Roman" w:cs="Times New Roman"/>
          <w:bCs/>
          <w:sz w:val="24"/>
          <w:szCs w:val="24"/>
        </w:rPr>
        <w:t xml:space="preserve">bija </w:t>
      </w:r>
      <w:r>
        <w:rPr>
          <w:rFonts w:ascii="Times New Roman" w:hAnsi="Times New Roman" w:cs="Times New Roman"/>
          <w:bCs/>
          <w:sz w:val="24"/>
          <w:szCs w:val="24"/>
        </w:rPr>
        <w:t>būtiski zemāks kā potenciālā izlaide un budžeta bilances cikl</w:t>
      </w:r>
      <w:r w:rsidR="00B603B9">
        <w:rPr>
          <w:rFonts w:ascii="Times New Roman" w:hAnsi="Times New Roman" w:cs="Times New Roman"/>
          <w:bCs/>
          <w:sz w:val="24"/>
          <w:szCs w:val="24"/>
        </w:rPr>
        <w:t xml:space="preserve">iskā komponente </w:t>
      </w:r>
      <w:r w:rsidR="00B400DB">
        <w:rPr>
          <w:rFonts w:ascii="Times New Roman" w:hAnsi="Times New Roman" w:cs="Times New Roman"/>
          <w:bCs/>
          <w:sz w:val="24"/>
          <w:szCs w:val="24"/>
        </w:rPr>
        <w:t xml:space="preserve">kļuva </w:t>
      </w:r>
      <w:r w:rsidR="0048314B">
        <w:rPr>
          <w:rFonts w:ascii="Times New Roman" w:hAnsi="Times New Roman" w:cs="Times New Roman"/>
          <w:bCs/>
          <w:sz w:val="24"/>
          <w:szCs w:val="24"/>
        </w:rPr>
        <w:t xml:space="preserve">izteikti negatīva. </w:t>
      </w:r>
    </w:p>
    <w:p w14:paraId="3E1A5117" w14:textId="1D5D6848" w:rsidR="00564D80" w:rsidRPr="00564D59" w:rsidRDefault="0048314B" w:rsidP="0048314B">
      <w:pPr>
        <w:spacing w:after="0" w:line="240" w:lineRule="auto"/>
        <w:ind w:firstLine="720"/>
        <w:jc w:val="both"/>
        <w:rPr>
          <w:rFonts w:ascii="Times New Roman" w:hAnsi="Times New Roman" w:cs="Times New Roman"/>
          <w:bCs/>
          <w:sz w:val="24"/>
          <w:szCs w:val="24"/>
        </w:rPr>
      </w:pPr>
      <w:r w:rsidRPr="00564D59">
        <w:rPr>
          <w:rFonts w:ascii="Times New Roman" w:hAnsi="Times New Roman" w:cs="Times New Roman"/>
          <w:bCs/>
          <w:sz w:val="24"/>
          <w:szCs w:val="24"/>
        </w:rPr>
        <w:t>Ja salīdzin</w:t>
      </w:r>
      <w:r>
        <w:rPr>
          <w:rFonts w:ascii="Times New Roman" w:hAnsi="Times New Roman" w:cs="Times New Roman"/>
          <w:bCs/>
          <w:sz w:val="24"/>
          <w:szCs w:val="24"/>
        </w:rPr>
        <w:t>a</w:t>
      </w:r>
      <w:r w:rsidR="00564D80" w:rsidRPr="00564D59">
        <w:rPr>
          <w:rFonts w:ascii="Times New Roman" w:hAnsi="Times New Roman" w:cs="Times New Roman"/>
          <w:bCs/>
          <w:sz w:val="24"/>
          <w:szCs w:val="24"/>
        </w:rPr>
        <w:t xml:space="preserve"> 201</w:t>
      </w:r>
      <w:r w:rsidR="00564D80">
        <w:rPr>
          <w:rFonts w:ascii="Times New Roman" w:hAnsi="Times New Roman" w:cs="Times New Roman"/>
          <w:bCs/>
          <w:sz w:val="24"/>
          <w:szCs w:val="24"/>
        </w:rPr>
        <w:t>8</w:t>
      </w:r>
      <w:r w:rsidR="00564D80" w:rsidRPr="00564D59">
        <w:rPr>
          <w:rFonts w:ascii="Times New Roman" w:hAnsi="Times New Roman" w:cs="Times New Roman"/>
          <w:bCs/>
          <w:sz w:val="24"/>
          <w:szCs w:val="24"/>
        </w:rPr>
        <w:t xml:space="preserve">.gada </w:t>
      </w:r>
      <w:r w:rsidR="00564D80" w:rsidRPr="00564D59">
        <w:rPr>
          <w:rFonts w:ascii="Times New Roman" w:hAnsi="Times New Roman" w:cs="Times New Roman"/>
          <w:b/>
          <w:bCs/>
          <w:sz w:val="24"/>
          <w:szCs w:val="24"/>
        </w:rPr>
        <w:t>vispārējās valdības budžeta bilances</w:t>
      </w:r>
      <w:r w:rsidR="00564D80" w:rsidRPr="00564D59">
        <w:rPr>
          <w:rFonts w:ascii="Times New Roman" w:hAnsi="Times New Roman" w:cs="Times New Roman"/>
          <w:bCs/>
          <w:sz w:val="24"/>
          <w:szCs w:val="24"/>
        </w:rPr>
        <w:t xml:space="preserve"> prognozes, kas ir par pamatu 201</w:t>
      </w:r>
      <w:r w:rsidR="00564D80">
        <w:rPr>
          <w:rFonts w:ascii="Times New Roman" w:hAnsi="Times New Roman" w:cs="Times New Roman"/>
          <w:bCs/>
          <w:sz w:val="24"/>
          <w:szCs w:val="24"/>
        </w:rPr>
        <w:t>8</w:t>
      </w:r>
      <w:r w:rsidR="00564D80" w:rsidRPr="00564D59">
        <w:rPr>
          <w:rFonts w:ascii="Times New Roman" w:hAnsi="Times New Roman" w:cs="Times New Roman"/>
          <w:bCs/>
          <w:sz w:val="24"/>
          <w:szCs w:val="24"/>
        </w:rPr>
        <w:t>.gada valsts budžetam, un 201</w:t>
      </w:r>
      <w:r w:rsidR="00564D80">
        <w:rPr>
          <w:rFonts w:ascii="Times New Roman" w:hAnsi="Times New Roman" w:cs="Times New Roman"/>
          <w:bCs/>
          <w:sz w:val="24"/>
          <w:szCs w:val="24"/>
        </w:rPr>
        <w:t>8</w:t>
      </w:r>
      <w:r w:rsidR="00564D80" w:rsidRPr="00564D59">
        <w:rPr>
          <w:rFonts w:ascii="Times New Roman" w:hAnsi="Times New Roman" w:cs="Times New Roman"/>
          <w:bCs/>
          <w:sz w:val="24"/>
          <w:szCs w:val="24"/>
        </w:rPr>
        <w:t xml:space="preserve">.gada </w:t>
      </w:r>
      <w:r w:rsidR="00564D80">
        <w:rPr>
          <w:rFonts w:ascii="Times New Roman" w:hAnsi="Times New Roman" w:cs="Times New Roman"/>
          <w:bCs/>
          <w:sz w:val="24"/>
          <w:szCs w:val="24"/>
        </w:rPr>
        <w:t>faktisko budžeta izpildi</w:t>
      </w:r>
      <w:r w:rsidR="00564D80" w:rsidRPr="00564D59">
        <w:rPr>
          <w:rFonts w:ascii="Times New Roman" w:hAnsi="Times New Roman" w:cs="Times New Roman"/>
          <w:bCs/>
          <w:sz w:val="24"/>
          <w:szCs w:val="24"/>
        </w:rPr>
        <w:t>, var secināt, ka atšķirības izriet gan no izmaiņām makroekonomiskajā scenārijā, gan fiskālajā scenārijā.</w:t>
      </w:r>
    </w:p>
    <w:p w14:paraId="12A5A8A3" w14:textId="77777777" w:rsidR="00564D80" w:rsidRPr="00564D59" w:rsidRDefault="00564D80" w:rsidP="00564D80">
      <w:pPr>
        <w:spacing w:after="0" w:line="240" w:lineRule="auto"/>
        <w:ind w:firstLine="720"/>
        <w:jc w:val="both"/>
        <w:rPr>
          <w:rFonts w:ascii="Times New Roman" w:hAnsi="Times New Roman" w:cs="Times New Roman"/>
          <w:bCs/>
          <w:sz w:val="24"/>
          <w:szCs w:val="24"/>
        </w:rPr>
      </w:pPr>
      <w:r w:rsidRPr="00564D59">
        <w:rPr>
          <w:rFonts w:ascii="Times New Roman" w:hAnsi="Times New Roman" w:cs="Times New Roman"/>
          <w:bCs/>
          <w:sz w:val="24"/>
          <w:szCs w:val="24"/>
        </w:rPr>
        <w:t xml:space="preserve">Vērtējot izmaiņas starp </w:t>
      </w:r>
      <w:r>
        <w:rPr>
          <w:rFonts w:ascii="Times New Roman" w:hAnsi="Times New Roman" w:cs="Times New Roman"/>
          <w:bCs/>
          <w:sz w:val="24"/>
          <w:szCs w:val="24"/>
        </w:rPr>
        <w:t>plānoto</w:t>
      </w:r>
      <w:r w:rsidRPr="00564D59">
        <w:rPr>
          <w:rFonts w:ascii="Times New Roman" w:hAnsi="Times New Roman" w:cs="Times New Roman"/>
          <w:bCs/>
          <w:sz w:val="24"/>
          <w:szCs w:val="24"/>
        </w:rPr>
        <w:t xml:space="preserve"> makroekonomisko scenāriju un pašreizējo novērtējumu, var secināt, ka izmaiņas ir vērojamas visos būtiskākajos elementos, kas raksturo ekonomisko aktivitāti valstī un ietekmē fiskālos rādītājus, proti, iekšzemes patēriņš, investīcijas, ārējās tirdzniecības rādītāji, </w:t>
      </w:r>
      <w:r w:rsidRPr="00564D59">
        <w:rPr>
          <w:rFonts w:ascii="Times New Roman" w:hAnsi="Times New Roman" w:cs="Times New Roman"/>
          <w:bCs/>
          <w:sz w:val="24"/>
          <w:szCs w:val="24"/>
        </w:rPr>
        <w:lastRenderedPageBreak/>
        <w:t>atalgojuma līmeņa izmaiņas, nodarbinātības rādītāji u.c. Kopumā ekonomiskā izaugsme 201</w:t>
      </w:r>
      <w:r>
        <w:rPr>
          <w:rFonts w:ascii="Times New Roman" w:hAnsi="Times New Roman" w:cs="Times New Roman"/>
          <w:bCs/>
          <w:sz w:val="24"/>
          <w:szCs w:val="24"/>
        </w:rPr>
        <w:t>8</w:t>
      </w:r>
      <w:r w:rsidRPr="00564D59">
        <w:rPr>
          <w:rFonts w:ascii="Times New Roman" w:hAnsi="Times New Roman" w:cs="Times New Roman"/>
          <w:bCs/>
          <w:sz w:val="24"/>
          <w:szCs w:val="24"/>
        </w:rPr>
        <w:t xml:space="preserve">.gadā </w:t>
      </w:r>
      <w:r>
        <w:rPr>
          <w:rFonts w:ascii="Times New Roman" w:hAnsi="Times New Roman" w:cs="Times New Roman"/>
          <w:bCs/>
          <w:sz w:val="24"/>
          <w:szCs w:val="24"/>
        </w:rPr>
        <w:t>bija</w:t>
      </w:r>
      <w:r w:rsidRPr="00564D59">
        <w:rPr>
          <w:rFonts w:ascii="Times New Roman" w:hAnsi="Times New Roman" w:cs="Times New Roman"/>
          <w:bCs/>
          <w:sz w:val="24"/>
          <w:szCs w:val="24"/>
        </w:rPr>
        <w:t xml:space="preserve"> </w:t>
      </w:r>
      <w:r>
        <w:rPr>
          <w:rFonts w:ascii="Times New Roman" w:hAnsi="Times New Roman" w:cs="Times New Roman"/>
          <w:bCs/>
          <w:sz w:val="24"/>
          <w:szCs w:val="24"/>
        </w:rPr>
        <w:t>augstāka kā prognozēts</w:t>
      </w:r>
      <w:r w:rsidRPr="00564D59">
        <w:rPr>
          <w:rFonts w:ascii="Times New Roman" w:hAnsi="Times New Roman" w:cs="Times New Roman"/>
          <w:bCs/>
          <w:sz w:val="24"/>
          <w:szCs w:val="24"/>
        </w:rPr>
        <w:t xml:space="preserve">. </w:t>
      </w:r>
      <w:r w:rsidRPr="001F1AD1">
        <w:rPr>
          <w:rFonts w:ascii="Times New Roman" w:hAnsi="Times New Roman" w:cs="Times New Roman"/>
          <w:bCs/>
          <w:sz w:val="24"/>
          <w:szCs w:val="24"/>
        </w:rPr>
        <w:t>Straujāku nekā iepriekš prognozēts IKP pieaugumu notei</w:t>
      </w:r>
      <w:r>
        <w:rPr>
          <w:rFonts w:ascii="Times New Roman" w:hAnsi="Times New Roman" w:cs="Times New Roman"/>
          <w:bCs/>
          <w:sz w:val="24"/>
          <w:szCs w:val="24"/>
        </w:rPr>
        <w:t>ca</w:t>
      </w:r>
      <w:r w:rsidRPr="001F1AD1">
        <w:rPr>
          <w:rFonts w:ascii="Times New Roman" w:hAnsi="Times New Roman" w:cs="Times New Roman"/>
          <w:bCs/>
          <w:sz w:val="24"/>
          <w:szCs w:val="24"/>
        </w:rPr>
        <w:t xml:space="preserve"> augstākas investīcijas</w:t>
      </w:r>
      <w:r>
        <w:rPr>
          <w:rFonts w:ascii="Times New Roman" w:hAnsi="Times New Roman" w:cs="Times New Roman"/>
          <w:bCs/>
          <w:sz w:val="24"/>
          <w:szCs w:val="24"/>
        </w:rPr>
        <w:t>,</w:t>
      </w:r>
      <w:r w:rsidRPr="001F1AD1">
        <w:rPr>
          <w:rFonts w:ascii="Times New Roman" w:hAnsi="Times New Roman" w:cs="Times New Roman"/>
          <w:bCs/>
          <w:sz w:val="24"/>
          <w:szCs w:val="24"/>
        </w:rPr>
        <w:t xml:space="preserve"> kā arī straujāks privātā patēriņa kāpums. Turklāt labvēlīgā ārējā vide nodrošinās ārējā pieprasījuma pieaugumu, kas pozitīvi ietekmē</w:t>
      </w:r>
      <w:r>
        <w:rPr>
          <w:rFonts w:ascii="Times New Roman" w:hAnsi="Times New Roman" w:cs="Times New Roman"/>
          <w:bCs/>
          <w:sz w:val="24"/>
          <w:szCs w:val="24"/>
        </w:rPr>
        <w:t>ja</w:t>
      </w:r>
      <w:r w:rsidRPr="001F1AD1">
        <w:rPr>
          <w:rFonts w:ascii="Times New Roman" w:hAnsi="Times New Roman" w:cs="Times New Roman"/>
          <w:bCs/>
          <w:sz w:val="24"/>
          <w:szCs w:val="24"/>
        </w:rPr>
        <w:t xml:space="preserve"> eksportu un Latvijas ekonomisko izaugsmi kopumā. </w:t>
      </w:r>
    </w:p>
    <w:p w14:paraId="6E208599" w14:textId="11132DDD" w:rsidR="00CD680F" w:rsidRPr="00762B0A" w:rsidRDefault="00CD680F" w:rsidP="00CD680F">
      <w:pPr>
        <w:spacing w:before="120"/>
        <w:jc w:val="right"/>
        <w:rPr>
          <w:rFonts w:ascii="Times New Roman" w:hAnsi="Times New Roman" w:cs="Times New Roman"/>
          <w:b/>
          <w:bCs/>
          <w:sz w:val="24"/>
          <w:szCs w:val="24"/>
        </w:rPr>
      </w:pPr>
      <w:r w:rsidRPr="00762B0A">
        <w:rPr>
          <w:rFonts w:ascii="Times New Roman" w:hAnsi="Times New Roman" w:cs="Times New Roman"/>
          <w:b/>
          <w:bCs/>
          <w:sz w:val="24"/>
          <w:szCs w:val="24"/>
        </w:rPr>
        <w:t>Tabula Nr.</w:t>
      </w:r>
      <w:r w:rsidR="00881AB6" w:rsidRPr="00762B0A">
        <w:rPr>
          <w:rFonts w:ascii="Times New Roman" w:hAnsi="Times New Roman" w:cs="Times New Roman"/>
          <w:b/>
          <w:bCs/>
          <w:sz w:val="24"/>
          <w:szCs w:val="24"/>
        </w:rPr>
        <w:t>1</w:t>
      </w:r>
      <w:r w:rsidR="00CD5476">
        <w:rPr>
          <w:rFonts w:ascii="Times New Roman" w:hAnsi="Times New Roman" w:cs="Times New Roman"/>
          <w:b/>
          <w:bCs/>
          <w:sz w:val="24"/>
          <w:szCs w:val="24"/>
        </w:rPr>
        <w:t>7</w:t>
      </w:r>
      <w:r w:rsidR="00881AB6" w:rsidRPr="00762B0A">
        <w:rPr>
          <w:rFonts w:ascii="Times New Roman" w:hAnsi="Times New Roman" w:cs="Times New Roman"/>
          <w:b/>
          <w:bCs/>
          <w:sz w:val="24"/>
          <w:szCs w:val="24"/>
        </w:rPr>
        <w:t xml:space="preserve"> </w:t>
      </w:r>
      <w:r w:rsidRPr="00762B0A">
        <w:rPr>
          <w:rFonts w:ascii="Times New Roman" w:hAnsi="Times New Roman" w:cs="Times New Roman"/>
          <w:b/>
          <w:bCs/>
          <w:sz w:val="24"/>
          <w:szCs w:val="24"/>
        </w:rPr>
        <w:t>Izmaiņas vispārējās valdības sektora fiskālajā bilancē 2018.gadam,</w:t>
      </w:r>
      <w:r w:rsidR="00ED1782" w:rsidRPr="00762B0A">
        <w:rPr>
          <w:rFonts w:ascii="Times New Roman" w:hAnsi="Times New Roman" w:cs="Times New Roman"/>
          <w:b/>
          <w:bCs/>
          <w:sz w:val="24"/>
          <w:szCs w:val="24"/>
        </w:rPr>
        <w:br/>
      </w:r>
      <w:r w:rsidRPr="00762B0A">
        <w:rPr>
          <w:rFonts w:ascii="Times New Roman" w:hAnsi="Times New Roman" w:cs="Times New Roman"/>
          <w:b/>
          <w:bCs/>
          <w:sz w:val="24"/>
          <w:szCs w:val="24"/>
        </w:rPr>
        <w:t xml:space="preserve"> % no IKP</w:t>
      </w:r>
    </w:p>
    <w:tbl>
      <w:tblPr>
        <w:tblStyle w:val="GridTable6Colorful-Accent11"/>
        <w:tblW w:w="9634" w:type="dxa"/>
        <w:tblLook w:val="04A0" w:firstRow="1" w:lastRow="0" w:firstColumn="1" w:lastColumn="0" w:noHBand="0" w:noVBand="1"/>
      </w:tblPr>
      <w:tblGrid>
        <w:gridCol w:w="3223"/>
        <w:gridCol w:w="4594"/>
        <w:gridCol w:w="1817"/>
      </w:tblGrid>
      <w:tr w:rsidR="00CD680F" w:rsidRPr="00762B0A" w14:paraId="26CB4415" w14:textId="77777777" w:rsidTr="00762B0A">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223" w:type="dxa"/>
            <w:noWrap/>
            <w:hideMark/>
          </w:tcPr>
          <w:p w14:paraId="70B231BF" w14:textId="77777777" w:rsidR="00CD680F" w:rsidRPr="00762B0A" w:rsidRDefault="00CD680F" w:rsidP="001A084E">
            <w:pPr>
              <w:jc w:val="center"/>
              <w:rPr>
                <w:rFonts w:eastAsia="Times New Roman" w:cs="Times New Roman"/>
                <w:color w:val="000000"/>
                <w:sz w:val="22"/>
                <w:lang w:eastAsia="lv-LV"/>
              </w:rPr>
            </w:pPr>
            <w:r w:rsidRPr="00762B0A">
              <w:rPr>
                <w:rFonts w:eastAsia="Times New Roman" w:cs="Times New Roman"/>
                <w:color w:val="000000"/>
                <w:sz w:val="22"/>
                <w:lang w:eastAsia="lv-LV"/>
              </w:rPr>
              <w:t>Iterācija</w:t>
            </w:r>
          </w:p>
        </w:tc>
        <w:tc>
          <w:tcPr>
            <w:tcW w:w="4594" w:type="dxa"/>
            <w:noWrap/>
            <w:hideMark/>
          </w:tcPr>
          <w:p w14:paraId="7F2B4D44" w14:textId="77777777" w:rsidR="00CD680F" w:rsidRPr="00762B0A" w:rsidRDefault="00CD680F" w:rsidP="001A084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Raksturlielums</w:t>
            </w:r>
          </w:p>
        </w:tc>
        <w:tc>
          <w:tcPr>
            <w:tcW w:w="1817" w:type="dxa"/>
            <w:noWrap/>
            <w:vAlign w:val="center"/>
            <w:hideMark/>
          </w:tcPr>
          <w:p w14:paraId="3B4024A9" w14:textId="77777777" w:rsidR="00CD680F" w:rsidRPr="00762B0A" w:rsidRDefault="00CD680F" w:rsidP="00C90D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2018</w:t>
            </w:r>
          </w:p>
        </w:tc>
      </w:tr>
      <w:tr w:rsidR="00CD680F" w:rsidRPr="00762B0A" w14:paraId="74E3ACB3" w14:textId="77777777" w:rsidTr="00762B0A">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23" w:type="dxa"/>
            <w:noWrap/>
            <w:hideMark/>
          </w:tcPr>
          <w:p w14:paraId="5EFFA78E" w14:textId="56E024E8" w:rsidR="00CD680F" w:rsidRPr="00762B0A" w:rsidRDefault="00E950D6" w:rsidP="001A084E">
            <w:pPr>
              <w:jc w:val="center"/>
              <w:rPr>
                <w:rFonts w:eastAsia="Times New Roman" w:cs="Times New Roman"/>
                <w:color w:val="000000"/>
                <w:sz w:val="22"/>
                <w:lang w:eastAsia="lv-LV"/>
              </w:rPr>
            </w:pPr>
            <w:r>
              <w:rPr>
                <w:rFonts w:eastAsia="Times New Roman" w:cs="Times New Roman"/>
                <w:color w:val="000000"/>
                <w:sz w:val="22"/>
                <w:lang w:eastAsia="lv-LV"/>
              </w:rPr>
              <w:t>VTBIL</w:t>
            </w:r>
            <w:r w:rsidR="00CD680F" w:rsidRPr="00762B0A">
              <w:rPr>
                <w:rFonts w:eastAsia="Times New Roman" w:cs="Times New Roman"/>
                <w:color w:val="000000"/>
                <w:sz w:val="22"/>
                <w:lang w:eastAsia="lv-LV"/>
              </w:rPr>
              <w:t xml:space="preserve"> 2018-2020</w:t>
            </w:r>
          </w:p>
        </w:tc>
        <w:tc>
          <w:tcPr>
            <w:tcW w:w="4594" w:type="dxa"/>
            <w:noWrap/>
            <w:hideMark/>
          </w:tcPr>
          <w:p w14:paraId="10CBC8D5" w14:textId="77777777" w:rsidR="00CD680F" w:rsidRPr="00762B0A" w:rsidRDefault="00CD680F" w:rsidP="001A084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762B0A">
              <w:rPr>
                <w:rFonts w:eastAsia="Times New Roman" w:cs="Times New Roman"/>
                <w:b/>
                <w:bCs/>
                <w:color w:val="000000"/>
                <w:sz w:val="22"/>
                <w:lang w:eastAsia="lv-LV"/>
              </w:rPr>
              <w:t>Vispārējās valdības sektora B.9</w:t>
            </w:r>
          </w:p>
        </w:tc>
        <w:tc>
          <w:tcPr>
            <w:tcW w:w="1817" w:type="dxa"/>
            <w:noWrap/>
            <w:vAlign w:val="center"/>
            <w:hideMark/>
          </w:tcPr>
          <w:p w14:paraId="74E44979" w14:textId="77777777" w:rsidR="00CD680F" w:rsidRPr="00762B0A" w:rsidRDefault="00CD680F" w:rsidP="00191E2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762B0A">
              <w:rPr>
                <w:rFonts w:eastAsia="Times New Roman" w:cs="Times New Roman"/>
                <w:b/>
                <w:bCs/>
                <w:color w:val="000000"/>
                <w:sz w:val="22"/>
                <w:lang w:eastAsia="lv-LV"/>
              </w:rPr>
              <w:t>-1,0</w:t>
            </w:r>
          </w:p>
        </w:tc>
      </w:tr>
      <w:tr w:rsidR="00762B0A" w:rsidRPr="00762B0A" w14:paraId="5BFFF998" w14:textId="77777777" w:rsidTr="00762B0A">
        <w:trPr>
          <w:trHeight w:val="219"/>
        </w:trPr>
        <w:tc>
          <w:tcPr>
            <w:cnfStyle w:val="001000000000" w:firstRow="0" w:lastRow="0" w:firstColumn="1" w:lastColumn="0" w:oddVBand="0" w:evenVBand="0" w:oddHBand="0" w:evenHBand="0" w:firstRowFirstColumn="0" w:firstRowLastColumn="0" w:lastRowFirstColumn="0" w:lastRowLastColumn="0"/>
            <w:tcW w:w="3223" w:type="dxa"/>
            <w:vMerge w:val="restart"/>
            <w:hideMark/>
          </w:tcPr>
          <w:p w14:paraId="5D655812" w14:textId="77777777" w:rsidR="00762B0A" w:rsidRPr="00762B0A" w:rsidRDefault="00762B0A" w:rsidP="00762B0A">
            <w:pPr>
              <w:jc w:val="center"/>
              <w:rPr>
                <w:rFonts w:eastAsia="Times New Roman" w:cs="Times New Roman"/>
                <w:color w:val="000000"/>
                <w:sz w:val="22"/>
                <w:lang w:eastAsia="lv-LV"/>
              </w:rPr>
            </w:pPr>
          </w:p>
          <w:p w14:paraId="13F08CEC" w14:textId="77777777" w:rsidR="00762B0A" w:rsidRPr="00762B0A" w:rsidRDefault="00762B0A" w:rsidP="00762B0A">
            <w:pPr>
              <w:jc w:val="center"/>
              <w:rPr>
                <w:rFonts w:eastAsia="Times New Roman" w:cs="Times New Roman"/>
                <w:color w:val="000000"/>
                <w:sz w:val="22"/>
                <w:lang w:eastAsia="lv-LV"/>
              </w:rPr>
            </w:pPr>
          </w:p>
          <w:p w14:paraId="0E5B002C" w14:textId="77777777" w:rsidR="00762B0A" w:rsidRPr="00762B0A" w:rsidRDefault="00762B0A" w:rsidP="00762B0A">
            <w:pPr>
              <w:jc w:val="center"/>
              <w:rPr>
                <w:rFonts w:eastAsia="Times New Roman" w:cs="Times New Roman"/>
                <w:color w:val="000000"/>
                <w:sz w:val="22"/>
                <w:lang w:eastAsia="lv-LV"/>
              </w:rPr>
            </w:pPr>
          </w:p>
          <w:p w14:paraId="54224192" w14:textId="77777777" w:rsidR="00762B0A" w:rsidRPr="00762B0A" w:rsidRDefault="00762B0A" w:rsidP="00762B0A">
            <w:pPr>
              <w:jc w:val="center"/>
              <w:rPr>
                <w:rFonts w:eastAsia="Times New Roman" w:cs="Times New Roman"/>
                <w:color w:val="000000"/>
                <w:sz w:val="22"/>
                <w:lang w:eastAsia="lv-LV"/>
              </w:rPr>
            </w:pPr>
          </w:p>
          <w:p w14:paraId="413A509C" w14:textId="77777777" w:rsidR="00762B0A" w:rsidRPr="00762B0A" w:rsidRDefault="00762B0A" w:rsidP="00762B0A">
            <w:pPr>
              <w:jc w:val="center"/>
              <w:rPr>
                <w:rFonts w:eastAsia="Times New Roman" w:cs="Times New Roman"/>
                <w:color w:val="000000"/>
                <w:sz w:val="22"/>
                <w:lang w:eastAsia="lv-LV"/>
              </w:rPr>
            </w:pPr>
          </w:p>
          <w:p w14:paraId="753350F4" w14:textId="77777777" w:rsidR="00762B0A" w:rsidRPr="00762B0A" w:rsidRDefault="00762B0A" w:rsidP="00762B0A">
            <w:pPr>
              <w:jc w:val="center"/>
              <w:rPr>
                <w:rFonts w:eastAsia="Times New Roman" w:cs="Times New Roman"/>
                <w:color w:val="000000"/>
                <w:sz w:val="22"/>
                <w:lang w:eastAsia="lv-LV"/>
              </w:rPr>
            </w:pPr>
            <w:r w:rsidRPr="00762B0A">
              <w:rPr>
                <w:rFonts w:eastAsia="Times New Roman" w:cs="Times New Roman"/>
                <w:color w:val="000000"/>
                <w:sz w:val="22"/>
                <w:lang w:eastAsia="lv-LV"/>
              </w:rPr>
              <w:t>Izmaiņu ietekme uz B.9</w:t>
            </w:r>
          </w:p>
        </w:tc>
        <w:tc>
          <w:tcPr>
            <w:tcW w:w="4594" w:type="dxa"/>
            <w:noWrap/>
            <w:hideMark/>
          </w:tcPr>
          <w:p w14:paraId="4CB58A24" w14:textId="77777777" w:rsidR="00762B0A" w:rsidRPr="00762B0A" w:rsidRDefault="00762B0A" w:rsidP="00762B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Nodokļu ieņēmumi</w:t>
            </w:r>
          </w:p>
        </w:tc>
        <w:tc>
          <w:tcPr>
            <w:tcW w:w="1817" w:type="dxa"/>
            <w:noWrap/>
            <w:vAlign w:val="center"/>
            <w:hideMark/>
          </w:tcPr>
          <w:p w14:paraId="6B815753" w14:textId="7089DE04" w:rsidR="00762B0A" w:rsidRPr="00762B0A" w:rsidRDefault="00762B0A" w:rsidP="00762B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0,33</w:t>
            </w:r>
          </w:p>
        </w:tc>
      </w:tr>
      <w:tr w:rsidR="00762B0A" w:rsidRPr="00762B0A" w14:paraId="45806EF2" w14:textId="77777777" w:rsidTr="00762B0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23" w:type="dxa"/>
            <w:vMerge/>
            <w:hideMark/>
          </w:tcPr>
          <w:p w14:paraId="06173289"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42FA5DFA" w14:textId="77777777" w:rsidR="00762B0A" w:rsidRPr="00762B0A" w:rsidRDefault="00762B0A" w:rsidP="00762B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Nenodokļu ieņēmumi</w:t>
            </w:r>
          </w:p>
        </w:tc>
        <w:tc>
          <w:tcPr>
            <w:tcW w:w="1817" w:type="dxa"/>
            <w:noWrap/>
            <w:vAlign w:val="center"/>
            <w:hideMark/>
          </w:tcPr>
          <w:p w14:paraId="19F4201B" w14:textId="3A11ABDE" w:rsidR="00762B0A" w:rsidRPr="00762B0A" w:rsidRDefault="00762B0A" w:rsidP="00762B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0,35</w:t>
            </w:r>
          </w:p>
        </w:tc>
      </w:tr>
      <w:tr w:rsidR="00762B0A" w:rsidRPr="00762B0A" w14:paraId="536E0C28" w14:textId="77777777" w:rsidTr="00762B0A">
        <w:trPr>
          <w:trHeight w:val="255"/>
        </w:trPr>
        <w:tc>
          <w:tcPr>
            <w:cnfStyle w:val="001000000000" w:firstRow="0" w:lastRow="0" w:firstColumn="1" w:lastColumn="0" w:oddVBand="0" w:evenVBand="0" w:oddHBand="0" w:evenHBand="0" w:firstRowFirstColumn="0" w:firstRowLastColumn="0" w:lastRowFirstColumn="0" w:lastRowLastColumn="0"/>
            <w:tcW w:w="3223" w:type="dxa"/>
            <w:vMerge/>
            <w:hideMark/>
          </w:tcPr>
          <w:p w14:paraId="6B2D0A29"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39EBB557" w14:textId="77777777" w:rsidR="00762B0A" w:rsidRPr="00762B0A" w:rsidRDefault="00762B0A" w:rsidP="00762B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Pašu ieņēmumi un maksas pakalpojumi</w:t>
            </w:r>
          </w:p>
        </w:tc>
        <w:tc>
          <w:tcPr>
            <w:tcW w:w="1817" w:type="dxa"/>
            <w:noWrap/>
            <w:vAlign w:val="center"/>
            <w:hideMark/>
          </w:tcPr>
          <w:p w14:paraId="22989A8E" w14:textId="08DD93D5" w:rsidR="00762B0A" w:rsidRPr="00762B0A" w:rsidRDefault="00762B0A" w:rsidP="00762B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0,11</w:t>
            </w:r>
          </w:p>
        </w:tc>
      </w:tr>
      <w:tr w:rsidR="00762B0A" w:rsidRPr="00762B0A" w14:paraId="60316AF8" w14:textId="77777777" w:rsidTr="00762B0A">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3FD53AD0"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723E270F" w14:textId="77777777" w:rsidR="00762B0A" w:rsidRPr="00762B0A" w:rsidRDefault="00762B0A" w:rsidP="00762B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Pamatbudžeta pamatfunkciju primārie izdevumi (izņemot transfertus)</w:t>
            </w:r>
          </w:p>
        </w:tc>
        <w:tc>
          <w:tcPr>
            <w:tcW w:w="1817" w:type="dxa"/>
            <w:noWrap/>
            <w:vAlign w:val="center"/>
            <w:hideMark/>
          </w:tcPr>
          <w:p w14:paraId="556D610F" w14:textId="50960868" w:rsidR="00762B0A" w:rsidRPr="00762B0A" w:rsidRDefault="00762B0A" w:rsidP="00762B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0,20</w:t>
            </w:r>
          </w:p>
        </w:tc>
      </w:tr>
      <w:tr w:rsidR="00762B0A" w:rsidRPr="00762B0A" w14:paraId="05FBB8F6" w14:textId="77777777" w:rsidTr="00762B0A">
        <w:trPr>
          <w:trHeight w:val="185"/>
        </w:trPr>
        <w:tc>
          <w:tcPr>
            <w:cnfStyle w:val="001000000000" w:firstRow="0" w:lastRow="0" w:firstColumn="1" w:lastColumn="0" w:oddVBand="0" w:evenVBand="0" w:oddHBand="0" w:evenHBand="0" w:firstRowFirstColumn="0" w:firstRowLastColumn="0" w:lastRowFirstColumn="0" w:lastRowLastColumn="0"/>
            <w:tcW w:w="3223" w:type="dxa"/>
            <w:vMerge/>
            <w:hideMark/>
          </w:tcPr>
          <w:p w14:paraId="62E182DC"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006618CD" w14:textId="77777777" w:rsidR="00762B0A" w:rsidRPr="00762B0A" w:rsidRDefault="00762B0A" w:rsidP="00762B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Speciālā budžeta izdevumi (izņemot transfertus)</w:t>
            </w:r>
          </w:p>
        </w:tc>
        <w:tc>
          <w:tcPr>
            <w:tcW w:w="1817" w:type="dxa"/>
            <w:noWrap/>
            <w:vAlign w:val="center"/>
            <w:hideMark/>
          </w:tcPr>
          <w:p w14:paraId="67D23302" w14:textId="2D31913F" w:rsidR="00762B0A" w:rsidRPr="00762B0A" w:rsidRDefault="00762B0A" w:rsidP="00762B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0,24</w:t>
            </w:r>
          </w:p>
        </w:tc>
      </w:tr>
      <w:tr w:rsidR="00762B0A" w:rsidRPr="00762B0A" w14:paraId="40FE6018" w14:textId="77777777" w:rsidTr="00762B0A">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223" w:type="dxa"/>
            <w:vMerge/>
            <w:hideMark/>
          </w:tcPr>
          <w:p w14:paraId="24F36014"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27B9A746" w14:textId="77777777" w:rsidR="00762B0A" w:rsidRPr="00762B0A" w:rsidRDefault="00762B0A" w:rsidP="00762B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Pašvaldību budžeta pamatfunkciju primārie izdevumi (izņemot transfertus)</w:t>
            </w:r>
          </w:p>
        </w:tc>
        <w:tc>
          <w:tcPr>
            <w:tcW w:w="1817" w:type="dxa"/>
            <w:noWrap/>
            <w:vAlign w:val="center"/>
            <w:hideMark/>
          </w:tcPr>
          <w:p w14:paraId="1852F143" w14:textId="03F06F5A" w:rsidR="00762B0A" w:rsidRPr="00762B0A" w:rsidRDefault="00762B0A" w:rsidP="00762B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-0,40</w:t>
            </w:r>
          </w:p>
        </w:tc>
      </w:tr>
      <w:tr w:rsidR="00762B0A" w:rsidRPr="00762B0A" w14:paraId="351B46FE" w14:textId="77777777" w:rsidTr="00762B0A">
        <w:trPr>
          <w:trHeight w:val="22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79B960DE"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57C610EB" w14:textId="77777777" w:rsidR="00762B0A" w:rsidRPr="00762B0A" w:rsidRDefault="00762B0A" w:rsidP="00762B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Atvasināto publisko personu izdevumi (izņemot transfertus)</w:t>
            </w:r>
          </w:p>
        </w:tc>
        <w:tc>
          <w:tcPr>
            <w:tcW w:w="1817" w:type="dxa"/>
            <w:noWrap/>
            <w:vAlign w:val="center"/>
            <w:hideMark/>
          </w:tcPr>
          <w:p w14:paraId="6483F357" w14:textId="3EF2DD5E" w:rsidR="00762B0A" w:rsidRPr="00762B0A" w:rsidRDefault="00762B0A" w:rsidP="00762B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0,04</w:t>
            </w:r>
          </w:p>
        </w:tc>
      </w:tr>
      <w:tr w:rsidR="00762B0A" w:rsidRPr="00762B0A" w14:paraId="7E3C1B18" w14:textId="77777777" w:rsidTr="00762B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223" w:type="dxa"/>
            <w:vMerge/>
          </w:tcPr>
          <w:p w14:paraId="727F57CF" w14:textId="77777777" w:rsidR="00762B0A" w:rsidRPr="00762B0A" w:rsidRDefault="00762B0A" w:rsidP="00762B0A">
            <w:pPr>
              <w:rPr>
                <w:rFonts w:eastAsia="Times New Roman" w:cs="Times New Roman"/>
                <w:color w:val="000000"/>
                <w:sz w:val="22"/>
                <w:lang w:eastAsia="lv-LV"/>
              </w:rPr>
            </w:pPr>
          </w:p>
        </w:tc>
        <w:tc>
          <w:tcPr>
            <w:tcW w:w="4594" w:type="dxa"/>
            <w:noWrap/>
          </w:tcPr>
          <w:p w14:paraId="1A58A2BA" w14:textId="77777777" w:rsidR="00762B0A" w:rsidRPr="00762B0A" w:rsidRDefault="00762B0A" w:rsidP="00762B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 xml:space="preserve">Procentu izdevumi </w:t>
            </w:r>
          </w:p>
        </w:tc>
        <w:tc>
          <w:tcPr>
            <w:tcW w:w="1817" w:type="dxa"/>
            <w:noWrap/>
            <w:vAlign w:val="center"/>
          </w:tcPr>
          <w:p w14:paraId="55677D3B" w14:textId="0F5C9E73" w:rsidR="00762B0A" w:rsidRPr="00762B0A" w:rsidRDefault="00762B0A" w:rsidP="00762B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-0,16</w:t>
            </w:r>
          </w:p>
        </w:tc>
      </w:tr>
      <w:tr w:rsidR="00762B0A" w:rsidRPr="00762B0A" w14:paraId="10E796CD" w14:textId="77777777" w:rsidTr="00762B0A">
        <w:trPr>
          <w:trHeight w:val="11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62E85FAD"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07AB68B6" w14:textId="77777777" w:rsidR="00762B0A" w:rsidRPr="00762B0A" w:rsidRDefault="00762B0A" w:rsidP="00762B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Pieklasificēto komersantu bilance</w:t>
            </w:r>
          </w:p>
        </w:tc>
        <w:tc>
          <w:tcPr>
            <w:tcW w:w="1817" w:type="dxa"/>
            <w:noWrap/>
            <w:vAlign w:val="center"/>
            <w:hideMark/>
          </w:tcPr>
          <w:p w14:paraId="55DCC111" w14:textId="38DFAF83" w:rsidR="00762B0A" w:rsidRPr="00762B0A" w:rsidRDefault="00762B0A" w:rsidP="00762B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-0,26</w:t>
            </w:r>
          </w:p>
        </w:tc>
      </w:tr>
      <w:tr w:rsidR="00762B0A" w:rsidRPr="00762B0A" w14:paraId="2B6AFA61" w14:textId="77777777" w:rsidTr="00762B0A">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223" w:type="dxa"/>
            <w:vMerge/>
            <w:hideMark/>
          </w:tcPr>
          <w:p w14:paraId="1F90DFFC"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13ED9227" w14:textId="77777777" w:rsidR="00762B0A" w:rsidRPr="00762B0A" w:rsidRDefault="00762B0A" w:rsidP="00762B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ĀFP nacionālā līdzfinansējuma izdevumi</w:t>
            </w:r>
          </w:p>
        </w:tc>
        <w:tc>
          <w:tcPr>
            <w:tcW w:w="1817" w:type="dxa"/>
            <w:noWrap/>
            <w:vAlign w:val="center"/>
            <w:hideMark/>
          </w:tcPr>
          <w:p w14:paraId="1C0CA036" w14:textId="27D33481" w:rsidR="00762B0A" w:rsidRPr="00762B0A" w:rsidRDefault="00B400DB" w:rsidP="00762B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-0,5</w:t>
            </w:r>
            <w:r>
              <w:rPr>
                <w:rFonts w:eastAsia="Times New Roman" w:cs="Times New Roman"/>
                <w:color w:val="000000"/>
                <w:sz w:val="22"/>
                <w:lang w:eastAsia="lv-LV"/>
              </w:rPr>
              <w:t>2</w:t>
            </w:r>
          </w:p>
        </w:tc>
      </w:tr>
      <w:tr w:rsidR="00762B0A" w:rsidRPr="00762B0A" w14:paraId="0E608492" w14:textId="77777777" w:rsidTr="00762B0A">
        <w:trPr>
          <w:trHeight w:val="166"/>
        </w:trPr>
        <w:tc>
          <w:tcPr>
            <w:cnfStyle w:val="001000000000" w:firstRow="0" w:lastRow="0" w:firstColumn="1" w:lastColumn="0" w:oddVBand="0" w:evenVBand="0" w:oddHBand="0" w:evenHBand="0" w:firstRowFirstColumn="0" w:firstRowLastColumn="0" w:lastRowFirstColumn="0" w:lastRowLastColumn="0"/>
            <w:tcW w:w="3223" w:type="dxa"/>
            <w:vMerge/>
            <w:hideMark/>
          </w:tcPr>
          <w:p w14:paraId="42142F02" w14:textId="77777777" w:rsidR="00762B0A" w:rsidRPr="00762B0A" w:rsidRDefault="00762B0A" w:rsidP="00762B0A">
            <w:pPr>
              <w:rPr>
                <w:rFonts w:eastAsia="Times New Roman" w:cs="Times New Roman"/>
                <w:color w:val="000000"/>
                <w:sz w:val="22"/>
                <w:lang w:eastAsia="lv-LV"/>
              </w:rPr>
            </w:pPr>
          </w:p>
        </w:tc>
        <w:tc>
          <w:tcPr>
            <w:tcW w:w="4594" w:type="dxa"/>
            <w:noWrap/>
            <w:hideMark/>
          </w:tcPr>
          <w:p w14:paraId="1B5C3C6A" w14:textId="77777777" w:rsidR="00762B0A" w:rsidRPr="00762B0A" w:rsidRDefault="00762B0A" w:rsidP="00762B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Pārējās izmaiņas</w:t>
            </w:r>
          </w:p>
        </w:tc>
        <w:tc>
          <w:tcPr>
            <w:tcW w:w="1817" w:type="dxa"/>
            <w:noWrap/>
            <w:vAlign w:val="center"/>
            <w:hideMark/>
          </w:tcPr>
          <w:p w14:paraId="3C867C6F" w14:textId="6C91FBB2" w:rsidR="00762B0A" w:rsidRPr="00762B0A" w:rsidRDefault="00B400DB" w:rsidP="00762B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762B0A">
              <w:rPr>
                <w:rFonts w:eastAsia="Times New Roman" w:cs="Times New Roman"/>
                <w:color w:val="000000"/>
                <w:sz w:val="22"/>
                <w:lang w:eastAsia="lv-LV"/>
              </w:rPr>
              <w:t>0,2</w:t>
            </w:r>
            <w:r>
              <w:rPr>
                <w:rFonts w:eastAsia="Times New Roman" w:cs="Times New Roman"/>
                <w:color w:val="000000"/>
                <w:sz w:val="22"/>
                <w:lang w:eastAsia="lv-LV"/>
              </w:rPr>
              <w:t>7</w:t>
            </w:r>
          </w:p>
        </w:tc>
      </w:tr>
      <w:tr w:rsidR="00762B0A" w:rsidRPr="00762B0A" w14:paraId="0003FD48" w14:textId="77777777" w:rsidTr="00762B0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23" w:type="dxa"/>
            <w:noWrap/>
            <w:hideMark/>
          </w:tcPr>
          <w:p w14:paraId="27CA8B24" w14:textId="361896F0" w:rsidR="00762B0A" w:rsidRPr="00762B0A" w:rsidRDefault="00762B0A" w:rsidP="00762B0A">
            <w:pPr>
              <w:jc w:val="center"/>
              <w:rPr>
                <w:rFonts w:eastAsia="Times New Roman" w:cs="Times New Roman"/>
                <w:color w:val="000000"/>
                <w:sz w:val="22"/>
                <w:lang w:eastAsia="lv-LV"/>
              </w:rPr>
            </w:pPr>
            <w:r w:rsidRPr="00762B0A">
              <w:rPr>
                <w:rFonts w:eastAsia="Times New Roman" w:cs="Times New Roman"/>
                <w:color w:val="000000"/>
                <w:sz w:val="22"/>
                <w:lang w:eastAsia="lv-LV"/>
              </w:rPr>
              <w:t>2018.gada izpilde</w:t>
            </w:r>
          </w:p>
        </w:tc>
        <w:tc>
          <w:tcPr>
            <w:tcW w:w="4594" w:type="dxa"/>
            <w:noWrap/>
            <w:hideMark/>
          </w:tcPr>
          <w:p w14:paraId="20489D1A" w14:textId="77777777" w:rsidR="00762B0A" w:rsidRPr="00762B0A" w:rsidRDefault="00762B0A" w:rsidP="00762B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762B0A">
              <w:rPr>
                <w:rFonts w:eastAsia="Times New Roman" w:cs="Times New Roman"/>
                <w:b/>
                <w:bCs/>
                <w:color w:val="000000"/>
                <w:sz w:val="22"/>
                <w:lang w:eastAsia="lv-LV"/>
              </w:rPr>
              <w:t>Vispārējās valdības sektora B.9</w:t>
            </w:r>
          </w:p>
        </w:tc>
        <w:tc>
          <w:tcPr>
            <w:tcW w:w="1817" w:type="dxa"/>
            <w:noWrap/>
            <w:vAlign w:val="center"/>
            <w:hideMark/>
          </w:tcPr>
          <w:p w14:paraId="1CBFAAB1" w14:textId="5F3FE8AE" w:rsidR="00762B0A" w:rsidRPr="00762B0A" w:rsidRDefault="00762B0A" w:rsidP="00B603B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762B0A">
              <w:rPr>
                <w:rFonts w:eastAsia="Times New Roman" w:cs="Times New Roman"/>
                <w:b/>
                <w:bCs/>
                <w:color w:val="000000"/>
                <w:sz w:val="22"/>
                <w:lang w:eastAsia="lv-LV"/>
              </w:rPr>
              <w:t>-0,8</w:t>
            </w:r>
          </w:p>
        </w:tc>
      </w:tr>
    </w:tbl>
    <w:p w14:paraId="2C852B4C" w14:textId="77777777" w:rsidR="00B14FC9" w:rsidRPr="00B14FC9" w:rsidRDefault="00B14FC9" w:rsidP="00762B0A">
      <w:pPr>
        <w:spacing w:before="120" w:after="0" w:line="240" w:lineRule="auto"/>
        <w:ind w:firstLine="720"/>
        <w:jc w:val="both"/>
        <w:rPr>
          <w:rFonts w:ascii="Times New Roman" w:hAnsi="Times New Roman" w:cs="Times New Roman"/>
          <w:bCs/>
          <w:sz w:val="16"/>
          <w:szCs w:val="16"/>
        </w:rPr>
      </w:pPr>
    </w:p>
    <w:p w14:paraId="1F914731" w14:textId="4344412D" w:rsidR="00762B0A" w:rsidRPr="00107589" w:rsidRDefault="00762B0A" w:rsidP="00B14FC9">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Atbilstoši faktiskajai izpildei </w:t>
      </w:r>
      <w:r w:rsidRPr="00107589">
        <w:rPr>
          <w:rFonts w:ascii="Times New Roman" w:hAnsi="Times New Roman" w:cs="Times New Roman"/>
          <w:b/>
          <w:bCs/>
          <w:sz w:val="24"/>
          <w:szCs w:val="24"/>
        </w:rPr>
        <w:t xml:space="preserve">2018.gada vispārējās valdības budžeta deficīts </w:t>
      </w:r>
      <w:r>
        <w:rPr>
          <w:rFonts w:ascii="Times New Roman" w:hAnsi="Times New Roman" w:cs="Times New Roman"/>
          <w:b/>
          <w:bCs/>
          <w:sz w:val="24"/>
          <w:szCs w:val="24"/>
        </w:rPr>
        <w:t>bija</w:t>
      </w:r>
      <w:r w:rsidRPr="00107589">
        <w:rPr>
          <w:rFonts w:ascii="Times New Roman" w:hAnsi="Times New Roman" w:cs="Times New Roman"/>
          <w:b/>
          <w:bCs/>
          <w:sz w:val="24"/>
          <w:szCs w:val="24"/>
        </w:rPr>
        <w:t xml:space="preserve"> </w:t>
      </w:r>
      <w:r>
        <w:rPr>
          <w:rFonts w:ascii="Times New Roman" w:hAnsi="Times New Roman" w:cs="Times New Roman"/>
          <w:b/>
          <w:bCs/>
          <w:sz w:val="24"/>
          <w:szCs w:val="24"/>
        </w:rPr>
        <w:t>0,8</w:t>
      </w:r>
      <w:r w:rsidRPr="00107589">
        <w:rPr>
          <w:rFonts w:ascii="Times New Roman" w:hAnsi="Times New Roman" w:cs="Times New Roman"/>
          <w:b/>
          <w:bCs/>
          <w:sz w:val="24"/>
          <w:szCs w:val="24"/>
        </w:rPr>
        <w:t xml:space="preserve">% no IKP apjomā, </w:t>
      </w:r>
      <w:r>
        <w:rPr>
          <w:rFonts w:ascii="Times New Roman" w:hAnsi="Times New Roman" w:cs="Times New Roman"/>
          <w:b/>
          <w:bCs/>
          <w:sz w:val="24"/>
          <w:szCs w:val="24"/>
        </w:rPr>
        <w:t>kas ir zemāks kā</w:t>
      </w:r>
      <w:r w:rsidRPr="001C4DDC">
        <w:rPr>
          <w:rFonts w:ascii="Times New Roman" w:hAnsi="Times New Roman" w:cs="Times New Roman"/>
          <w:b/>
          <w:bCs/>
          <w:sz w:val="24"/>
          <w:szCs w:val="24"/>
        </w:rPr>
        <w:t xml:space="preserve"> likumā</w:t>
      </w:r>
      <w:r>
        <w:rPr>
          <w:rFonts w:ascii="Times New Roman" w:hAnsi="Times New Roman" w:cs="Times New Roman"/>
          <w:b/>
          <w:bCs/>
          <w:sz w:val="24"/>
          <w:szCs w:val="24"/>
        </w:rPr>
        <w:t xml:space="preserve"> plānotais</w:t>
      </w:r>
      <w:r w:rsidRPr="001C4DDC">
        <w:rPr>
          <w:rFonts w:ascii="Times New Roman" w:hAnsi="Times New Roman" w:cs="Times New Roman"/>
          <w:b/>
          <w:bCs/>
          <w:sz w:val="24"/>
          <w:szCs w:val="24"/>
        </w:rPr>
        <w:t xml:space="preserve"> </w:t>
      </w:r>
      <w:r>
        <w:rPr>
          <w:rFonts w:ascii="Times New Roman" w:hAnsi="Times New Roman" w:cs="Times New Roman"/>
          <w:b/>
          <w:bCs/>
          <w:sz w:val="24"/>
          <w:szCs w:val="24"/>
        </w:rPr>
        <w:t>vispārējās valdības</w:t>
      </w:r>
      <w:r w:rsidRPr="001C4DDC">
        <w:rPr>
          <w:rFonts w:ascii="Times New Roman" w:hAnsi="Times New Roman" w:cs="Times New Roman"/>
          <w:b/>
          <w:bCs/>
          <w:sz w:val="24"/>
          <w:szCs w:val="24"/>
        </w:rPr>
        <w:t xml:space="preserve"> budžeta </w:t>
      </w:r>
      <w:r>
        <w:rPr>
          <w:rFonts w:ascii="Times New Roman" w:hAnsi="Times New Roman" w:cs="Times New Roman"/>
          <w:b/>
          <w:bCs/>
          <w:sz w:val="24"/>
          <w:szCs w:val="24"/>
        </w:rPr>
        <w:t>deficīta</w:t>
      </w:r>
      <w:r w:rsidRPr="001C4DDC">
        <w:rPr>
          <w:rFonts w:ascii="Times New Roman" w:hAnsi="Times New Roman" w:cs="Times New Roman"/>
          <w:b/>
          <w:bCs/>
          <w:sz w:val="24"/>
          <w:szCs w:val="24"/>
        </w:rPr>
        <w:t xml:space="preserve"> </w:t>
      </w:r>
      <w:r>
        <w:rPr>
          <w:rFonts w:ascii="Times New Roman" w:hAnsi="Times New Roman" w:cs="Times New Roman"/>
          <w:b/>
          <w:bCs/>
          <w:sz w:val="24"/>
          <w:szCs w:val="24"/>
        </w:rPr>
        <w:t>līmenis</w:t>
      </w:r>
      <w:r>
        <w:rPr>
          <w:rFonts w:ascii="Times New Roman" w:hAnsi="Times New Roman" w:cs="Times New Roman"/>
          <w:bCs/>
          <w:sz w:val="24"/>
          <w:szCs w:val="24"/>
        </w:rPr>
        <w:t>.</w:t>
      </w:r>
    </w:p>
    <w:p w14:paraId="2364E0FE" w14:textId="77777777" w:rsidR="00762B0A" w:rsidRDefault="00762B0A" w:rsidP="00762B0A">
      <w:pPr>
        <w:spacing w:after="0" w:line="240" w:lineRule="auto"/>
        <w:ind w:firstLine="720"/>
        <w:jc w:val="both"/>
        <w:rPr>
          <w:rFonts w:ascii="Times New Roman" w:hAnsi="Times New Roman" w:cs="Times New Roman"/>
          <w:bCs/>
          <w:sz w:val="24"/>
          <w:szCs w:val="24"/>
        </w:rPr>
      </w:pPr>
      <w:r w:rsidRPr="00D25EF5">
        <w:rPr>
          <w:rFonts w:ascii="Times New Roman" w:hAnsi="Times New Roman" w:cs="Times New Roman"/>
          <w:bCs/>
          <w:sz w:val="24"/>
          <w:szCs w:val="24"/>
        </w:rPr>
        <w:t>Nodo</w:t>
      </w:r>
      <w:r>
        <w:rPr>
          <w:rFonts w:ascii="Times New Roman" w:hAnsi="Times New Roman" w:cs="Times New Roman"/>
          <w:bCs/>
          <w:sz w:val="24"/>
          <w:szCs w:val="24"/>
        </w:rPr>
        <w:t xml:space="preserve">kļu ieņēmumi un nenodokļu ieņēmumi bija par 0,33% un 0,35% no IKP lielāki kā plānots budžeta likumā 2018.gadam. Būtisku nodokļu pieaugumu nodrošināja uzņēmumu ienākuma nodoklis (UIN), kura faktiskā izpilde ir par 0,25% no IKP augstāka kā budžeta likumā prognozētā. UIN pieauguši ņemot vērā strauju iemaksu kāpumu pēc deklarāciju par 2017.gadu iesniegšanas. Atbilstoši uzņēmumu iesniegtajām deklarācijām uzņēmumu saimnieciskās darbības rādītāji bija labāki kā iepriekš prognozēts. Savukārt nenodokļu izpilde ir augstāka kā prognozēts ņemot vērā AS “Latvenergo” virspeļņas dividendes 0,21% apmērā no IKP. Jāpiebilst, </w:t>
      </w:r>
      <w:r w:rsidRPr="00BA6351">
        <w:rPr>
          <w:rFonts w:ascii="Times New Roman" w:hAnsi="Times New Roman" w:cs="Times New Roman"/>
          <w:bCs/>
          <w:sz w:val="24"/>
          <w:szCs w:val="24"/>
        </w:rPr>
        <w:t xml:space="preserve">ka virspeļņas dividendēm </w:t>
      </w:r>
      <w:r>
        <w:rPr>
          <w:rFonts w:ascii="Times New Roman" w:hAnsi="Times New Roman" w:cs="Times New Roman"/>
          <w:bCs/>
          <w:sz w:val="24"/>
          <w:szCs w:val="24"/>
        </w:rPr>
        <w:t>ir</w:t>
      </w:r>
      <w:r w:rsidRPr="00BA6351">
        <w:rPr>
          <w:rFonts w:ascii="Times New Roman" w:hAnsi="Times New Roman" w:cs="Times New Roman"/>
          <w:bCs/>
          <w:sz w:val="24"/>
          <w:szCs w:val="24"/>
        </w:rPr>
        <w:t xml:space="preserve"> neitrāla ietekme uz vispārējās valdības budžeta bilanci, jo </w:t>
      </w:r>
      <w:r>
        <w:rPr>
          <w:rFonts w:ascii="Times New Roman" w:hAnsi="Times New Roman" w:cs="Times New Roman"/>
          <w:bCs/>
          <w:sz w:val="24"/>
          <w:szCs w:val="24"/>
        </w:rPr>
        <w:t>tika</w:t>
      </w:r>
      <w:r w:rsidRPr="00BA6351">
        <w:rPr>
          <w:rFonts w:ascii="Times New Roman" w:hAnsi="Times New Roman" w:cs="Times New Roman"/>
          <w:bCs/>
          <w:sz w:val="24"/>
          <w:szCs w:val="24"/>
        </w:rPr>
        <w:t xml:space="preserve"> </w:t>
      </w:r>
      <w:r w:rsidRPr="00BA6351">
        <w:rPr>
          <w:rFonts w:ascii="Times New Roman" w:hAnsi="Times New Roman" w:cs="Times New Roman"/>
          <w:sz w:val="24"/>
          <w:szCs w:val="24"/>
        </w:rPr>
        <w:t xml:space="preserve">atzīti atbilstoši izdevumi, lai mazinātu </w:t>
      </w:r>
      <w:r>
        <w:rPr>
          <w:rFonts w:ascii="Times New Roman" w:hAnsi="Times New Roman" w:cs="Times New Roman"/>
          <w:sz w:val="24"/>
          <w:szCs w:val="24"/>
        </w:rPr>
        <w:t>OIK</w:t>
      </w:r>
      <w:r w:rsidRPr="00BA6351">
        <w:rPr>
          <w:rFonts w:ascii="Times New Roman" w:hAnsi="Times New Roman" w:cs="Times New Roman"/>
          <w:sz w:val="24"/>
          <w:szCs w:val="24"/>
        </w:rPr>
        <w:t xml:space="preserve"> apjomu elektroenerģijas gala lietotājiem</w:t>
      </w:r>
      <w:r>
        <w:rPr>
          <w:rFonts w:ascii="Times New Roman" w:hAnsi="Times New Roman" w:cs="Times New Roman"/>
          <w:sz w:val="24"/>
          <w:szCs w:val="24"/>
        </w:rPr>
        <w:t xml:space="preserve"> (atbilstoši izdevumi ir atzīti pieklasificēto uzņēmumu bilancē</w:t>
      </w:r>
      <w:r>
        <w:rPr>
          <w:rFonts w:ascii="Times New Roman" w:hAnsi="Times New Roman" w:cs="Times New Roman"/>
          <w:bCs/>
          <w:sz w:val="24"/>
          <w:szCs w:val="24"/>
        </w:rPr>
        <w:t>).</w:t>
      </w:r>
      <w:r>
        <w:rPr>
          <w:rFonts w:ascii="Times New Roman" w:hAnsi="Times New Roman" w:cs="Times New Roman"/>
          <w:sz w:val="24"/>
          <w:szCs w:val="24"/>
        </w:rPr>
        <w:t xml:space="preserve"> </w:t>
      </w:r>
    </w:p>
    <w:p w14:paraId="701840F8" w14:textId="77777777" w:rsidR="00762B0A" w:rsidRDefault="00762B0A" w:rsidP="00762B0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Pamatbudžeta pamatfunkciju primārie izdevumi ir zemākā apjomā kā sākotnēji plānots, kā rezultātā vispārējā valdības budžeta bilancē veidojas ietaupījums 0,20% apmērā no IKP. Ietaupījumu 0,09% apmērā no IKP nodrošināja iemaksu samazinājums ES budžetā. Speciālā budžeta izdevumi ir zemāki kā sākotnēji plānots, kā rezultātā vispārējā valdības budžeta bilancē veidojas ietaupījums 0,24% apmērā no IKP, ko nodrošina zemākas sociālo pabalstu izmaksas (0,18%) un zemāki izdevumi pensijām (0,06%).</w:t>
      </w:r>
    </w:p>
    <w:p w14:paraId="6D815BFB" w14:textId="77777777" w:rsidR="00762B0A" w:rsidRDefault="00762B0A" w:rsidP="00762B0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Pašvaldību budžeta pamatfunkciju primārie izdevumi ir par 0,40% no IKP augstāki kā plānots. Būtiski pieaugumu nodrošina pamatfunkciju kapitālie izdevumi, kas pieauga par 0,32% no IKP un augstāki izdevumi precēm un pakalpojumiem, kas veicināja kopējo uzturēšanas izdevumu pieaugumu par 0,08% no IKP. </w:t>
      </w:r>
    </w:p>
    <w:p w14:paraId="16B2AFFC" w14:textId="6FF4AD2C" w:rsidR="00762B0A" w:rsidRDefault="00762B0A" w:rsidP="00762B0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Lielāko ietekmi uz vispārējās valdības budžeta bilances deficītu veidoja lielāki nacionālie līdzfinansējuma izdevumi ārvalstu finanšu palīdzības (turpmāk </w:t>
      </w:r>
      <w:r w:rsidR="00594149" w:rsidRPr="00835CFD">
        <w:rPr>
          <w:rFonts w:ascii="Times New Roman" w:hAnsi="Times New Roman" w:cs="Times New Roman"/>
          <w:color w:val="000000"/>
          <w:sz w:val="24"/>
          <w:szCs w:val="24"/>
        </w:rPr>
        <w:t>–</w:t>
      </w:r>
      <w:r>
        <w:rPr>
          <w:rFonts w:ascii="Times New Roman" w:hAnsi="Times New Roman" w:cs="Times New Roman"/>
          <w:bCs/>
          <w:sz w:val="24"/>
          <w:szCs w:val="24"/>
        </w:rPr>
        <w:t xml:space="preserve"> ĀFP) projektu realizācijai, tostarp ES fondu projektu realizācijai. Izdevumi ĀFP projektiem pieaug gan valsts pamatbudžetā, pašvaldību budžetā. </w:t>
      </w:r>
    </w:p>
    <w:p w14:paraId="12828D6B" w14:textId="3771DCC4" w:rsidR="003063F3" w:rsidRDefault="00762B0A" w:rsidP="00B603B9">
      <w:pPr>
        <w:jc w:val="both"/>
        <w:rPr>
          <w:rFonts w:ascii="Times New Roman" w:hAnsi="Times New Roman" w:cs="Times New Roman"/>
          <w:bCs/>
          <w:sz w:val="24"/>
          <w:szCs w:val="24"/>
        </w:rPr>
      </w:pPr>
      <w:r>
        <w:rPr>
          <w:rFonts w:ascii="Times New Roman" w:hAnsi="Times New Roman" w:cs="Times New Roman"/>
          <w:bCs/>
          <w:sz w:val="24"/>
          <w:szCs w:val="24"/>
        </w:rPr>
        <w:lastRenderedPageBreak/>
        <w:t>Pārējās izmaiņas veidoja 0,2</w:t>
      </w:r>
      <w:r w:rsidR="00B17D38">
        <w:rPr>
          <w:rFonts w:ascii="Times New Roman" w:hAnsi="Times New Roman" w:cs="Times New Roman"/>
          <w:bCs/>
          <w:sz w:val="24"/>
          <w:szCs w:val="24"/>
        </w:rPr>
        <w:t>7</w:t>
      </w:r>
      <w:r>
        <w:rPr>
          <w:rFonts w:ascii="Times New Roman" w:hAnsi="Times New Roman" w:cs="Times New Roman"/>
          <w:bCs/>
          <w:sz w:val="24"/>
          <w:szCs w:val="24"/>
        </w:rPr>
        <w:t xml:space="preserve">% no IKP, no kurām debitoru un kreditoru plūsmas ietekme uz vispārējās valdības budžeta bilanci vērtējama 0,13% no IKP apmērā. Līdzīgi kā 2017.gadā, 2018.gadā fiskālā nodrošinājuma rezerve nodrošināja ietaupījumu 0,1% apmērā no IKP. </w:t>
      </w:r>
    </w:p>
    <w:p w14:paraId="470EFB67" w14:textId="797EEABC" w:rsidR="003063F3" w:rsidRDefault="003063F3" w:rsidP="003063F3">
      <w:pPr>
        <w:spacing w:before="120"/>
        <w:jc w:val="right"/>
        <w:rPr>
          <w:rFonts w:ascii="Times New Roman" w:hAnsi="Times New Roman" w:cs="Times New Roman"/>
          <w:b/>
          <w:bCs/>
          <w:sz w:val="24"/>
          <w:szCs w:val="24"/>
        </w:rPr>
      </w:pPr>
      <w:r w:rsidRPr="000E5816">
        <w:rPr>
          <w:rFonts w:ascii="Times New Roman" w:hAnsi="Times New Roman" w:cs="Times New Roman"/>
          <w:b/>
          <w:bCs/>
          <w:sz w:val="24"/>
          <w:szCs w:val="24"/>
        </w:rPr>
        <w:t>Tabula Nr.</w:t>
      </w:r>
      <w:r w:rsidR="00CD5476">
        <w:rPr>
          <w:rFonts w:ascii="Times New Roman" w:hAnsi="Times New Roman" w:cs="Times New Roman"/>
          <w:b/>
          <w:bCs/>
          <w:sz w:val="24"/>
          <w:szCs w:val="24"/>
        </w:rPr>
        <w:t>18</w:t>
      </w:r>
      <w:r w:rsidR="00881AB6" w:rsidRPr="000E5816">
        <w:rPr>
          <w:rFonts w:ascii="Times New Roman" w:hAnsi="Times New Roman" w:cs="Times New Roman"/>
          <w:b/>
          <w:bCs/>
          <w:sz w:val="24"/>
          <w:szCs w:val="24"/>
        </w:rPr>
        <w:t xml:space="preserve"> </w:t>
      </w:r>
      <w:r w:rsidRPr="000E5816">
        <w:rPr>
          <w:rFonts w:ascii="Times New Roman" w:hAnsi="Times New Roman" w:cs="Times New Roman"/>
          <w:b/>
          <w:bCs/>
          <w:sz w:val="24"/>
          <w:szCs w:val="24"/>
        </w:rPr>
        <w:t>Izmaiņas vispārējās valdības sektora fiskālajā bilancē 201</w:t>
      </w:r>
      <w:r>
        <w:rPr>
          <w:rFonts w:ascii="Times New Roman" w:hAnsi="Times New Roman" w:cs="Times New Roman"/>
          <w:b/>
          <w:bCs/>
          <w:sz w:val="24"/>
          <w:szCs w:val="24"/>
        </w:rPr>
        <w:t>9</w:t>
      </w:r>
      <w:r w:rsidRPr="000E5816">
        <w:rPr>
          <w:rFonts w:ascii="Times New Roman" w:hAnsi="Times New Roman" w:cs="Times New Roman"/>
          <w:b/>
          <w:bCs/>
          <w:sz w:val="24"/>
          <w:szCs w:val="24"/>
        </w:rPr>
        <w:t>.gadam</w:t>
      </w:r>
      <w:r w:rsidR="00966F53">
        <w:rPr>
          <w:rFonts w:ascii="Times New Roman" w:hAnsi="Times New Roman" w:cs="Times New Roman"/>
          <w:b/>
          <w:bCs/>
          <w:sz w:val="24"/>
          <w:szCs w:val="24"/>
        </w:rPr>
        <w:t>,</w:t>
      </w:r>
      <w:r w:rsidRPr="000E5816">
        <w:rPr>
          <w:rFonts w:ascii="Times New Roman" w:hAnsi="Times New Roman" w:cs="Times New Roman"/>
          <w:b/>
          <w:bCs/>
          <w:sz w:val="24"/>
          <w:szCs w:val="24"/>
        </w:rPr>
        <w:t xml:space="preserve"> % no IKP</w:t>
      </w:r>
    </w:p>
    <w:tbl>
      <w:tblPr>
        <w:tblStyle w:val="GridTable6Colorful-Accent11"/>
        <w:tblW w:w="9634" w:type="dxa"/>
        <w:tblLook w:val="04A0" w:firstRow="1" w:lastRow="0" w:firstColumn="1" w:lastColumn="0" w:noHBand="0" w:noVBand="1"/>
      </w:tblPr>
      <w:tblGrid>
        <w:gridCol w:w="3223"/>
        <w:gridCol w:w="4594"/>
        <w:gridCol w:w="1817"/>
      </w:tblGrid>
      <w:tr w:rsidR="003063F3" w:rsidRPr="00120DF9" w14:paraId="29BBA9C2" w14:textId="77777777" w:rsidTr="00E32E5E">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223" w:type="dxa"/>
            <w:noWrap/>
            <w:hideMark/>
          </w:tcPr>
          <w:p w14:paraId="24CF7A0F" w14:textId="77777777" w:rsidR="003063F3" w:rsidRPr="00120DF9" w:rsidRDefault="003063F3" w:rsidP="00E32E5E">
            <w:pPr>
              <w:jc w:val="center"/>
              <w:rPr>
                <w:rFonts w:eastAsia="Times New Roman" w:cs="Times New Roman"/>
                <w:color w:val="000000"/>
                <w:sz w:val="22"/>
                <w:lang w:eastAsia="lv-LV"/>
              </w:rPr>
            </w:pPr>
            <w:r w:rsidRPr="00120DF9">
              <w:rPr>
                <w:rFonts w:eastAsia="Times New Roman" w:cs="Times New Roman"/>
                <w:color w:val="000000"/>
                <w:sz w:val="22"/>
                <w:lang w:eastAsia="lv-LV"/>
              </w:rPr>
              <w:t>Iterācija</w:t>
            </w:r>
          </w:p>
        </w:tc>
        <w:tc>
          <w:tcPr>
            <w:tcW w:w="4594" w:type="dxa"/>
            <w:noWrap/>
            <w:hideMark/>
          </w:tcPr>
          <w:p w14:paraId="468A4A8B" w14:textId="77777777" w:rsidR="003063F3" w:rsidRPr="00120DF9" w:rsidRDefault="003063F3" w:rsidP="00E32E5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Raksturlielums</w:t>
            </w:r>
          </w:p>
        </w:tc>
        <w:tc>
          <w:tcPr>
            <w:tcW w:w="1817" w:type="dxa"/>
            <w:noWrap/>
            <w:vAlign w:val="center"/>
            <w:hideMark/>
          </w:tcPr>
          <w:p w14:paraId="425AA012" w14:textId="77777777" w:rsidR="003063F3" w:rsidRPr="00120DF9" w:rsidRDefault="003063F3" w:rsidP="00E32E5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201</w:t>
            </w:r>
            <w:r>
              <w:rPr>
                <w:rFonts w:eastAsia="Times New Roman" w:cs="Times New Roman"/>
                <w:color w:val="000000"/>
                <w:sz w:val="22"/>
                <w:lang w:eastAsia="lv-LV"/>
              </w:rPr>
              <w:t>9</w:t>
            </w:r>
          </w:p>
        </w:tc>
      </w:tr>
      <w:tr w:rsidR="003063F3" w:rsidRPr="00120DF9" w14:paraId="21899EFA" w14:textId="77777777" w:rsidTr="00E32E5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23" w:type="dxa"/>
            <w:noWrap/>
            <w:hideMark/>
          </w:tcPr>
          <w:p w14:paraId="1F6C3B70" w14:textId="5F26C4F9" w:rsidR="003063F3" w:rsidRPr="00120DF9" w:rsidRDefault="00BA65C6" w:rsidP="00E32E5E">
            <w:pPr>
              <w:jc w:val="center"/>
              <w:rPr>
                <w:rFonts w:eastAsia="Times New Roman" w:cs="Times New Roman"/>
                <w:color w:val="000000"/>
                <w:sz w:val="22"/>
                <w:lang w:eastAsia="lv-LV"/>
              </w:rPr>
            </w:pPr>
            <w:r>
              <w:rPr>
                <w:rFonts w:eastAsia="Times New Roman" w:cs="Times New Roman"/>
                <w:color w:val="000000"/>
                <w:sz w:val="22"/>
                <w:lang w:eastAsia="lv-LV"/>
              </w:rPr>
              <w:t>Budžeta likums 2019.</w:t>
            </w:r>
            <w:r w:rsidR="003063F3">
              <w:rPr>
                <w:rFonts w:eastAsia="Times New Roman" w:cs="Times New Roman"/>
                <w:color w:val="000000"/>
                <w:sz w:val="22"/>
                <w:lang w:eastAsia="lv-LV"/>
              </w:rPr>
              <w:t>gadam</w:t>
            </w:r>
          </w:p>
        </w:tc>
        <w:tc>
          <w:tcPr>
            <w:tcW w:w="4594" w:type="dxa"/>
            <w:noWrap/>
            <w:hideMark/>
          </w:tcPr>
          <w:p w14:paraId="163107DD" w14:textId="77777777" w:rsidR="003063F3" w:rsidRPr="00120DF9" w:rsidRDefault="003063F3" w:rsidP="00E32E5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120DF9">
              <w:rPr>
                <w:rFonts w:eastAsia="Times New Roman" w:cs="Times New Roman"/>
                <w:b/>
                <w:bCs/>
                <w:color w:val="000000"/>
                <w:sz w:val="22"/>
                <w:lang w:eastAsia="lv-LV"/>
              </w:rPr>
              <w:t>Vispārējās valdības sektora B.9</w:t>
            </w:r>
          </w:p>
        </w:tc>
        <w:tc>
          <w:tcPr>
            <w:tcW w:w="1817" w:type="dxa"/>
            <w:noWrap/>
            <w:vAlign w:val="center"/>
            <w:hideMark/>
          </w:tcPr>
          <w:p w14:paraId="72076A65" w14:textId="77777777" w:rsidR="003063F3" w:rsidRPr="00120DF9" w:rsidRDefault="003063F3" w:rsidP="00E32E5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120DF9">
              <w:rPr>
                <w:rFonts w:eastAsia="Times New Roman" w:cs="Times New Roman"/>
                <w:b/>
                <w:bCs/>
                <w:color w:val="000000"/>
                <w:sz w:val="22"/>
                <w:lang w:eastAsia="lv-LV"/>
              </w:rPr>
              <w:t>-</w:t>
            </w:r>
            <w:r>
              <w:rPr>
                <w:rFonts w:eastAsia="Times New Roman" w:cs="Times New Roman"/>
                <w:b/>
                <w:bCs/>
                <w:color w:val="000000"/>
                <w:sz w:val="22"/>
                <w:lang w:eastAsia="lv-LV"/>
              </w:rPr>
              <w:t>0,6</w:t>
            </w:r>
          </w:p>
        </w:tc>
      </w:tr>
      <w:tr w:rsidR="00B17D38" w:rsidRPr="00120DF9" w14:paraId="760196CD" w14:textId="77777777" w:rsidTr="00E32E5E">
        <w:trPr>
          <w:trHeight w:val="219"/>
        </w:trPr>
        <w:tc>
          <w:tcPr>
            <w:cnfStyle w:val="001000000000" w:firstRow="0" w:lastRow="0" w:firstColumn="1" w:lastColumn="0" w:oddVBand="0" w:evenVBand="0" w:oddHBand="0" w:evenHBand="0" w:firstRowFirstColumn="0" w:firstRowLastColumn="0" w:lastRowFirstColumn="0" w:lastRowLastColumn="0"/>
            <w:tcW w:w="3223" w:type="dxa"/>
            <w:vMerge w:val="restart"/>
            <w:hideMark/>
          </w:tcPr>
          <w:p w14:paraId="37A4A115" w14:textId="77777777" w:rsidR="00B17D38" w:rsidRPr="00120DF9" w:rsidRDefault="00B17D38" w:rsidP="00B17D38">
            <w:pPr>
              <w:jc w:val="center"/>
              <w:rPr>
                <w:rFonts w:eastAsia="Times New Roman" w:cs="Times New Roman"/>
                <w:color w:val="000000"/>
                <w:sz w:val="22"/>
                <w:lang w:eastAsia="lv-LV"/>
              </w:rPr>
            </w:pPr>
          </w:p>
          <w:p w14:paraId="41C46850" w14:textId="77777777" w:rsidR="00B17D38" w:rsidRPr="00120DF9" w:rsidRDefault="00B17D38" w:rsidP="00B17D38">
            <w:pPr>
              <w:jc w:val="center"/>
              <w:rPr>
                <w:rFonts w:eastAsia="Times New Roman" w:cs="Times New Roman"/>
                <w:color w:val="000000"/>
                <w:sz w:val="22"/>
                <w:lang w:eastAsia="lv-LV"/>
              </w:rPr>
            </w:pPr>
          </w:p>
          <w:p w14:paraId="26E29C0E" w14:textId="77777777" w:rsidR="00B17D38" w:rsidRPr="00120DF9" w:rsidRDefault="00B17D38" w:rsidP="00B17D38">
            <w:pPr>
              <w:jc w:val="center"/>
              <w:rPr>
                <w:rFonts w:eastAsia="Times New Roman" w:cs="Times New Roman"/>
                <w:color w:val="000000"/>
                <w:sz w:val="22"/>
                <w:lang w:eastAsia="lv-LV"/>
              </w:rPr>
            </w:pPr>
          </w:p>
          <w:p w14:paraId="5E899A81" w14:textId="77777777" w:rsidR="00B17D38" w:rsidRPr="00120DF9" w:rsidRDefault="00B17D38" w:rsidP="00B17D38">
            <w:pPr>
              <w:jc w:val="center"/>
              <w:rPr>
                <w:rFonts w:eastAsia="Times New Roman" w:cs="Times New Roman"/>
                <w:color w:val="000000"/>
                <w:sz w:val="22"/>
                <w:lang w:eastAsia="lv-LV"/>
              </w:rPr>
            </w:pPr>
          </w:p>
          <w:p w14:paraId="5FF92366" w14:textId="77777777" w:rsidR="00B17D38" w:rsidRPr="00120DF9" w:rsidRDefault="00B17D38" w:rsidP="00B17D38">
            <w:pPr>
              <w:jc w:val="center"/>
              <w:rPr>
                <w:rFonts w:eastAsia="Times New Roman" w:cs="Times New Roman"/>
                <w:color w:val="000000"/>
                <w:sz w:val="22"/>
                <w:lang w:eastAsia="lv-LV"/>
              </w:rPr>
            </w:pPr>
          </w:p>
          <w:p w14:paraId="73CFE667" w14:textId="77777777" w:rsidR="00B17D38" w:rsidRPr="00120DF9" w:rsidRDefault="00B17D38" w:rsidP="00B17D38">
            <w:pPr>
              <w:jc w:val="center"/>
              <w:rPr>
                <w:rFonts w:eastAsia="Times New Roman" w:cs="Times New Roman"/>
                <w:color w:val="000000"/>
                <w:sz w:val="22"/>
                <w:lang w:eastAsia="lv-LV"/>
              </w:rPr>
            </w:pPr>
            <w:r w:rsidRPr="00120DF9">
              <w:rPr>
                <w:rFonts w:eastAsia="Times New Roman" w:cs="Times New Roman"/>
                <w:color w:val="000000"/>
                <w:sz w:val="22"/>
                <w:lang w:eastAsia="lv-LV"/>
              </w:rPr>
              <w:t>Izmaiņu ietekme uz B.9</w:t>
            </w:r>
          </w:p>
        </w:tc>
        <w:tc>
          <w:tcPr>
            <w:tcW w:w="4594" w:type="dxa"/>
            <w:noWrap/>
            <w:hideMark/>
          </w:tcPr>
          <w:p w14:paraId="09C70245" w14:textId="77777777" w:rsidR="00B17D38" w:rsidRPr="00120DF9" w:rsidRDefault="00B17D38" w:rsidP="00B17D3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Nodokļu ieņēmumi</w:t>
            </w:r>
          </w:p>
        </w:tc>
        <w:tc>
          <w:tcPr>
            <w:tcW w:w="1817" w:type="dxa"/>
            <w:noWrap/>
            <w:vAlign w:val="center"/>
            <w:hideMark/>
          </w:tcPr>
          <w:p w14:paraId="32AEC67E" w14:textId="415589A5" w:rsidR="00B17D38" w:rsidRPr="0036300A" w:rsidRDefault="00B17D38" w:rsidP="00B17D3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36300A">
              <w:rPr>
                <w:rFonts w:eastAsia="Times New Roman" w:cs="Times New Roman"/>
                <w:color w:val="000000"/>
                <w:sz w:val="22"/>
                <w:lang w:eastAsia="lv-LV"/>
              </w:rPr>
              <w:t>0,</w:t>
            </w:r>
            <w:r>
              <w:rPr>
                <w:rFonts w:eastAsia="Times New Roman" w:cs="Times New Roman"/>
                <w:color w:val="000000"/>
                <w:sz w:val="22"/>
                <w:lang w:eastAsia="lv-LV"/>
              </w:rPr>
              <w:t>15</w:t>
            </w:r>
          </w:p>
        </w:tc>
      </w:tr>
      <w:tr w:rsidR="00B17D38" w:rsidRPr="00120DF9" w14:paraId="4BA13325" w14:textId="77777777" w:rsidTr="00E32E5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23" w:type="dxa"/>
            <w:vMerge/>
            <w:hideMark/>
          </w:tcPr>
          <w:p w14:paraId="36033E2B" w14:textId="77777777" w:rsidR="00B17D38" w:rsidRPr="00120DF9" w:rsidRDefault="00B17D38" w:rsidP="00B17D38">
            <w:pPr>
              <w:rPr>
                <w:rFonts w:eastAsia="Times New Roman" w:cs="Times New Roman"/>
                <w:color w:val="000000"/>
                <w:sz w:val="22"/>
                <w:lang w:eastAsia="lv-LV"/>
              </w:rPr>
            </w:pPr>
          </w:p>
        </w:tc>
        <w:tc>
          <w:tcPr>
            <w:tcW w:w="4594" w:type="dxa"/>
            <w:noWrap/>
            <w:hideMark/>
          </w:tcPr>
          <w:p w14:paraId="3574CFAA" w14:textId="77777777" w:rsidR="00B17D38" w:rsidRPr="00120DF9" w:rsidRDefault="00B17D38" w:rsidP="00B17D3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Nenodokļu ieņēmumi</w:t>
            </w:r>
          </w:p>
        </w:tc>
        <w:tc>
          <w:tcPr>
            <w:tcW w:w="1817" w:type="dxa"/>
            <w:noWrap/>
            <w:vAlign w:val="center"/>
            <w:hideMark/>
          </w:tcPr>
          <w:p w14:paraId="5D4F70A4" w14:textId="098E63A6" w:rsidR="00B17D38" w:rsidRPr="0036300A" w:rsidRDefault="00B17D38" w:rsidP="00B17D3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-0,33</w:t>
            </w:r>
          </w:p>
        </w:tc>
      </w:tr>
      <w:tr w:rsidR="003063F3" w:rsidRPr="00120DF9" w14:paraId="1EC77011" w14:textId="77777777" w:rsidTr="00E32E5E">
        <w:trPr>
          <w:trHeight w:val="255"/>
        </w:trPr>
        <w:tc>
          <w:tcPr>
            <w:cnfStyle w:val="001000000000" w:firstRow="0" w:lastRow="0" w:firstColumn="1" w:lastColumn="0" w:oddVBand="0" w:evenVBand="0" w:oddHBand="0" w:evenHBand="0" w:firstRowFirstColumn="0" w:firstRowLastColumn="0" w:lastRowFirstColumn="0" w:lastRowLastColumn="0"/>
            <w:tcW w:w="3223" w:type="dxa"/>
            <w:vMerge/>
            <w:hideMark/>
          </w:tcPr>
          <w:p w14:paraId="0233FE0B"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1FA5992E" w14:textId="77777777" w:rsidR="003063F3" w:rsidRPr="00120DF9" w:rsidRDefault="003063F3" w:rsidP="00E32E5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Pašu ieņēmumi un maksas pakalpojumi</w:t>
            </w:r>
          </w:p>
        </w:tc>
        <w:tc>
          <w:tcPr>
            <w:tcW w:w="1817" w:type="dxa"/>
            <w:noWrap/>
            <w:vAlign w:val="center"/>
            <w:hideMark/>
          </w:tcPr>
          <w:p w14:paraId="2EF2417F" w14:textId="77777777" w:rsidR="003063F3" w:rsidRPr="0036300A" w:rsidRDefault="003063F3" w:rsidP="00E32E5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36300A">
              <w:rPr>
                <w:rFonts w:eastAsia="Times New Roman" w:cs="Times New Roman"/>
                <w:color w:val="000000"/>
                <w:sz w:val="22"/>
                <w:lang w:eastAsia="lv-LV"/>
              </w:rPr>
              <w:t>0,</w:t>
            </w:r>
            <w:r>
              <w:rPr>
                <w:rFonts w:eastAsia="Times New Roman" w:cs="Times New Roman"/>
                <w:color w:val="000000"/>
                <w:sz w:val="22"/>
                <w:lang w:eastAsia="lv-LV"/>
              </w:rPr>
              <w:t>09</w:t>
            </w:r>
          </w:p>
        </w:tc>
      </w:tr>
      <w:tr w:rsidR="003063F3" w:rsidRPr="00120DF9" w14:paraId="2A82245F" w14:textId="77777777" w:rsidTr="00E32E5E">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6423083A"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2EFF80EC" w14:textId="77777777" w:rsidR="003063F3" w:rsidRPr="00120DF9" w:rsidRDefault="003063F3" w:rsidP="00E32E5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Pamatbudžeta pamatfunkciju primārie izdevumi (izņemot transfertus)</w:t>
            </w:r>
          </w:p>
        </w:tc>
        <w:tc>
          <w:tcPr>
            <w:tcW w:w="1817" w:type="dxa"/>
            <w:noWrap/>
            <w:vAlign w:val="center"/>
            <w:hideMark/>
          </w:tcPr>
          <w:p w14:paraId="1B01AE23" w14:textId="77777777" w:rsidR="003063F3" w:rsidRPr="0036300A" w:rsidRDefault="003063F3" w:rsidP="00E32E5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-0,05</w:t>
            </w:r>
          </w:p>
        </w:tc>
      </w:tr>
      <w:tr w:rsidR="003063F3" w:rsidRPr="00120DF9" w14:paraId="1757EDE3" w14:textId="77777777" w:rsidTr="00E32E5E">
        <w:trPr>
          <w:trHeight w:val="185"/>
        </w:trPr>
        <w:tc>
          <w:tcPr>
            <w:cnfStyle w:val="001000000000" w:firstRow="0" w:lastRow="0" w:firstColumn="1" w:lastColumn="0" w:oddVBand="0" w:evenVBand="0" w:oddHBand="0" w:evenHBand="0" w:firstRowFirstColumn="0" w:firstRowLastColumn="0" w:lastRowFirstColumn="0" w:lastRowLastColumn="0"/>
            <w:tcW w:w="3223" w:type="dxa"/>
            <w:vMerge/>
            <w:hideMark/>
          </w:tcPr>
          <w:p w14:paraId="5DBA1811"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473A2FEC" w14:textId="77777777" w:rsidR="003063F3" w:rsidRPr="00120DF9" w:rsidRDefault="003063F3" w:rsidP="00E32E5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Speciālā budžeta izdevumi (izņemot transfertus)</w:t>
            </w:r>
          </w:p>
        </w:tc>
        <w:tc>
          <w:tcPr>
            <w:tcW w:w="1817" w:type="dxa"/>
            <w:noWrap/>
            <w:vAlign w:val="center"/>
            <w:hideMark/>
          </w:tcPr>
          <w:p w14:paraId="1E4D5238" w14:textId="77777777" w:rsidR="003063F3" w:rsidRPr="0036300A" w:rsidRDefault="003063F3" w:rsidP="00E32E5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0,05</w:t>
            </w:r>
          </w:p>
        </w:tc>
      </w:tr>
      <w:tr w:rsidR="003063F3" w:rsidRPr="00120DF9" w14:paraId="09569BA1" w14:textId="77777777" w:rsidTr="00E32E5E">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223" w:type="dxa"/>
            <w:vMerge/>
            <w:hideMark/>
          </w:tcPr>
          <w:p w14:paraId="234DD224"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7B837D26" w14:textId="77777777" w:rsidR="003063F3" w:rsidRPr="00120DF9" w:rsidRDefault="003063F3" w:rsidP="00E32E5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Pašvaldību budžeta pamatfunkciju primārie izdevumi (izņemot transfertus)</w:t>
            </w:r>
          </w:p>
        </w:tc>
        <w:tc>
          <w:tcPr>
            <w:tcW w:w="1817" w:type="dxa"/>
            <w:noWrap/>
            <w:vAlign w:val="center"/>
            <w:hideMark/>
          </w:tcPr>
          <w:p w14:paraId="7E652558" w14:textId="77777777" w:rsidR="003063F3" w:rsidRPr="0036300A" w:rsidRDefault="003063F3" w:rsidP="00E32E5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0,09</w:t>
            </w:r>
          </w:p>
        </w:tc>
      </w:tr>
      <w:tr w:rsidR="003063F3" w:rsidRPr="00120DF9" w14:paraId="0F34A685" w14:textId="77777777" w:rsidTr="00E32E5E">
        <w:trPr>
          <w:trHeight w:val="22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5A9D304D"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5B52D862" w14:textId="77777777" w:rsidR="003063F3" w:rsidRPr="00120DF9" w:rsidRDefault="003063F3" w:rsidP="00E32E5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Atvasināto publisko personu izdevumi (izņemot transfertus)</w:t>
            </w:r>
          </w:p>
        </w:tc>
        <w:tc>
          <w:tcPr>
            <w:tcW w:w="1817" w:type="dxa"/>
            <w:noWrap/>
            <w:vAlign w:val="center"/>
            <w:hideMark/>
          </w:tcPr>
          <w:p w14:paraId="1443FC59" w14:textId="77777777" w:rsidR="003063F3" w:rsidRPr="0036300A" w:rsidRDefault="003063F3" w:rsidP="00E32E5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36300A">
              <w:rPr>
                <w:rFonts w:eastAsia="Times New Roman" w:cs="Times New Roman"/>
                <w:color w:val="000000"/>
                <w:sz w:val="22"/>
                <w:lang w:eastAsia="lv-LV"/>
              </w:rPr>
              <w:t>0,</w:t>
            </w:r>
            <w:r>
              <w:rPr>
                <w:rFonts w:eastAsia="Times New Roman" w:cs="Times New Roman"/>
                <w:color w:val="000000"/>
                <w:sz w:val="22"/>
                <w:lang w:eastAsia="lv-LV"/>
              </w:rPr>
              <w:t>00</w:t>
            </w:r>
          </w:p>
        </w:tc>
      </w:tr>
      <w:tr w:rsidR="003063F3" w:rsidRPr="00120DF9" w14:paraId="0204810F" w14:textId="77777777" w:rsidTr="00E32E5E">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223" w:type="dxa"/>
            <w:vMerge/>
          </w:tcPr>
          <w:p w14:paraId="71E4FB07" w14:textId="77777777" w:rsidR="003063F3" w:rsidRPr="00120DF9" w:rsidRDefault="003063F3" w:rsidP="00E32E5E">
            <w:pPr>
              <w:rPr>
                <w:rFonts w:eastAsia="Times New Roman" w:cs="Times New Roman"/>
                <w:color w:val="000000"/>
                <w:sz w:val="22"/>
                <w:lang w:eastAsia="lv-LV"/>
              </w:rPr>
            </w:pPr>
          </w:p>
        </w:tc>
        <w:tc>
          <w:tcPr>
            <w:tcW w:w="4594" w:type="dxa"/>
            <w:noWrap/>
          </w:tcPr>
          <w:p w14:paraId="787F3D04" w14:textId="77777777" w:rsidR="003063F3" w:rsidRPr="00120DF9" w:rsidRDefault="003063F3" w:rsidP="00E32E5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 xml:space="preserve">Procentu izdevumi </w:t>
            </w:r>
          </w:p>
        </w:tc>
        <w:tc>
          <w:tcPr>
            <w:tcW w:w="1817" w:type="dxa"/>
            <w:noWrap/>
            <w:vAlign w:val="center"/>
          </w:tcPr>
          <w:p w14:paraId="4454BDDC" w14:textId="77777777" w:rsidR="003063F3" w:rsidRPr="0036300A" w:rsidRDefault="003063F3" w:rsidP="00E32E5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-0,05</w:t>
            </w:r>
          </w:p>
        </w:tc>
      </w:tr>
      <w:tr w:rsidR="003063F3" w:rsidRPr="00120DF9" w14:paraId="4579F22F" w14:textId="77777777" w:rsidTr="00E32E5E">
        <w:trPr>
          <w:trHeight w:val="11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01D7D1A7"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4F92A5CC" w14:textId="77777777" w:rsidR="003063F3" w:rsidRPr="00120DF9" w:rsidRDefault="003063F3" w:rsidP="00E32E5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Pieklasificēto komersantu bilance</w:t>
            </w:r>
          </w:p>
        </w:tc>
        <w:tc>
          <w:tcPr>
            <w:tcW w:w="1817" w:type="dxa"/>
            <w:noWrap/>
            <w:vAlign w:val="center"/>
            <w:hideMark/>
          </w:tcPr>
          <w:p w14:paraId="47EF6170" w14:textId="093DE40E" w:rsidR="003063F3" w:rsidRPr="0036300A" w:rsidRDefault="00B17D38" w:rsidP="00E32E5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36300A">
              <w:rPr>
                <w:rFonts w:eastAsia="Times New Roman" w:cs="Times New Roman"/>
                <w:color w:val="000000"/>
                <w:sz w:val="22"/>
                <w:lang w:eastAsia="lv-LV"/>
              </w:rPr>
              <w:t>0,</w:t>
            </w:r>
            <w:r>
              <w:rPr>
                <w:rFonts w:eastAsia="Times New Roman" w:cs="Times New Roman"/>
                <w:color w:val="000000"/>
                <w:sz w:val="22"/>
                <w:lang w:eastAsia="lv-LV"/>
              </w:rPr>
              <w:t>05</w:t>
            </w:r>
          </w:p>
        </w:tc>
      </w:tr>
      <w:tr w:rsidR="003063F3" w:rsidRPr="00120DF9" w14:paraId="309A5789" w14:textId="77777777" w:rsidTr="00E32E5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223" w:type="dxa"/>
            <w:vMerge/>
            <w:hideMark/>
          </w:tcPr>
          <w:p w14:paraId="724CCF83" w14:textId="77777777" w:rsidR="003063F3" w:rsidRPr="00120DF9" w:rsidRDefault="003063F3" w:rsidP="00E32E5E">
            <w:pPr>
              <w:rPr>
                <w:rFonts w:eastAsia="Times New Roman" w:cs="Times New Roman"/>
                <w:color w:val="000000"/>
                <w:sz w:val="22"/>
                <w:lang w:eastAsia="lv-LV"/>
              </w:rPr>
            </w:pPr>
          </w:p>
        </w:tc>
        <w:tc>
          <w:tcPr>
            <w:tcW w:w="4594" w:type="dxa"/>
            <w:noWrap/>
            <w:hideMark/>
          </w:tcPr>
          <w:p w14:paraId="07C1B7A6" w14:textId="77777777" w:rsidR="003063F3" w:rsidRPr="00120DF9" w:rsidRDefault="003063F3" w:rsidP="00E32E5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ĀFP nacionālā līdzfinansējuma izdevumi</w:t>
            </w:r>
          </w:p>
        </w:tc>
        <w:tc>
          <w:tcPr>
            <w:tcW w:w="1817" w:type="dxa"/>
            <w:noWrap/>
            <w:vAlign w:val="center"/>
            <w:hideMark/>
          </w:tcPr>
          <w:p w14:paraId="2DAF13E1" w14:textId="77777777" w:rsidR="003063F3" w:rsidRPr="0036300A" w:rsidRDefault="003063F3" w:rsidP="00E32E5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-0,25</w:t>
            </w:r>
          </w:p>
        </w:tc>
      </w:tr>
      <w:tr w:rsidR="00B17D38" w:rsidRPr="00120DF9" w14:paraId="466149E0" w14:textId="77777777" w:rsidTr="00E32E5E">
        <w:trPr>
          <w:trHeight w:val="166"/>
        </w:trPr>
        <w:tc>
          <w:tcPr>
            <w:cnfStyle w:val="001000000000" w:firstRow="0" w:lastRow="0" w:firstColumn="1" w:lastColumn="0" w:oddVBand="0" w:evenVBand="0" w:oddHBand="0" w:evenHBand="0" w:firstRowFirstColumn="0" w:firstRowLastColumn="0" w:lastRowFirstColumn="0" w:lastRowLastColumn="0"/>
            <w:tcW w:w="3223" w:type="dxa"/>
            <w:vMerge/>
            <w:hideMark/>
          </w:tcPr>
          <w:p w14:paraId="2C1CF079" w14:textId="77777777" w:rsidR="00B17D38" w:rsidRPr="00120DF9" w:rsidRDefault="00B17D38" w:rsidP="00B17D38">
            <w:pPr>
              <w:rPr>
                <w:rFonts w:eastAsia="Times New Roman" w:cs="Times New Roman"/>
                <w:color w:val="000000"/>
                <w:sz w:val="22"/>
                <w:lang w:eastAsia="lv-LV"/>
              </w:rPr>
            </w:pPr>
          </w:p>
        </w:tc>
        <w:tc>
          <w:tcPr>
            <w:tcW w:w="4594" w:type="dxa"/>
            <w:noWrap/>
            <w:hideMark/>
          </w:tcPr>
          <w:p w14:paraId="6D42134B" w14:textId="77777777" w:rsidR="00B17D38" w:rsidRPr="00120DF9" w:rsidRDefault="00B17D38" w:rsidP="00B17D3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Pārējās izmaiņas</w:t>
            </w:r>
          </w:p>
        </w:tc>
        <w:tc>
          <w:tcPr>
            <w:tcW w:w="1817" w:type="dxa"/>
            <w:noWrap/>
            <w:vAlign w:val="center"/>
            <w:hideMark/>
          </w:tcPr>
          <w:p w14:paraId="1AEB0D13" w14:textId="2662A4E9" w:rsidR="00B17D38" w:rsidRPr="0036300A" w:rsidRDefault="00B17D38" w:rsidP="00B17D3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0,23</w:t>
            </w:r>
          </w:p>
        </w:tc>
      </w:tr>
      <w:tr w:rsidR="00B17D38" w:rsidRPr="00120DF9" w14:paraId="3AFA7408" w14:textId="77777777" w:rsidTr="00E32E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23" w:type="dxa"/>
            <w:noWrap/>
            <w:hideMark/>
          </w:tcPr>
          <w:p w14:paraId="1D5BE427" w14:textId="77777777" w:rsidR="00B17D38" w:rsidRPr="00120DF9" w:rsidRDefault="00B17D38" w:rsidP="00B17D38">
            <w:pPr>
              <w:jc w:val="center"/>
              <w:rPr>
                <w:rFonts w:eastAsia="Times New Roman" w:cs="Times New Roman"/>
                <w:color w:val="000000"/>
                <w:sz w:val="22"/>
                <w:lang w:eastAsia="lv-LV"/>
              </w:rPr>
            </w:pPr>
            <w:r w:rsidRPr="00120DF9">
              <w:rPr>
                <w:rFonts w:eastAsia="Times New Roman" w:cs="Times New Roman"/>
                <w:color w:val="000000"/>
                <w:sz w:val="22"/>
                <w:lang w:eastAsia="lv-LV"/>
              </w:rPr>
              <w:t>201</w:t>
            </w:r>
            <w:r>
              <w:rPr>
                <w:rFonts w:eastAsia="Times New Roman" w:cs="Times New Roman"/>
                <w:color w:val="000000"/>
                <w:sz w:val="22"/>
                <w:lang w:eastAsia="lv-LV"/>
              </w:rPr>
              <w:t>9</w:t>
            </w:r>
            <w:r w:rsidRPr="00120DF9">
              <w:rPr>
                <w:rFonts w:eastAsia="Times New Roman" w:cs="Times New Roman"/>
                <w:color w:val="000000"/>
                <w:sz w:val="22"/>
                <w:lang w:eastAsia="lv-LV"/>
              </w:rPr>
              <w:t xml:space="preserve">.gada </w:t>
            </w:r>
            <w:r>
              <w:rPr>
                <w:rFonts w:eastAsia="Times New Roman" w:cs="Times New Roman"/>
                <w:color w:val="000000"/>
                <w:sz w:val="22"/>
                <w:lang w:eastAsia="lv-LV"/>
              </w:rPr>
              <w:t>izpilde</w:t>
            </w:r>
          </w:p>
        </w:tc>
        <w:tc>
          <w:tcPr>
            <w:tcW w:w="4594" w:type="dxa"/>
            <w:noWrap/>
            <w:hideMark/>
          </w:tcPr>
          <w:p w14:paraId="694C7479" w14:textId="77777777" w:rsidR="00B17D38" w:rsidRPr="00120DF9" w:rsidRDefault="00B17D38" w:rsidP="00B17D3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120DF9">
              <w:rPr>
                <w:rFonts w:eastAsia="Times New Roman" w:cs="Times New Roman"/>
                <w:b/>
                <w:bCs/>
                <w:color w:val="000000"/>
                <w:sz w:val="22"/>
                <w:lang w:eastAsia="lv-LV"/>
              </w:rPr>
              <w:t>Vispārējās valdības sektora B.9</w:t>
            </w:r>
          </w:p>
        </w:tc>
        <w:tc>
          <w:tcPr>
            <w:tcW w:w="1817" w:type="dxa"/>
            <w:noWrap/>
            <w:vAlign w:val="center"/>
            <w:hideMark/>
          </w:tcPr>
          <w:p w14:paraId="351D2AA9" w14:textId="6132EB98" w:rsidR="00B17D38" w:rsidRPr="0036300A" w:rsidRDefault="00B17D38" w:rsidP="00B17D3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36300A">
              <w:rPr>
                <w:rFonts w:eastAsia="Times New Roman" w:cs="Times New Roman"/>
                <w:b/>
                <w:bCs/>
                <w:color w:val="000000"/>
                <w:sz w:val="22"/>
                <w:lang w:eastAsia="lv-LV"/>
              </w:rPr>
              <w:t>-</w:t>
            </w:r>
            <w:r>
              <w:rPr>
                <w:rFonts w:eastAsia="Times New Roman" w:cs="Times New Roman"/>
                <w:b/>
                <w:bCs/>
                <w:color w:val="000000"/>
                <w:sz w:val="22"/>
                <w:lang w:eastAsia="lv-LV"/>
              </w:rPr>
              <w:t>0,6</w:t>
            </w:r>
          </w:p>
        </w:tc>
      </w:tr>
    </w:tbl>
    <w:p w14:paraId="3FB1D945" w14:textId="58FFC4D5" w:rsidR="00B17D38" w:rsidRDefault="00B17D38" w:rsidP="00B17D38">
      <w:pPr>
        <w:spacing w:before="240" w:after="0" w:line="24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 xml:space="preserve">Pieļaujamais vispārējās valdības budžeta deficīts, atbilstoši 2019.gada budžeta likumam tika noteiks 0,5% apmērā no IKP. Ņemot vērā fiskālā nodrošinājuma rezervi, vispārējās valdības budžeta deficīts veidoja 0,6% no IKP. Atbilstoši CSP 2021.gada aprīļa vispārējās valdības budžeta notifikācijas datiem, </w:t>
      </w:r>
      <w:r w:rsidRPr="008C4DD4">
        <w:rPr>
          <w:rFonts w:ascii="Times New Roman" w:hAnsi="Times New Roman" w:cs="Times New Roman"/>
          <w:b/>
          <w:bCs/>
          <w:sz w:val="24"/>
          <w:szCs w:val="24"/>
        </w:rPr>
        <w:t>v</w:t>
      </w:r>
      <w:r w:rsidRPr="00F7750E">
        <w:rPr>
          <w:rFonts w:ascii="Times New Roman" w:hAnsi="Times New Roman" w:cs="Times New Roman"/>
          <w:b/>
          <w:bCs/>
          <w:sz w:val="24"/>
          <w:szCs w:val="24"/>
        </w:rPr>
        <w:t xml:space="preserve">ispārējās </w:t>
      </w:r>
      <w:r>
        <w:rPr>
          <w:rFonts w:ascii="Times New Roman" w:hAnsi="Times New Roman" w:cs="Times New Roman"/>
          <w:b/>
          <w:bCs/>
          <w:sz w:val="24"/>
          <w:szCs w:val="24"/>
        </w:rPr>
        <w:t>valdības budžeta deficīts 2019.</w:t>
      </w:r>
      <w:r w:rsidRPr="00F7750E">
        <w:rPr>
          <w:rFonts w:ascii="Times New Roman" w:hAnsi="Times New Roman" w:cs="Times New Roman"/>
          <w:b/>
          <w:bCs/>
          <w:sz w:val="24"/>
          <w:szCs w:val="24"/>
        </w:rPr>
        <w:t>gadā bija 0,</w:t>
      </w:r>
      <w:r>
        <w:rPr>
          <w:rFonts w:ascii="Times New Roman" w:hAnsi="Times New Roman" w:cs="Times New Roman"/>
          <w:b/>
          <w:bCs/>
          <w:sz w:val="24"/>
          <w:szCs w:val="24"/>
        </w:rPr>
        <w:t>6</w:t>
      </w:r>
      <w:r w:rsidRPr="00F7750E">
        <w:rPr>
          <w:rFonts w:ascii="Times New Roman" w:hAnsi="Times New Roman" w:cs="Times New Roman"/>
          <w:b/>
          <w:bCs/>
          <w:sz w:val="24"/>
          <w:szCs w:val="24"/>
        </w:rPr>
        <w:t xml:space="preserve">% no IKP, kas </w:t>
      </w:r>
      <w:r>
        <w:rPr>
          <w:rFonts w:ascii="Times New Roman" w:hAnsi="Times New Roman" w:cs="Times New Roman"/>
          <w:b/>
          <w:bCs/>
          <w:sz w:val="24"/>
          <w:szCs w:val="24"/>
        </w:rPr>
        <w:t>atbilst</w:t>
      </w:r>
      <w:r w:rsidRPr="00F7750E">
        <w:rPr>
          <w:rFonts w:ascii="Times New Roman" w:hAnsi="Times New Roman" w:cs="Times New Roman"/>
          <w:b/>
          <w:bCs/>
          <w:sz w:val="24"/>
          <w:szCs w:val="24"/>
        </w:rPr>
        <w:t xml:space="preserve"> likumā plānota</w:t>
      </w:r>
      <w:r>
        <w:rPr>
          <w:rFonts w:ascii="Times New Roman" w:hAnsi="Times New Roman" w:cs="Times New Roman"/>
          <w:b/>
          <w:bCs/>
          <w:sz w:val="24"/>
          <w:szCs w:val="24"/>
        </w:rPr>
        <w:t>jam</w:t>
      </w:r>
      <w:r w:rsidRPr="00F7750E">
        <w:rPr>
          <w:rFonts w:ascii="Times New Roman" w:hAnsi="Times New Roman" w:cs="Times New Roman"/>
          <w:b/>
          <w:bCs/>
          <w:sz w:val="24"/>
          <w:szCs w:val="24"/>
        </w:rPr>
        <w:t xml:space="preserve"> vispārējās valdības budžeta deficīta līmeni</w:t>
      </w:r>
      <w:r>
        <w:rPr>
          <w:rFonts w:ascii="Times New Roman" w:hAnsi="Times New Roman" w:cs="Times New Roman"/>
          <w:b/>
          <w:bCs/>
          <w:sz w:val="24"/>
          <w:szCs w:val="24"/>
        </w:rPr>
        <w:t>m</w:t>
      </w:r>
      <w:r w:rsidRPr="00F7750E">
        <w:rPr>
          <w:rFonts w:ascii="Times New Roman" w:hAnsi="Times New Roman" w:cs="Times New Roman"/>
          <w:b/>
          <w:bCs/>
          <w:sz w:val="24"/>
          <w:szCs w:val="24"/>
        </w:rPr>
        <w:t>.</w:t>
      </w:r>
    </w:p>
    <w:p w14:paraId="758054BF" w14:textId="1B128200" w:rsidR="003063F3" w:rsidRDefault="003063F3" w:rsidP="004172F5">
      <w:pPr>
        <w:spacing w:after="0" w:line="240" w:lineRule="auto"/>
        <w:ind w:firstLine="720"/>
        <w:jc w:val="both"/>
        <w:rPr>
          <w:rFonts w:ascii="Times New Roman" w:hAnsi="Times New Roman"/>
          <w:sz w:val="24"/>
          <w:szCs w:val="24"/>
        </w:rPr>
      </w:pPr>
      <w:r>
        <w:rPr>
          <w:rFonts w:ascii="Times New Roman" w:hAnsi="Times New Roman" w:cs="Times New Roman"/>
          <w:bCs/>
          <w:sz w:val="24"/>
          <w:szCs w:val="24"/>
        </w:rPr>
        <w:t>Lai arī kopējie nodokļu ieņēmumi uzlaboja vispārējās valdības budžeta bilanci tikai par 0,1</w:t>
      </w:r>
      <w:r w:rsidR="00C1766B">
        <w:rPr>
          <w:rFonts w:ascii="Times New Roman" w:hAnsi="Times New Roman" w:cs="Times New Roman"/>
          <w:bCs/>
          <w:sz w:val="24"/>
          <w:szCs w:val="24"/>
        </w:rPr>
        <w:t>5</w:t>
      </w:r>
      <w:r>
        <w:rPr>
          <w:rFonts w:ascii="Times New Roman" w:hAnsi="Times New Roman" w:cs="Times New Roman"/>
          <w:bCs/>
          <w:sz w:val="24"/>
          <w:szCs w:val="24"/>
        </w:rPr>
        <w:t xml:space="preserve">% no IKP, tomēr vairākiem nodokļiem faktiskie izpildes rādītāji būtiski atšķīrās no plānotā apjoma. 2019.gadā, pieaugot nodarbinātībai un bruto darba samaksai, IIN ieņēmumi bija par 0,65% no IKP augstāki kā plānots budžeta likumā. Pateicoties situācijai darba tirgū, arī sociālās apdrošināšanas iemaksas bija par 0,23% no IKP augstākas kā plānots. Turpretim UIN ieņēmumi izrādījās par 0,52% no IKP zemāki kā plānots. UIN sakarā jāatzīmē sarežģītā ieņēmumu noprognozēšana, ņemot vērā nodokļu reformas efektu, kas stājās spēkā 2018.gada 1.janvārī. Ar UIN reformu tika noteikts, </w:t>
      </w:r>
      <w:r w:rsidRPr="00F7750E">
        <w:rPr>
          <w:rFonts w:ascii="Times New Roman" w:eastAsia="Calibri" w:hAnsi="Times New Roman"/>
          <w:sz w:val="24"/>
          <w:szCs w:val="24"/>
        </w:rPr>
        <w:t xml:space="preserve">ka </w:t>
      </w:r>
      <w:r w:rsidRPr="00F7750E">
        <w:rPr>
          <w:rFonts w:ascii="Times New Roman" w:hAnsi="Times New Roman"/>
          <w:sz w:val="24"/>
          <w:szCs w:val="24"/>
        </w:rPr>
        <w:t xml:space="preserve">2018.gada pirmajā pusgadā bija veicami avansa maksājumi saskaņā ar iepriekšējo nodokļa </w:t>
      </w:r>
      <w:r>
        <w:rPr>
          <w:rFonts w:ascii="Times New Roman" w:hAnsi="Times New Roman"/>
          <w:sz w:val="24"/>
          <w:szCs w:val="24"/>
        </w:rPr>
        <w:t>maksāšanas kārtību, taču 2019.</w:t>
      </w:r>
      <w:r w:rsidRPr="00F7750E">
        <w:rPr>
          <w:rFonts w:ascii="Times New Roman" w:hAnsi="Times New Roman"/>
          <w:sz w:val="24"/>
          <w:szCs w:val="24"/>
        </w:rPr>
        <w:t>gadā avansa maksājumi nebija jāveic</w:t>
      </w:r>
      <w:r>
        <w:rPr>
          <w:rFonts w:ascii="Times New Roman" w:hAnsi="Times New Roman"/>
          <w:sz w:val="24"/>
          <w:szCs w:val="24"/>
        </w:rPr>
        <w:t xml:space="preserve"> un UIN nodokli maksāja pie peļņas sadales</w:t>
      </w:r>
      <w:r w:rsidRPr="00F7750E">
        <w:rPr>
          <w:rFonts w:ascii="Times New Roman" w:hAnsi="Times New Roman"/>
          <w:sz w:val="24"/>
          <w:szCs w:val="24"/>
        </w:rPr>
        <w:t xml:space="preserve">, </w:t>
      </w:r>
      <w:r>
        <w:rPr>
          <w:rFonts w:ascii="Times New Roman" w:hAnsi="Times New Roman"/>
          <w:sz w:val="24"/>
          <w:szCs w:val="24"/>
        </w:rPr>
        <w:t>tādējādi</w:t>
      </w:r>
      <w:r w:rsidRPr="00F7750E">
        <w:rPr>
          <w:rFonts w:ascii="Times New Roman" w:hAnsi="Times New Roman"/>
          <w:sz w:val="24"/>
          <w:szCs w:val="24"/>
        </w:rPr>
        <w:t xml:space="preserve"> UIN atmaksas </w:t>
      </w:r>
      <w:r>
        <w:rPr>
          <w:rFonts w:ascii="Times New Roman" w:hAnsi="Times New Roman"/>
          <w:sz w:val="24"/>
          <w:szCs w:val="24"/>
        </w:rPr>
        <w:t xml:space="preserve">2019.gadā pieauga līdz </w:t>
      </w:r>
      <w:r w:rsidRPr="00F7750E">
        <w:rPr>
          <w:rFonts w:ascii="Times New Roman" w:hAnsi="Times New Roman"/>
          <w:sz w:val="24"/>
          <w:szCs w:val="24"/>
        </w:rPr>
        <w:t xml:space="preserve">125,1 milj. </w:t>
      </w:r>
      <w:r w:rsidRPr="003063F3">
        <w:rPr>
          <w:rFonts w:ascii="Times New Roman" w:hAnsi="Times New Roman"/>
          <w:i/>
          <w:sz w:val="24"/>
          <w:szCs w:val="24"/>
        </w:rPr>
        <w:t>euro</w:t>
      </w:r>
      <w:r w:rsidRPr="00F7750E">
        <w:rPr>
          <w:rFonts w:ascii="Times New Roman" w:hAnsi="Times New Roman"/>
          <w:sz w:val="24"/>
          <w:szCs w:val="24"/>
        </w:rPr>
        <w:t>, k</w:t>
      </w:r>
      <w:r>
        <w:rPr>
          <w:rFonts w:ascii="Times New Roman" w:hAnsi="Times New Roman"/>
          <w:sz w:val="24"/>
          <w:szCs w:val="24"/>
        </w:rPr>
        <w:t>as ir 2,1 reizi vairāk kā 2018.</w:t>
      </w:r>
      <w:r w:rsidRPr="00F7750E">
        <w:rPr>
          <w:rFonts w:ascii="Times New Roman" w:hAnsi="Times New Roman"/>
          <w:sz w:val="24"/>
          <w:szCs w:val="24"/>
        </w:rPr>
        <w:t>gadā.</w:t>
      </w:r>
    </w:p>
    <w:p w14:paraId="57401A4C" w14:textId="3012030E" w:rsidR="003063F3" w:rsidRDefault="003063F3" w:rsidP="003063F3">
      <w:pPr>
        <w:spacing w:after="0"/>
        <w:ind w:firstLine="720"/>
        <w:jc w:val="both"/>
        <w:rPr>
          <w:rFonts w:ascii="Times New Roman" w:hAnsi="Times New Roman"/>
          <w:sz w:val="24"/>
          <w:szCs w:val="24"/>
        </w:rPr>
      </w:pPr>
      <w:r>
        <w:rPr>
          <w:rFonts w:ascii="Times New Roman" w:hAnsi="Times New Roman"/>
          <w:sz w:val="24"/>
          <w:szCs w:val="24"/>
        </w:rPr>
        <w:t xml:space="preserve">Nenodokļu ieņēmumi bija </w:t>
      </w:r>
      <w:r w:rsidR="00C1766B">
        <w:rPr>
          <w:rFonts w:ascii="Times New Roman" w:hAnsi="Times New Roman"/>
          <w:sz w:val="24"/>
          <w:szCs w:val="24"/>
        </w:rPr>
        <w:t xml:space="preserve">par </w:t>
      </w:r>
      <w:r>
        <w:rPr>
          <w:rFonts w:ascii="Times New Roman" w:hAnsi="Times New Roman"/>
          <w:sz w:val="24"/>
          <w:szCs w:val="24"/>
        </w:rPr>
        <w:t>0,</w:t>
      </w:r>
      <w:r w:rsidR="00C1766B">
        <w:rPr>
          <w:rFonts w:ascii="Times New Roman" w:hAnsi="Times New Roman"/>
          <w:sz w:val="24"/>
          <w:szCs w:val="24"/>
        </w:rPr>
        <w:t>3</w:t>
      </w:r>
      <w:r>
        <w:rPr>
          <w:rFonts w:ascii="Times New Roman" w:hAnsi="Times New Roman"/>
          <w:sz w:val="24"/>
          <w:szCs w:val="24"/>
        </w:rPr>
        <w:t>3% no IKP zemāki kā plānots. Būtiskākā ietekme skaidrojama ar AS “Latvenergo” superdividendēm</w:t>
      </w:r>
      <w:r w:rsidR="00C1766B">
        <w:rPr>
          <w:rFonts w:ascii="Times New Roman" w:hAnsi="Times New Roman"/>
          <w:sz w:val="24"/>
          <w:szCs w:val="24"/>
        </w:rPr>
        <w:t xml:space="preserve"> un vienreizējiem emisijas kvotu ieņēmumiem, kas atbilstoši EKS uzskaites metodoloģijai tikai daļēji tika uzskaitīti 2019. gada vispārējās valdības budžeta ieņēmumos.</w:t>
      </w:r>
      <w:r>
        <w:rPr>
          <w:rFonts w:ascii="Times New Roman" w:hAnsi="Times New Roman"/>
          <w:sz w:val="24"/>
          <w:szCs w:val="24"/>
        </w:rPr>
        <w:t xml:space="preserve">. </w:t>
      </w:r>
    </w:p>
    <w:p w14:paraId="513DB9A3" w14:textId="3E0C0DBF" w:rsidR="003063F3" w:rsidRPr="00115358" w:rsidRDefault="00C1766B" w:rsidP="003063F3">
      <w:pPr>
        <w:spacing w:after="0"/>
        <w:ind w:firstLine="720"/>
        <w:jc w:val="both"/>
        <w:rPr>
          <w:rFonts w:ascii="Times New Roman" w:hAnsi="Times New Roman"/>
          <w:sz w:val="24"/>
          <w:szCs w:val="24"/>
        </w:rPr>
      </w:pPr>
      <w:r>
        <w:rPr>
          <w:rFonts w:ascii="Times New Roman" w:hAnsi="Times New Roman" w:cs="Times New Roman"/>
          <w:bCs/>
          <w:sz w:val="24"/>
          <w:szCs w:val="24"/>
        </w:rPr>
        <w:t xml:space="preserve">Būtisku </w:t>
      </w:r>
      <w:r w:rsidR="003063F3">
        <w:rPr>
          <w:rFonts w:ascii="Times New Roman" w:hAnsi="Times New Roman" w:cs="Times New Roman"/>
          <w:bCs/>
          <w:sz w:val="24"/>
          <w:szCs w:val="24"/>
        </w:rPr>
        <w:t>ietekmi uz vispārējās valdības budžeta bilances deficītu veidoja lielāki nacionālie līdzfinansējuma izdevumi ĀFP projektu realizācijai, tostarp ES fondu projektu realizācijai. Izdevumi ĀFP projektiem pieaug gan valsts pamatbudžetā, pašvaldību budžetā.</w:t>
      </w:r>
    </w:p>
    <w:p w14:paraId="48078EDC" w14:textId="7A9A4228" w:rsidR="003063F3" w:rsidRDefault="003063F3" w:rsidP="003063F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Pārējās izmaiņas veidoja 0,</w:t>
      </w:r>
      <w:r w:rsidR="00C1766B">
        <w:rPr>
          <w:rFonts w:ascii="Times New Roman" w:hAnsi="Times New Roman" w:cs="Times New Roman"/>
          <w:bCs/>
          <w:sz w:val="24"/>
          <w:szCs w:val="24"/>
        </w:rPr>
        <w:t>23</w:t>
      </w:r>
      <w:r>
        <w:rPr>
          <w:rFonts w:ascii="Times New Roman" w:hAnsi="Times New Roman" w:cs="Times New Roman"/>
          <w:bCs/>
          <w:sz w:val="24"/>
          <w:szCs w:val="24"/>
        </w:rPr>
        <w:t>% no IKP pozitīvu ietekmi uz vispārējās valdības budžeta bilanci, kur ir jāizceļ debitoru un kreditoru plūsmas ietekme, kas bilanci uzlaboja 0,</w:t>
      </w:r>
      <w:r w:rsidR="00C1766B">
        <w:rPr>
          <w:rFonts w:ascii="Times New Roman" w:hAnsi="Times New Roman" w:cs="Times New Roman"/>
          <w:bCs/>
          <w:sz w:val="24"/>
          <w:szCs w:val="24"/>
        </w:rPr>
        <w:t>2</w:t>
      </w:r>
      <w:r>
        <w:rPr>
          <w:rFonts w:ascii="Times New Roman" w:hAnsi="Times New Roman" w:cs="Times New Roman"/>
          <w:bCs/>
          <w:sz w:val="24"/>
          <w:szCs w:val="24"/>
        </w:rPr>
        <w:t>5% no IKP apmērā pret plānoto</w:t>
      </w:r>
      <w:r w:rsidR="00C1766B">
        <w:rPr>
          <w:rFonts w:ascii="Times New Roman" w:hAnsi="Times New Roman" w:cs="Times New Roman"/>
          <w:bCs/>
          <w:sz w:val="24"/>
          <w:szCs w:val="24"/>
        </w:rPr>
        <w:t>.</w:t>
      </w:r>
      <w:r>
        <w:rPr>
          <w:rFonts w:ascii="Times New Roman" w:hAnsi="Times New Roman" w:cs="Times New Roman"/>
          <w:bCs/>
          <w:sz w:val="24"/>
          <w:szCs w:val="24"/>
        </w:rPr>
        <w:t xml:space="preserve"> Pamatbudžeta pamatfunkciju primārie izdevumi, pašvaldību pamatfunkciju primārie izdevumi, speciāla budžeta izdevumi un atvasināto publisko personu izdevumi neveidoja lielāku ietekmi uz vispārējās valdības budžeta bilanci kā +/- 0,1% no IKP.</w:t>
      </w:r>
    </w:p>
    <w:p w14:paraId="5E4F5743" w14:textId="4D53AF0E" w:rsidR="00C1766B" w:rsidRDefault="00C1766B" w:rsidP="003063F3">
      <w:pPr>
        <w:spacing w:after="0" w:line="240" w:lineRule="auto"/>
        <w:ind w:firstLine="720"/>
        <w:jc w:val="both"/>
        <w:rPr>
          <w:rFonts w:ascii="Times New Roman" w:hAnsi="Times New Roman" w:cs="Times New Roman"/>
          <w:bCs/>
          <w:sz w:val="24"/>
          <w:szCs w:val="24"/>
        </w:rPr>
      </w:pPr>
    </w:p>
    <w:p w14:paraId="72F0D068" w14:textId="335ECC37" w:rsidR="00C1766B" w:rsidRDefault="00C1766B" w:rsidP="00C1766B">
      <w:pPr>
        <w:spacing w:before="120"/>
        <w:jc w:val="right"/>
        <w:rPr>
          <w:rFonts w:ascii="Times New Roman" w:hAnsi="Times New Roman" w:cs="Times New Roman"/>
          <w:b/>
          <w:bCs/>
          <w:sz w:val="24"/>
          <w:szCs w:val="24"/>
        </w:rPr>
      </w:pPr>
      <w:r w:rsidRPr="000E5816">
        <w:rPr>
          <w:rFonts w:ascii="Times New Roman" w:hAnsi="Times New Roman" w:cs="Times New Roman"/>
          <w:b/>
          <w:bCs/>
          <w:sz w:val="24"/>
          <w:szCs w:val="24"/>
        </w:rPr>
        <w:t>Tabula Nr.</w:t>
      </w:r>
      <w:r w:rsidR="00CD5476">
        <w:rPr>
          <w:rFonts w:ascii="Times New Roman" w:hAnsi="Times New Roman" w:cs="Times New Roman"/>
          <w:b/>
          <w:bCs/>
          <w:sz w:val="24"/>
          <w:szCs w:val="24"/>
        </w:rPr>
        <w:t>19</w:t>
      </w:r>
      <w:r w:rsidRPr="000E5816">
        <w:rPr>
          <w:rFonts w:ascii="Times New Roman" w:hAnsi="Times New Roman" w:cs="Times New Roman"/>
          <w:b/>
          <w:bCs/>
          <w:sz w:val="24"/>
          <w:szCs w:val="24"/>
        </w:rPr>
        <w:t xml:space="preserve"> Izmaiņas vispārējās valdības sektora fiskālajā bilancē 20</w:t>
      </w:r>
      <w:r>
        <w:rPr>
          <w:rFonts w:ascii="Times New Roman" w:hAnsi="Times New Roman" w:cs="Times New Roman"/>
          <w:b/>
          <w:bCs/>
          <w:sz w:val="24"/>
          <w:szCs w:val="24"/>
        </w:rPr>
        <w:t>20</w:t>
      </w:r>
      <w:r w:rsidRPr="000E5816">
        <w:rPr>
          <w:rFonts w:ascii="Times New Roman" w:hAnsi="Times New Roman" w:cs="Times New Roman"/>
          <w:b/>
          <w:bCs/>
          <w:sz w:val="24"/>
          <w:szCs w:val="24"/>
        </w:rPr>
        <w:t>.gadam</w:t>
      </w:r>
      <w:r>
        <w:rPr>
          <w:rFonts w:ascii="Times New Roman" w:hAnsi="Times New Roman" w:cs="Times New Roman"/>
          <w:b/>
          <w:bCs/>
          <w:sz w:val="24"/>
          <w:szCs w:val="24"/>
        </w:rPr>
        <w:t>,</w:t>
      </w:r>
      <w:r w:rsidRPr="000E5816">
        <w:rPr>
          <w:rFonts w:ascii="Times New Roman" w:hAnsi="Times New Roman" w:cs="Times New Roman"/>
          <w:b/>
          <w:bCs/>
          <w:sz w:val="24"/>
          <w:szCs w:val="24"/>
        </w:rPr>
        <w:t xml:space="preserve"> % no IKP</w:t>
      </w:r>
    </w:p>
    <w:tbl>
      <w:tblPr>
        <w:tblStyle w:val="GridTable6Colorful-Accent11"/>
        <w:tblW w:w="9634" w:type="dxa"/>
        <w:tblLook w:val="04A0" w:firstRow="1" w:lastRow="0" w:firstColumn="1" w:lastColumn="0" w:noHBand="0" w:noVBand="1"/>
      </w:tblPr>
      <w:tblGrid>
        <w:gridCol w:w="3223"/>
        <w:gridCol w:w="4594"/>
        <w:gridCol w:w="1817"/>
      </w:tblGrid>
      <w:tr w:rsidR="00C1766B" w:rsidRPr="00120DF9" w14:paraId="06925F9D" w14:textId="77777777" w:rsidTr="000967DB">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223" w:type="dxa"/>
            <w:noWrap/>
            <w:hideMark/>
          </w:tcPr>
          <w:p w14:paraId="1B782BC2" w14:textId="77777777" w:rsidR="00C1766B" w:rsidRPr="00120DF9" w:rsidRDefault="00C1766B" w:rsidP="000967DB">
            <w:pPr>
              <w:jc w:val="center"/>
              <w:rPr>
                <w:rFonts w:eastAsia="Times New Roman" w:cs="Times New Roman"/>
                <w:color w:val="000000"/>
                <w:sz w:val="22"/>
                <w:lang w:eastAsia="lv-LV"/>
              </w:rPr>
            </w:pPr>
            <w:r w:rsidRPr="00120DF9">
              <w:rPr>
                <w:rFonts w:eastAsia="Times New Roman" w:cs="Times New Roman"/>
                <w:color w:val="000000"/>
                <w:sz w:val="22"/>
                <w:lang w:eastAsia="lv-LV"/>
              </w:rPr>
              <w:t>Iterācija</w:t>
            </w:r>
          </w:p>
        </w:tc>
        <w:tc>
          <w:tcPr>
            <w:tcW w:w="4594" w:type="dxa"/>
            <w:noWrap/>
            <w:hideMark/>
          </w:tcPr>
          <w:p w14:paraId="6C337356" w14:textId="77777777" w:rsidR="00C1766B" w:rsidRPr="00120DF9" w:rsidRDefault="00C1766B" w:rsidP="000967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Raksturlielums</w:t>
            </w:r>
          </w:p>
        </w:tc>
        <w:tc>
          <w:tcPr>
            <w:tcW w:w="1817" w:type="dxa"/>
            <w:noWrap/>
            <w:vAlign w:val="center"/>
            <w:hideMark/>
          </w:tcPr>
          <w:p w14:paraId="0CDC9D7C" w14:textId="77777777" w:rsidR="00C1766B" w:rsidRPr="00120DF9" w:rsidRDefault="00C1766B" w:rsidP="000967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2020</w:t>
            </w:r>
          </w:p>
        </w:tc>
      </w:tr>
      <w:tr w:rsidR="00C1766B" w:rsidRPr="00120DF9" w14:paraId="3E73F078" w14:textId="77777777" w:rsidTr="000967D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23" w:type="dxa"/>
            <w:noWrap/>
            <w:hideMark/>
          </w:tcPr>
          <w:p w14:paraId="386ABB0A" w14:textId="77777777" w:rsidR="00C1766B" w:rsidRPr="00120DF9" w:rsidRDefault="00C1766B" w:rsidP="000967DB">
            <w:pPr>
              <w:jc w:val="center"/>
              <w:rPr>
                <w:rFonts w:eastAsia="Times New Roman" w:cs="Times New Roman"/>
                <w:color w:val="000000"/>
                <w:sz w:val="22"/>
                <w:lang w:eastAsia="lv-LV"/>
              </w:rPr>
            </w:pPr>
            <w:r>
              <w:rPr>
                <w:rFonts w:eastAsia="Times New Roman" w:cs="Times New Roman"/>
                <w:color w:val="000000"/>
                <w:sz w:val="22"/>
                <w:lang w:eastAsia="lv-LV"/>
              </w:rPr>
              <w:t>Budžeta likums 2020.gadam</w:t>
            </w:r>
          </w:p>
        </w:tc>
        <w:tc>
          <w:tcPr>
            <w:tcW w:w="4594" w:type="dxa"/>
            <w:noWrap/>
            <w:hideMark/>
          </w:tcPr>
          <w:p w14:paraId="71964087" w14:textId="77777777" w:rsidR="00C1766B" w:rsidRPr="00120DF9"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120DF9">
              <w:rPr>
                <w:rFonts w:eastAsia="Times New Roman" w:cs="Times New Roman"/>
                <w:b/>
                <w:bCs/>
                <w:color w:val="000000"/>
                <w:sz w:val="22"/>
                <w:lang w:eastAsia="lv-LV"/>
              </w:rPr>
              <w:t>Vispārējās valdības sektora B.9</w:t>
            </w:r>
          </w:p>
        </w:tc>
        <w:tc>
          <w:tcPr>
            <w:tcW w:w="1817" w:type="dxa"/>
            <w:noWrap/>
            <w:vAlign w:val="center"/>
            <w:hideMark/>
          </w:tcPr>
          <w:p w14:paraId="2C366957" w14:textId="77777777" w:rsidR="00C1766B" w:rsidRPr="00120DF9"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lv-LV"/>
              </w:rPr>
            </w:pPr>
            <w:r w:rsidRPr="00120DF9">
              <w:rPr>
                <w:rFonts w:eastAsia="Times New Roman" w:cs="Times New Roman"/>
                <w:b/>
                <w:bCs/>
                <w:color w:val="000000"/>
                <w:sz w:val="22"/>
                <w:lang w:eastAsia="lv-LV"/>
              </w:rPr>
              <w:t>-</w:t>
            </w:r>
            <w:r>
              <w:rPr>
                <w:rFonts w:eastAsia="Times New Roman" w:cs="Times New Roman"/>
                <w:b/>
                <w:bCs/>
                <w:color w:val="000000"/>
                <w:sz w:val="22"/>
                <w:lang w:eastAsia="lv-LV"/>
              </w:rPr>
              <w:t>0,4</w:t>
            </w:r>
          </w:p>
        </w:tc>
      </w:tr>
      <w:tr w:rsidR="00C1766B" w:rsidRPr="00120DF9" w14:paraId="1BDAD919" w14:textId="77777777" w:rsidTr="000967DB">
        <w:trPr>
          <w:trHeight w:val="219"/>
        </w:trPr>
        <w:tc>
          <w:tcPr>
            <w:cnfStyle w:val="001000000000" w:firstRow="0" w:lastRow="0" w:firstColumn="1" w:lastColumn="0" w:oddVBand="0" w:evenVBand="0" w:oddHBand="0" w:evenHBand="0" w:firstRowFirstColumn="0" w:firstRowLastColumn="0" w:lastRowFirstColumn="0" w:lastRowLastColumn="0"/>
            <w:tcW w:w="3223" w:type="dxa"/>
            <w:vMerge w:val="restart"/>
            <w:hideMark/>
          </w:tcPr>
          <w:p w14:paraId="00DCF879" w14:textId="77777777" w:rsidR="00C1766B" w:rsidRPr="00120DF9" w:rsidRDefault="00C1766B" w:rsidP="000967DB">
            <w:pPr>
              <w:jc w:val="center"/>
              <w:rPr>
                <w:rFonts w:eastAsia="Times New Roman" w:cs="Times New Roman"/>
                <w:color w:val="000000"/>
                <w:sz w:val="22"/>
                <w:lang w:eastAsia="lv-LV"/>
              </w:rPr>
            </w:pPr>
          </w:p>
          <w:p w14:paraId="3834FB5F" w14:textId="77777777" w:rsidR="00C1766B" w:rsidRPr="00120DF9" w:rsidRDefault="00C1766B" w:rsidP="000967DB">
            <w:pPr>
              <w:jc w:val="center"/>
              <w:rPr>
                <w:rFonts w:eastAsia="Times New Roman" w:cs="Times New Roman"/>
                <w:color w:val="000000"/>
                <w:sz w:val="22"/>
                <w:lang w:eastAsia="lv-LV"/>
              </w:rPr>
            </w:pPr>
          </w:p>
          <w:p w14:paraId="639C34F1" w14:textId="77777777" w:rsidR="00C1766B" w:rsidRPr="00120DF9" w:rsidRDefault="00C1766B" w:rsidP="000967DB">
            <w:pPr>
              <w:jc w:val="center"/>
              <w:rPr>
                <w:rFonts w:eastAsia="Times New Roman" w:cs="Times New Roman"/>
                <w:color w:val="000000"/>
                <w:sz w:val="22"/>
                <w:lang w:eastAsia="lv-LV"/>
              </w:rPr>
            </w:pPr>
          </w:p>
          <w:p w14:paraId="7AA7E726" w14:textId="77777777" w:rsidR="00C1766B" w:rsidRPr="00120DF9" w:rsidRDefault="00C1766B" w:rsidP="000967DB">
            <w:pPr>
              <w:jc w:val="center"/>
              <w:rPr>
                <w:rFonts w:eastAsia="Times New Roman" w:cs="Times New Roman"/>
                <w:color w:val="000000"/>
                <w:sz w:val="22"/>
                <w:lang w:eastAsia="lv-LV"/>
              </w:rPr>
            </w:pPr>
          </w:p>
          <w:p w14:paraId="165BA8B3" w14:textId="77777777" w:rsidR="00C1766B" w:rsidRPr="00120DF9" w:rsidRDefault="00C1766B" w:rsidP="000967DB">
            <w:pPr>
              <w:jc w:val="center"/>
              <w:rPr>
                <w:rFonts w:eastAsia="Times New Roman" w:cs="Times New Roman"/>
                <w:color w:val="000000"/>
                <w:sz w:val="22"/>
                <w:lang w:eastAsia="lv-LV"/>
              </w:rPr>
            </w:pPr>
          </w:p>
          <w:p w14:paraId="5563934C" w14:textId="77777777" w:rsidR="00C1766B" w:rsidRPr="00120DF9" w:rsidRDefault="00C1766B" w:rsidP="000967DB">
            <w:pPr>
              <w:jc w:val="center"/>
              <w:rPr>
                <w:rFonts w:eastAsia="Times New Roman" w:cs="Times New Roman"/>
                <w:color w:val="000000"/>
                <w:sz w:val="22"/>
                <w:lang w:eastAsia="lv-LV"/>
              </w:rPr>
            </w:pPr>
            <w:r w:rsidRPr="00120DF9">
              <w:rPr>
                <w:rFonts w:eastAsia="Times New Roman" w:cs="Times New Roman"/>
                <w:color w:val="000000"/>
                <w:sz w:val="22"/>
                <w:lang w:eastAsia="lv-LV"/>
              </w:rPr>
              <w:t>Izmaiņu ietekme uz B.9</w:t>
            </w:r>
          </w:p>
        </w:tc>
        <w:tc>
          <w:tcPr>
            <w:tcW w:w="4594" w:type="dxa"/>
            <w:noWrap/>
            <w:hideMark/>
          </w:tcPr>
          <w:p w14:paraId="6816B442" w14:textId="77777777" w:rsidR="00C1766B" w:rsidRPr="00120DF9" w:rsidRDefault="00C1766B" w:rsidP="000967D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Nodokļu ieņēmumi</w:t>
            </w:r>
          </w:p>
        </w:tc>
        <w:tc>
          <w:tcPr>
            <w:tcW w:w="1817" w:type="dxa"/>
            <w:noWrap/>
            <w:vAlign w:val="center"/>
            <w:hideMark/>
          </w:tcPr>
          <w:p w14:paraId="4A0E2629" w14:textId="77777777" w:rsidR="00C1766B" w:rsidRPr="0036300A"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-2,30</w:t>
            </w:r>
          </w:p>
        </w:tc>
      </w:tr>
      <w:tr w:rsidR="00C1766B" w:rsidRPr="00120DF9" w14:paraId="417FE811" w14:textId="77777777" w:rsidTr="000967D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23" w:type="dxa"/>
            <w:vMerge/>
            <w:hideMark/>
          </w:tcPr>
          <w:p w14:paraId="35C764A2"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3D6C5871" w14:textId="77777777" w:rsidR="00C1766B" w:rsidRPr="00120DF9" w:rsidRDefault="00C1766B" w:rsidP="000967D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Nenodokļu ieņēmumi</w:t>
            </w:r>
          </w:p>
        </w:tc>
        <w:tc>
          <w:tcPr>
            <w:tcW w:w="1817" w:type="dxa"/>
            <w:noWrap/>
            <w:vAlign w:val="center"/>
            <w:hideMark/>
          </w:tcPr>
          <w:p w14:paraId="0089CCBC" w14:textId="77777777" w:rsidR="00C1766B" w:rsidRPr="0036300A"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0,10</w:t>
            </w:r>
          </w:p>
        </w:tc>
      </w:tr>
      <w:tr w:rsidR="00C1766B" w:rsidRPr="00120DF9" w14:paraId="1CB58C93" w14:textId="77777777" w:rsidTr="000967DB">
        <w:trPr>
          <w:trHeight w:val="255"/>
        </w:trPr>
        <w:tc>
          <w:tcPr>
            <w:cnfStyle w:val="001000000000" w:firstRow="0" w:lastRow="0" w:firstColumn="1" w:lastColumn="0" w:oddVBand="0" w:evenVBand="0" w:oddHBand="0" w:evenHBand="0" w:firstRowFirstColumn="0" w:firstRowLastColumn="0" w:lastRowFirstColumn="0" w:lastRowLastColumn="0"/>
            <w:tcW w:w="3223" w:type="dxa"/>
            <w:vMerge/>
            <w:hideMark/>
          </w:tcPr>
          <w:p w14:paraId="62F6AE9D"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2C95AB8E" w14:textId="77777777" w:rsidR="00C1766B" w:rsidRPr="00120DF9" w:rsidRDefault="00C1766B" w:rsidP="000967D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Pašu ieņēmumi un maksas pakalpojumi</w:t>
            </w:r>
          </w:p>
        </w:tc>
        <w:tc>
          <w:tcPr>
            <w:tcW w:w="1817" w:type="dxa"/>
            <w:noWrap/>
            <w:vAlign w:val="center"/>
            <w:hideMark/>
          </w:tcPr>
          <w:p w14:paraId="04E33D5B" w14:textId="77777777" w:rsidR="00C1766B" w:rsidRPr="0036300A"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-0,02</w:t>
            </w:r>
          </w:p>
        </w:tc>
      </w:tr>
      <w:tr w:rsidR="00C1766B" w:rsidRPr="00120DF9" w14:paraId="25C6CEA0" w14:textId="77777777" w:rsidTr="000967DB">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7BDEA5EF"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2790CD6B" w14:textId="77777777" w:rsidR="00C1766B" w:rsidRPr="00120DF9" w:rsidRDefault="00C1766B" w:rsidP="000967D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Pamatbudžeta pamatfunkciju primārie izdevumi (izņemot transfertus)</w:t>
            </w:r>
          </w:p>
        </w:tc>
        <w:tc>
          <w:tcPr>
            <w:tcW w:w="1817" w:type="dxa"/>
            <w:noWrap/>
            <w:vAlign w:val="center"/>
            <w:hideMark/>
          </w:tcPr>
          <w:p w14:paraId="792544A1" w14:textId="77777777" w:rsidR="00C1766B" w:rsidRPr="0036300A"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-1,69</w:t>
            </w:r>
          </w:p>
        </w:tc>
      </w:tr>
      <w:tr w:rsidR="00C1766B" w:rsidRPr="00120DF9" w14:paraId="6B8FA5B7" w14:textId="77777777" w:rsidTr="000967DB">
        <w:trPr>
          <w:trHeight w:val="185"/>
        </w:trPr>
        <w:tc>
          <w:tcPr>
            <w:cnfStyle w:val="001000000000" w:firstRow="0" w:lastRow="0" w:firstColumn="1" w:lastColumn="0" w:oddVBand="0" w:evenVBand="0" w:oddHBand="0" w:evenHBand="0" w:firstRowFirstColumn="0" w:firstRowLastColumn="0" w:lastRowFirstColumn="0" w:lastRowLastColumn="0"/>
            <w:tcW w:w="3223" w:type="dxa"/>
            <w:vMerge/>
            <w:hideMark/>
          </w:tcPr>
          <w:p w14:paraId="56F18699"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0AC57773" w14:textId="77777777" w:rsidR="00C1766B" w:rsidRPr="00120DF9" w:rsidRDefault="00C1766B" w:rsidP="000967D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Speciālā budžeta izdevumi (izņemot transfertus)</w:t>
            </w:r>
          </w:p>
        </w:tc>
        <w:tc>
          <w:tcPr>
            <w:tcW w:w="1817" w:type="dxa"/>
            <w:noWrap/>
            <w:vAlign w:val="center"/>
            <w:hideMark/>
          </w:tcPr>
          <w:p w14:paraId="54841E6A" w14:textId="77777777" w:rsidR="00C1766B" w:rsidRPr="0036300A"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-0,05</w:t>
            </w:r>
          </w:p>
        </w:tc>
      </w:tr>
      <w:tr w:rsidR="00C1766B" w:rsidRPr="00120DF9" w14:paraId="2315F95B" w14:textId="77777777" w:rsidTr="000967DB">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223" w:type="dxa"/>
            <w:vMerge/>
            <w:hideMark/>
          </w:tcPr>
          <w:p w14:paraId="00D55C30"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143E56E9" w14:textId="77777777" w:rsidR="00C1766B" w:rsidRPr="00120DF9" w:rsidRDefault="00C1766B" w:rsidP="000967D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Pašvaldību budžeta pamatfunkciju primārie izdevumi (izņemot transfertus)</w:t>
            </w:r>
          </w:p>
        </w:tc>
        <w:tc>
          <w:tcPr>
            <w:tcW w:w="1817" w:type="dxa"/>
            <w:noWrap/>
            <w:vAlign w:val="center"/>
            <w:hideMark/>
          </w:tcPr>
          <w:p w14:paraId="3698E856" w14:textId="77777777" w:rsidR="00C1766B" w:rsidRPr="0036300A"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-0,04</w:t>
            </w:r>
          </w:p>
        </w:tc>
      </w:tr>
      <w:tr w:rsidR="00C1766B" w:rsidRPr="00120DF9" w14:paraId="7ACC66D8" w14:textId="77777777" w:rsidTr="000967DB">
        <w:trPr>
          <w:trHeight w:val="22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1D0BEC95"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6D7FBF68" w14:textId="77777777" w:rsidR="00C1766B" w:rsidRPr="00120DF9" w:rsidRDefault="00C1766B" w:rsidP="000967D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Atvasināto publisko personu izdevumi (izņemot transfertus)</w:t>
            </w:r>
          </w:p>
        </w:tc>
        <w:tc>
          <w:tcPr>
            <w:tcW w:w="1817" w:type="dxa"/>
            <w:noWrap/>
            <w:vAlign w:val="center"/>
            <w:hideMark/>
          </w:tcPr>
          <w:p w14:paraId="58DEEA39" w14:textId="77777777" w:rsidR="00C1766B" w:rsidRPr="0036300A"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36300A">
              <w:rPr>
                <w:rFonts w:eastAsia="Times New Roman" w:cs="Times New Roman"/>
                <w:color w:val="000000"/>
                <w:sz w:val="22"/>
                <w:lang w:eastAsia="lv-LV"/>
              </w:rPr>
              <w:t>0,</w:t>
            </w:r>
            <w:r>
              <w:rPr>
                <w:rFonts w:eastAsia="Times New Roman" w:cs="Times New Roman"/>
                <w:color w:val="000000"/>
                <w:sz w:val="22"/>
                <w:lang w:eastAsia="lv-LV"/>
              </w:rPr>
              <w:t>04</w:t>
            </w:r>
          </w:p>
        </w:tc>
      </w:tr>
      <w:tr w:rsidR="00C1766B" w:rsidRPr="00120DF9" w14:paraId="4D068C40" w14:textId="77777777" w:rsidTr="000967D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223" w:type="dxa"/>
            <w:vMerge/>
          </w:tcPr>
          <w:p w14:paraId="0E925A04" w14:textId="77777777" w:rsidR="00C1766B" w:rsidRPr="00120DF9" w:rsidRDefault="00C1766B" w:rsidP="000967DB">
            <w:pPr>
              <w:rPr>
                <w:rFonts w:eastAsia="Times New Roman" w:cs="Times New Roman"/>
                <w:color w:val="000000"/>
                <w:sz w:val="22"/>
                <w:lang w:eastAsia="lv-LV"/>
              </w:rPr>
            </w:pPr>
          </w:p>
        </w:tc>
        <w:tc>
          <w:tcPr>
            <w:tcW w:w="4594" w:type="dxa"/>
            <w:noWrap/>
          </w:tcPr>
          <w:p w14:paraId="1F941483" w14:textId="77777777" w:rsidR="00C1766B" w:rsidRPr="00120DF9" w:rsidRDefault="00C1766B" w:rsidP="000967D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 xml:space="preserve">Procentu izdevumi </w:t>
            </w:r>
          </w:p>
        </w:tc>
        <w:tc>
          <w:tcPr>
            <w:tcW w:w="1817" w:type="dxa"/>
            <w:noWrap/>
            <w:vAlign w:val="center"/>
          </w:tcPr>
          <w:p w14:paraId="0EE39CE4" w14:textId="77777777" w:rsidR="00C1766B" w:rsidRPr="0036300A"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-0,05</w:t>
            </w:r>
          </w:p>
        </w:tc>
      </w:tr>
      <w:tr w:rsidR="00C1766B" w:rsidRPr="00120DF9" w14:paraId="116679F9" w14:textId="77777777" w:rsidTr="000967DB">
        <w:trPr>
          <w:trHeight w:val="112"/>
        </w:trPr>
        <w:tc>
          <w:tcPr>
            <w:cnfStyle w:val="001000000000" w:firstRow="0" w:lastRow="0" w:firstColumn="1" w:lastColumn="0" w:oddVBand="0" w:evenVBand="0" w:oddHBand="0" w:evenHBand="0" w:firstRowFirstColumn="0" w:firstRowLastColumn="0" w:lastRowFirstColumn="0" w:lastRowLastColumn="0"/>
            <w:tcW w:w="3223" w:type="dxa"/>
            <w:vMerge/>
            <w:hideMark/>
          </w:tcPr>
          <w:p w14:paraId="0F3F60A6"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0D6B7B47" w14:textId="77777777" w:rsidR="00C1766B" w:rsidRPr="00120DF9" w:rsidRDefault="00C1766B" w:rsidP="000967D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Pieklasificēto komersantu bilance</w:t>
            </w:r>
          </w:p>
        </w:tc>
        <w:tc>
          <w:tcPr>
            <w:tcW w:w="1817" w:type="dxa"/>
            <w:noWrap/>
            <w:vAlign w:val="center"/>
            <w:hideMark/>
          </w:tcPr>
          <w:p w14:paraId="6F650465" w14:textId="77777777" w:rsidR="00C1766B" w:rsidRPr="0036300A"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lv-LV"/>
              </w:rPr>
            </w:pPr>
            <w:r w:rsidRPr="0036300A">
              <w:rPr>
                <w:rFonts w:eastAsia="Times New Roman" w:cs="Times New Roman"/>
                <w:color w:val="000000"/>
                <w:sz w:val="22"/>
                <w:lang w:eastAsia="lv-LV"/>
              </w:rPr>
              <w:t>0,</w:t>
            </w:r>
            <w:r>
              <w:rPr>
                <w:rFonts w:eastAsia="Times New Roman" w:cs="Times New Roman"/>
                <w:color w:val="000000"/>
                <w:sz w:val="22"/>
                <w:lang w:eastAsia="lv-LV"/>
              </w:rPr>
              <w:t>22</w:t>
            </w:r>
          </w:p>
        </w:tc>
      </w:tr>
      <w:tr w:rsidR="00C1766B" w:rsidRPr="00120DF9" w14:paraId="67B3366C" w14:textId="77777777" w:rsidTr="000967D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223" w:type="dxa"/>
            <w:vMerge/>
            <w:hideMark/>
          </w:tcPr>
          <w:p w14:paraId="236212DC"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047A4DC1" w14:textId="77777777" w:rsidR="00C1766B" w:rsidRPr="00120DF9" w:rsidRDefault="00C1766B" w:rsidP="000967D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ĀFP nacionālā līdzfinansējuma izdevumi</w:t>
            </w:r>
          </w:p>
        </w:tc>
        <w:tc>
          <w:tcPr>
            <w:tcW w:w="1817" w:type="dxa"/>
            <w:noWrap/>
            <w:vAlign w:val="center"/>
            <w:hideMark/>
          </w:tcPr>
          <w:p w14:paraId="630591B2" w14:textId="77777777" w:rsidR="00C1766B" w:rsidRPr="0036300A"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0,04</w:t>
            </w:r>
          </w:p>
        </w:tc>
      </w:tr>
      <w:tr w:rsidR="00C1766B" w:rsidRPr="00120DF9" w14:paraId="2E7B1168" w14:textId="77777777" w:rsidTr="000967DB">
        <w:trPr>
          <w:trHeight w:val="130"/>
        </w:trPr>
        <w:tc>
          <w:tcPr>
            <w:cnfStyle w:val="001000000000" w:firstRow="0" w:lastRow="0" w:firstColumn="1" w:lastColumn="0" w:oddVBand="0" w:evenVBand="0" w:oddHBand="0" w:evenHBand="0" w:firstRowFirstColumn="0" w:firstRowLastColumn="0" w:lastRowFirstColumn="0" w:lastRowLastColumn="0"/>
            <w:tcW w:w="3223" w:type="dxa"/>
            <w:vMerge/>
          </w:tcPr>
          <w:p w14:paraId="613BC87D" w14:textId="77777777" w:rsidR="00C1766B" w:rsidRPr="00120DF9" w:rsidRDefault="00C1766B" w:rsidP="000967DB">
            <w:pPr>
              <w:rPr>
                <w:rFonts w:eastAsia="Times New Roman" w:cs="Times New Roman"/>
                <w:color w:val="000000"/>
                <w:lang w:eastAsia="lv-LV"/>
              </w:rPr>
            </w:pPr>
          </w:p>
        </w:tc>
        <w:tc>
          <w:tcPr>
            <w:tcW w:w="4594" w:type="dxa"/>
            <w:noWrap/>
          </w:tcPr>
          <w:p w14:paraId="4D875BE5" w14:textId="77777777" w:rsidR="00C1766B" w:rsidRPr="00120DF9" w:rsidRDefault="00C1766B" w:rsidP="000967D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lv-LV"/>
              </w:rPr>
            </w:pPr>
            <w:r w:rsidRPr="006D46F3">
              <w:rPr>
                <w:rFonts w:eastAsia="Times New Roman" w:cs="Times New Roman"/>
                <w:color w:val="000000"/>
                <w:lang w:eastAsia="lv-LV"/>
              </w:rPr>
              <w:t>Kapitālie transferti</w:t>
            </w:r>
          </w:p>
        </w:tc>
        <w:tc>
          <w:tcPr>
            <w:tcW w:w="1817" w:type="dxa"/>
            <w:noWrap/>
            <w:vAlign w:val="center"/>
          </w:tcPr>
          <w:p w14:paraId="5CDD3D07" w14:textId="77777777" w:rsidR="00C1766B"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lv-LV"/>
              </w:rPr>
            </w:pPr>
            <w:r w:rsidRPr="006D46F3">
              <w:rPr>
                <w:rFonts w:eastAsia="Times New Roman" w:cs="Times New Roman"/>
                <w:color w:val="000000"/>
                <w:lang w:eastAsia="lv-LV"/>
              </w:rPr>
              <w:t>-0,98</w:t>
            </w:r>
          </w:p>
        </w:tc>
      </w:tr>
      <w:tr w:rsidR="00C1766B" w:rsidRPr="00120DF9" w14:paraId="163302AC" w14:textId="77777777" w:rsidTr="000967D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223" w:type="dxa"/>
            <w:vMerge/>
            <w:hideMark/>
          </w:tcPr>
          <w:p w14:paraId="425790C8" w14:textId="77777777" w:rsidR="00C1766B" w:rsidRPr="00120DF9" w:rsidRDefault="00C1766B" w:rsidP="000967DB">
            <w:pPr>
              <w:rPr>
                <w:rFonts w:eastAsia="Times New Roman" w:cs="Times New Roman"/>
                <w:color w:val="000000"/>
                <w:sz w:val="22"/>
                <w:lang w:eastAsia="lv-LV"/>
              </w:rPr>
            </w:pPr>
          </w:p>
        </w:tc>
        <w:tc>
          <w:tcPr>
            <w:tcW w:w="4594" w:type="dxa"/>
            <w:noWrap/>
            <w:hideMark/>
          </w:tcPr>
          <w:p w14:paraId="345A25DE" w14:textId="77777777" w:rsidR="00C1766B" w:rsidRPr="00120DF9" w:rsidRDefault="00C1766B" w:rsidP="000967D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sidRPr="00120DF9">
              <w:rPr>
                <w:rFonts w:eastAsia="Times New Roman" w:cs="Times New Roman"/>
                <w:color w:val="000000"/>
                <w:sz w:val="22"/>
                <w:lang w:eastAsia="lv-LV"/>
              </w:rPr>
              <w:t>Pārējās izmaiņas</w:t>
            </w:r>
          </w:p>
        </w:tc>
        <w:tc>
          <w:tcPr>
            <w:tcW w:w="1817" w:type="dxa"/>
            <w:noWrap/>
            <w:vAlign w:val="center"/>
            <w:hideMark/>
          </w:tcPr>
          <w:p w14:paraId="016B8DFE" w14:textId="77777777" w:rsidR="00C1766B" w:rsidRPr="0036300A" w:rsidRDefault="00C1766B" w:rsidP="000967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lv-LV"/>
              </w:rPr>
            </w:pPr>
            <w:r>
              <w:rPr>
                <w:rFonts w:eastAsia="Times New Roman" w:cs="Times New Roman"/>
                <w:color w:val="000000"/>
                <w:sz w:val="22"/>
                <w:lang w:eastAsia="lv-LV"/>
              </w:rPr>
              <w:t>0,52</w:t>
            </w:r>
          </w:p>
        </w:tc>
      </w:tr>
      <w:tr w:rsidR="00C1766B" w:rsidRPr="00120DF9" w14:paraId="667F6BE1" w14:textId="77777777" w:rsidTr="000967DB">
        <w:trPr>
          <w:trHeight w:val="70"/>
        </w:trPr>
        <w:tc>
          <w:tcPr>
            <w:cnfStyle w:val="001000000000" w:firstRow="0" w:lastRow="0" w:firstColumn="1" w:lastColumn="0" w:oddVBand="0" w:evenVBand="0" w:oddHBand="0" w:evenHBand="0" w:firstRowFirstColumn="0" w:firstRowLastColumn="0" w:lastRowFirstColumn="0" w:lastRowLastColumn="0"/>
            <w:tcW w:w="3223" w:type="dxa"/>
            <w:noWrap/>
            <w:hideMark/>
          </w:tcPr>
          <w:p w14:paraId="3DFA3935" w14:textId="77777777" w:rsidR="00C1766B" w:rsidRPr="00120DF9" w:rsidRDefault="00C1766B" w:rsidP="000967DB">
            <w:pPr>
              <w:jc w:val="center"/>
              <w:rPr>
                <w:rFonts w:eastAsia="Times New Roman" w:cs="Times New Roman"/>
                <w:color w:val="000000"/>
                <w:sz w:val="22"/>
                <w:lang w:eastAsia="lv-LV"/>
              </w:rPr>
            </w:pPr>
            <w:r w:rsidRPr="00120DF9">
              <w:rPr>
                <w:rFonts w:eastAsia="Times New Roman" w:cs="Times New Roman"/>
                <w:color w:val="000000"/>
                <w:sz w:val="22"/>
                <w:lang w:eastAsia="lv-LV"/>
              </w:rPr>
              <w:t>20</w:t>
            </w:r>
            <w:r>
              <w:rPr>
                <w:rFonts w:eastAsia="Times New Roman" w:cs="Times New Roman"/>
                <w:color w:val="000000"/>
                <w:sz w:val="22"/>
                <w:lang w:eastAsia="lv-LV"/>
              </w:rPr>
              <w:t>20</w:t>
            </w:r>
            <w:r w:rsidRPr="00120DF9">
              <w:rPr>
                <w:rFonts w:eastAsia="Times New Roman" w:cs="Times New Roman"/>
                <w:color w:val="000000"/>
                <w:sz w:val="22"/>
                <w:lang w:eastAsia="lv-LV"/>
              </w:rPr>
              <w:t xml:space="preserve">.gada </w:t>
            </w:r>
            <w:r>
              <w:rPr>
                <w:rFonts w:eastAsia="Times New Roman" w:cs="Times New Roman"/>
                <w:color w:val="000000"/>
                <w:sz w:val="22"/>
                <w:lang w:eastAsia="lv-LV"/>
              </w:rPr>
              <w:t>izpilde</w:t>
            </w:r>
          </w:p>
        </w:tc>
        <w:tc>
          <w:tcPr>
            <w:tcW w:w="4594" w:type="dxa"/>
            <w:noWrap/>
            <w:hideMark/>
          </w:tcPr>
          <w:p w14:paraId="4371787D" w14:textId="77777777" w:rsidR="00C1766B" w:rsidRPr="00120DF9"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lang w:eastAsia="lv-LV"/>
              </w:rPr>
            </w:pPr>
            <w:r w:rsidRPr="00120DF9">
              <w:rPr>
                <w:rFonts w:eastAsia="Times New Roman" w:cs="Times New Roman"/>
                <w:b/>
                <w:bCs/>
                <w:color w:val="000000"/>
                <w:sz w:val="22"/>
                <w:lang w:eastAsia="lv-LV"/>
              </w:rPr>
              <w:t>Vispārējās valdības sektora B.9</w:t>
            </w:r>
          </w:p>
        </w:tc>
        <w:tc>
          <w:tcPr>
            <w:tcW w:w="1817" w:type="dxa"/>
            <w:noWrap/>
            <w:vAlign w:val="center"/>
            <w:hideMark/>
          </w:tcPr>
          <w:p w14:paraId="7328277A" w14:textId="77777777" w:rsidR="00C1766B" w:rsidRPr="0036300A" w:rsidRDefault="00C1766B" w:rsidP="000967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lang w:eastAsia="lv-LV"/>
              </w:rPr>
            </w:pPr>
            <w:r w:rsidRPr="0036300A">
              <w:rPr>
                <w:rFonts w:eastAsia="Times New Roman" w:cs="Times New Roman"/>
                <w:b/>
                <w:bCs/>
                <w:color w:val="000000"/>
                <w:sz w:val="22"/>
                <w:lang w:eastAsia="lv-LV"/>
              </w:rPr>
              <w:t>-</w:t>
            </w:r>
            <w:r>
              <w:rPr>
                <w:rFonts w:eastAsia="Times New Roman" w:cs="Times New Roman"/>
                <w:b/>
                <w:bCs/>
                <w:color w:val="000000"/>
                <w:sz w:val="22"/>
                <w:lang w:eastAsia="lv-LV"/>
              </w:rPr>
              <w:t>4,5</w:t>
            </w:r>
          </w:p>
        </w:tc>
      </w:tr>
    </w:tbl>
    <w:p w14:paraId="35A08870" w14:textId="77777777" w:rsidR="00C1766B" w:rsidRPr="00B672ED" w:rsidRDefault="00C1766B" w:rsidP="00BB69DC">
      <w:pPr>
        <w:pStyle w:val="teksts"/>
        <w:spacing w:after="0"/>
        <w:ind w:firstLine="720"/>
        <w:rPr>
          <w:rFonts w:ascii="Times New Roman" w:hAnsi="Times New Roman"/>
          <w:bCs/>
          <w:szCs w:val="24"/>
        </w:rPr>
      </w:pPr>
    </w:p>
    <w:p w14:paraId="471EDE1C" w14:textId="61BF3AE6" w:rsidR="00C1766B" w:rsidRPr="00F42440" w:rsidRDefault="00C1766B" w:rsidP="00BB69DC">
      <w:pPr>
        <w:pStyle w:val="teksts"/>
        <w:spacing w:after="0"/>
        <w:ind w:firstLine="720"/>
        <w:rPr>
          <w:rFonts w:ascii="Times New Roman" w:eastAsia="Calibri" w:hAnsi="Times New Roman"/>
          <w:szCs w:val="24"/>
        </w:rPr>
      </w:pPr>
      <w:r>
        <w:rPr>
          <w:rFonts w:ascii="Times New Roman" w:hAnsi="Times New Roman"/>
          <w:bCs/>
          <w:szCs w:val="24"/>
        </w:rPr>
        <w:t xml:space="preserve">Pieļaujamais vispārējās valdības budžeta deficīts, atbilstoši 2020.gada budžeta likumam tika noteiks 0,3% apmērā no IKP. Ņemot vērā budžeta likumā iestrādāto fiskālā nodrošinājuma rezervi, vispārējās valdības budžeta deficīts tika plānots 0,4% apmērā no IKP. </w:t>
      </w:r>
      <w:r w:rsidRPr="008C4DD4">
        <w:rPr>
          <w:rFonts w:ascii="Times New Roman" w:hAnsi="Times New Roman"/>
          <w:b/>
          <w:bCs/>
          <w:szCs w:val="24"/>
        </w:rPr>
        <w:t xml:space="preserve">Atbilstoši CSP 2021.gada aprīļa vispārējās valdības budžeta notifikācijas datiem, </w:t>
      </w:r>
      <w:r w:rsidRPr="008C4DD4">
        <w:rPr>
          <w:rFonts w:ascii="Times New Roman" w:eastAsia="Calibri" w:hAnsi="Times New Roman"/>
          <w:b/>
          <w:szCs w:val="24"/>
        </w:rPr>
        <w:t xml:space="preserve">vispārējās valdības budžetā 2020.gadā bija deficīts 4,5% apmērā no IKP, kas ir būtiski augstāks </w:t>
      </w:r>
      <w:r>
        <w:rPr>
          <w:rFonts w:ascii="Times New Roman" w:eastAsia="Calibri" w:hAnsi="Times New Roman"/>
          <w:b/>
          <w:szCs w:val="24"/>
        </w:rPr>
        <w:t xml:space="preserve">deficīta līmenis </w:t>
      </w:r>
      <w:r w:rsidRPr="008C4DD4">
        <w:rPr>
          <w:rFonts w:ascii="Times New Roman" w:hAnsi="Times New Roman"/>
          <w:b/>
          <w:szCs w:val="24"/>
        </w:rPr>
        <w:t>kā likumā “Par valsts budžetu 2020.gadam”</w:t>
      </w:r>
      <w:r w:rsidRPr="00F42440">
        <w:rPr>
          <w:rFonts w:ascii="Times New Roman" w:hAnsi="Times New Roman"/>
          <w:szCs w:val="24"/>
        </w:rPr>
        <w:t xml:space="preserve"> </w:t>
      </w:r>
      <w:r w:rsidRPr="008C4DD4">
        <w:rPr>
          <w:rFonts w:ascii="Times New Roman" w:hAnsi="Times New Roman"/>
          <w:b/>
          <w:szCs w:val="24"/>
        </w:rPr>
        <w:t>noteiktais deficīta apjoms</w:t>
      </w:r>
      <w:r w:rsidRPr="00F42440">
        <w:rPr>
          <w:rFonts w:ascii="Times New Roman" w:eastAsia="Calibri" w:hAnsi="Times New Roman"/>
          <w:szCs w:val="24"/>
        </w:rPr>
        <w:t xml:space="preserve">, taču jāņem vērā, ka likums par </w:t>
      </w:r>
      <w:r w:rsidRPr="00F42440">
        <w:rPr>
          <w:rFonts w:ascii="Times New Roman" w:hAnsi="Times New Roman"/>
          <w:szCs w:val="24"/>
        </w:rPr>
        <w:t xml:space="preserve">“Par valsts budžetu 2020.gadam” tika pieņemts </w:t>
      </w:r>
      <w:r>
        <w:rPr>
          <w:rFonts w:ascii="Times New Roman" w:hAnsi="Times New Roman"/>
          <w:szCs w:val="24"/>
        </w:rPr>
        <w:t>2019.gada 14.</w:t>
      </w:r>
      <w:r w:rsidRPr="00F42440">
        <w:rPr>
          <w:rFonts w:ascii="Times New Roman" w:hAnsi="Times New Roman"/>
          <w:szCs w:val="24"/>
        </w:rPr>
        <w:t>novembrī, kad vēl nebija sākusies Covid-19 pandēmija.</w:t>
      </w:r>
      <w:r w:rsidRPr="00F42440">
        <w:rPr>
          <w:rFonts w:ascii="Times New Roman" w:eastAsia="Calibri" w:hAnsi="Times New Roman"/>
          <w:szCs w:val="24"/>
        </w:rPr>
        <w:t xml:space="preserve"> Tajā pašā laikā jāatzīmē, ka vispārējās valdības budžeta deficīts ir būtiski zemāks kā prognozētais Latvijas Stabilitātes programmā 2020.</w:t>
      </w:r>
      <w:r w:rsidRPr="00F42440">
        <w:rPr>
          <w:rFonts w:ascii="Times New Roman" w:hAnsi="Times New Roman"/>
          <w:noProof/>
          <w:color w:val="000000"/>
          <w:szCs w:val="24"/>
        </w:rPr>
        <w:t>–</w:t>
      </w:r>
      <w:r w:rsidRPr="00F42440">
        <w:rPr>
          <w:rFonts w:ascii="Times New Roman" w:eastAsia="Calibri" w:hAnsi="Times New Roman"/>
          <w:szCs w:val="24"/>
        </w:rPr>
        <w:t>2023.gadam, k</w:t>
      </w:r>
      <w:r>
        <w:rPr>
          <w:rFonts w:ascii="Times New Roman" w:eastAsia="Calibri" w:hAnsi="Times New Roman"/>
          <w:szCs w:val="24"/>
        </w:rPr>
        <w:t xml:space="preserve">ad, </w:t>
      </w:r>
      <w:r w:rsidRPr="00F42440">
        <w:rPr>
          <w:rFonts w:ascii="Times New Roman" w:eastAsia="Calibri" w:hAnsi="Times New Roman"/>
          <w:szCs w:val="24"/>
        </w:rPr>
        <w:t xml:space="preserve">ņemot vērā augsto nenoteiktību saistībā ar Covid-19 pandēmijas attīstību, vispārējās valdības budžeta deficīts </w:t>
      </w:r>
      <w:r>
        <w:rPr>
          <w:rFonts w:ascii="Times New Roman" w:eastAsia="Calibri" w:hAnsi="Times New Roman"/>
          <w:szCs w:val="24"/>
        </w:rPr>
        <w:t xml:space="preserve">2020.gadam </w:t>
      </w:r>
      <w:r w:rsidRPr="00F42440">
        <w:rPr>
          <w:rFonts w:ascii="Times New Roman" w:eastAsia="Calibri" w:hAnsi="Times New Roman"/>
          <w:szCs w:val="24"/>
        </w:rPr>
        <w:t>tika prognozēts 9,4% no IK</w:t>
      </w:r>
      <w:r>
        <w:rPr>
          <w:rFonts w:ascii="Times New Roman" w:eastAsia="Calibri" w:hAnsi="Times New Roman"/>
          <w:szCs w:val="24"/>
        </w:rPr>
        <w:t>P.</w:t>
      </w:r>
    </w:p>
    <w:p w14:paraId="063BA26E" w14:textId="77777777" w:rsidR="00C1766B" w:rsidRDefault="00C1766B" w:rsidP="00BB69DC">
      <w:pPr>
        <w:pStyle w:val="teksts"/>
        <w:spacing w:after="0"/>
        <w:ind w:firstLine="720"/>
        <w:rPr>
          <w:rFonts w:ascii="Times New Roman" w:eastAsia="Calibri" w:hAnsi="Times New Roman"/>
          <w:color w:val="000000"/>
          <w:szCs w:val="24"/>
        </w:rPr>
      </w:pPr>
      <w:r>
        <w:rPr>
          <w:rFonts w:ascii="Times New Roman" w:eastAsia="Calibri" w:hAnsi="Times New Roman"/>
          <w:szCs w:val="24"/>
        </w:rPr>
        <w:t xml:space="preserve">Covid-19 pandēmija atstāja būtisku ietekmi uz nodokļu ieņēmumiem 2020.gadā, kas, salīdzinot ar plānoto apjomu, palielināja vispārējās valdības budžeta deficītu par 2,3% no IKP. Būtiskākā plāna neizpilde tika novērota Pievienotās vērtības nodoklim (PVN), kas palielināja vispārējās valdības budžeta deficītu par 1,16%. </w:t>
      </w:r>
      <w:r w:rsidRPr="00F42440">
        <w:rPr>
          <w:rFonts w:ascii="Times New Roman" w:eastAsia="Calibri" w:hAnsi="Times New Roman"/>
          <w:color w:val="000000"/>
          <w:szCs w:val="24"/>
        </w:rPr>
        <w:t xml:space="preserve">Ja </w:t>
      </w:r>
      <w:r>
        <w:rPr>
          <w:rFonts w:ascii="Times New Roman" w:eastAsia="Calibri" w:hAnsi="Times New Roman"/>
          <w:color w:val="000000"/>
          <w:szCs w:val="24"/>
        </w:rPr>
        <w:t xml:space="preserve">vēl </w:t>
      </w:r>
      <w:r w:rsidRPr="00F42440">
        <w:rPr>
          <w:rFonts w:ascii="Times New Roman" w:eastAsia="Calibri" w:hAnsi="Times New Roman"/>
          <w:color w:val="000000"/>
          <w:szCs w:val="24"/>
        </w:rPr>
        <w:t>2020.gada janvārī un februārī PVN nodokļu ieņēmumi pieauga salīdzinot pret 2019.gadu, tad 2020.gada martā</w:t>
      </w:r>
      <w:r>
        <w:rPr>
          <w:rFonts w:ascii="Times New Roman" w:eastAsia="Calibri" w:hAnsi="Times New Roman"/>
          <w:color w:val="000000"/>
          <w:szCs w:val="24"/>
        </w:rPr>
        <w:t>,</w:t>
      </w:r>
      <w:r w:rsidRPr="00F42440">
        <w:rPr>
          <w:rFonts w:ascii="Times New Roman" w:eastAsia="Calibri" w:hAnsi="Times New Roman"/>
          <w:color w:val="000000"/>
          <w:szCs w:val="24"/>
        </w:rPr>
        <w:t xml:space="preserve"> </w:t>
      </w:r>
      <w:r>
        <w:rPr>
          <w:rFonts w:ascii="Times New Roman" w:eastAsia="Calibri" w:hAnsi="Times New Roman"/>
          <w:color w:val="000000"/>
          <w:szCs w:val="24"/>
        </w:rPr>
        <w:t xml:space="preserve">stājoties spēkā ārkārtas situācijai, </w:t>
      </w:r>
      <w:r w:rsidRPr="00F42440">
        <w:rPr>
          <w:rFonts w:ascii="Times New Roman" w:eastAsia="Calibri" w:hAnsi="Times New Roman"/>
          <w:color w:val="000000"/>
          <w:szCs w:val="24"/>
        </w:rPr>
        <w:t>PVN ieņēmumi sāka būtiski samazināties. Atbilstoši VID sniegtajai informācijai</w:t>
      </w:r>
      <w:r>
        <w:rPr>
          <w:rFonts w:ascii="Times New Roman" w:eastAsia="Calibri" w:hAnsi="Times New Roman"/>
          <w:color w:val="000000"/>
          <w:szCs w:val="24"/>
        </w:rPr>
        <w:t>,</w:t>
      </w:r>
      <w:r w:rsidRPr="00F42440">
        <w:rPr>
          <w:rFonts w:ascii="Times New Roman" w:eastAsia="Calibri" w:hAnsi="Times New Roman"/>
          <w:color w:val="000000"/>
          <w:szCs w:val="24"/>
        </w:rPr>
        <w:t xml:space="preserve"> ārkārtas situācijā visvairāk skartajās nozarēs – izmitināšanas un ēdināšanas pakalpojumu nozarē</w:t>
      </w:r>
      <w:r>
        <w:rPr>
          <w:rFonts w:ascii="Times New Roman" w:eastAsia="Calibri" w:hAnsi="Times New Roman"/>
          <w:color w:val="000000"/>
          <w:szCs w:val="24"/>
        </w:rPr>
        <w:t>,</w:t>
      </w:r>
      <w:r w:rsidRPr="00F42440">
        <w:rPr>
          <w:rFonts w:ascii="Times New Roman" w:eastAsia="Calibri" w:hAnsi="Times New Roman"/>
          <w:color w:val="000000"/>
          <w:szCs w:val="24"/>
        </w:rPr>
        <w:t xml:space="preserve"> kā arī mākslas, izklaides un atpūtas nozarē samaksātie PVN nodokļi samazinājās vairāk </w:t>
      </w:r>
      <w:r>
        <w:rPr>
          <w:rFonts w:ascii="Times New Roman" w:eastAsia="Calibri" w:hAnsi="Times New Roman"/>
          <w:color w:val="000000"/>
          <w:szCs w:val="24"/>
        </w:rPr>
        <w:t>kā par 50%, salīdzinot ar 2019.</w:t>
      </w:r>
      <w:r w:rsidRPr="00F42440">
        <w:rPr>
          <w:rFonts w:ascii="Times New Roman" w:eastAsia="Calibri" w:hAnsi="Times New Roman"/>
          <w:color w:val="000000"/>
          <w:szCs w:val="24"/>
        </w:rPr>
        <w:t xml:space="preserve">gadu. </w:t>
      </w:r>
      <w:r>
        <w:rPr>
          <w:rFonts w:ascii="Times New Roman" w:eastAsia="Calibri" w:hAnsi="Times New Roman"/>
          <w:color w:val="000000"/>
          <w:szCs w:val="24"/>
        </w:rPr>
        <w:t>Līdzīgi kā PVN ieņēmumi, arī akcīzes nodokļa ieņēmumi un sociālās apdrošināšanas iemaksas bija zem plānotā apjoma kā rezultātā vispārējās valdības budžeta deficīts palielinājās par 0,49% no IKP un 0,50% no IKP attiecīgi.</w:t>
      </w:r>
    </w:p>
    <w:p w14:paraId="38D309AA" w14:textId="77777777" w:rsidR="00C1766B" w:rsidRPr="008C4DD4" w:rsidRDefault="00C1766B" w:rsidP="00BB69DC">
      <w:pPr>
        <w:pStyle w:val="teksts"/>
        <w:spacing w:after="0"/>
        <w:ind w:firstLine="720"/>
        <w:rPr>
          <w:rFonts w:ascii="Times New Roman" w:eastAsia="Calibri" w:hAnsi="Times New Roman"/>
          <w:szCs w:val="24"/>
        </w:rPr>
      </w:pPr>
      <w:r>
        <w:rPr>
          <w:rFonts w:ascii="Times New Roman" w:eastAsia="Calibri" w:hAnsi="Times New Roman"/>
          <w:color w:val="000000"/>
          <w:szCs w:val="24"/>
        </w:rPr>
        <w:t xml:space="preserve">Lai mazinātu Covid-19 negatīvo ietekmi uz tautsaimniecību, valdība lēma par atbalsta pasākumiem tautsaimniecībai kā rezultātā pieauga pamatbudžeta pamatfunkciju primārie izdevumi. </w:t>
      </w:r>
      <w:r w:rsidRPr="00F9065A">
        <w:rPr>
          <w:rFonts w:ascii="Times New Roman" w:eastAsia="Calibri" w:hAnsi="Times New Roman"/>
          <w:color w:val="000000"/>
          <w:szCs w:val="24"/>
        </w:rPr>
        <w:t xml:space="preserve">Pateicoties sniegtajam atbalstam tika nodrošināti dīkstāves pabalsti, piešķirts papildus finansējums veselības nozarei (atalgojumam, medicīnisko iekārtu un vakcīnu iegādei u.c.), nodrošinātas subsīdijas lauksaimniekiem, piešķirts papildus finansējums </w:t>
      </w:r>
      <w:r w:rsidRPr="008C4DD4">
        <w:rPr>
          <w:rFonts w:ascii="Times New Roman" w:hAnsi="Times New Roman"/>
          <w:color w:val="000000" w:themeColor="text1"/>
          <w:szCs w:val="24"/>
        </w:rPr>
        <w:t>ceļu infrastruktūras uzlabošanai</w:t>
      </w:r>
      <w:r>
        <w:rPr>
          <w:rFonts w:ascii="Times New Roman" w:hAnsi="Times New Roman"/>
          <w:color w:val="000000" w:themeColor="text1"/>
          <w:szCs w:val="24"/>
        </w:rPr>
        <w:t>, piešķirts finansējums</w:t>
      </w:r>
      <w:r w:rsidRPr="00F9065A">
        <w:rPr>
          <w:rFonts w:ascii="Times New Roman" w:hAnsi="Times New Roman"/>
          <w:color w:val="000000" w:themeColor="text1"/>
          <w:szCs w:val="24"/>
        </w:rPr>
        <w:t xml:space="preserve"> </w:t>
      </w:r>
      <w:r>
        <w:rPr>
          <w:rFonts w:ascii="Times New Roman" w:hAnsi="Times New Roman"/>
          <w:color w:val="000000" w:themeColor="text1"/>
          <w:szCs w:val="24"/>
        </w:rPr>
        <w:t>Altum atbalsta programmu realizācijai, u.c.</w:t>
      </w:r>
    </w:p>
    <w:p w14:paraId="46E1E37C" w14:textId="4389793B" w:rsidR="00C1766B" w:rsidRPr="00837FD1" w:rsidRDefault="00C1766B" w:rsidP="00BB69DC">
      <w:pPr>
        <w:spacing w:after="0" w:line="240" w:lineRule="auto"/>
        <w:ind w:firstLine="720"/>
        <w:jc w:val="both"/>
        <w:rPr>
          <w:rFonts w:ascii="Times New Roman" w:eastAsia="Calibri" w:hAnsi="Times New Roman"/>
          <w:szCs w:val="24"/>
        </w:rPr>
      </w:pPr>
      <w:r w:rsidRPr="00BB69DC">
        <w:rPr>
          <w:rFonts w:ascii="Times New Roman" w:eastAsia="Calibri" w:hAnsi="Times New Roman"/>
          <w:sz w:val="24"/>
          <w:szCs w:val="24"/>
        </w:rPr>
        <w:t xml:space="preserve"> </w:t>
      </w:r>
      <w:r w:rsidRPr="00BB69DC">
        <w:rPr>
          <w:rFonts w:ascii="Times New Roman" w:hAnsi="Times New Roman"/>
          <w:sz w:val="24"/>
          <w:szCs w:val="24"/>
          <w:highlight w:val="white"/>
        </w:rPr>
        <w:t>Vispārējās valdības budžeta deficītu par 0,98% no IKP palielināja kapitālie transferti, kas ir saistīti ar valdības lēmumu sniegt atbalstu  AS “Air Baltic Corporation” 250 milj</w:t>
      </w:r>
      <w:r w:rsidRPr="00BB69DC">
        <w:rPr>
          <w:rFonts w:ascii="Times New Roman" w:hAnsi="Times New Roman"/>
          <w:noProof/>
          <w:sz w:val="24"/>
          <w:szCs w:val="24"/>
          <w:highlight w:val="white"/>
        </w:rPr>
        <w:t>.</w:t>
      </w:r>
      <w:r w:rsidRPr="00BB69DC">
        <w:rPr>
          <w:rFonts w:ascii="Times New Roman" w:eastAsia="Calibri" w:hAnsi="Times New Roman"/>
          <w:i/>
          <w:sz w:val="24"/>
          <w:szCs w:val="24"/>
        </w:rPr>
        <w:t xml:space="preserve"> euro </w:t>
      </w:r>
      <w:r w:rsidRPr="00BB69DC">
        <w:rPr>
          <w:rFonts w:ascii="Times New Roman" w:eastAsia="Calibri" w:hAnsi="Times New Roman"/>
          <w:sz w:val="24"/>
          <w:szCs w:val="24"/>
        </w:rPr>
        <w:t xml:space="preserve">apmērā, AS </w:t>
      </w:r>
      <w:r w:rsidRPr="00BB69DC">
        <w:rPr>
          <w:rFonts w:ascii="Times New Roman" w:eastAsia="Calibri" w:hAnsi="Times New Roman"/>
          <w:sz w:val="24"/>
          <w:szCs w:val="24"/>
        </w:rPr>
        <w:lastRenderedPageBreak/>
        <w:t>“Latvijas gaisa satiksme” 6 milj.</w:t>
      </w:r>
      <w:r w:rsidRPr="00BB69DC">
        <w:rPr>
          <w:rFonts w:ascii="Times New Roman" w:eastAsia="Calibri" w:hAnsi="Times New Roman"/>
          <w:i/>
          <w:sz w:val="24"/>
          <w:szCs w:val="24"/>
        </w:rPr>
        <w:t xml:space="preserve"> euro </w:t>
      </w:r>
      <w:r w:rsidRPr="00BB69DC">
        <w:rPr>
          <w:rFonts w:ascii="Times New Roman" w:eastAsia="Calibri" w:hAnsi="Times New Roman"/>
          <w:sz w:val="24"/>
          <w:szCs w:val="24"/>
        </w:rPr>
        <w:t xml:space="preserve">apmērā un </w:t>
      </w:r>
      <w:r w:rsidR="00396F3A">
        <w:rPr>
          <w:rFonts w:ascii="Times New Roman" w:eastAsia="Calibri" w:hAnsi="Times New Roman"/>
          <w:sz w:val="24"/>
          <w:szCs w:val="24"/>
        </w:rPr>
        <w:t>LDz</w:t>
      </w:r>
      <w:r w:rsidRPr="00BB69DC">
        <w:rPr>
          <w:rFonts w:ascii="Times New Roman" w:eastAsia="Calibri" w:hAnsi="Times New Roman"/>
          <w:sz w:val="24"/>
          <w:szCs w:val="24"/>
        </w:rPr>
        <w:t xml:space="preserve"> 32,4 milj.</w:t>
      </w:r>
      <w:r w:rsidRPr="00BB69DC">
        <w:rPr>
          <w:rFonts w:ascii="Times New Roman" w:eastAsia="Calibri" w:hAnsi="Times New Roman"/>
          <w:i/>
          <w:sz w:val="24"/>
          <w:szCs w:val="24"/>
        </w:rPr>
        <w:t xml:space="preserve"> euro </w:t>
      </w:r>
      <w:r w:rsidRPr="00BB69DC">
        <w:rPr>
          <w:rFonts w:ascii="Times New Roman" w:eastAsia="Calibri" w:hAnsi="Times New Roman"/>
          <w:sz w:val="24"/>
          <w:szCs w:val="24"/>
        </w:rPr>
        <w:t xml:space="preserve">apmērā Covid-19 krīzes pārvarēšanai. </w:t>
      </w:r>
    </w:p>
    <w:p w14:paraId="62E0DB65" w14:textId="457E058F" w:rsidR="00C1766B" w:rsidRDefault="00C1766B" w:rsidP="00BB69DC">
      <w:pPr>
        <w:spacing w:after="0" w:line="240" w:lineRule="auto"/>
        <w:ind w:right="28" w:firstLine="567"/>
        <w:jc w:val="both"/>
        <w:rPr>
          <w:rFonts w:ascii="Times New Roman" w:eastAsia="Calibri" w:hAnsi="Times New Roman" w:cs="Times New Roman"/>
          <w:color w:val="FF0000"/>
          <w:sz w:val="24"/>
          <w:szCs w:val="24"/>
        </w:rPr>
      </w:pPr>
      <w:r w:rsidRPr="008C4DD4">
        <w:rPr>
          <w:rFonts w:ascii="Times New Roman" w:eastAsia="Calibri" w:hAnsi="Times New Roman" w:cs="Times New Roman"/>
          <w:color w:val="000000" w:themeColor="text1"/>
          <w:sz w:val="24"/>
          <w:szCs w:val="24"/>
        </w:rPr>
        <w:t xml:space="preserve">Vispārējās valdības budžeta deficītu par 0,22% no IKP samazināja pieklasificēto komersantu saimnieciskās darbības rezultāti, kur lielākās izmaiņas ir saistītas ar SIA “Rīgas satiksme” sabiedriskā transporta vienību iegādi. Izstrādājot vispārējās valdības budžeta prognozes 2020.gadam, SIA “Rīgas satiksme” sniedza informāciju, ka 2020.gadā SIA “Rīgas satiksme” saimnieciskās darbības rezultāts palielinās vispārējas valdības budžeta deficītu par 71,9 milj. </w:t>
      </w:r>
      <w:r w:rsidRPr="008C4DD4">
        <w:rPr>
          <w:rFonts w:ascii="Times New Roman" w:eastAsia="Calibri" w:hAnsi="Times New Roman" w:cs="Times New Roman"/>
          <w:i/>
          <w:color w:val="000000" w:themeColor="text1"/>
          <w:sz w:val="24"/>
          <w:szCs w:val="24"/>
        </w:rPr>
        <w:t>eur</w:t>
      </w:r>
      <w:r w:rsidRPr="008C4DD4">
        <w:rPr>
          <w:rFonts w:ascii="Times New Roman" w:eastAsia="Calibri" w:hAnsi="Times New Roman" w:cs="Times New Roman"/>
          <w:color w:val="000000" w:themeColor="text1"/>
          <w:sz w:val="24"/>
          <w:szCs w:val="24"/>
        </w:rPr>
        <w:t xml:space="preserve">o, saistībā ar infrastruktūras projektu realizāciju un sabiedriskā transporta vienību iegādi. Tomēr, ņemot vērā ekonomisko situāciju Covid-19 </w:t>
      </w:r>
      <w:r>
        <w:rPr>
          <w:rFonts w:ascii="Times New Roman" w:eastAsia="Calibri" w:hAnsi="Times New Roman" w:cs="Times New Roman"/>
          <w:color w:val="000000" w:themeColor="text1"/>
          <w:sz w:val="24"/>
          <w:szCs w:val="24"/>
        </w:rPr>
        <w:t>pandēmijas rezultātā</w:t>
      </w:r>
      <w:r w:rsidRPr="008C4DD4">
        <w:rPr>
          <w:rFonts w:ascii="Times New Roman" w:eastAsia="Calibri" w:hAnsi="Times New Roman" w:cs="Times New Roman"/>
          <w:color w:val="000000" w:themeColor="text1"/>
          <w:sz w:val="24"/>
          <w:szCs w:val="24"/>
        </w:rPr>
        <w:t xml:space="preserve">, tika mainīts 2020.gada SIA “Rīgas satiksme” investīciju plāns – galvenās izmaiņas ietvēra </w:t>
      </w:r>
      <w:r>
        <w:rPr>
          <w:rFonts w:ascii="Times New Roman" w:eastAsia="Calibri" w:hAnsi="Times New Roman" w:cs="Times New Roman"/>
          <w:color w:val="000000" w:themeColor="text1"/>
          <w:sz w:val="24"/>
          <w:szCs w:val="24"/>
        </w:rPr>
        <w:t>sabiedriskā transporta vienību piegāžu nobīdes</w:t>
      </w:r>
      <w:r w:rsidRPr="008C4DD4">
        <w:rPr>
          <w:rFonts w:ascii="Times New Roman" w:eastAsia="Calibri" w:hAnsi="Times New Roman" w:cs="Times New Roman"/>
          <w:color w:val="000000" w:themeColor="text1"/>
          <w:sz w:val="24"/>
          <w:szCs w:val="24"/>
        </w:rPr>
        <w:t xml:space="preserve"> sakarā ar piegādātāja </w:t>
      </w:r>
      <w:r>
        <w:rPr>
          <w:rFonts w:ascii="Times New Roman" w:eastAsia="Calibri" w:hAnsi="Times New Roman" w:cs="Times New Roman"/>
          <w:color w:val="000000" w:themeColor="text1"/>
          <w:sz w:val="24"/>
          <w:szCs w:val="24"/>
        </w:rPr>
        <w:t>nespēju</w:t>
      </w:r>
      <w:r w:rsidRPr="008C4DD4">
        <w:rPr>
          <w:rFonts w:ascii="Times New Roman" w:eastAsia="Calibri" w:hAnsi="Times New Roman" w:cs="Times New Roman"/>
          <w:color w:val="000000" w:themeColor="text1"/>
          <w:sz w:val="24"/>
          <w:szCs w:val="24"/>
        </w:rPr>
        <w:t xml:space="preserve"> saražot un nofinansēt plānoto </w:t>
      </w:r>
      <w:r>
        <w:rPr>
          <w:rFonts w:ascii="Times New Roman" w:eastAsia="Calibri" w:hAnsi="Times New Roman" w:cs="Times New Roman"/>
          <w:color w:val="000000" w:themeColor="text1"/>
          <w:sz w:val="24"/>
          <w:szCs w:val="24"/>
        </w:rPr>
        <w:t>sabiedriskā transporta vienību</w:t>
      </w:r>
      <w:r w:rsidRPr="008C4DD4">
        <w:rPr>
          <w:rFonts w:ascii="Times New Roman" w:eastAsia="Calibri" w:hAnsi="Times New Roman" w:cs="Times New Roman"/>
          <w:color w:val="000000" w:themeColor="text1"/>
          <w:sz w:val="24"/>
          <w:szCs w:val="24"/>
        </w:rPr>
        <w:t xml:space="preserve"> apjomu</w:t>
      </w:r>
      <w:r w:rsidRPr="006D34EE">
        <w:rPr>
          <w:rFonts w:ascii="Times New Roman" w:eastAsia="Calibri" w:hAnsi="Times New Roman" w:cs="Times New Roman"/>
          <w:color w:val="000000" w:themeColor="text1"/>
          <w:sz w:val="24"/>
          <w:szCs w:val="24"/>
        </w:rPr>
        <w:t xml:space="preserve"> noteiktaj</w:t>
      </w:r>
      <w:r>
        <w:rPr>
          <w:rFonts w:ascii="Times New Roman" w:eastAsia="Calibri" w:hAnsi="Times New Roman" w:cs="Times New Roman"/>
          <w:color w:val="000000" w:themeColor="text1"/>
          <w:sz w:val="24"/>
          <w:szCs w:val="24"/>
        </w:rPr>
        <w:t>ā termiņā.</w:t>
      </w:r>
      <w:r w:rsidRPr="008C4DD4">
        <w:rPr>
          <w:rFonts w:ascii="Times New Roman" w:eastAsia="Calibri" w:hAnsi="Times New Roman" w:cs="Times New Roman"/>
          <w:color w:val="000000" w:themeColor="text1"/>
          <w:sz w:val="24"/>
          <w:szCs w:val="24"/>
        </w:rPr>
        <w:t xml:space="preserve"> </w:t>
      </w:r>
    </w:p>
    <w:p w14:paraId="674D993D" w14:textId="77777777" w:rsidR="00C1766B" w:rsidRPr="008C4DD4" w:rsidRDefault="00C1766B" w:rsidP="00BB69DC">
      <w:pPr>
        <w:spacing w:after="0" w:line="240" w:lineRule="auto"/>
        <w:ind w:right="28" w:firstLine="567"/>
        <w:jc w:val="both"/>
        <w:rPr>
          <w:rFonts w:ascii="Times New Roman" w:eastAsia="Calibri" w:hAnsi="Times New Roman" w:cs="Times New Roman"/>
          <w:color w:val="000000" w:themeColor="text1"/>
          <w:sz w:val="24"/>
          <w:szCs w:val="24"/>
        </w:rPr>
      </w:pPr>
      <w:r w:rsidRPr="008C4DD4">
        <w:rPr>
          <w:rFonts w:ascii="Times New Roman" w:eastAsia="Calibri" w:hAnsi="Times New Roman" w:cs="Times New Roman"/>
          <w:color w:val="000000" w:themeColor="text1"/>
          <w:sz w:val="24"/>
          <w:szCs w:val="24"/>
        </w:rPr>
        <w:t xml:space="preserve">Pārējās izmaiņas samazināja vispārējās valdības budžeta deficītu par 0,52% no IKP, kur ietekmi 0,47% no IKP veidoja metodoloģiskās izmaiņas Altum atbalsta programmu Covid-19 pandēmijas seku mazināšanai uzskaitē. Ja sākotnēji plānotā ietekme uz vispārējās valdības budžeta bilanci no Altum atbalsta programmām tika prognozēta ņemot vērā sagaidāmos zaudējumus no plānotā atbalsta apjoma, tad pēc </w:t>
      </w:r>
      <w:r w:rsidRPr="008C4DD4">
        <w:rPr>
          <w:rFonts w:ascii="Times New Roman" w:eastAsia="Calibri" w:hAnsi="Times New Roman" w:cs="Times New Roman"/>
          <w:i/>
          <w:color w:val="000000" w:themeColor="text1"/>
          <w:sz w:val="24"/>
          <w:szCs w:val="24"/>
        </w:rPr>
        <w:t>Eurostat</w:t>
      </w:r>
      <w:r w:rsidRPr="008C4DD4">
        <w:rPr>
          <w:rFonts w:ascii="Times New Roman" w:eastAsia="Calibri" w:hAnsi="Times New Roman" w:cs="Times New Roman"/>
          <w:color w:val="000000" w:themeColor="text1"/>
          <w:sz w:val="24"/>
          <w:szCs w:val="24"/>
        </w:rPr>
        <w:t xml:space="preserve"> sniegtajām rekomendācijām, ietekme uz vispārējās valdības budžeta bilanci tika novērtēta ņemot vērā sagaidāmos zaudējumos no faktiski piešķirtā atbalsta. </w:t>
      </w:r>
    </w:p>
    <w:p w14:paraId="1E6F78E4" w14:textId="26FCBA6A" w:rsidR="00C1766B" w:rsidRDefault="00C1766B" w:rsidP="00B672ED">
      <w:pPr>
        <w:spacing w:after="0" w:line="240" w:lineRule="auto"/>
        <w:ind w:firstLine="720"/>
        <w:jc w:val="both"/>
        <w:rPr>
          <w:rFonts w:ascii="Times New Roman" w:hAnsi="Times New Roman" w:cs="Times New Roman"/>
          <w:bCs/>
          <w:sz w:val="24"/>
          <w:szCs w:val="24"/>
        </w:rPr>
      </w:pPr>
      <w:r w:rsidRPr="008C4DD4">
        <w:rPr>
          <w:rFonts w:ascii="Times New Roman" w:eastAsia="Calibri" w:hAnsi="Times New Roman" w:cs="Times New Roman"/>
          <w:color w:val="000000" w:themeColor="text1"/>
          <w:sz w:val="24"/>
          <w:szCs w:val="24"/>
        </w:rPr>
        <w:t xml:space="preserve">Citu izmaiņu ietekme uz vispārējās valdības budžeta bilanci nepārsniedza </w:t>
      </w:r>
      <w:r>
        <w:rPr>
          <w:rFonts w:ascii="Times New Roman" w:hAnsi="Times New Roman" w:cs="Times New Roman"/>
          <w:bCs/>
          <w:sz w:val="24"/>
          <w:szCs w:val="24"/>
        </w:rPr>
        <w:t xml:space="preserve">+/- </w:t>
      </w:r>
      <w:r w:rsidRPr="008C4DD4">
        <w:rPr>
          <w:rFonts w:ascii="Times New Roman" w:eastAsia="Calibri" w:hAnsi="Times New Roman" w:cs="Times New Roman"/>
          <w:color w:val="000000" w:themeColor="text1"/>
          <w:sz w:val="24"/>
          <w:szCs w:val="24"/>
        </w:rPr>
        <w:t xml:space="preserve">0,1% no IKP.  </w:t>
      </w:r>
    </w:p>
    <w:p w14:paraId="3A4365B8" w14:textId="2C0D3A4E" w:rsidR="00334442" w:rsidRPr="001054F7" w:rsidRDefault="00334442" w:rsidP="00BB69DC">
      <w:pPr>
        <w:spacing w:after="0" w:line="240" w:lineRule="auto"/>
        <w:rPr>
          <w:rFonts w:ascii="Times New Roman" w:eastAsiaTheme="majorEastAsia" w:hAnsi="Times New Roman" w:cs="Times New Roman"/>
          <w:b/>
          <w:bCs/>
          <w:smallCaps/>
          <w:color w:val="000000" w:themeColor="text1"/>
          <w:sz w:val="32"/>
          <w:szCs w:val="36"/>
          <w:highlight w:val="yellow"/>
        </w:rPr>
      </w:pPr>
      <w:r w:rsidRPr="001054F7">
        <w:rPr>
          <w:rFonts w:ascii="Times New Roman" w:hAnsi="Times New Roman" w:cs="Times New Roman"/>
          <w:sz w:val="32"/>
          <w:highlight w:val="yellow"/>
        </w:rPr>
        <w:br w:type="page"/>
      </w:r>
    </w:p>
    <w:p w14:paraId="46A20B1A" w14:textId="02D15EF0" w:rsidR="00B95E92" w:rsidRPr="00367D2C" w:rsidRDefault="00F107D0" w:rsidP="00367D2C">
      <w:pPr>
        <w:pStyle w:val="Heading1"/>
        <w:numPr>
          <w:ilvl w:val="0"/>
          <w:numId w:val="0"/>
        </w:numPr>
        <w:jc w:val="center"/>
        <w:rPr>
          <w:rFonts w:ascii="Times New Roman" w:hAnsi="Times New Roman" w:cs="Times New Roman"/>
          <w:sz w:val="32"/>
          <w:szCs w:val="32"/>
        </w:rPr>
      </w:pPr>
      <w:bookmarkStart w:id="180" w:name="_Toc536779074"/>
      <w:bookmarkStart w:id="181" w:name="_Toc80111870"/>
      <w:r w:rsidRPr="00367D2C">
        <w:rPr>
          <w:rFonts w:ascii="Times New Roman" w:hAnsi="Times New Roman" w:cs="Times New Roman"/>
          <w:sz w:val="32"/>
          <w:szCs w:val="32"/>
        </w:rPr>
        <w:lastRenderedPageBreak/>
        <w:t>6</w:t>
      </w:r>
      <w:r w:rsidR="007924D4" w:rsidRPr="00367D2C">
        <w:rPr>
          <w:rFonts w:ascii="Times New Roman" w:hAnsi="Times New Roman" w:cs="Times New Roman"/>
          <w:sz w:val="32"/>
          <w:szCs w:val="32"/>
        </w:rPr>
        <w:t xml:space="preserve">. </w:t>
      </w:r>
      <w:r w:rsidR="00B95E92" w:rsidRPr="00367D2C">
        <w:rPr>
          <w:rFonts w:ascii="Times New Roman" w:hAnsi="Times New Roman" w:cs="Times New Roman"/>
          <w:sz w:val="32"/>
          <w:szCs w:val="32"/>
        </w:rPr>
        <w:t>Fiskālā nodrošinājuma rezerves aprēķins</w:t>
      </w:r>
      <w:bookmarkEnd w:id="135"/>
      <w:bookmarkEnd w:id="180"/>
      <w:r w:rsidR="00D9742C">
        <w:rPr>
          <w:rFonts w:ascii="Times New Roman" w:hAnsi="Times New Roman" w:cs="Times New Roman"/>
          <w:sz w:val="32"/>
          <w:szCs w:val="32"/>
        </w:rPr>
        <w:t xml:space="preserve"> un papildu nepieciešamie pasākumi fiskālo risku mazināšanai</w:t>
      </w:r>
      <w:bookmarkEnd w:id="181"/>
      <w:r w:rsidR="00D9742C">
        <w:rPr>
          <w:rFonts w:ascii="Times New Roman" w:hAnsi="Times New Roman" w:cs="Times New Roman"/>
          <w:sz w:val="32"/>
          <w:szCs w:val="32"/>
        </w:rPr>
        <w:t xml:space="preserve"> </w:t>
      </w:r>
      <w:r w:rsidR="00D9742C">
        <w:rPr>
          <w:rFonts w:ascii="Times New Roman" w:hAnsi="Times New Roman" w:cs="Times New Roman"/>
          <w:sz w:val="32"/>
          <w:szCs w:val="32"/>
        </w:rPr>
        <w:tab/>
      </w:r>
    </w:p>
    <w:p w14:paraId="22147780" w14:textId="77777777" w:rsidR="00367D2C" w:rsidRDefault="00367D2C" w:rsidP="00E36452">
      <w:pPr>
        <w:spacing w:after="0" w:line="240" w:lineRule="auto"/>
        <w:ind w:firstLine="720"/>
        <w:jc w:val="both"/>
        <w:rPr>
          <w:rFonts w:ascii="Times New Roman" w:hAnsi="Times New Roman" w:cs="Times New Roman"/>
          <w:sz w:val="24"/>
          <w:szCs w:val="24"/>
        </w:rPr>
      </w:pPr>
    </w:p>
    <w:p w14:paraId="5190B451" w14:textId="1C025F73" w:rsidR="00E36452" w:rsidRPr="00035848" w:rsidRDefault="00E36452" w:rsidP="00E36452">
      <w:pPr>
        <w:spacing w:after="0" w:line="240" w:lineRule="auto"/>
        <w:ind w:firstLine="720"/>
        <w:jc w:val="both"/>
        <w:rPr>
          <w:rFonts w:ascii="Times New Roman" w:hAnsi="Times New Roman" w:cs="Times New Roman"/>
          <w:sz w:val="24"/>
          <w:szCs w:val="24"/>
        </w:rPr>
      </w:pPr>
      <w:r w:rsidRPr="00035848">
        <w:rPr>
          <w:rFonts w:ascii="Times New Roman" w:hAnsi="Times New Roman" w:cs="Times New Roman"/>
          <w:sz w:val="24"/>
          <w:szCs w:val="24"/>
        </w:rPr>
        <w:t>Fiskālās nodrošinājuma rezerves aprēķina metodoloģiju nosaka MK noteikumi Nr.229. Nosakot fiskālās nodrošinājuma rezerves apjomu, nekvantificējamie fiskālie riski netiek iekļauti šajos aprēķinos. Tāpat aprēķini neiekļauj fiskālos riskus ar iestāšanās varbūtību 1 un 5. Fiskālajiem riskiem ar zemu varbūtību tiek izmantota minimālā fiskālā nodrošinājuma rezerve 0,1% no IKP, bet fiskālos riskus ar augstu varbūtību (ar iestāšanās varbūtību 5) fiskālajās prognozēs ņem vērā kā notikumus, kas attiecīgajā periodā notiks, respektīvi, to fiskālo ietekmi iekļauj izdevumu vai ieņēmumu prognozēs, sagatavojot vispārējās valdības budžeta finansiālās bilances aprēķinus. Fiskālā nodrošinājumu rezerve tiek aprēķināta fiskālajiem riskiem ar iestāšanās varbūtību 2, 3 un 4. Fiskālā nodrošinājuma rezerves apjomu aprēķina, summējot visus kvantificējamo fiskālos riskus, kuriem:</w:t>
      </w:r>
    </w:p>
    <w:p w14:paraId="37627964" w14:textId="77777777" w:rsidR="00E36452" w:rsidRPr="00035848" w:rsidRDefault="00E36452" w:rsidP="00E36452">
      <w:pPr>
        <w:pStyle w:val="ListParagraph"/>
        <w:numPr>
          <w:ilvl w:val="0"/>
          <w:numId w:val="6"/>
        </w:numPr>
        <w:ind w:left="1434" w:hanging="357"/>
        <w:contextualSpacing w:val="0"/>
        <w:rPr>
          <w:rFonts w:ascii="Times New Roman" w:hAnsi="Times New Roman"/>
          <w:sz w:val="24"/>
          <w:szCs w:val="24"/>
        </w:rPr>
      </w:pPr>
      <w:r w:rsidRPr="00035848">
        <w:rPr>
          <w:rFonts w:ascii="Times New Roman" w:hAnsi="Times New Roman"/>
          <w:sz w:val="24"/>
          <w:szCs w:val="24"/>
        </w:rPr>
        <w:t>iestāšanās varbūtība novērtēta ar 2, fiskālo ietekmi procentos no IKP reizinot ar koeficientu 0,1;</w:t>
      </w:r>
    </w:p>
    <w:p w14:paraId="57D7D5BB" w14:textId="77777777" w:rsidR="00E36452" w:rsidRPr="00035848" w:rsidRDefault="00E36452" w:rsidP="00E36452">
      <w:pPr>
        <w:pStyle w:val="ListParagraph"/>
        <w:numPr>
          <w:ilvl w:val="0"/>
          <w:numId w:val="6"/>
        </w:numPr>
        <w:ind w:left="1434" w:hanging="357"/>
        <w:rPr>
          <w:rFonts w:ascii="Times New Roman" w:hAnsi="Times New Roman"/>
          <w:sz w:val="24"/>
          <w:szCs w:val="24"/>
        </w:rPr>
      </w:pPr>
      <w:r w:rsidRPr="00035848">
        <w:rPr>
          <w:rFonts w:ascii="Times New Roman" w:hAnsi="Times New Roman"/>
          <w:sz w:val="24"/>
          <w:szCs w:val="24"/>
        </w:rPr>
        <w:t>iestāšanās varbūtība novērtēta ar 3, fiskālo ietekmi procentos no IKP reizinot ar koeficientu 0,3;</w:t>
      </w:r>
    </w:p>
    <w:p w14:paraId="0E2F5010" w14:textId="77777777" w:rsidR="00E36452" w:rsidRPr="00035848" w:rsidRDefault="00E36452" w:rsidP="00E36452">
      <w:pPr>
        <w:pStyle w:val="ListParagraph"/>
        <w:numPr>
          <w:ilvl w:val="0"/>
          <w:numId w:val="6"/>
        </w:numPr>
        <w:ind w:left="1434" w:hanging="357"/>
        <w:rPr>
          <w:rFonts w:ascii="Times New Roman" w:hAnsi="Times New Roman"/>
          <w:sz w:val="24"/>
          <w:szCs w:val="24"/>
        </w:rPr>
      </w:pPr>
      <w:r w:rsidRPr="00035848">
        <w:rPr>
          <w:rFonts w:ascii="Times New Roman" w:hAnsi="Times New Roman"/>
          <w:sz w:val="24"/>
          <w:szCs w:val="24"/>
        </w:rPr>
        <w:t>iestāšanās varbūtība novērtēta ar 4, fiskālo ietekmi procentos no IKP reizinot ar koeficientu 0,6.</w:t>
      </w:r>
    </w:p>
    <w:p w14:paraId="481F2338" w14:textId="680D641C" w:rsidR="00E36452" w:rsidRPr="00035848" w:rsidRDefault="00123748" w:rsidP="00E36452">
      <w:pPr>
        <w:spacing w:after="0" w:line="240" w:lineRule="auto"/>
        <w:ind w:firstLine="720"/>
        <w:jc w:val="both"/>
        <w:rPr>
          <w:rFonts w:ascii="Times New Roman" w:hAnsi="Times New Roman" w:cs="Times New Roman"/>
          <w:sz w:val="24"/>
          <w:szCs w:val="24"/>
        </w:rPr>
      </w:pPr>
      <w:r w:rsidRPr="00035848">
        <w:rPr>
          <w:rFonts w:ascii="Times New Roman" w:hAnsi="Times New Roman" w:cs="Times New Roman"/>
          <w:sz w:val="24"/>
          <w:szCs w:val="24"/>
        </w:rPr>
        <w:t>F</w:t>
      </w:r>
      <w:r w:rsidR="00E36452" w:rsidRPr="00035848">
        <w:rPr>
          <w:rFonts w:ascii="Times New Roman" w:hAnsi="Times New Roman" w:cs="Times New Roman"/>
          <w:sz w:val="24"/>
          <w:szCs w:val="24"/>
        </w:rPr>
        <w:t>iskālā nodrošinājuma rezerve tiek aprēķināta</w:t>
      </w:r>
      <w:r w:rsidR="002E002F">
        <w:rPr>
          <w:rFonts w:ascii="Times New Roman" w:hAnsi="Times New Roman" w:cs="Times New Roman"/>
          <w:sz w:val="24"/>
          <w:szCs w:val="24"/>
        </w:rPr>
        <w:t>,</w:t>
      </w:r>
      <w:r w:rsidR="00E36452" w:rsidRPr="00035848">
        <w:rPr>
          <w:rFonts w:ascii="Times New Roman" w:hAnsi="Times New Roman" w:cs="Times New Roman"/>
          <w:sz w:val="24"/>
          <w:szCs w:val="24"/>
        </w:rPr>
        <w:t xml:space="preserve"> ņemot vērā šādus galvenos šīs deklarācijas secinājumus</w:t>
      </w:r>
      <w:r w:rsidR="00040B11">
        <w:rPr>
          <w:rFonts w:ascii="Times New Roman" w:hAnsi="Times New Roman" w:cs="Times New Roman"/>
          <w:sz w:val="24"/>
          <w:szCs w:val="24"/>
        </w:rPr>
        <w:t xml:space="preserve"> un identificētos papildu nepieciešamos pasākumus fiskālo risku mazināšanai</w:t>
      </w:r>
      <w:r w:rsidR="00E36452" w:rsidRPr="00035848">
        <w:rPr>
          <w:rFonts w:ascii="Times New Roman" w:hAnsi="Times New Roman" w:cs="Times New Roman"/>
          <w:sz w:val="24"/>
          <w:szCs w:val="24"/>
        </w:rPr>
        <w:t>:</w:t>
      </w:r>
    </w:p>
    <w:p w14:paraId="73DDAC8D" w14:textId="29FFD692" w:rsidR="00161605" w:rsidRPr="00BB69DC" w:rsidRDefault="00161605" w:rsidP="00E36452">
      <w:pPr>
        <w:pStyle w:val="ListParagraph"/>
        <w:numPr>
          <w:ilvl w:val="0"/>
          <w:numId w:val="7"/>
        </w:numPr>
        <w:rPr>
          <w:rFonts w:ascii="Times New Roman" w:hAnsi="Times New Roman"/>
          <w:b/>
          <w:sz w:val="24"/>
        </w:rPr>
      </w:pPr>
      <w:r w:rsidRPr="00BB69DC">
        <w:rPr>
          <w:rFonts w:ascii="Times New Roman" w:hAnsi="Times New Roman"/>
          <w:sz w:val="24"/>
        </w:rPr>
        <w:t xml:space="preserve">Kvantificējamam nesimetriskajam fiskālajam riskam, kas rodas no iespējamās superdividendes iestāšanās, tiek aprēķināta fiskālā nodrošinājuma rezerve </w:t>
      </w:r>
      <w:r>
        <w:rPr>
          <w:rFonts w:ascii="Times New Roman" w:eastAsiaTheme="minorHAnsi" w:hAnsi="Times New Roman"/>
          <w:sz w:val="24"/>
        </w:rPr>
        <w:t>ik</w:t>
      </w:r>
      <w:r w:rsidR="000A5605">
        <w:rPr>
          <w:rFonts w:ascii="Times New Roman" w:eastAsiaTheme="minorHAnsi" w:hAnsi="Times New Roman"/>
          <w:sz w:val="24"/>
        </w:rPr>
        <w:t xml:space="preserve"> </w:t>
      </w:r>
      <w:r>
        <w:rPr>
          <w:rFonts w:ascii="Times New Roman" w:eastAsiaTheme="minorHAnsi" w:hAnsi="Times New Roman"/>
          <w:sz w:val="24"/>
        </w:rPr>
        <w:t xml:space="preserve">gadu 8,94 milj. </w:t>
      </w:r>
      <w:r w:rsidRPr="00444E17">
        <w:rPr>
          <w:rFonts w:ascii="Times New Roman" w:eastAsiaTheme="minorHAnsi" w:hAnsi="Times New Roman"/>
          <w:i/>
          <w:sz w:val="24"/>
        </w:rPr>
        <w:t>euro</w:t>
      </w:r>
      <w:r w:rsidRPr="00444E17">
        <w:rPr>
          <w:rFonts w:ascii="Times New Roman" w:eastAsiaTheme="minorHAnsi" w:hAnsi="Times New Roman"/>
          <w:sz w:val="24"/>
        </w:rPr>
        <w:t xml:space="preserve"> </w:t>
      </w:r>
      <w:r w:rsidR="00FD2E84">
        <w:rPr>
          <w:rFonts w:ascii="Times New Roman" w:eastAsiaTheme="minorHAnsi" w:hAnsi="Times New Roman"/>
          <w:sz w:val="24"/>
        </w:rPr>
        <w:t xml:space="preserve">apmērā </w:t>
      </w:r>
      <w:r w:rsidRPr="00444E17">
        <w:rPr>
          <w:rFonts w:ascii="Times New Roman" w:eastAsiaTheme="minorHAnsi" w:hAnsi="Times New Roman"/>
          <w:sz w:val="24"/>
        </w:rPr>
        <w:t>laika periodā no 2022.gada l</w:t>
      </w:r>
      <w:r>
        <w:rPr>
          <w:rFonts w:ascii="Times New Roman" w:eastAsiaTheme="minorHAnsi" w:hAnsi="Times New Roman"/>
          <w:sz w:val="24"/>
        </w:rPr>
        <w:t>īdz 2024.gadam;</w:t>
      </w:r>
    </w:p>
    <w:p w14:paraId="6D96F807" w14:textId="3EA2307C" w:rsidR="00E36452" w:rsidRPr="00035848" w:rsidRDefault="00FD2E84" w:rsidP="00E36452">
      <w:pPr>
        <w:pStyle w:val="ListParagraph"/>
        <w:numPr>
          <w:ilvl w:val="0"/>
          <w:numId w:val="7"/>
        </w:numPr>
        <w:rPr>
          <w:rFonts w:ascii="Times New Roman" w:hAnsi="Times New Roman"/>
          <w:b/>
          <w:sz w:val="24"/>
        </w:rPr>
      </w:pPr>
      <w:r>
        <w:rPr>
          <w:rFonts w:ascii="Times New Roman" w:hAnsi="Times New Roman"/>
          <w:sz w:val="24"/>
        </w:rPr>
        <w:t>Pārējie k</w:t>
      </w:r>
      <w:r w:rsidR="00E36452" w:rsidRPr="00035848">
        <w:rPr>
          <w:rFonts w:ascii="Times New Roman" w:hAnsi="Times New Roman"/>
          <w:sz w:val="24"/>
        </w:rPr>
        <w:t>vantificējamie nesimetriskie fiskālie riski ir ar zemu fiskālo ietekmi</w:t>
      </w:r>
      <w:r>
        <w:rPr>
          <w:rFonts w:ascii="Times New Roman" w:hAnsi="Times New Roman"/>
          <w:sz w:val="24"/>
        </w:rPr>
        <w:t xml:space="preserve"> un kopā ar superdividendes fiskālo risku</w:t>
      </w:r>
      <w:r w:rsidR="00E36452" w:rsidRPr="00035848">
        <w:rPr>
          <w:rFonts w:ascii="Times New Roman" w:hAnsi="Times New Roman"/>
          <w:sz w:val="24"/>
        </w:rPr>
        <w:t xml:space="preserve"> nepārsniedz </w:t>
      </w:r>
      <w:r>
        <w:rPr>
          <w:rFonts w:ascii="Times New Roman" w:hAnsi="Times New Roman"/>
          <w:sz w:val="24"/>
        </w:rPr>
        <w:t xml:space="preserve">fiskālā nodrošinājuma rezerves apjomu </w:t>
      </w:r>
      <w:r w:rsidR="00E36452" w:rsidRPr="00035848">
        <w:rPr>
          <w:rFonts w:ascii="Times New Roman" w:hAnsi="Times New Roman"/>
          <w:sz w:val="24"/>
        </w:rPr>
        <w:t>0,1% no IKP</w:t>
      </w:r>
      <w:r w:rsidR="00161605">
        <w:rPr>
          <w:rFonts w:ascii="Times New Roman" w:hAnsi="Times New Roman"/>
          <w:sz w:val="24"/>
        </w:rPr>
        <w:t>;</w:t>
      </w:r>
    </w:p>
    <w:p w14:paraId="7EACBEFC" w14:textId="6F2AD31F" w:rsidR="00040B11" w:rsidRPr="00BB69DC" w:rsidRDefault="00E36452">
      <w:pPr>
        <w:pStyle w:val="ListParagraph"/>
        <w:numPr>
          <w:ilvl w:val="0"/>
          <w:numId w:val="7"/>
        </w:numPr>
        <w:rPr>
          <w:rFonts w:ascii="Times New Roman" w:hAnsi="Times New Roman"/>
          <w:b/>
          <w:sz w:val="24"/>
        </w:rPr>
      </w:pPr>
      <w:r w:rsidRPr="00035848">
        <w:rPr>
          <w:rFonts w:ascii="Times New Roman" w:hAnsi="Times New Roman"/>
          <w:sz w:val="24"/>
        </w:rPr>
        <w:t>Liela daļa no kvantificējamiem fiskālajiem riskiem ir</w:t>
      </w:r>
      <w:r w:rsidR="005B4098">
        <w:rPr>
          <w:rFonts w:ascii="Times New Roman" w:hAnsi="Times New Roman"/>
          <w:sz w:val="24"/>
        </w:rPr>
        <w:t xml:space="preserve"> </w:t>
      </w:r>
      <w:r w:rsidRPr="00035848">
        <w:rPr>
          <w:rFonts w:ascii="Times New Roman" w:hAnsi="Times New Roman"/>
          <w:sz w:val="24"/>
        </w:rPr>
        <w:t>simetriski fiskālie riski</w:t>
      </w:r>
      <w:r w:rsidR="005B4098">
        <w:rPr>
          <w:rFonts w:ascii="Times New Roman" w:hAnsi="Times New Roman"/>
          <w:sz w:val="24"/>
        </w:rPr>
        <w:t xml:space="preserve"> vai ar zemu iestāšanās varbūtību,</w:t>
      </w:r>
      <w:r w:rsidRPr="00035848">
        <w:rPr>
          <w:rFonts w:ascii="Times New Roman" w:hAnsi="Times New Roman"/>
          <w:sz w:val="24"/>
        </w:rPr>
        <w:t xml:space="preserve"> un tāpēc fiskālā nodrošinājuma rezerve šiem riskiem netiek veidota</w:t>
      </w:r>
      <w:r w:rsidR="00040B11">
        <w:rPr>
          <w:rFonts w:ascii="Times New Roman" w:hAnsi="Times New Roman"/>
          <w:sz w:val="24"/>
        </w:rPr>
        <w:t>;</w:t>
      </w:r>
    </w:p>
    <w:p w14:paraId="53B618D5" w14:textId="58F23071" w:rsidR="00E36452" w:rsidRPr="00BB69DC" w:rsidRDefault="00D9742C" w:rsidP="00E36452">
      <w:pPr>
        <w:pStyle w:val="ListParagraph"/>
        <w:numPr>
          <w:ilvl w:val="0"/>
          <w:numId w:val="7"/>
        </w:numPr>
        <w:rPr>
          <w:rFonts w:ascii="Times New Roman" w:hAnsi="Times New Roman"/>
          <w:sz w:val="24"/>
        </w:rPr>
      </w:pPr>
      <w:r w:rsidRPr="00BB69DC">
        <w:rPr>
          <w:rFonts w:ascii="Times New Roman" w:hAnsi="Times New Roman"/>
          <w:sz w:val="24"/>
        </w:rPr>
        <w:t xml:space="preserve">Lai nodrošinātu savlaicīgu fiskālā riska vadību, kas rodas no iespējamās VAS “Latvijas dzelzceļš” klasificēšanas vispārējās valdības sektorā, Satiksmes ministrijai tiek paredzēts sagatavot informāciju riska vadības vajadzībām. </w:t>
      </w:r>
    </w:p>
    <w:p w14:paraId="04DE1EC5" w14:textId="1583EFFC" w:rsidR="00A95824" w:rsidRPr="00A95824" w:rsidRDefault="00A95824" w:rsidP="00A95824">
      <w:pPr>
        <w:ind w:firstLine="720"/>
        <w:rPr>
          <w:rFonts w:ascii="Times New Roman" w:hAnsi="Times New Roman"/>
          <w:b/>
          <w:sz w:val="24"/>
          <w:szCs w:val="24"/>
        </w:rPr>
      </w:pPr>
      <w:r w:rsidRPr="00A95824">
        <w:rPr>
          <w:rFonts w:ascii="Times New Roman" w:hAnsi="Times New Roman"/>
          <w:b/>
          <w:sz w:val="24"/>
        </w:rPr>
        <w:t>Ņemot vērā minēto, no šīs deklarācijas izriet, ka fiskālā nodrošinājuma rezerve 202</w:t>
      </w:r>
      <w:r w:rsidR="005B4098">
        <w:rPr>
          <w:rFonts w:ascii="Times New Roman" w:hAnsi="Times New Roman"/>
          <w:b/>
          <w:sz w:val="24"/>
        </w:rPr>
        <w:t>2</w:t>
      </w:r>
      <w:r w:rsidRPr="00A95824">
        <w:rPr>
          <w:rFonts w:ascii="Times New Roman" w:hAnsi="Times New Roman"/>
          <w:b/>
          <w:sz w:val="24"/>
        </w:rPr>
        <w:t>., 202</w:t>
      </w:r>
      <w:r w:rsidR="005B4098">
        <w:rPr>
          <w:rFonts w:ascii="Times New Roman" w:hAnsi="Times New Roman"/>
          <w:b/>
          <w:sz w:val="24"/>
        </w:rPr>
        <w:t>3</w:t>
      </w:r>
      <w:r w:rsidRPr="00A95824">
        <w:rPr>
          <w:rFonts w:ascii="Times New Roman" w:hAnsi="Times New Roman"/>
          <w:b/>
          <w:sz w:val="24"/>
        </w:rPr>
        <w:t>. un 202</w:t>
      </w:r>
      <w:r w:rsidR="005B4098">
        <w:rPr>
          <w:rFonts w:ascii="Times New Roman" w:hAnsi="Times New Roman"/>
          <w:b/>
          <w:sz w:val="24"/>
        </w:rPr>
        <w:t>4</w:t>
      </w:r>
      <w:r w:rsidRPr="00A95824">
        <w:rPr>
          <w:rFonts w:ascii="Times New Roman" w:hAnsi="Times New Roman"/>
          <w:b/>
          <w:sz w:val="24"/>
        </w:rPr>
        <w:t xml:space="preserve">.gadā ir jāveido 0,1% no IKP apmērā. </w:t>
      </w:r>
    </w:p>
    <w:p w14:paraId="024B63F7" w14:textId="77777777" w:rsidR="0040451F" w:rsidRPr="001054F7" w:rsidRDefault="0040451F" w:rsidP="00AF78B3">
      <w:pPr>
        <w:spacing w:after="0"/>
        <w:jc w:val="both"/>
        <w:rPr>
          <w:rFonts w:ascii="Times New Roman" w:hAnsi="Times New Roman" w:cs="Times New Roman"/>
          <w:sz w:val="24"/>
          <w:szCs w:val="24"/>
          <w:highlight w:val="yellow"/>
        </w:rPr>
      </w:pPr>
    </w:p>
    <w:p w14:paraId="6B7F5811" w14:textId="7ADAB1A1" w:rsidR="001D36ED" w:rsidRDefault="001D36ED" w:rsidP="00AF78B3">
      <w:pPr>
        <w:spacing w:after="0"/>
        <w:jc w:val="both"/>
        <w:rPr>
          <w:rFonts w:ascii="Times New Roman" w:hAnsi="Times New Roman" w:cs="Times New Roman"/>
          <w:sz w:val="24"/>
          <w:szCs w:val="24"/>
          <w:highlight w:val="yellow"/>
        </w:rPr>
      </w:pPr>
    </w:p>
    <w:p w14:paraId="32DD7615" w14:textId="2068D79B" w:rsidR="00746F79" w:rsidRDefault="00746F79" w:rsidP="00AF78B3">
      <w:pPr>
        <w:spacing w:after="0"/>
        <w:jc w:val="both"/>
        <w:rPr>
          <w:rFonts w:ascii="Times New Roman" w:hAnsi="Times New Roman" w:cs="Times New Roman"/>
          <w:sz w:val="24"/>
          <w:szCs w:val="24"/>
          <w:highlight w:val="yellow"/>
        </w:rPr>
      </w:pPr>
    </w:p>
    <w:p w14:paraId="46C9DA18" w14:textId="77777777" w:rsidR="00746F79" w:rsidRPr="001054F7" w:rsidRDefault="00746F79" w:rsidP="00AF78B3">
      <w:pPr>
        <w:spacing w:after="0"/>
        <w:jc w:val="both"/>
        <w:rPr>
          <w:rFonts w:ascii="Times New Roman" w:hAnsi="Times New Roman" w:cs="Times New Roman"/>
          <w:sz w:val="24"/>
          <w:szCs w:val="24"/>
          <w:highlight w:val="yellow"/>
        </w:rPr>
      </w:pPr>
    </w:p>
    <w:p w14:paraId="5741AAC8" w14:textId="77777777" w:rsidR="00A7020A" w:rsidRDefault="003510C2" w:rsidP="00AF78B3">
      <w:pPr>
        <w:spacing w:after="0"/>
        <w:jc w:val="both"/>
        <w:rPr>
          <w:rFonts w:ascii="Times New Roman" w:hAnsi="Times New Roman" w:cs="Times New Roman"/>
          <w:sz w:val="24"/>
          <w:szCs w:val="24"/>
        </w:rPr>
      </w:pPr>
      <w:r w:rsidRPr="00035848">
        <w:rPr>
          <w:rFonts w:ascii="Times New Roman" w:hAnsi="Times New Roman" w:cs="Times New Roman"/>
          <w:sz w:val="24"/>
          <w:szCs w:val="24"/>
        </w:rPr>
        <w:t>Finanšu ministrs</w:t>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81462F" w:rsidRPr="00035848">
        <w:rPr>
          <w:rFonts w:ascii="Times New Roman" w:hAnsi="Times New Roman" w:cs="Times New Roman"/>
          <w:sz w:val="24"/>
          <w:szCs w:val="24"/>
        </w:rPr>
        <w:tab/>
      </w:r>
      <w:r w:rsidR="00123748" w:rsidRPr="00035848">
        <w:rPr>
          <w:rFonts w:ascii="Times New Roman" w:hAnsi="Times New Roman" w:cs="Times New Roman"/>
          <w:sz w:val="24"/>
          <w:szCs w:val="24"/>
        </w:rPr>
        <w:tab/>
      </w:r>
      <w:r w:rsidR="00123748" w:rsidRPr="00035848">
        <w:rPr>
          <w:rFonts w:ascii="Times New Roman" w:hAnsi="Times New Roman" w:cs="Times New Roman"/>
          <w:sz w:val="24"/>
          <w:szCs w:val="24"/>
        </w:rPr>
        <w:tab/>
        <w:t xml:space="preserve">    </w:t>
      </w:r>
      <w:r w:rsidRPr="00035848">
        <w:rPr>
          <w:rFonts w:ascii="Times New Roman" w:hAnsi="Times New Roman" w:cs="Times New Roman"/>
          <w:sz w:val="24"/>
          <w:szCs w:val="24"/>
        </w:rPr>
        <w:t>J. Reirs</w:t>
      </w:r>
    </w:p>
    <w:p w14:paraId="0D419074" w14:textId="77777777" w:rsidR="007F2B6B" w:rsidRPr="0016240A" w:rsidRDefault="007F2B6B" w:rsidP="00AF78B3">
      <w:pPr>
        <w:spacing w:after="0"/>
        <w:jc w:val="both"/>
        <w:rPr>
          <w:rFonts w:ascii="Times New Roman" w:hAnsi="Times New Roman" w:cs="Times New Roman"/>
          <w:sz w:val="24"/>
          <w:szCs w:val="24"/>
        </w:rPr>
      </w:pPr>
    </w:p>
    <w:sectPr w:rsidR="007F2B6B" w:rsidRPr="0016240A" w:rsidSect="00444AD7">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0E47" w16cex:dateUtc="2020-08-06T20:18:00Z"/>
  <w16cex:commentExtensible w16cex:durableId="22D710BB" w16cex:dateUtc="2020-08-06T20:28:00Z"/>
  <w16cex:commentExtensible w16cex:durableId="22D71130" w16cex:dateUtc="2020-08-06T20:30:00Z"/>
  <w16cex:commentExtensible w16cex:durableId="22D71189" w16cex:dateUtc="2020-08-06T20:32:00Z"/>
  <w16cex:commentExtensible w16cex:durableId="22D711E4" w16cex:dateUtc="2020-08-06T20:33:00Z"/>
  <w16cex:commentExtensible w16cex:durableId="22D711FB" w16cex:dateUtc="2020-08-06T20:34:00Z"/>
  <w16cex:commentExtensible w16cex:durableId="22D712C7" w16cex:dateUtc="2020-08-06T20:37:00Z"/>
  <w16cex:commentExtensible w16cex:durableId="22D71344" w16cex:dateUtc="2020-08-06T20:39:00Z"/>
  <w16cex:commentExtensible w16cex:durableId="22D71851" w16cex:dateUtc="2020-08-06T21:01:00Z"/>
  <w16cex:commentExtensible w16cex:durableId="22D71E8D" w16cex:dateUtc="2020-08-06T21:27:00Z"/>
  <w16cex:commentExtensible w16cex:durableId="22D71F97" w16cex:dateUtc="2020-08-06T21:32:00Z"/>
  <w16cex:commentExtensible w16cex:durableId="22D720A6" w16cex:dateUtc="2020-08-06T21:36:00Z"/>
  <w16cex:commentExtensible w16cex:durableId="22D72198" w16cex:dateUtc="2020-08-06T21:40:00Z"/>
  <w16cex:commentExtensible w16cex:durableId="22D72641" w16cex:dateUtc="2020-08-06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746467" w16cid:durableId="20FB114F"/>
  <w16cid:commentId w16cid:paraId="5FB40FCB" w16cid:durableId="22D70E47"/>
  <w16cid:commentId w16cid:paraId="4F9882A8" w16cid:durableId="20FB1150"/>
  <w16cid:commentId w16cid:paraId="23845B8C" w16cid:durableId="20FB1152"/>
  <w16cid:commentId w16cid:paraId="33F83F1A" w16cid:durableId="22D710BB"/>
  <w16cid:commentId w16cid:paraId="0E559335" w16cid:durableId="22D71130"/>
  <w16cid:commentId w16cid:paraId="0A2B2210" w16cid:durableId="22D71189"/>
  <w16cid:commentId w16cid:paraId="1F17BFD0" w16cid:durableId="22D711E4"/>
  <w16cid:commentId w16cid:paraId="59412DF1" w16cid:durableId="22D70DBA"/>
  <w16cid:commentId w16cid:paraId="1B7309CB" w16cid:durableId="22D70DBB"/>
  <w16cid:commentId w16cid:paraId="11465C84" w16cid:durableId="22D711FB"/>
  <w16cid:commentId w16cid:paraId="26F35542" w16cid:durableId="20FB1156"/>
  <w16cid:commentId w16cid:paraId="41F210BB" w16cid:durableId="20FB1157"/>
  <w16cid:commentId w16cid:paraId="788F8B4E" w16cid:durableId="20FB1158"/>
  <w16cid:commentId w16cid:paraId="3D13B793" w16cid:durableId="22D712C7"/>
  <w16cid:commentId w16cid:paraId="2E684FA2" w16cid:durableId="22D71344"/>
  <w16cid:commentId w16cid:paraId="76B970D7" w16cid:durableId="22D71851"/>
  <w16cid:commentId w16cid:paraId="3B908642" w16cid:durableId="20FB115A"/>
  <w16cid:commentId w16cid:paraId="68A81062" w16cid:durableId="22D70DC2"/>
  <w16cid:commentId w16cid:paraId="2FEEDBDD" w16cid:durableId="22D70DC3"/>
  <w16cid:commentId w16cid:paraId="14E6CFB8" w16cid:durableId="22D70DC4"/>
  <w16cid:commentId w16cid:paraId="0DAA7A94" w16cid:durableId="22D70DC5"/>
  <w16cid:commentId w16cid:paraId="602D25E7" w16cid:durableId="22D70DC6"/>
  <w16cid:commentId w16cid:paraId="72DEDBBD" w16cid:durableId="20FB115E"/>
  <w16cid:commentId w16cid:paraId="6E1A4BA4" w16cid:durableId="22D70DC8"/>
  <w16cid:commentId w16cid:paraId="632AC046" w16cid:durableId="20FB1160"/>
  <w16cid:commentId w16cid:paraId="22B9956A" w16cid:durableId="22D70DCA"/>
  <w16cid:commentId w16cid:paraId="626D7FE8" w16cid:durableId="22D70DCB"/>
  <w16cid:commentId w16cid:paraId="1DD0C89E" w16cid:durableId="22D70DCC"/>
  <w16cid:commentId w16cid:paraId="18BEB5D5" w16cid:durableId="22D71E8D"/>
  <w16cid:commentId w16cid:paraId="0EB4DE30" w16cid:durableId="22D70DCD"/>
  <w16cid:commentId w16cid:paraId="7FE9BAFD" w16cid:durableId="22D71F97"/>
  <w16cid:commentId w16cid:paraId="4E2C671A" w16cid:durableId="22D70DCE"/>
  <w16cid:commentId w16cid:paraId="187C2E1C" w16cid:durableId="22D70DCF"/>
  <w16cid:commentId w16cid:paraId="6F019D98" w16cid:durableId="22D70DD0"/>
  <w16cid:commentId w16cid:paraId="04AD4417" w16cid:durableId="20FB1166"/>
  <w16cid:commentId w16cid:paraId="44F96B56" w16cid:durableId="20FB1167"/>
  <w16cid:commentId w16cid:paraId="0AF8602E" w16cid:durableId="20FB1168"/>
  <w16cid:commentId w16cid:paraId="02C4FC76" w16cid:durableId="22D720A6"/>
  <w16cid:commentId w16cid:paraId="574BE5BF" w16cid:durableId="22D71B11"/>
  <w16cid:commentId w16cid:paraId="5589CCCF" w16cid:durableId="22D70DD4"/>
  <w16cid:commentId w16cid:paraId="4FF2FE2A" w16cid:durableId="22D72198"/>
  <w16cid:commentId w16cid:paraId="0D2F3894" w16cid:durableId="22D70DD5"/>
  <w16cid:commentId w16cid:paraId="01FBA823" w16cid:durableId="22D70DD6"/>
  <w16cid:commentId w16cid:paraId="53F4DC60" w16cid:durableId="20FB1169"/>
  <w16cid:commentId w16cid:paraId="66A47C1E" w16cid:durableId="22D70DDA"/>
  <w16cid:commentId w16cid:paraId="05708BFF" w16cid:durableId="22D70DDB"/>
  <w16cid:commentId w16cid:paraId="6500764C" w16cid:durableId="22D70DDC"/>
  <w16cid:commentId w16cid:paraId="6E702FC2" w16cid:durableId="20FB1179"/>
  <w16cid:commentId w16cid:paraId="08F4B738" w16cid:durableId="22D72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6E657" w14:textId="77777777" w:rsidR="008535D6" w:rsidRDefault="008535D6" w:rsidP="00B95E92">
      <w:pPr>
        <w:spacing w:after="0" w:line="240" w:lineRule="auto"/>
      </w:pPr>
      <w:r>
        <w:separator/>
      </w:r>
    </w:p>
  </w:endnote>
  <w:endnote w:type="continuationSeparator" w:id="0">
    <w:p w14:paraId="2F48747E" w14:textId="77777777" w:rsidR="008535D6" w:rsidRDefault="008535D6" w:rsidP="00B95E92">
      <w:pPr>
        <w:spacing w:after="0" w:line="240" w:lineRule="auto"/>
      </w:pPr>
      <w:r>
        <w:continuationSeparator/>
      </w:r>
    </w:p>
  </w:endnote>
  <w:endnote w:type="continuationNotice" w:id="1">
    <w:p w14:paraId="51FD7DD9" w14:textId="77777777" w:rsidR="008535D6" w:rsidRDefault="00853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A2B1" w14:textId="77777777" w:rsidR="0086778E" w:rsidRDefault="00867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67287"/>
      <w:docPartObj>
        <w:docPartGallery w:val="Page Numbers (Bottom of Page)"/>
        <w:docPartUnique/>
      </w:docPartObj>
    </w:sdtPr>
    <w:sdtEndPr>
      <w:rPr>
        <w:rFonts w:ascii="Times New Roman" w:hAnsi="Times New Roman" w:cs="Times New Roman"/>
        <w:noProof/>
      </w:rPr>
    </w:sdtEndPr>
    <w:sdtContent>
      <w:p w14:paraId="1931FB71" w14:textId="269C8CDF" w:rsidR="00CA7612" w:rsidRPr="0008255A" w:rsidRDefault="00CA7612" w:rsidP="003D3613">
        <w:pPr>
          <w:pStyle w:val="Footer"/>
          <w:rPr>
            <w:rFonts w:ascii="Times New Roman" w:hAnsi="Times New Roman"/>
            <w:sz w:val="20"/>
          </w:rPr>
        </w:pPr>
        <w:r w:rsidRPr="0008255A">
          <w:rPr>
            <w:rFonts w:ascii="Times New Roman" w:hAnsi="Times New Roman"/>
            <w:sz w:val="20"/>
          </w:rPr>
          <w:t>FM</w:t>
        </w:r>
        <w:r>
          <w:rPr>
            <w:rFonts w:ascii="Times New Roman" w:hAnsi="Times New Roman"/>
            <w:sz w:val="20"/>
          </w:rPr>
          <w:t>Iz_</w:t>
        </w:r>
        <w:r w:rsidR="0086778E">
          <w:rPr>
            <w:rFonts w:ascii="Times New Roman" w:hAnsi="Times New Roman"/>
            <w:sz w:val="20"/>
          </w:rPr>
          <w:t>18</w:t>
        </w:r>
        <w:r w:rsidRPr="004430BC">
          <w:rPr>
            <w:rFonts w:ascii="Times New Roman" w:hAnsi="Times New Roman"/>
            <w:sz w:val="20"/>
          </w:rPr>
          <w:t>082021</w:t>
        </w:r>
        <w:r>
          <w:rPr>
            <w:rFonts w:ascii="Times New Roman" w:hAnsi="Times New Roman"/>
            <w:sz w:val="20"/>
          </w:rPr>
          <w:t>_</w:t>
        </w:r>
        <w:r w:rsidRPr="0008255A">
          <w:rPr>
            <w:rFonts w:ascii="Times New Roman" w:hAnsi="Times New Roman"/>
            <w:sz w:val="20"/>
          </w:rPr>
          <w:t>FRDekl</w:t>
        </w:r>
      </w:p>
      <w:p w14:paraId="74A8D41E" w14:textId="5DF5A89D" w:rsidR="00CA7612" w:rsidRPr="007C05CF" w:rsidRDefault="00CA7612">
        <w:pPr>
          <w:pStyle w:val="Footer"/>
          <w:jc w:val="right"/>
          <w:rPr>
            <w:rFonts w:ascii="Times New Roman" w:hAnsi="Times New Roman" w:cs="Times New Roman"/>
          </w:rPr>
        </w:pPr>
        <w:r w:rsidRPr="007C05CF">
          <w:rPr>
            <w:rFonts w:ascii="Times New Roman" w:hAnsi="Times New Roman" w:cs="Times New Roman"/>
          </w:rPr>
          <w:fldChar w:fldCharType="begin"/>
        </w:r>
        <w:r w:rsidRPr="007C05CF">
          <w:rPr>
            <w:rFonts w:ascii="Times New Roman" w:hAnsi="Times New Roman" w:cs="Times New Roman"/>
          </w:rPr>
          <w:instrText xml:space="preserve"> PAGE   \* MERGEFORMAT </w:instrText>
        </w:r>
        <w:r w:rsidRPr="007C05CF">
          <w:rPr>
            <w:rFonts w:ascii="Times New Roman" w:hAnsi="Times New Roman" w:cs="Times New Roman"/>
          </w:rPr>
          <w:fldChar w:fldCharType="separate"/>
        </w:r>
        <w:r w:rsidR="004069DF">
          <w:rPr>
            <w:rFonts w:ascii="Times New Roman" w:hAnsi="Times New Roman" w:cs="Times New Roman"/>
            <w:noProof/>
          </w:rPr>
          <w:t>39</w:t>
        </w:r>
        <w:r w:rsidRPr="007C05CF">
          <w:rPr>
            <w:rFonts w:ascii="Times New Roman" w:hAnsi="Times New Roman" w:cs="Times New Roman"/>
            <w:noProof/>
          </w:rPr>
          <w:fldChar w:fldCharType="end"/>
        </w:r>
      </w:p>
    </w:sdtContent>
  </w:sdt>
  <w:p w14:paraId="7CAFF498" w14:textId="79E58193" w:rsidR="00CA7612" w:rsidRPr="00D50D85" w:rsidRDefault="00CA7612">
    <w:pPr>
      <w:pStyle w:val="Footer"/>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C730" w14:textId="77777777" w:rsidR="0086778E" w:rsidRDefault="0086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556F5" w14:textId="77777777" w:rsidR="008535D6" w:rsidRDefault="008535D6" w:rsidP="00B95E92">
      <w:pPr>
        <w:spacing w:after="0" w:line="240" w:lineRule="auto"/>
      </w:pPr>
      <w:r>
        <w:separator/>
      </w:r>
    </w:p>
  </w:footnote>
  <w:footnote w:type="continuationSeparator" w:id="0">
    <w:p w14:paraId="68E76341" w14:textId="77777777" w:rsidR="008535D6" w:rsidRDefault="008535D6" w:rsidP="00B95E92">
      <w:pPr>
        <w:spacing w:after="0" w:line="240" w:lineRule="auto"/>
      </w:pPr>
      <w:r>
        <w:continuationSeparator/>
      </w:r>
    </w:p>
  </w:footnote>
  <w:footnote w:type="continuationNotice" w:id="1">
    <w:p w14:paraId="5D6973D3" w14:textId="77777777" w:rsidR="008535D6" w:rsidRDefault="008535D6">
      <w:pPr>
        <w:spacing w:after="0" w:line="240" w:lineRule="auto"/>
      </w:pPr>
    </w:p>
  </w:footnote>
  <w:footnote w:id="2">
    <w:p w14:paraId="618BF431" w14:textId="77777777" w:rsidR="00CA7612" w:rsidRDefault="00CA7612" w:rsidP="00821D16">
      <w:pPr>
        <w:pStyle w:val="FootnoteText"/>
        <w:jc w:val="both"/>
      </w:pPr>
      <w:r>
        <w:rPr>
          <w:rStyle w:val="FootnoteReference"/>
        </w:rPr>
        <w:footnoteRef/>
      </w:r>
      <w:r>
        <w:t xml:space="preserve"> Saskaņā ar Starptautiskās Standartu organizācijas izstrādāto standartu risku vadībā ISO Guide 73:2009 risks tiek definēts kā nenoteiktības ietekme uz mērķiem (</w:t>
      </w:r>
      <w:r>
        <w:rPr>
          <w:i/>
          <w:lang w:val="en-US"/>
        </w:rPr>
        <w:t>effect of uncertainity on objectives</w:t>
      </w:r>
      <w:r>
        <w:t xml:space="preserve"> – angļu valodā).</w:t>
      </w:r>
    </w:p>
  </w:footnote>
  <w:footnote w:id="3">
    <w:p w14:paraId="077A5681" w14:textId="77777777" w:rsidR="00CA7612" w:rsidRDefault="00CA7612" w:rsidP="00BB69DC">
      <w:pPr>
        <w:pStyle w:val="FootnoteText"/>
        <w:jc w:val="both"/>
      </w:pPr>
      <w:r>
        <w:rPr>
          <w:rStyle w:val="FootnoteReference"/>
        </w:rPr>
        <w:footnoteRef/>
      </w:r>
      <w:r>
        <w:t xml:space="preserve"> Norādītā summa nesatur informāciju par valsts galvoto studiju un studējošo kredītu summām.</w:t>
      </w:r>
    </w:p>
  </w:footnote>
  <w:footnote w:id="4">
    <w:p w14:paraId="7B5539E6" w14:textId="77777777" w:rsidR="00CA7612" w:rsidRPr="0076162F" w:rsidRDefault="00CA7612" w:rsidP="00A3208D">
      <w:pPr>
        <w:pStyle w:val="FootnoteText"/>
        <w:jc w:val="both"/>
      </w:pPr>
      <w:r w:rsidRPr="00460559">
        <w:rPr>
          <w:rStyle w:val="FootnoteReference"/>
        </w:rPr>
        <w:footnoteRef/>
      </w:r>
      <w:r w:rsidRPr="00460559">
        <w:t xml:space="preserve"> </w:t>
      </w:r>
      <w:r>
        <w:t>Riska ietekmes</w:t>
      </w:r>
      <w:r w:rsidRPr="00460559">
        <w:t xml:space="preserve"> aprēķinā nav iekļauti </w:t>
      </w:r>
      <w:r>
        <w:t>valsts galvotie aizdevumu atlikumi darījumu partneriem</w:t>
      </w:r>
      <w:r w:rsidRPr="00460559">
        <w:t>, kuru kredītspēja tiek vērtēta kā „spēcīga” saskaņā ar V</w:t>
      </w:r>
      <w:r>
        <w:t xml:space="preserve">K </w:t>
      </w:r>
      <w:r w:rsidRPr="00460559">
        <w:t>iekšējiem noteikumiem, kā arī valsts galvot</w:t>
      </w:r>
      <w:r>
        <w:t>ā</w:t>
      </w:r>
      <w:r w:rsidRPr="00460559">
        <w:t xml:space="preserve"> aizdevum</w:t>
      </w:r>
      <w:r>
        <w:t>a atlikums</w:t>
      </w:r>
      <w:r w:rsidRPr="00460559">
        <w:t xml:space="preserve"> Latvijas Olimpiskai Komitejai, jo,</w:t>
      </w:r>
      <w:r>
        <w:t xml:space="preserve"> </w:t>
      </w:r>
      <w:r w:rsidRPr="00753542">
        <w:t>saskaņā ar likuma “Par valsts budžetu 20</w:t>
      </w:r>
      <w:r>
        <w:t>21</w:t>
      </w:r>
      <w:r w:rsidRPr="00753542">
        <w:t>.gadam” 11.</w:t>
      </w:r>
      <w:r>
        <w:t> </w:t>
      </w:r>
      <w:r w:rsidRPr="00753542">
        <w:t>pielikumu, saistības ir iekļautas valsts budžeta ilgtermiņa saistībās</w:t>
      </w:r>
      <w:r w:rsidRPr="0051444C">
        <w:t>, paredzot valsts budžeta dotāciju to izpildei</w:t>
      </w:r>
      <w:r w:rsidRPr="00460559">
        <w:t>.</w:t>
      </w:r>
    </w:p>
  </w:footnote>
  <w:footnote w:id="5">
    <w:p w14:paraId="0F9B1EC0" w14:textId="77777777" w:rsidR="00CA7612" w:rsidRDefault="00CA7612" w:rsidP="00BB69DC">
      <w:pPr>
        <w:pStyle w:val="FootnoteText"/>
        <w:jc w:val="both"/>
      </w:pPr>
      <w:r>
        <w:rPr>
          <w:rStyle w:val="FootnoteReference"/>
        </w:rPr>
        <w:footnoteRef/>
      </w:r>
      <w:r>
        <w:t xml:space="preserve"> </w:t>
      </w:r>
      <w:r w:rsidRPr="003E1372">
        <w:t xml:space="preserve">Par periodu no 2020.gada 15.jūlija līdz gada beigām plānotās pamatsummas un procentu maksājumi valsts </w:t>
      </w:r>
      <w:r>
        <w:t xml:space="preserve">galvotā </w:t>
      </w:r>
      <w:r w:rsidRPr="003E1372">
        <w:t>aizņēmuma ņēmējiem, kuri klasificējas ārpus vispārējās valdības sektora un kuru kredītspēja nav noteikta kā “spēcīga”.</w:t>
      </w:r>
    </w:p>
  </w:footnote>
  <w:footnote w:id="6">
    <w:p w14:paraId="2DA5806B" w14:textId="3F85B902" w:rsidR="00CA7612" w:rsidRDefault="00CA7612" w:rsidP="00552573">
      <w:pPr>
        <w:pStyle w:val="FootnoteText"/>
        <w:jc w:val="both"/>
      </w:pPr>
      <w:r>
        <w:rPr>
          <w:rStyle w:val="FootnoteReference"/>
        </w:rPr>
        <w:footnoteRef/>
      </w:r>
      <w:r>
        <w:t xml:space="preserve"> Par periodu no</w:t>
      </w:r>
      <w:r w:rsidRPr="001A0B08">
        <w:t xml:space="preserve"> 20</w:t>
      </w:r>
      <w:r>
        <w:t>21</w:t>
      </w:r>
      <w:r w:rsidRPr="001A0B08">
        <w:t xml:space="preserve">.gada </w:t>
      </w:r>
      <w:r>
        <w:t>15</w:t>
      </w:r>
      <w:r w:rsidRPr="001A0B08">
        <w:t>.jūlija</w:t>
      </w:r>
      <w:r>
        <w:t xml:space="preserve"> līdz gada beigām</w:t>
      </w:r>
      <w:r w:rsidRPr="001A0B08">
        <w:t xml:space="preserve"> plānotās pamatsummas un procentu </w:t>
      </w:r>
      <w:r>
        <w:t>maksājumi</w:t>
      </w:r>
      <w:r w:rsidRPr="001A0B08">
        <w:t xml:space="preserve"> valsts aizņēmuma ņēmējiem, kuri klasificējas ārpus vispārējās valdības sektora un kuru kredītspēja nav noteikta kā “spēcīga”.</w:t>
      </w:r>
    </w:p>
  </w:footnote>
  <w:footnote w:id="7">
    <w:p w14:paraId="413C5EAA" w14:textId="422D599E" w:rsidR="00CA7612" w:rsidRDefault="00CA7612" w:rsidP="00552573">
      <w:pPr>
        <w:pStyle w:val="FootnoteText"/>
        <w:jc w:val="both"/>
      </w:pPr>
      <w:r>
        <w:rPr>
          <w:rStyle w:val="FootnoteReference"/>
        </w:rPr>
        <w:footnoteRef/>
      </w:r>
      <w:r>
        <w:t xml:space="preserve"> Šajā aprēķinā nav iekļauti tie valsts aizdevumi, kuru kredītspēja tiek vērtēta kā „spēcīga” saskaņā ar VK iekšējiem noteikumiem, kā arī tie aizdevumi, kuru saistības ir pilnībā nodrošinātas ar pašvaldības galvojumu</w:t>
      </w:r>
      <w:r w:rsidRPr="001A0B08">
        <w:t xml:space="preserve">. </w:t>
      </w:r>
    </w:p>
  </w:footnote>
  <w:footnote w:id="8">
    <w:p w14:paraId="20F9FF16" w14:textId="77777777" w:rsidR="00CA7612" w:rsidRPr="004D5E75" w:rsidRDefault="00CA7612" w:rsidP="00604F97">
      <w:pPr>
        <w:pStyle w:val="FootnoteText"/>
      </w:pPr>
      <w:r>
        <w:rPr>
          <w:rStyle w:val="FootnoteReference"/>
        </w:rPr>
        <w:footnoteRef/>
      </w:r>
      <w:r>
        <w:t xml:space="preserve"> </w:t>
      </w:r>
      <w:r w:rsidRPr="004D5E75">
        <w:t>PADOMES LĒMUMS (ES, Euratom) 2020/2053 (2020. gada 14. decembra) par Eiropas Savienības pašu resursu sistēmu un ar ko atceļ Lēmumu 2014/335/ES, Euratom</w:t>
      </w:r>
      <w:r>
        <w:t>.</w:t>
      </w:r>
    </w:p>
    <w:p w14:paraId="31BBB820" w14:textId="77777777" w:rsidR="00CA7612" w:rsidRDefault="00CA7612" w:rsidP="00604F97">
      <w:pPr>
        <w:pStyle w:val="FootnoteText"/>
      </w:pPr>
    </w:p>
  </w:footnote>
  <w:footnote w:id="9">
    <w:p w14:paraId="286EF361" w14:textId="77777777" w:rsidR="00CA7612" w:rsidRDefault="00CA7612" w:rsidP="001D3D94">
      <w:pPr>
        <w:pStyle w:val="FootnoteText"/>
      </w:pPr>
      <w:r>
        <w:rPr>
          <w:rStyle w:val="FootnoteReference"/>
        </w:rPr>
        <w:footnoteRef/>
      </w:r>
      <w:r>
        <w:t xml:space="preserve"> VAS “Latvijas dzelzceļš” meitas uzņēmums AS “LatRailNet” ir klasificēts vispārējās valdības sektorā. </w:t>
      </w:r>
    </w:p>
  </w:footnote>
  <w:footnote w:id="10">
    <w:p w14:paraId="6DAD0700" w14:textId="6FAB6CED" w:rsidR="00CA7612" w:rsidRDefault="00CA7612" w:rsidP="005B7184">
      <w:pPr>
        <w:spacing w:after="0" w:line="240" w:lineRule="auto"/>
        <w:jc w:val="both"/>
        <w:rPr>
          <w:rFonts w:ascii="Times New Roman" w:eastAsiaTheme="minorHAnsi" w:hAnsi="Times New Roman" w:cs="Times New Roman"/>
          <w:sz w:val="24"/>
        </w:rPr>
      </w:pPr>
      <w:r>
        <w:rPr>
          <w:rStyle w:val="FootnoteReference"/>
        </w:rPr>
        <w:footnoteRef/>
      </w:r>
      <w:r>
        <w:t xml:space="preserve"> </w:t>
      </w:r>
      <w:r w:rsidRPr="00F27F2F">
        <w:rPr>
          <w:rFonts w:ascii="Times New Roman" w:eastAsiaTheme="minorHAnsi" w:hAnsi="Times New Roman" w:cs="Times New Roman"/>
          <w:sz w:val="20"/>
          <w:szCs w:val="20"/>
        </w:rPr>
        <w:t>Altum izveide norisinājās divos posmos. Pi</w:t>
      </w:r>
      <w:r w:rsidRPr="00F27F2F">
        <w:rPr>
          <w:rFonts w:ascii="Times New Roman" w:eastAsiaTheme="minorHAnsi" w:hAnsi="Times New Roman"/>
          <w:sz w:val="20"/>
          <w:szCs w:val="20"/>
        </w:rPr>
        <w:t>rmais posms ietvēra Altu</w:t>
      </w:r>
      <w:r>
        <w:rPr>
          <w:rFonts w:ascii="Times New Roman" w:eastAsiaTheme="minorHAnsi" w:hAnsi="Times New Roman"/>
          <w:sz w:val="20"/>
          <w:szCs w:val="20"/>
        </w:rPr>
        <w:t>m</w:t>
      </w:r>
      <w:r w:rsidRPr="00F27F2F">
        <w:rPr>
          <w:rFonts w:ascii="Times New Roman" w:eastAsiaTheme="minorHAnsi" w:hAnsi="Times New Roman"/>
          <w:sz w:val="20"/>
          <w:szCs w:val="20"/>
        </w:rPr>
        <w:t>, SIA “Latvijas Garantiju aģentūra” (LGA) un VAS “Lauku attīstības fonds” (LAF) kapitāldaļu nodošanu AFI, izveidojot attīstības finanšu institūciju koncernu. Otrajā posmā norisinājās AFI, Altum, LGA un LAF reorganizācija. Šis posms noslēdzās 2015.gada 15.aprīlī, izveidojot vienotu sabiedrību.</w:t>
      </w:r>
      <w:r>
        <w:rPr>
          <w:rFonts w:ascii="Times New Roman" w:eastAsiaTheme="minorHAnsi" w:hAnsi="Times New Roman"/>
          <w:sz w:val="20"/>
          <w:szCs w:val="20"/>
        </w:rPr>
        <w:t xml:space="preserve"> </w:t>
      </w:r>
      <w:r w:rsidRPr="00FF7343">
        <w:rPr>
          <w:rFonts w:ascii="Times New Roman" w:eastAsiaTheme="minorHAnsi" w:hAnsi="Times New Roman"/>
          <w:sz w:val="20"/>
          <w:szCs w:val="20"/>
        </w:rPr>
        <w:t>Visa</w:t>
      </w:r>
      <w:r>
        <w:rPr>
          <w:rFonts w:ascii="Times New Roman" w:eastAsiaTheme="minorHAnsi" w:hAnsi="Times New Roman"/>
          <w:sz w:val="20"/>
          <w:szCs w:val="20"/>
        </w:rPr>
        <w:t>s</w:t>
      </w:r>
      <w:r w:rsidRPr="00F27F2F">
        <w:rPr>
          <w:rFonts w:ascii="Times New Roman" w:eastAsiaTheme="minorHAnsi" w:hAnsi="Times New Roman" w:cs="Times New Roman"/>
          <w:sz w:val="20"/>
          <w:szCs w:val="20"/>
        </w:rPr>
        <w:t xml:space="preserve"> Altum balsstiesīgās akcijas pieder Latvijas valstij – akciju turētāji ir </w:t>
      </w:r>
      <w:r>
        <w:rPr>
          <w:rFonts w:ascii="Times New Roman" w:eastAsiaTheme="minorHAnsi" w:hAnsi="Times New Roman" w:cs="Times New Roman"/>
          <w:sz w:val="20"/>
          <w:szCs w:val="20"/>
        </w:rPr>
        <w:t>FM</w:t>
      </w:r>
      <w:r w:rsidRPr="00F27F2F">
        <w:rPr>
          <w:rFonts w:ascii="Times New Roman" w:eastAsiaTheme="minorHAnsi" w:hAnsi="Times New Roman" w:cs="Times New Roman"/>
          <w:sz w:val="20"/>
          <w:szCs w:val="20"/>
        </w:rPr>
        <w:t xml:space="preserve"> (40 %), Ekonomikas ministrija (30 %) un Zemkopības ministrija (30 %).</w:t>
      </w:r>
    </w:p>
    <w:p w14:paraId="21F26E48" w14:textId="77777777" w:rsidR="00CA7612" w:rsidRDefault="00CA7612" w:rsidP="005B7184">
      <w:pPr>
        <w:pStyle w:val="FootnoteText"/>
      </w:pPr>
    </w:p>
  </w:footnote>
  <w:footnote w:id="11">
    <w:p w14:paraId="4D362F1A" w14:textId="77777777" w:rsidR="00CA7612" w:rsidRDefault="00CA7612" w:rsidP="00261582">
      <w:pPr>
        <w:pStyle w:val="FootnoteText"/>
      </w:pPr>
      <w:r>
        <w:rPr>
          <w:rStyle w:val="FootnoteReference"/>
        </w:rPr>
        <w:footnoteRef/>
      </w:r>
      <w:r>
        <w:t xml:space="preserve"> </w:t>
      </w:r>
      <w:r w:rsidRPr="008C4DD4">
        <w:rPr>
          <w:i/>
        </w:rPr>
        <w:t>Eurostat</w:t>
      </w:r>
      <w:r>
        <w:t xml:space="preserve"> viedoklis, https://</w:t>
      </w:r>
      <w:r w:rsidRPr="00B41B12">
        <w:t>ec.europa.eu/eurostat/documents/1015035/12427511/Latvia_2021-advice.pdf/62ad8817-23f0-53c7-ed94-f10a6d83ce86?t=1625821196085</w:t>
      </w:r>
    </w:p>
  </w:footnote>
  <w:footnote w:id="12">
    <w:p w14:paraId="604C0E3F" w14:textId="77777777" w:rsidR="005962CD" w:rsidRPr="00544ECA" w:rsidRDefault="005962CD" w:rsidP="005962CD">
      <w:pPr>
        <w:pStyle w:val="FootnoteText"/>
        <w:jc w:val="both"/>
      </w:pPr>
      <w:r w:rsidRPr="00544ECA">
        <w:footnoteRef/>
      </w:r>
      <w:r w:rsidRPr="00544ECA">
        <w:t xml:space="preserve"> Atbilstoši </w:t>
      </w:r>
      <w:hyperlink r:id="rId1" w:tgtFrame="_blank" w:history="1">
        <w:r>
          <w:t>MK</w:t>
        </w:r>
        <w:r w:rsidRPr="00544ECA">
          <w:t xml:space="preserve"> noteikumiem Nr.262  no 2010.gada 16.marta Noteikumi par elektroenerģijas ražošanu, izmantojot atjaunojamos energoresursus</w:t>
        </w:r>
      </w:hyperlink>
      <w:r w:rsidRPr="00544ECA">
        <w:t>, 59.4. punktam – “sistēmas operatori uzskaita to sistēmām pieslēgto galalietotāju – tirgus dalībnieku – elektroenerģijas patēriņam atbilstošo obligātā iepirkuma komponenti katrā norēķinu periodā, sniedz nepieciešamo informāciju publiskajam tirgotājam norēķinu veikšanai un norēķinās ar publisko tirgotāju par to sistēmām pieslēgto galalietotāju – tirgus dalībnieku – elektroenerģijas patēriņam atbilstošo komponenti.”</w:t>
      </w:r>
    </w:p>
  </w:footnote>
  <w:footnote w:id="13">
    <w:p w14:paraId="1D6F5487" w14:textId="3DA953DD" w:rsidR="00CA7612" w:rsidRPr="00C05E9A" w:rsidRDefault="00CA7612" w:rsidP="00626E14">
      <w:pPr>
        <w:pStyle w:val="FootnoteText"/>
        <w:jc w:val="both"/>
      </w:pPr>
      <w:r w:rsidRPr="00C05E9A">
        <w:rPr>
          <w:rStyle w:val="FootnoteReference"/>
        </w:rPr>
        <w:footnoteRef/>
      </w:r>
      <w:r w:rsidRPr="00C05E9A">
        <w:t xml:space="preserve"> </w:t>
      </w:r>
      <w:r w:rsidRPr="00C05E9A">
        <w:rPr>
          <w:rFonts w:cs="Times New Roman"/>
          <w:shd w:val="clear" w:color="auto" w:fill="FFFFFF"/>
        </w:rPr>
        <w:t>"No 2009.gada 1. jūlija līdz 2012.gada 31 decembrim izdienas pensijas saņēmējam, kurš 2009.gada 1 jūlijā ir obligāti sociāli apdrošinātā persona (darba ņēmējs vai pašnodarbinātais), izdienas pensiju pārrēķina un samazina par 70% no aprēķinātā izdienas pensijas apmēra. Izdienas pensijas apmērs atjaunojams ar tā mēneša pirmo datumu, kas seko mēnesim, kurā zaudēts obligāti sociāli apdrošinātās personas statuss."</w:t>
      </w:r>
    </w:p>
  </w:footnote>
  <w:footnote w:id="14">
    <w:p w14:paraId="5E6E862D" w14:textId="77777777" w:rsidR="00CA7612" w:rsidRPr="008874A0" w:rsidRDefault="00CA7612" w:rsidP="00F737C0">
      <w:pPr>
        <w:pStyle w:val="FootnoteText"/>
      </w:pPr>
      <w:r>
        <w:rPr>
          <w:rStyle w:val="FootnoteReference"/>
        </w:rPr>
        <w:footnoteRef/>
      </w:r>
      <w:r>
        <w:t xml:space="preserve"> </w:t>
      </w:r>
      <w:r w:rsidRPr="008874A0">
        <w:t>atjaunojamā kredītlīnija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F80B" w14:textId="77777777" w:rsidR="0086778E" w:rsidRDefault="00867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A3B8" w14:textId="77777777" w:rsidR="0086778E" w:rsidRDefault="00867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977F" w14:textId="77777777" w:rsidR="0086778E" w:rsidRDefault="0086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970"/>
    <w:multiLevelType w:val="hybridMultilevel"/>
    <w:tmpl w:val="3AAE7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014CA9"/>
    <w:multiLevelType w:val="hybridMultilevel"/>
    <w:tmpl w:val="7708FC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02F0E05"/>
    <w:multiLevelType w:val="multilevel"/>
    <w:tmpl w:val="12F00186"/>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2A9211F"/>
    <w:multiLevelType w:val="hybridMultilevel"/>
    <w:tmpl w:val="A79A59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38D485C"/>
    <w:multiLevelType w:val="multilevel"/>
    <w:tmpl w:val="2E24890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5" w15:restartNumberingAfterBreak="0">
    <w:nsid w:val="139F5F4B"/>
    <w:multiLevelType w:val="hybridMultilevel"/>
    <w:tmpl w:val="0820F63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D33D2F"/>
    <w:multiLevelType w:val="hybridMultilevel"/>
    <w:tmpl w:val="0CDCA8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3F72C46"/>
    <w:multiLevelType w:val="hybridMultilevel"/>
    <w:tmpl w:val="BDAAC656"/>
    <w:lvl w:ilvl="0" w:tplc="E9A4EAA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854AB18"/>
    <w:lvl w:ilvl="0">
      <w:start w:val="1"/>
      <w:numFmt w:val="decimal"/>
      <w:pStyle w:val="Heading1"/>
      <w:lvlText w:val="%1."/>
      <w:lvlJc w:val="left"/>
      <w:pPr>
        <w:ind w:left="2843" w:hanging="432"/>
      </w:pPr>
      <w:rPr>
        <w:b/>
        <w:sz w:val="32"/>
      </w:rPr>
    </w:lvl>
    <w:lvl w:ilvl="1">
      <w:start w:val="1"/>
      <w:numFmt w:val="decimal"/>
      <w:pStyle w:val="Heading2"/>
      <w:lvlText w:val="%1.%2"/>
      <w:lvlJc w:val="left"/>
      <w:pPr>
        <w:ind w:left="2987" w:hanging="576"/>
      </w:pPr>
    </w:lvl>
    <w:lvl w:ilvl="2">
      <w:start w:val="1"/>
      <w:numFmt w:val="decimal"/>
      <w:pStyle w:val="Heading3"/>
      <w:lvlText w:val="%1.%2.%3"/>
      <w:lvlJc w:val="left"/>
      <w:pPr>
        <w:ind w:left="3131" w:hanging="720"/>
      </w:pPr>
    </w:lvl>
    <w:lvl w:ilvl="3">
      <w:start w:val="1"/>
      <w:numFmt w:val="decimal"/>
      <w:pStyle w:val="Heading4"/>
      <w:lvlText w:val="%1.%2.%3.%4"/>
      <w:lvlJc w:val="left"/>
      <w:pPr>
        <w:ind w:left="3275" w:hanging="864"/>
      </w:pPr>
    </w:lvl>
    <w:lvl w:ilvl="4">
      <w:start w:val="1"/>
      <w:numFmt w:val="decimal"/>
      <w:pStyle w:val="Heading5"/>
      <w:lvlText w:val="%1.%2.%3.%4.%5"/>
      <w:lvlJc w:val="left"/>
      <w:pPr>
        <w:ind w:left="3419" w:hanging="1008"/>
      </w:pPr>
    </w:lvl>
    <w:lvl w:ilvl="5">
      <w:start w:val="1"/>
      <w:numFmt w:val="decimal"/>
      <w:pStyle w:val="Heading6"/>
      <w:lvlText w:val="%1.%2.%3.%4.%5.%6"/>
      <w:lvlJc w:val="left"/>
      <w:pPr>
        <w:ind w:left="3563" w:hanging="1152"/>
      </w:pPr>
    </w:lvl>
    <w:lvl w:ilvl="6">
      <w:start w:val="1"/>
      <w:numFmt w:val="decimal"/>
      <w:pStyle w:val="Heading7"/>
      <w:lvlText w:val="%1.%2.%3.%4.%5.%6.%7"/>
      <w:lvlJc w:val="left"/>
      <w:pPr>
        <w:ind w:left="3707" w:hanging="1296"/>
      </w:pPr>
    </w:lvl>
    <w:lvl w:ilvl="7">
      <w:start w:val="1"/>
      <w:numFmt w:val="decimal"/>
      <w:pStyle w:val="Heading8"/>
      <w:lvlText w:val="%1.%2.%3.%4.%5.%6.%7.%8"/>
      <w:lvlJc w:val="left"/>
      <w:pPr>
        <w:ind w:left="3851" w:hanging="1440"/>
      </w:pPr>
    </w:lvl>
    <w:lvl w:ilvl="8">
      <w:start w:val="1"/>
      <w:numFmt w:val="decimal"/>
      <w:pStyle w:val="Heading9"/>
      <w:lvlText w:val="%1.%2.%3.%4.%5.%6.%7.%8.%9"/>
      <w:lvlJc w:val="left"/>
      <w:pPr>
        <w:ind w:left="3995" w:hanging="1584"/>
      </w:pPr>
    </w:lvl>
  </w:abstractNum>
  <w:abstractNum w:abstractNumId="9" w15:restartNumberingAfterBreak="0">
    <w:nsid w:val="14937C53"/>
    <w:multiLevelType w:val="hybridMultilevel"/>
    <w:tmpl w:val="C174084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2305291"/>
    <w:multiLevelType w:val="hybridMultilevel"/>
    <w:tmpl w:val="C0645CE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2793D61"/>
    <w:multiLevelType w:val="multilevel"/>
    <w:tmpl w:val="D764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8732C"/>
    <w:multiLevelType w:val="multilevel"/>
    <w:tmpl w:val="656A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A0AED"/>
    <w:multiLevelType w:val="hybridMultilevel"/>
    <w:tmpl w:val="A11C1B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5B96695"/>
    <w:multiLevelType w:val="hybridMultilevel"/>
    <w:tmpl w:val="44607B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6193EE1"/>
    <w:multiLevelType w:val="hybridMultilevel"/>
    <w:tmpl w:val="AF8E55DE"/>
    <w:lvl w:ilvl="0" w:tplc="9DE4BB5A">
      <w:start w:val="1"/>
      <w:numFmt w:val="decimal"/>
      <w:lvlText w:val="%1."/>
      <w:lvlJc w:val="left"/>
      <w:pPr>
        <w:ind w:left="1503" w:hanging="360"/>
      </w:pPr>
      <w:rPr>
        <w:b w:val="0"/>
      </w:rPr>
    </w:lvl>
    <w:lvl w:ilvl="1" w:tplc="04260019" w:tentative="1">
      <w:start w:val="1"/>
      <w:numFmt w:val="lowerLetter"/>
      <w:lvlText w:val="%2."/>
      <w:lvlJc w:val="left"/>
      <w:pPr>
        <w:ind w:left="2223" w:hanging="360"/>
      </w:pPr>
    </w:lvl>
    <w:lvl w:ilvl="2" w:tplc="0426001B" w:tentative="1">
      <w:start w:val="1"/>
      <w:numFmt w:val="lowerRoman"/>
      <w:lvlText w:val="%3."/>
      <w:lvlJc w:val="right"/>
      <w:pPr>
        <w:ind w:left="2943" w:hanging="180"/>
      </w:pPr>
    </w:lvl>
    <w:lvl w:ilvl="3" w:tplc="0426000F" w:tentative="1">
      <w:start w:val="1"/>
      <w:numFmt w:val="decimal"/>
      <w:lvlText w:val="%4."/>
      <w:lvlJc w:val="left"/>
      <w:pPr>
        <w:ind w:left="3663" w:hanging="360"/>
      </w:pPr>
    </w:lvl>
    <w:lvl w:ilvl="4" w:tplc="04260019" w:tentative="1">
      <w:start w:val="1"/>
      <w:numFmt w:val="lowerLetter"/>
      <w:lvlText w:val="%5."/>
      <w:lvlJc w:val="left"/>
      <w:pPr>
        <w:ind w:left="4383" w:hanging="360"/>
      </w:pPr>
    </w:lvl>
    <w:lvl w:ilvl="5" w:tplc="0426001B" w:tentative="1">
      <w:start w:val="1"/>
      <w:numFmt w:val="lowerRoman"/>
      <w:lvlText w:val="%6."/>
      <w:lvlJc w:val="right"/>
      <w:pPr>
        <w:ind w:left="5103" w:hanging="180"/>
      </w:pPr>
    </w:lvl>
    <w:lvl w:ilvl="6" w:tplc="0426000F" w:tentative="1">
      <w:start w:val="1"/>
      <w:numFmt w:val="decimal"/>
      <w:lvlText w:val="%7."/>
      <w:lvlJc w:val="left"/>
      <w:pPr>
        <w:ind w:left="5823" w:hanging="360"/>
      </w:pPr>
    </w:lvl>
    <w:lvl w:ilvl="7" w:tplc="04260019" w:tentative="1">
      <w:start w:val="1"/>
      <w:numFmt w:val="lowerLetter"/>
      <w:lvlText w:val="%8."/>
      <w:lvlJc w:val="left"/>
      <w:pPr>
        <w:ind w:left="6543" w:hanging="360"/>
      </w:pPr>
    </w:lvl>
    <w:lvl w:ilvl="8" w:tplc="0426001B" w:tentative="1">
      <w:start w:val="1"/>
      <w:numFmt w:val="lowerRoman"/>
      <w:lvlText w:val="%9."/>
      <w:lvlJc w:val="right"/>
      <w:pPr>
        <w:ind w:left="7263" w:hanging="180"/>
      </w:pPr>
    </w:lvl>
  </w:abstractNum>
  <w:abstractNum w:abstractNumId="16" w15:restartNumberingAfterBreak="0">
    <w:nsid w:val="29513E32"/>
    <w:multiLevelType w:val="multilevel"/>
    <w:tmpl w:val="95A69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777F40"/>
    <w:multiLevelType w:val="multilevel"/>
    <w:tmpl w:val="334E9FFA"/>
    <w:lvl w:ilvl="0">
      <w:start w:val="3"/>
      <w:numFmt w:val="decimal"/>
      <w:lvlText w:val="%1."/>
      <w:lvlJc w:val="left"/>
      <w:pPr>
        <w:ind w:left="360" w:hanging="360"/>
      </w:pPr>
      <w:rPr>
        <w:rFonts w:cs="Times New Roman" w:hint="default"/>
        <w:color w:val="auto"/>
      </w:rPr>
    </w:lvl>
    <w:lvl w:ilvl="1">
      <w:start w:val="1"/>
      <w:numFmt w:val="decimal"/>
      <w:lvlText w:val="%1.%2."/>
      <w:lvlJc w:val="left"/>
      <w:pPr>
        <w:ind w:left="3479" w:hanging="360"/>
      </w:pPr>
      <w:rPr>
        <w:rFonts w:cs="Times New Roman" w:hint="default"/>
        <w:color w:val="auto"/>
      </w:rPr>
    </w:lvl>
    <w:lvl w:ilvl="2">
      <w:start w:val="1"/>
      <w:numFmt w:val="decimal"/>
      <w:lvlText w:val="%1.%2.%3."/>
      <w:lvlJc w:val="left"/>
      <w:pPr>
        <w:ind w:left="6958" w:hanging="720"/>
      </w:pPr>
      <w:rPr>
        <w:rFonts w:cs="Times New Roman" w:hint="default"/>
        <w:color w:val="auto"/>
      </w:rPr>
    </w:lvl>
    <w:lvl w:ilvl="3">
      <w:start w:val="1"/>
      <w:numFmt w:val="decimal"/>
      <w:lvlText w:val="%1.%2.%3.%4."/>
      <w:lvlJc w:val="left"/>
      <w:pPr>
        <w:ind w:left="10077" w:hanging="720"/>
      </w:pPr>
      <w:rPr>
        <w:rFonts w:cs="Times New Roman" w:hint="default"/>
        <w:color w:val="auto"/>
      </w:rPr>
    </w:lvl>
    <w:lvl w:ilvl="4">
      <w:start w:val="1"/>
      <w:numFmt w:val="decimal"/>
      <w:lvlText w:val="%1.%2.%3.%4.%5."/>
      <w:lvlJc w:val="left"/>
      <w:pPr>
        <w:ind w:left="13556" w:hanging="1080"/>
      </w:pPr>
      <w:rPr>
        <w:rFonts w:cs="Times New Roman" w:hint="default"/>
        <w:color w:val="auto"/>
      </w:rPr>
    </w:lvl>
    <w:lvl w:ilvl="5">
      <w:start w:val="1"/>
      <w:numFmt w:val="decimal"/>
      <w:lvlText w:val="%1.%2.%3.%4.%5.%6."/>
      <w:lvlJc w:val="left"/>
      <w:pPr>
        <w:ind w:left="16675" w:hanging="1080"/>
      </w:pPr>
      <w:rPr>
        <w:rFonts w:cs="Times New Roman" w:hint="default"/>
        <w:color w:val="auto"/>
      </w:rPr>
    </w:lvl>
    <w:lvl w:ilvl="6">
      <w:start w:val="1"/>
      <w:numFmt w:val="decimal"/>
      <w:lvlText w:val="%1.%2.%3.%4.%5.%6.%7."/>
      <w:lvlJc w:val="left"/>
      <w:pPr>
        <w:ind w:left="20154" w:hanging="1440"/>
      </w:pPr>
      <w:rPr>
        <w:rFonts w:cs="Times New Roman" w:hint="default"/>
        <w:color w:val="auto"/>
      </w:rPr>
    </w:lvl>
    <w:lvl w:ilvl="7">
      <w:start w:val="1"/>
      <w:numFmt w:val="decimal"/>
      <w:lvlText w:val="%1.%2.%3.%4.%5.%6.%7.%8."/>
      <w:lvlJc w:val="left"/>
      <w:pPr>
        <w:ind w:left="23273" w:hanging="1440"/>
      </w:pPr>
      <w:rPr>
        <w:rFonts w:cs="Times New Roman" w:hint="default"/>
        <w:color w:val="auto"/>
      </w:rPr>
    </w:lvl>
    <w:lvl w:ilvl="8">
      <w:start w:val="1"/>
      <w:numFmt w:val="decimal"/>
      <w:lvlText w:val="%1.%2.%3.%4.%5.%6.%7.%8.%9."/>
      <w:lvlJc w:val="left"/>
      <w:pPr>
        <w:ind w:left="26752" w:hanging="1800"/>
      </w:pPr>
      <w:rPr>
        <w:rFonts w:cs="Times New Roman" w:hint="default"/>
        <w:color w:val="auto"/>
      </w:rPr>
    </w:lvl>
  </w:abstractNum>
  <w:abstractNum w:abstractNumId="18" w15:restartNumberingAfterBreak="0">
    <w:nsid w:val="3A8B25F3"/>
    <w:multiLevelType w:val="hybridMultilevel"/>
    <w:tmpl w:val="3484044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BFB498D"/>
    <w:multiLevelType w:val="hybridMultilevel"/>
    <w:tmpl w:val="F1BC58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E213425"/>
    <w:multiLevelType w:val="hybridMultilevel"/>
    <w:tmpl w:val="5628B0F0"/>
    <w:lvl w:ilvl="0" w:tplc="EB640E3C">
      <w:start w:val="18"/>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F31404"/>
    <w:multiLevelType w:val="hybridMultilevel"/>
    <w:tmpl w:val="EB98DF8C"/>
    <w:lvl w:ilvl="0" w:tplc="0B5889C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07A2C8F"/>
    <w:multiLevelType w:val="multilevel"/>
    <w:tmpl w:val="2E24890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23" w15:restartNumberingAfterBreak="0">
    <w:nsid w:val="53890486"/>
    <w:multiLevelType w:val="multilevel"/>
    <w:tmpl w:val="6A803874"/>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4" w15:restartNumberingAfterBreak="0">
    <w:nsid w:val="57C3225E"/>
    <w:multiLevelType w:val="hybridMultilevel"/>
    <w:tmpl w:val="580AF8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9732055"/>
    <w:multiLevelType w:val="hybridMultilevel"/>
    <w:tmpl w:val="96B89AB8"/>
    <w:lvl w:ilvl="0" w:tplc="06BCCE8A">
      <w:start w:val="1"/>
      <w:numFmt w:val="bullet"/>
      <w:lvlText w:val=""/>
      <w:lvlJc w:val="left"/>
      <w:pPr>
        <w:ind w:left="1440" w:hanging="360"/>
      </w:pPr>
      <w:rPr>
        <w:rFonts w:ascii="Symbol" w:hAnsi="Symbol"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A963C97"/>
    <w:multiLevelType w:val="hybridMultilevel"/>
    <w:tmpl w:val="FE34C968"/>
    <w:lvl w:ilvl="0" w:tplc="CD7215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9C4912"/>
    <w:multiLevelType w:val="hybridMultilevel"/>
    <w:tmpl w:val="FEFE0D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690E61"/>
    <w:multiLevelType w:val="hybridMultilevel"/>
    <w:tmpl w:val="AC2A3D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0F748D"/>
    <w:multiLevelType w:val="multilevel"/>
    <w:tmpl w:val="417EDC6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21F5887"/>
    <w:multiLevelType w:val="hybridMultilevel"/>
    <w:tmpl w:val="B3040F6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74A41B62"/>
    <w:multiLevelType w:val="hybridMultilevel"/>
    <w:tmpl w:val="38AC955E"/>
    <w:lvl w:ilvl="0" w:tplc="221E48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75587968"/>
    <w:multiLevelType w:val="multilevel"/>
    <w:tmpl w:val="9A6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62FE7"/>
    <w:multiLevelType w:val="hybridMultilevel"/>
    <w:tmpl w:val="06180E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8556AD"/>
    <w:multiLevelType w:val="hybridMultilevel"/>
    <w:tmpl w:val="DA7697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7CC85920"/>
    <w:multiLevelType w:val="hybridMultilevel"/>
    <w:tmpl w:val="1A0A52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8"/>
  </w:num>
  <w:num w:numId="2">
    <w:abstractNumId w:val="25"/>
  </w:num>
  <w:num w:numId="3">
    <w:abstractNumId w:val="23"/>
  </w:num>
  <w:num w:numId="4">
    <w:abstractNumId w:val="22"/>
  </w:num>
  <w:num w:numId="5">
    <w:abstractNumId w:val="17"/>
  </w:num>
  <w:num w:numId="6">
    <w:abstractNumId w:val="13"/>
  </w:num>
  <w:num w:numId="7">
    <w:abstractNumId w:val="15"/>
  </w:num>
  <w:num w:numId="8">
    <w:abstractNumId w:val="5"/>
  </w:num>
  <w:num w:numId="9">
    <w:abstractNumId w:val="27"/>
  </w:num>
  <w:num w:numId="10">
    <w:abstractNumId w:val="18"/>
  </w:num>
  <w:num w:numId="11">
    <w:abstractNumId w:val="19"/>
  </w:num>
  <w:num w:numId="12">
    <w:abstractNumId w:val="14"/>
  </w:num>
  <w:num w:numId="13">
    <w:abstractNumId w:val="24"/>
  </w:num>
  <w:num w:numId="14">
    <w:abstractNumId w:val="6"/>
  </w:num>
  <w:num w:numId="15">
    <w:abstractNumId w:val="21"/>
  </w:num>
  <w:num w:numId="16">
    <w:abstractNumId w:val="3"/>
  </w:num>
  <w:num w:numId="17">
    <w:abstractNumId w:val="26"/>
  </w:num>
  <w:num w:numId="18">
    <w:abstractNumId w:val="0"/>
  </w:num>
  <w:num w:numId="19">
    <w:abstractNumId w:val="8"/>
  </w:num>
  <w:num w:numId="20">
    <w:abstractNumId w:val="2"/>
  </w:num>
  <w:num w:numId="21">
    <w:abstractNumId w:val="8"/>
  </w:num>
  <w:num w:numId="22">
    <w:abstractNumId w:val="8"/>
  </w:num>
  <w:num w:numId="23">
    <w:abstractNumId w:val="20"/>
  </w:num>
  <w:num w:numId="24">
    <w:abstractNumId w:val="33"/>
  </w:num>
  <w:num w:numId="25">
    <w:abstractNumId w:val="8"/>
  </w:num>
  <w:num w:numId="26">
    <w:abstractNumId w:val="11"/>
  </w:num>
  <w:num w:numId="27">
    <w:abstractNumId w:val="8"/>
  </w:num>
  <w:num w:numId="28">
    <w:abstractNumId w:val="7"/>
  </w:num>
  <w:num w:numId="29">
    <w:abstractNumId w:val="29"/>
  </w:num>
  <w:num w:numId="30">
    <w:abstractNumId w:val="10"/>
  </w:num>
  <w:num w:numId="31">
    <w:abstractNumId w:val="30"/>
  </w:num>
  <w:num w:numId="32">
    <w:abstractNumId w:val="28"/>
  </w:num>
  <w:num w:numId="33">
    <w:abstractNumId w:val="1"/>
  </w:num>
  <w:num w:numId="34">
    <w:abstractNumId w:val="12"/>
  </w:num>
  <w:num w:numId="35">
    <w:abstractNumId w:val="35"/>
  </w:num>
  <w:num w:numId="36">
    <w:abstractNumId w:val="16"/>
  </w:num>
  <w:num w:numId="37">
    <w:abstractNumId w:val="32"/>
  </w:num>
  <w:num w:numId="38">
    <w:abstractNumId w:val="31"/>
  </w:num>
  <w:num w:numId="39">
    <w:abstractNumId w:val="34"/>
  </w:num>
  <w:num w:numId="40">
    <w:abstractNumId w:val="8"/>
  </w:num>
  <w:num w:numId="41">
    <w:abstractNumId w:val="9"/>
  </w:num>
  <w:num w:numId="42">
    <w:abstractNumId w:val="4"/>
  </w:num>
  <w:num w:numId="43">
    <w:abstractNumId w:val="8"/>
  </w:num>
  <w:num w:numId="44">
    <w:abstractNumId w:val="8"/>
  </w:num>
  <w:num w:numId="45">
    <w:abstractNumId w:val="8"/>
  </w:num>
  <w:num w:numId="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C9"/>
    <w:rsid w:val="00000349"/>
    <w:rsid w:val="00001765"/>
    <w:rsid w:val="0000194F"/>
    <w:rsid w:val="000037EC"/>
    <w:rsid w:val="000063AD"/>
    <w:rsid w:val="00006F76"/>
    <w:rsid w:val="000073EC"/>
    <w:rsid w:val="00010CB9"/>
    <w:rsid w:val="000117DF"/>
    <w:rsid w:val="00011AB2"/>
    <w:rsid w:val="00011AEC"/>
    <w:rsid w:val="000122A8"/>
    <w:rsid w:val="00015F91"/>
    <w:rsid w:val="000165FB"/>
    <w:rsid w:val="000168C0"/>
    <w:rsid w:val="00017C77"/>
    <w:rsid w:val="00021042"/>
    <w:rsid w:val="00022211"/>
    <w:rsid w:val="0002227C"/>
    <w:rsid w:val="0002686B"/>
    <w:rsid w:val="000304F7"/>
    <w:rsid w:val="00031FA9"/>
    <w:rsid w:val="00032287"/>
    <w:rsid w:val="0003306D"/>
    <w:rsid w:val="000345BD"/>
    <w:rsid w:val="000346E6"/>
    <w:rsid w:val="00035848"/>
    <w:rsid w:val="00037266"/>
    <w:rsid w:val="00037638"/>
    <w:rsid w:val="00037E3F"/>
    <w:rsid w:val="00040B11"/>
    <w:rsid w:val="00041038"/>
    <w:rsid w:val="0004105F"/>
    <w:rsid w:val="00043C49"/>
    <w:rsid w:val="0004429B"/>
    <w:rsid w:val="00044F5F"/>
    <w:rsid w:val="00046FAC"/>
    <w:rsid w:val="00052807"/>
    <w:rsid w:val="0005621F"/>
    <w:rsid w:val="0005676A"/>
    <w:rsid w:val="00060ECC"/>
    <w:rsid w:val="00062F18"/>
    <w:rsid w:val="00064743"/>
    <w:rsid w:val="00064769"/>
    <w:rsid w:val="00065390"/>
    <w:rsid w:val="00071230"/>
    <w:rsid w:val="00072E73"/>
    <w:rsid w:val="00072E9B"/>
    <w:rsid w:val="00072EAB"/>
    <w:rsid w:val="000738C2"/>
    <w:rsid w:val="00074A7C"/>
    <w:rsid w:val="00075814"/>
    <w:rsid w:val="00077218"/>
    <w:rsid w:val="00077C41"/>
    <w:rsid w:val="00081CDD"/>
    <w:rsid w:val="00083085"/>
    <w:rsid w:val="00084B6A"/>
    <w:rsid w:val="000854F4"/>
    <w:rsid w:val="00085A25"/>
    <w:rsid w:val="0008688D"/>
    <w:rsid w:val="00086E69"/>
    <w:rsid w:val="000872F0"/>
    <w:rsid w:val="00087359"/>
    <w:rsid w:val="000958D3"/>
    <w:rsid w:val="00095996"/>
    <w:rsid w:val="000967DB"/>
    <w:rsid w:val="00096EFD"/>
    <w:rsid w:val="000A083E"/>
    <w:rsid w:val="000A5490"/>
    <w:rsid w:val="000A5605"/>
    <w:rsid w:val="000A5968"/>
    <w:rsid w:val="000A5A62"/>
    <w:rsid w:val="000A6F7E"/>
    <w:rsid w:val="000B0706"/>
    <w:rsid w:val="000B1E1B"/>
    <w:rsid w:val="000B1E8D"/>
    <w:rsid w:val="000B423D"/>
    <w:rsid w:val="000B6D14"/>
    <w:rsid w:val="000B708A"/>
    <w:rsid w:val="000C264B"/>
    <w:rsid w:val="000C2D52"/>
    <w:rsid w:val="000C41AB"/>
    <w:rsid w:val="000C4710"/>
    <w:rsid w:val="000C4B44"/>
    <w:rsid w:val="000C5ADC"/>
    <w:rsid w:val="000D02B5"/>
    <w:rsid w:val="000D1EDC"/>
    <w:rsid w:val="000D2908"/>
    <w:rsid w:val="000D2BB7"/>
    <w:rsid w:val="000D2BCD"/>
    <w:rsid w:val="000D5219"/>
    <w:rsid w:val="000D66CF"/>
    <w:rsid w:val="000D7F94"/>
    <w:rsid w:val="000E0EA9"/>
    <w:rsid w:val="000E4882"/>
    <w:rsid w:val="000E5EEE"/>
    <w:rsid w:val="000E651E"/>
    <w:rsid w:val="000E6BBA"/>
    <w:rsid w:val="000E6C3B"/>
    <w:rsid w:val="000E71E5"/>
    <w:rsid w:val="000E7D3B"/>
    <w:rsid w:val="000F0F4C"/>
    <w:rsid w:val="000F1DF4"/>
    <w:rsid w:val="000F34E5"/>
    <w:rsid w:val="000F409C"/>
    <w:rsid w:val="000F576A"/>
    <w:rsid w:val="000F5C49"/>
    <w:rsid w:val="000F5FC1"/>
    <w:rsid w:val="000F5FF5"/>
    <w:rsid w:val="000F627C"/>
    <w:rsid w:val="000F6B7C"/>
    <w:rsid w:val="000F7414"/>
    <w:rsid w:val="000F7CA1"/>
    <w:rsid w:val="00102966"/>
    <w:rsid w:val="00103398"/>
    <w:rsid w:val="001034C2"/>
    <w:rsid w:val="00103B4E"/>
    <w:rsid w:val="00103D4F"/>
    <w:rsid w:val="00104D90"/>
    <w:rsid w:val="001054F7"/>
    <w:rsid w:val="00105538"/>
    <w:rsid w:val="001069C4"/>
    <w:rsid w:val="001105FD"/>
    <w:rsid w:val="00110ABC"/>
    <w:rsid w:val="00110B92"/>
    <w:rsid w:val="001124C6"/>
    <w:rsid w:val="001125B0"/>
    <w:rsid w:val="00112715"/>
    <w:rsid w:val="001136D1"/>
    <w:rsid w:val="00113DA6"/>
    <w:rsid w:val="001156E5"/>
    <w:rsid w:val="0011793A"/>
    <w:rsid w:val="00120001"/>
    <w:rsid w:val="00120DF9"/>
    <w:rsid w:val="0012130A"/>
    <w:rsid w:val="00121412"/>
    <w:rsid w:val="0012267A"/>
    <w:rsid w:val="0012299B"/>
    <w:rsid w:val="00122C42"/>
    <w:rsid w:val="001231CE"/>
    <w:rsid w:val="00123748"/>
    <w:rsid w:val="00124CCB"/>
    <w:rsid w:val="00125A4A"/>
    <w:rsid w:val="00126C0E"/>
    <w:rsid w:val="001310D7"/>
    <w:rsid w:val="00132967"/>
    <w:rsid w:val="00132C41"/>
    <w:rsid w:val="0013505F"/>
    <w:rsid w:val="00135568"/>
    <w:rsid w:val="001359AB"/>
    <w:rsid w:val="00136163"/>
    <w:rsid w:val="001366F8"/>
    <w:rsid w:val="00136D2B"/>
    <w:rsid w:val="00136EBB"/>
    <w:rsid w:val="001370A7"/>
    <w:rsid w:val="001410F4"/>
    <w:rsid w:val="00141FBA"/>
    <w:rsid w:val="001425FA"/>
    <w:rsid w:val="00143880"/>
    <w:rsid w:val="00143CD3"/>
    <w:rsid w:val="00146C29"/>
    <w:rsid w:val="001545E2"/>
    <w:rsid w:val="00154BD7"/>
    <w:rsid w:val="00160B44"/>
    <w:rsid w:val="00161605"/>
    <w:rsid w:val="00162054"/>
    <w:rsid w:val="0016240A"/>
    <w:rsid w:val="00162C5A"/>
    <w:rsid w:val="00162F97"/>
    <w:rsid w:val="00163032"/>
    <w:rsid w:val="0016312E"/>
    <w:rsid w:val="00163B5E"/>
    <w:rsid w:val="001640C0"/>
    <w:rsid w:val="001658C2"/>
    <w:rsid w:val="001660EC"/>
    <w:rsid w:val="0016682D"/>
    <w:rsid w:val="0016693E"/>
    <w:rsid w:val="001674A9"/>
    <w:rsid w:val="00167534"/>
    <w:rsid w:val="00171315"/>
    <w:rsid w:val="00171509"/>
    <w:rsid w:val="001727FB"/>
    <w:rsid w:val="00173DE3"/>
    <w:rsid w:val="0017440F"/>
    <w:rsid w:val="001745E0"/>
    <w:rsid w:val="00174DC9"/>
    <w:rsid w:val="0017502C"/>
    <w:rsid w:val="00175EC2"/>
    <w:rsid w:val="00175F80"/>
    <w:rsid w:val="00176702"/>
    <w:rsid w:val="00176E95"/>
    <w:rsid w:val="00176EAC"/>
    <w:rsid w:val="00183767"/>
    <w:rsid w:val="001857E2"/>
    <w:rsid w:val="00187F01"/>
    <w:rsid w:val="00187FFB"/>
    <w:rsid w:val="00191665"/>
    <w:rsid w:val="00191E2E"/>
    <w:rsid w:val="00195464"/>
    <w:rsid w:val="0019574C"/>
    <w:rsid w:val="001957A2"/>
    <w:rsid w:val="0019710A"/>
    <w:rsid w:val="001A084E"/>
    <w:rsid w:val="001A2D95"/>
    <w:rsid w:val="001A311F"/>
    <w:rsid w:val="001A3DCE"/>
    <w:rsid w:val="001A4D1D"/>
    <w:rsid w:val="001A570B"/>
    <w:rsid w:val="001A6001"/>
    <w:rsid w:val="001A649D"/>
    <w:rsid w:val="001A797E"/>
    <w:rsid w:val="001B0DBB"/>
    <w:rsid w:val="001B124E"/>
    <w:rsid w:val="001B2AB9"/>
    <w:rsid w:val="001B2C7D"/>
    <w:rsid w:val="001B3647"/>
    <w:rsid w:val="001B4BB2"/>
    <w:rsid w:val="001B5567"/>
    <w:rsid w:val="001B5B19"/>
    <w:rsid w:val="001B64D2"/>
    <w:rsid w:val="001C02DC"/>
    <w:rsid w:val="001C04F8"/>
    <w:rsid w:val="001C0916"/>
    <w:rsid w:val="001C153A"/>
    <w:rsid w:val="001C1909"/>
    <w:rsid w:val="001C1E08"/>
    <w:rsid w:val="001C2256"/>
    <w:rsid w:val="001C378D"/>
    <w:rsid w:val="001C3B62"/>
    <w:rsid w:val="001C50B5"/>
    <w:rsid w:val="001C620E"/>
    <w:rsid w:val="001C6D98"/>
    <w:rsid w:val="001C7DA3"/>
    <w:rsid w:val="001D00CD"/>
    <w:rsid w:val="001D0407"/>
    <w:rsid w:val="001D0BDB"/>
    <w:rsid w:val="001D0D36"/>
    <w:rsid w:val="001D1BDB"/>
    <w:rsid w:val="001D2FBC"/>
    <w:rsid w:val="001D36ED"/>
    <w:rsid w:val="001D3D94"/>
    <w:rsid w:val="001D5563"/>
    <w:rsid w:val="001D5FC4"/>
    <w:rsid w:val="001D7690"/>
    <w:rsid w:val="001E08BF"/>
    <w:rsid w:val="001E18C7"/>
    <w:rsid w:val="001E2B4B"/>
    <w:rsid w:val="001E2E7A"/>
    <w:rsid w:val="001E3D89"/>
    <w:rsid w:val="001E417B"/>
    <w:rsid w:val="001E54B0"/>
    <w:rsid w:val="001E5AD2"/>
    <w:rsid w:val="001E697F"/>
    <w:rsid w:val="001E6DD9"/>
    <w:rsid w:val="001E72B0"/>
    <w:rsid w:val="001E7409"/>
    <w:rsid w:val="001E75CA"/>
    <w:rsid w:val="001E7730"/>
    <w:rsid w:val="001E7879"/>
    <w:rsid w:val="001E7B9F"/>
    <w:rsid w:val="001E7DDC"/>
    <w:rsid w:val="001F21DD"/>
    <w:rsid w:val="001F26AB"/>
    <w:rsid w:val="001F3A40"/>
    <w:rsid w:val="001F48AA"/>
    <w:rsid w:val="001F48C6"/>
    <w:rsid w:val="001F503E"/>
    <w:rsid w:val="001F569C"/>
    <w:rsid w:val="001F57A4"/>
    <w:rsid w:val="001F60A9"/>
    <w:rsid w:val="001F6311"/>
    <w:rsid w:val="001F77AF"/>
    <w:rsid w:val="001F7DDC"/>
    <w:rsid w:val="00201578"/>
    <w:rsid w:val="00201F62"/>
    <w:rsid w:val="0020424B"/>
    <w:rsid w:val="0020533D"/>
    <w:rsid w:val="0020547D"/>
    <w:rsid w:val="00205574"/>
    <w:rsid w:val="00205C3B"/>
    <w:rsid w:val="00205D2B"/>
    <w:rsid w:val="00206039"/>
    <w:rsid w:val="002063CB"/>
    <w:rsid w:val="0021152B"/>
    <w:rsid w:val="00211B37"/>
    <w:rsid w:val="00211B5D"/>
    <w:rsid w:val="0021366C"/>
    <w:rsid w:val="002137CC"/>
    <w:rsid w:val="00214467"/>
    <w:rsid w:val="00214D26"/>
    <w:rsid w:val="00215098"/>
    <w:rsid w:val="0021569F"/>
    <w:rsid w:val="00215AA4"/>
    <w:rsid w:val="00216742"/>
    <w:rsid w:val="00221131"/>
    <w:rsid w:val="002230F0"/>
    <w:rsid w:val="00223451"/>
    <w:rsid w:val="00230581"/>
    <w:rsid w:val="0023086C"/>
    <w:rsid w:val="002326A0"/>
    <w:rsid w:val="0023293C"/>
    <w:rsid w:val="002329D8"/>
    <w:rsid w:val="00233B31"/>
    <w:rsid w:val="00235415"/>
    <w:rsid w:val="00235E43"/>
    <w:rsid w:val="00236D3A"/>
    <w:rsid w:val="002376E4"/>
    <w:rsid w:val="00237708"/>
    <w:rsid w:val="0024025D"/>
    <w:rsid w:val="00240BD2"/>
    <w:rsid w:val="00241F54"/>
    <w:rsid w:val="0024302B"/>
    <w:rsid w:val="00243EFC"/>
    <w:rsid w:val="002448DD"/>
    <w:rsid w:val="00246660"/>
    <w:rsid w:val="002467D7"/>
    <w:rsid w:val="00246C91"/>
    <w:rsid w:val="00247DE9"/>
    <w:rsid w:val="00250CB2"/>
    <w:rsid w:val="00250E1F"/>
    <w:rsid w:val="00252899"/>
    <w:rsid w:val="00254256"/>
    <w:rsid w:val="0025582B"/>
    <w:rsid w:val="002563CC"/>
    <w:rsid w:val="00257BC9"/>
    <w:rsid w:val="002607E0"/>
    <w:rsid w:val="00261582"/>
    <w:rsid w:val="00261EE4"/>
    <w:rsid w:val="00261FC8"/>
    <w:rsid w:val="00262321"/>
    <w:rsid w:val="00262E78"/>
    <w:rsid w:val="00263968"/>
    <w:rsid w:val="0026406E"/>
    <w:rsid w:val="002649B4"/>
    <w:rsid w:val="00264E5D"/>
    <w:rsid w:val="0026504B"/>
    <w:rsid w:val="00265927"/>
    <w:rsid w:val="00265D29"/>
    <w:rsid w:val="002667B7"/>
    <w:rsid w:val="00270792"/>
    <w:rsid w:val="002711E7"/>
    <w:rsid w:val="00272A20"/>
    <w:rsid w:val="00272F0E"/>
    <w:rsid w:val="00274920"/>
    <w:rsid w:val="00274A0D"/>
    <w:rsid w:val="002759A4"/>
    <w:rsid w:val="00276921"/>
    <w:rsid w:val="00276946"/>
    <w:rsid w:val="00277156"/>
    <w:rsid w:val="00282AD0"/>
    <w:rsid w:val="00283027"/>
    <w:rsid w:val="0028398C"/>
    <w:rsid w:val="0028499C"/>
    <w:rsid w:val="00284A4B"/>
    <w:rsid w:val="00284A6C"/>
    <w:rsid w:val="00285381"/>
    <w:rsid w:val="0028771E"/>
    <w:rsid w:val="002879E4"/>
    <w:rsid w:val="00287B20"/>
    <w:rsid w:val="00293BAA"/>
    <w:rsid w:val="002963DA"/>
    <w:rsid w:val="002978EC"/>
    <w:rsid w:val="002A00F3"/>
    <w:rsid w:val="002A13D2"/>
    <w:rsid w:val="002A15FA"/>
    <w:rsid w:val="002A186B"/>
    <w:rsid w:val="002A19A2"/>
    <w:rsid w:val="002A63B8"/>
    <w:rsid w:val="002A690F"/>
    <w:rsid w:val="002A6E1A"/>
    <w:rsid w:val="002A71DF"/>
    <w:rsid w:val="002A762C"/>
    <w:rsid w:val="002B0B71"/>
    <w:rsid w:val="002B12DE"/>
    <w:rsid w:val="002B1588"/>
    <w:rsid w:val="002B20ED"/>
    <w:rsid w:val="002B2FA7"/>
    <w:rsid w:val="002B37C9"/>
    <w:rsid w:val="002B5128"/>
    <w:rsid w:val="002B6969"/>
    <w:rsid w:val="002C0605"/>
    <w:rsid w:val="002C121E"/>
    <w:rsid w:val="002C289A"/>
    <w:rsid w:val="002C3934"/>
    <w:rsid w:val="002C44A2"/>
    <w:rsid w:val="002C55B5"/>
    <w:rsid w:val="002C5729"/>
    <w:rsid w:val="002C66DF"/>
    <w:rsid w:val="002C717F"/>
    <w:rsid w:val="002D05D0"/>
    <w:rsid w:val="002D086E"/>
    <w:rsid w:val="002D1014"/>
    <w:rsid w:val="002D15E2"/>
    <w:rsid w:val="002D18F9"/>
    <w:rsid w:val="002D2055"/>
    <w:rsid w:val="002D286B"/>
    <w:rsid w:val="002D3189"/>
    <w:rsid w:val="002D3ED9"/>
    <w:rsid w:val="002D4668"/>
    <w:rsid w:val="002D6F36"/>
    <w:rsid w:val="002E002F"/>
    <w:rsid w:val="002E0915"/>
    <w:rsid w:val="002E0D65"/>
    <w:rsid w:val="002E1197"/>
    <w:rsid w:val="002E19F1"/>
    <w:rsid w:val="002E1ADC"/>
    <w:rsid w:val="002E1FCE"/>
    <w:rsid w:val="002E23DD"/>
    <w:rsid w:val="002E3301"/>
    <w:rsid w:val="002E39BA"/>
    <w:rsid w:val="002E5472"/>
    <w:rsid w:val="002E7919"/>
    <w:rsid w:val="002F17DB"/>
    <w:rsid w:val="002F184B"/>
    <w:rsid w:val="002F633C"/>
    <w:rsid w:val="002F65F2"/>
    <w:rsid w:val="002F674C"/>
    <w:rsid w:val="00300229"/>
    <w:rsid w:val="003032B3"/>
    <w:rsid w:val="00303F9A"/>
    <w:rsid w:val="003040D7"/>
    <w:rsid w:val="0030420E"/>
    <w:rsid w:val="003046B8"/>
    <w:rsid w:val="00304CB6"/>
    <w:rsid w:val="003063F3"/>
    <w:rsid w:val="00306486"/>
    <w:rsid w:val="0030676B"/>
    <w:rsid w:val="0030738B"/>
    <w:rsid w:val="00307577"/>
    <w:rsid w:val="00307A76"/>
    <w:rsid w:val="0031064A"/>
    <w:rsid w:val="003110A2"/>
    <w:rsid w:val="00313846"/>
    <w:rsid w:val="003146F5"/>
    <w:rsid w:val="0031485E"/>
    <w:rsid w:val="00316C22"/>
    <w:rsid w:val="00316DE1"/>
    <w:rsid w:val="00317242"/>
    <w:rsid w:val="00317771"/>
    <w:rsid w:val="003177EC"/>
    <w:rsid w:val="0031782C"/>
    <w:rsid w:val="00320B9B"/>
    <w:rsid w:val="00320C9E"/>
    <w:rsid w:val="00321325"/>
    <w:rsid w:val="00321C72"/>
    <w:rsid w:val="00321C88"/>
    <w:rsid w:val="00322310"/>
    <w:rsid w:val="00323730"/>
    <w:rsid w:val="0032383F"/>
    <w:rsid w:val="00323A83"/>
    <w:rsid w:val="00324819"/>
    <w:rsid w:val="00325180"/>
    <w:rsid w:val="003258EA"/>
    <w:rsid w:val="003262DF"/>
    <w:rsid w:val="00326785"/>
    <w:rsid w:val="00327D01"/>
    <w:rsid w:val="00330B7C"/>
    <w:rsid w:val="00330BD5"/>
    <w:rsid w:val="00330ED5"/>
    <w:rsid w:val="003315CB"/>
    <w:rsid w:val="00334442"/>
    <w:rsid w:val="003359F0"/>
    <w:rsid w:val="00336885"/>
    <w:rsid w:val="003378B7"/>
    <w:rsid w:val="00340A53"/>
    <w:rsid w:val="00342D69"/>
    <w:rsid w:val="00344510"/>
    <w:rsid w:val="00345466"/>
    <w:rsid w:val="0035070B"/>
    <w:rsid w:val="003510C2"/>
    <w:rsid w:val="00351B08"/>
    <w:rsid w:val="00351C8D"/>
    <w:rsid w:val="00352BCA"/>
    <w:rsid w:val="00352D88"/>
    <w:rsid w:val="00355617"/>
    <w:rsid w:val="00356144"/>
    <w:rsid w:val="003577EC"/>
    <w:rsid w:val="00357E7B"/>
    <w:rsid w:val="00361120"/>
    <w:rsid w:val="00362A65"/>
    <w:rsid w:val="0036300A"/>
    <w:rsid w:val="00365267"/>
    <w:rsid w:val="003654D2"/>
    <w:rsid w:val="00365C21"/>
    <w:rsid w:val="00366499"/>
    <w:rsid w:val="003667C3"/>
    <w:rsid w:val="003669E3"/>
    <w:rsid w:val="00367D2C"/>
    <w:rsid w:val="00370582"/>
    <w:rsid w:val="003710E0"/>
    <w:rsid w:val="00373E90"/>
    <w:rsid w:val="00374039"/>
    <w:rsid w:val="00375E30"/>
    <w:rsid w:val="00376070"/>
    <w:rsid w:val="003769F3"/>
    <w:rsid w:val="003823E5"/>
    <w:rsid w:val="00382C42"/>
    <w:rsid w:val="0038650C"/>
    <w:rsid w:val="00386C3A"/>
    <w:rsid w:val="00386C90"/>
    <w:rsid w:val="003917DC"/>
    <w:rsid w:val="003928C9"/>
    <w:rsid w:val="00393298"/>
    <w:rsid w:val="0039349E"/>
    <w:rsid w:val="003957B4"/>
    <w:rsid w:val="00396842"/>
    <w:rsid w:val="00396F3A"/>
    <w:rsid w:val="003A0868"/>
    <w:rsid w:val="003A5AE9"/>
    <w:rsid w:val="003A6228"/>
    <w:rsid w:val="003A79E2"/>
    <w:rsid w:val="003A7C68"/>
    <w:rsid w:val="003B08C3"/>
    <w:rsid w:val="003B1798"/>
    <w:rsid w:val="003B1E37"/>
    <w:rsid w:val="003B1E53"/>
    <w:rsid w:val="003B1EA3"/>
    <w:rsid w:val="003B232B"/>
    <w:rsid w:val="003B45F0"/>
    <w:rsid w:val="003B664C"/>
    <w:rsid w:val="003B6A84"/>
    <w:rsid w:val="003B6B9C"/>
    <w:rsid w:val="003B7C65"/>
    <w:rsid w:val="003C2081"/>
    <w:rsid w:val="003C270C"/>
    <w:rsid w:val="003C39B4"/>
    <w:rsid w:val="003C7D88"/>
    <w:rsid w:val="003D0233"/>
    <w:rsid w:val="003D250C"/>
    <w:rsid w:val="003D3613"/>
    <w:rsid w:val="003D3E03"/>
    <w:rsid w:val="003D61FC"/>
    <w:rsid w:val="003D649F"/>
    <w:rsid w:val="003D6603"/>
    <w:rsid w:val="003D687B"/>
    <w:rsid w:val="003D6C7C"/>
    <w:rsid w:val="003D738C"/>
    <w:rsid w:val="003E11FA"/>
    <w:rsid w:val="003E4D73"/>
    <w:rsid w:val="003E5149"/>
    <w:rsid w:val="003E5D1A"/>
    <w:rsid w:val="003E63F7"/>
    <w:rsid w:val="003E71B1"/>
    <w:rsid w:val="003E7D8E"/>
    <w:rsid w:val="003F03B9"/>
    <w:rsid w:val="003F266B"/>
    <w:rsid w:val="003F3801"/>
    <w:rsid w:val="003F3E80"/>
    <w:rsid w:val="003F5516"/>
    <w:rsid w:val="003F606C"/>
    <w:rsid w:val="003F6D9C"/>
    <w:rsid w:val="003F78A2"/>
    <w:rsid w:val="003F7C0C"/>
    <w:rsid w:val="00400648"/>
    <w:rsid w:val="00401330"/>
    <w:rsid w:val="004015DF"/>
    <w:rsid w:val="00401AA5"/>
    <w:rsid w:val="00402952"/>
    <w:rsid w:val="00403940"/>
    <w:rsid w:val="00403BC2"/>
    <w:rsid w:val="0040451F"/>
    <w:rsid w:val="00405893"/>
    <w:rsid w:val="004069DF"/>
    <w:rsid w:val="004077BA"/>
    <w:rsid w:val="00410E2D"/>
    <w:rsid w:val="004116E7"/>
    <w:rsid w:val="00413C62"/>
    <w:rsid w:val="00415304"/>
    <w:rsid w:val="00416FF8"/>
    <w:rsid w:val="004172F5"/>
    <w:rsid w:val="0041774C"/>
    <w:rsid w:val="00422551"/>
    <w:rsid w:val="00423CF2"/>
    <w:rsid w:val="00425D01"/>
    <w:rsid w:val="004269EA"/>
    <w:rsid w:val="004275C9"/>
    <w:rsid w:val="00427FC8"/>
    <w:rsid w:val="004300B6"/>
    <w:rsid w:val="00430163"/>
    <w:rsid w:val="00431238"/>
    <w:rsid w:val="00432BBD"/>
    <w:rsid w:val="00433B72"/>
    <w:rsid w:val="004344A6"/>
    <w:rsid w:val="004349E2"/>
    <w:rsid w:val="004352E7"/>
    <w:rsid w:val="00435ACD"/>
    <w:rsid w:val="00436799"/>
    <w:rsid w:val="004373E5"/>
    <w:rsid w:val="004400CF"/>
    <w:rsid w:val="004442F3"/>
    <w:rsid w:val="00444AD7"/>
    <w:rsid w:val="00445055"/>
    <w:rsid w:val="004459E5"/>
    <w:rsid w:val="00445FB9"/>
    <w:rsid w:val="00446232"/>
    <w:rsid w:val="00446A2C"/>
    <w:rsid w:val="00450275"/>
    <w:rsid w:val="00450ED2"/>
    <w:rsid w:val="004542C5"/>
    <w:rsid w:val="00454396"/>
    <w:rsid w:val="004545C4"/>
    <w:rsid w:val="00454DD0"/>
    <w:rsid w:val="00455301"/>
    <w:rsid w:val="0045536B"/>
    <w:rsid w:val="00455402"/>
    <w:rsid w:val="00455DF5"/>
    <w:rsid w:val="00456059"/>
    <w:rsid w:val="00457509"/>
    <w:rsid w:val="00457AC6"/>
    <w:rsid w:val="00457F02"/>
    <w:rsid w:val="004609B6"/>
    <w:rsid w:val="0046145B"/>
    <w:rsid w:val="00461EB2"/>
    <w:rsid w:val="00461FF0"/>
    <w:rsid w:val="00465341"/>
    <w:rsid w:val="004679F1"/>
    <w:rsid w:val="00470DF0"/>
    <w:rsid w:val="00471B57"/>
    <w:rsid w:val="00471C8A"/>
    <w:rsid w:val="0047311B"/>
    <w:rsid w:val="00473CBD"/>
    <w:rsid w:val="00473F4A"/>
    <w:rsid w:val="0047520A"/>
    <w:rsid w:val="00477008"/>
    <w:rsid w:val="00481024"/>
    <w:rsid w:val="00481389"/>
    <w:rsid w:val="00481548"/>
    <w:rsid w:val="0048314B"/>
    <w:rsid w:val="00483229"/>
    <w:rsid w:val="00483559"/>
    <w:rsid w:val="00483EF5"/>
    <w:rsid w:val="00484631"/>
    <w:rsid w:val="00485462"/>
    <w:rsid w:val="0048717B"/>
    <w:rsid w:val="00487522"/>
    <w:rsid w:val="00487693"/>
    <w:rsid w:val="004876BF"/>
    <w:rsid w:val="00487817"/>
    <w:rsid w:val="0049019B"/>
    <w:rsid w:val="00490ECA"/>
    <w:rsid w:val="004913D0"/>
    <w:rsid w:val="004926B7"/>
    <w:rsid w:val="00493B40"/>
    <w:rsid w:val="00495865"/>
    <w:rsid w:val="00497337"/>
    <w:rsid w:val="00497986"/>
    <w:rsid w:val="004A0EF8"/>
    <w:rsid w:val="004A130B"/>
    <w:rsid w:val="004A48D3"/>
    <w:rsid w:val="004A4C72"/>
    <w:rsid w:val="004A4C95"/>
    <w:rsid w:val="004A5C7C"/>
    <w:rsid w:val="004A6489"/>
    <w:rsid w:val="004A68D2"/>
    <w:rsid w:val="004B1B2F"/>
    <w:rsid w:val="004B2518"/>
    <w:rsid w:val="004B358F"/>
    <w:rsid w:val="004B37ED"/>
    <w:rsid w:val="004B46D0"/>
    <w:rsid w:val="004C049A"/>
    <w:rsid w:val="004C09DF"/>
    <w:rsid w:val="004C0AF4"/>
    <w:rsid w:val="004C1D47"/>
    <w:rsid w:val="004C2D32"/>
    <w:rsid w:val="004C48ED"/>
    <w:rsid w:val="004C4B10"/>
    <w:rsid w:val="004C6E61"/>
    <w:rsid w:val="004D019B"/>
    <w:rsid w:val="004D1798"/>
    <w:rsid w:val="004D1ACE"/>
    <w:rsid w:val="004D1CDD"/>
    <w:rsid w:val="004D1D28"/>
    <w:rsid w:val="004D24C1"/>
    <w:rsid w:val="004D32B2"/>
    <w:rsid w:val="004D3516"/>
    <w:rsid w:val="004D4119"/>
    <w:rsid w:val="004D4169"/>
    <w:rsid w:val="004D466B"/>
    <w:rsid w:val="004D4CD0"/>
    <w:rsid w:val="004E03BE"/>
    <w:rsid w:val="004E139E"/>
    <w:rsid w:val="004E3467"/>
    <w:rsid w:val="004E4306"/>
    <w:rsid w:val="004E436B"/>
    <w:rsid w:val="004E5483"/>
    <w:rsid w:val="004E5728"/>
    <w:rsid w:val="004E6E5F"/>
    <w:rsid w:val="004E78EA"/>
    <w:rsid w:val="004F021D"/>
    <w:rsid w:val="004F15B1"/>
    <w:rsid w:val="004F261C"/>
    <w:rsid w:val="004F32F0"/>
    <w:rsid w:val="004F62AF"/>
    <w:rsid w:val="004F643B"/>
    <w:rsid w:val="004F7CE5"/>
    <w:rsid w:val="004F7E06"/>
    <w:rsid w:val="004F7FEA"/>
    <w:rsid w:val="00500543"/>
    <w:rsid w:val="00500BD3"/>
    <w:rsid w:val="00500F3F"/>
    <w:rsid w:val="00501181"/>
    <w:rsid w:val="0050300D"/>
    <w:rsid w:val="00503177"/>
    <w:rsid w:val="00504180"/>
    <w:rsid w:val="00504BA6"/>
    <w:rsid w:val="005050BC"/>
    <w:rsid w:val="00505D68"/>
    <w:rsid w:val="00507D6B"/>
    <w:rsid w:val="00510773"/>
    <w:rsid w:val="00510F52"/>
    <w:rsid w:val="00511A30"/>
    <w:rsid w:val="00511DEF"/>
    <w:rsid w:val="00512067"/>
    <w:rsid w:val="00512132"/>
    <w:rsid w:val="0051256C"/>
    <w:rsid w:val="00513CEC"/>
    <w:rsid w:val="00514576"/>
    <w:rsid w:val="00514958"/>
    <w:rsid w:val="00514BAE"/>
    <w:rsid w:val="005174BA"/>
    <w:rsid w:val="00521C35"/>
    <w:rsid w:val="00521CBB"/>
    <w:rsid w:val="00522263"/>
    <w:rsid w:val="0052232D"/>
    <w:rsid w:val="00522675"/>
    <w:rsid w:val="00522B25"/>
    <w:rsid w:val="005231F8"/>
    <w:rsid w:val="005232A4"/>
    <w:rsid w:val="005237DC"/>
    <w:rsid w:val="00524253"/>
    <w:rsid w:val="00525467"/>
    <w:rsid w:val="00525585"/>
    <w:rsid w:val="00525BD8"/>
    <w:rsid w:val="00526546"/>
    <w:rsid w:val="00527A2B"/>
    <w:rsid w:val="00527C9E"/>
    <w:rsid w:val="005300EF"/>
    <w:rsid w:val="00530C46"/>
    <w:rsid w:val="00530F2D"/>
    <w:rsid w:val="00531ADD"/>
    <w:rsid w:val="00531C47"/>
    <w:rsid w:val="00531D44"/>
    <w:rsid w:val="00531D8E"/>
    <w:rsid w:val="005325D9"/>
    <w:rsid w:val="00532706"/>
    <w:rsid w:val="0053488A"/>
    <w:rsid w:val="00534A7C"/>
    <w:rsid w:val="0053511E"/>
    <w:rsid w:val="00540391"/>
    <w:rsid w:val="00541CC5"/>
    <w:rsid w:val="00541CFD"/>
    <w:rsid w:val="00542F18"/>
    <w:rsid w:val="00544ECA"/>
    <w:rsid w:val="005518EB"/>
    <w:rsid w:val="0055218F"/>
    <w:rsid w:val="00552573"/>
    <w:rsid w:val="005534DC"/>
    <w:rsid w:val="0055390E"/>
    <w:rsid w:val="005542E8"/>
    <w:rsid w:val="005543F8"/>
    <w:rsid w:val="00556D1F"/>
    <w:rsid w:val="00556DBF"/>
    <w:rsid w:val="005603AD"/>
    <w:rsid w:val="00561836"/>
    <w:rsid w:val="00564D80"/>
    <w:rsid w:val="00565749"/>
    <w:rsid w:val="0056690D"/>
    <w:rsid w:val="00566F4E"/>
    <w:rsid w:val="005674BD"/>
    <w:rsid w:val="00570435"/>
    <w:rsid w:val="005704F7"/>
    <w:rsid w:val="00570D3D"/>
    <w:rsid w:val="00571158"/>
    <w:rsid w:val="0057195A"/>
    <w:rsid w:val="00572B37"/>
    <w:rsid w:val="00573DF1"/>
    <w:rsid w:val="00574D74"/>
    <w:rsid w:val="0058023B"/>
    <w:rsid w:val="0058085C"/>
    <w:rsid w:val="005826E0"/>
    <w:rsid w:val="00582DB7"/>
    <w:rsid w:val="00582EFA"/>
    <w:rsid w:val="00582F58"/>
    <w:rsid w:val="00584719"/>
    <w:rsid w:val="00586B7E"/>
    <w:rsid w:val="0058777B"/>
    <w:rsid w:val="00587A58"/>
    <w:rsid w:val="00587F3F"/>
    <w:rsid w:val="00590A19"/>
    <w:rsid w:val="00591A2F"/>
    <w:rsid w:val="005921A4"/>
    <w:rsid w:val="00593167"/>
    <w:rsid w:val="00593997"/>
    <w:rsid w:val="00594149"/>
    <w:rsid w:val="005946B4"/>
    <w:rsid w:val="0059484F"/>
    <w:rsid w:val="00595FDC"/>
    <w:rsid w:val="005962CD"/>
    <w:rsid w:val="005968B5"/>
    <w:rsid w:val="00596CE2"/>
    <w:rsid w:val="00596F65"/>
    <w:rsid w:val="0059787A"/>
    <w:rsid w:val="00597AED"/>
    <w:rsid w:val="005A027C"/>
    <w:rsid w:val="005A1ED9"/>
    <w:rsid w:val="005A3C71"/>
    <w:rsid w:val="005A4064"/>
    <w:rsid w:val="005A50EC"/>
    <w:rsid w:val="005A6EBE"/>
    <w:rsid w:val="005B0FBC"/>
    <w:rsid w:val="005B148E"/>
    <w:rsid w:val="005B2018"/>
    <w:rsid w:val="005B24BC"/>
    <w:rsid w:val="005B24CD"/>
    <w:rsid w:val="005B2CFE"/>
    <w:rsid w:val="005B358D"/>
    <w:rsid w:val="005B3BD8"/>
    <w:rsid w:val="005B4098"/>
    <w:rsid w:val="005B4F90"/>
    <w:rsid w:val="005B6698"/>
    <w:rsid w:val="005B7184"/>
    <w:rsid w:val="005B7C4C"/>
    <w:rsid w:val="005C0E8A"/>
    <w:rsid w:val="005C118F"/>
    <w:rsid w:val="005C162D"/>
    <w:rsid w:val="005C17FD"/>
    <w:rsid w:val="005C1F3A"/>
    <w:rsid w:val="005C216E"/>
    <w:rsid w:val="005C2357"/>
    <w:rsid w:val="005C2C1B"/>
    <w:rsid w:val="005C318D"/>
    <w:rsid w:val="005C32F2"/>
    <w:rsid w:val="005C5C69"/>
    <w:rsid w:val="005C6947"/>
    <w:rsid w:val="005C6E14"/>
    <w:rsid w:val="005C7DE8"/>
    <w:rsid w:val="005D02C6"/>
    <w:rsid w:val="005D1510"/>
    <w:rsid w:val="005D1E82"/>
    <w:rsid w:val="005D1E97"/>
    <w:rsid w:val="005D1EC5"/>
    <w:rsid w:val="005D3CE0"/>
    <w:rsid w:val="005D3F2E"/>
    <w:rsid w:val="005D457A"/>
    <w:rsid w:val="005D45EA"/>
    <w:rsid w:val="005D50C6"/>
    <w:rsid w:val="005D5709"/>
    <w:rsid w:val="005D68DD"/>
    <w:rsid w:val="005E01A1"/>
    <w:rsid w:val="005E0244"/>
    <w:rsid w:val="005E0E92"/>
    <w:rsid w:val="005E0ED4"/>
    <w:rsid w:val="005E20B5"/>
    <w:rsid w:val="005E24F6"/>
    <w:rsid w:val="005E35D8"/>
    <w:rsid w:val="005E3744"/>
    <w:rsid w:val="005E3AA9"/>
    <w:rsid w:val="005E3F8B"/>
    <w:rsid w:val="005E5C4B"/>
    <w:rsid w:val="005E6937"/>
    <w:rsid w:val="005E772B"/>
    <w:rsid w:val="005E7DC5"/>
    <w:rsid w:val="005F07A0"/>
    <w:rsid w:val="005F14BA"/>
    <w:rsid w:val="005F19F5"/>
    <w:rsid w:val="005F4294"/>
    <w:rsid w:val="005F476A"/>
    <w:rsid w:val="005F533F"/>
    <w:rsid w:val="005F5540"/>
    <w:rsid w:val="005F6C86"/>
    <w:rsid w:val="005F6D70"/>
    <w:rsid w:val="005F73A2"/>
    <w:rsid w:val="00601AF4"/>
    <w:rsid w:val="00602082"/>
    <w:rsid w:val="006021D1"/>
    <w:rsid w:val="0060420D"/>
    <w:rsid w:val="0060483B"/>
    <w:rsid w:val="00604F97"/>
    <w:rsid w:val="006055FF"/>
    <w:rsid w:val="00611056"/>
    <w:rsid w:val="006125D4"/>
    <w:rsid w:val="00612DE3"/>
    <w:rsid w:val="00615B17"/>
    <w:rsid w:val="00615B7A"/>
    <w:rsid w:val="006167DA"/>
    <w:rsid w:val="006210AF"/>
    <w:rsid w:val="00623713"/>
    <w:rsid w:val="00623897"/>
    <w:rsid w:val="00623E9E"/>
    <w:rsid w:val="006241B4"/>
    <w:rsid w:val="00624225"/>
    <w:rsid w:val="006259C6"/>
    <w:rsid w:val="00626CDB"/>
    <w:rsid w:val="00626E14"/>
    <w:rsid w:val="00627679"/>
    <w:rsid w:val="00627917"/>
    <w:rsid w:val="00630530"/>
    <w:rsid w:val="00630E31"/>
    <w:rsid w:val="00630F0B"/>
    <w:rsid w:val="00631185"/>
    <w:rsid w:val="00631B76"/>
    <w:rsid w:val="00634D9A"/>
    <w:rsid w:val="0063620B"/>
    <w:rsid w:val="006362E1"/>
    <w:rsid w:val="00641004"/>
    <w:rsid w:val="00642667"/>
    <w:rsid w:val="00643223"/>
    <w:rsid w:val="0064407B"/>
    <w:rsid w:val="0064491F"/>
    <w:rsid w:val="00644C8E"/>
    <w:rsid w:val="00644EA3"/>
    <w:rsid w:val="006452A7"/>
    <w:rsid w:val="006462D5"/>
    <w:rsid w:val="006468B4"/>
    <w:rsid w:val="00651B21"/>
    <w:rsid w:val="0065289B"/>
    <w:rsid w:val="006551E7"/>
    <w:rsid w:val="006577F9"/>
    <w:rsid w:val="006604A7"/>
    <w:rsid w:val="006604BB"/>
    <w:rsid w:val="00660767"/>
    <w:rsid w:val="0066213A"/>
    <w:rsid w:val="006621C1"/>
    <w:rsid w:val="00662210"/>
    <w:rsid w:val="0066236D"/>
    <w:rsid w:val="0066392B"/>
    <w:rsid w:val="0066417D"/>
    <w:rsid w:val="006656CF"/>
    <w:rsid w:val="006674BB"/>
    <w:rsid w:val="00667AA6"/>
    <w:rsid w:val="006705B6"/>
    <w:rsid w:val="00671EC2"/>
    <w:rsid w:val="00672A66"/>
    <w:rsid w:val="00673A7E"/>
    <w:rsid w:val="00674812"/>
    <w:rsid w:val="00676554"/>
    <w:rsid w:val="00676742"/>
    <w:rsid w:val="00676CDA"/>
    <w:rsid w:val="0067745A"/>
    <w:rsid w:val="006774A8"/>
    <w:rsid w:val="00680720"/>
    <w:rsid w:val="00681631"/>
    <w:rsid w:val="00681F5B"/>
    <w:rsid w:val="00682D5F"/>
    <w:rsid w:val="00683DE7"/>
    <w:rsid w:val="006848B0"/>
    <w:rsid w:val="00685E60"/>
    <w:rsid w:val="0068695A"/>
    <w:rsid w:val="006879E1"/>
    <w:rsid w:val="00690E31"/>
    <w:rsid w:val="00691AF3"/>
    <w:rsid w:val="00691BC6"/>
    <w:rsid w:val="0069294F"/>
    <w:rsid w:val="006947EC"/>
    <w:rsid w:val="00696704"/>
    <w:rsid w:val="0069770C"/>
    <w:rsid w:val="006A11E7"/>
    <w:rsid w:val="006A562C"/>
    <w:rsid w:val="006A69B9"/>
    <w:rsid w:val="006A72D5"/>
    <w:rsid w:val="006B009E"/>
    <w:rsid w:val="006B0504"/>
    <w:rsid w:val="006B1663"/>
    <w:rsid w:val="006B1F7F"/>
    <w:rsid w:val="006B254D"/>
    <w:rsid w:val="006B5E3D"/>
    <w:rsid w:val="006B6649"/>
    <w:rsid w:val="006B73E8"/>
    <w:rsid w:val="006B7DB7"/>
    <w:rsid w:val="006C0346"/>
    <w:rsid w:val="006C1F0F"/>
    <w:rsid w:val="006C1F52"/>
    <w:rsid w:val="006C3FE9"/>
    <w:rsid w:val="006C4B94"/>
    <w:rsid w:val="006C6FFB"/>
    <w:rsid w:val="006C78C4"/>
    <w:rsid w:val="006C7C57"/>
    <w:rsid w:val="006D30DF"/>
    <w:rsid w:val="006D42CF"/>
    <w:rsid w:val="006D576D"/>
    <w:rsid w:val="006D585E"/>
    <w:rsid w:val="006D6B4C"/>
    <w:rsid w:val="006D6B80"/>
    <w:rsid w:val="006D6BF4"/>
    <w:rsid w:val="006D6C33"/>
    <w:rsid w:val="006D6E45"/>
    <w:rsid w:val="006D6F2D"/>
    <w:rsid w:val="006D781C"/>
    <w:rsid w:val="006E02BB"/>
    <w:rsid w:val="006E331D"/>
    <w:rsid w:val="006E52CB"/>
    <w:rsid w:val="006F194E"/>
    <w:rsid w:val="006F2193"/>
    <w:rsid w:val="006F2A55"/>
    <w:rsid w:val="006F2A8E"/>
    <w:rsid w:val="006F3964"/>
    <w:rsid w:val="006F5AF8"/>
    <w:rsid w:val="006F5BBD"/>
    <w:rsid w:val="006F6272"/>
    <w:rsid w:val="006F69AD"/>
    <w:rsid w:val="007016C5"/>
    <w:rsid w:val="00701DFA"/>
    <w:rsid w:val="00703340"/>
    <w:rsid w:val="00704DCC"/>
    <w:rsid w:val="00704E3A"/>
    <w:rsid w:val="00704FB4"/>
    <w:rsid w:val="007052DF"/>
    <w:rsid w:val="0070547C"/>
    <w:rsid w:val="007057B3"/>
    <w:rsid w:val="00711B3F"/>
    <w:rsid w:val="00711C13"/>
    <w:rsid w:val="0071230B"/>
    <w:rsid w:val="00714912"/>
    <w:rsid w:val="007159F6"/>
    <w:rsid w:val="00716049"/>
    <w:rsid w:val="0072265A"/>
    <w:rsid w:val="00722667"/>
    <w:rsid w:val="007233FC"/>
    <w:rsid w:val="007236C7"/>
    <w:rsid w:val="0072485B"/>
    <w:rsid w:val="00725108"/>
    <w:rsid w:val="007257CA"/>
    <w:rsid w:val="00726989"/>
    <w:rsid w:val="007304BC"/>
    <w:rsid w:val="00731748"/>
    <w:rsid w:val="007319FA"/>
    <w:rsid w:val="00733FDA"/>
    <w:rsid w:val="00734563"/>
    <w:rsid w:val="00734DAE"/>
    <w:rsid w:val="0073648A"/>
    <w:rsid w:val="00736569"/>
    <w:rsid w:val="00736F74"/>
    <w:rsid w:val="00737B43"/>
    <w:rsid w:val="007400F8"/>
    <w:rsid w:val="00742776"/>
    <w:rsid w:val="0074389F"/>
    <w:rsid w:val="007446AD"/>
    <w:rsid w:val="0074632C"/>
    <w:rsid w:val="00746564"/>
    <w:rsid w:val="00746B11"/>
    <w:rsid w:val="00746F79"/>
    <w:rsid w:val="0074712F"/>
    <w:rsid w:val="00753BB0"/>
    <w:rsid w:val="00753C04"/>
    <w:rsid w:val="00754B5F"/>
    <w:rsid w:val="00755231"/>
    <w:rsid w:val="007555E8"/>
    <w:rsid w:val="00757CB4"/>
    <w:rsid w:val="00761C53"/>
    <w:rsid w:val="00762B0A"/>
    <w:rsid w:val="007632A8"/>
    <w:rsid w:val="0076396D"/>
    <w:rsid w:val="00764FF5"/>
    <w:rsid w:val="00771E46"/>
    <w:rsid w:val="0077321B"/>
    <w:rsid w:val="00774B81"/>
    <w:rsid w:val="00776B1B"/>
    <w:rsid w:val="00776E18"/>
    <w:rsid w:val="00776E23"/>
    <w:rsid w:val="00776E8B"/>
    <w:rsid w:val="007775F6"/>
    <w:rsid w:val="0077768D"/>
    <w:rsid w:val="0078062E"/>
    <w:rsid w:val="0078099F"/>
    <w:rsid w:val="00780E4B"/>
    <w:rsid w:val="00786453"/>
    <w:rsid w:val="00787CE7"/>
    <w:rsid w:val="00790D0A"/>
    <w:rsid w:val="007919D2"/>
    <w:rsid w:val="007924D4"/>
    <w:rsid w:val="00792E56"/>
    <w:rsid w:val="00793A9F"/>
    <w:rsid w:val="00794B34"/>
    <w:rsid w:val="00795217"/>
    <w:rsid w:val="007967E4"/>
    <w:rsid w:val="00797513"/>
    <w:rsid w:val="007A2195"/>
    <w:rsid w:val="007A32E2"/>
    <w:rsid w:val="007A57B5"/>
    <w:rsid w:val="007A5B3A"/>
    <w:rsid w:val="007A682B"/>
    <w:rsid w:val="007A69BE"/>
    <w:rsid w:val="007A7FE3"/>
    <w:rsid w:val="007B0EDA"/>
    <w:rsid w:val="007B0F29"/>
    <w:rsid w:val="007B1DB7"/>
    <w:rsid w:val="007B29F1"/>
    <w:rsid w:val="007B3F8A"/>
    <w:rsid w:val="007B4264"/>
    <w:rsid w:val="007B7965"/>
    <w:rsid w:val="007B7EE5"/>
    <w:rsid w:val="007C05CF"/>
    <w:rsid w:val="007C25DF"/>
    <w:rsid w:val="007C3904"/>
    <w:rsid w:val="007C461A"/>
    <w:rsid w:val="007C54E6"/>
    <w:rsid w:val="007C66DC"/>
    <w:rsid w:val="007C6C8F"/>
    <w:rsid w:val="007C7DE3"/>
    <w:rsid w:val="007D3266"/>
    <w:rsid w:val="007D32D8"/>
    <w:rsid w:val="007D3A1C"/>
    <w:rsid w:val="007D4205"/>
    <w:rsid w:val="007D4F07"/>
    <w:rsid w:val="007D5019"/>
    <w:rsid w:val="007D5F07"/>
    <w:rsid w:val="007D7BD0"/>
    <w:rsid w:val="007D7DF3"/>
    <w:rsid w:val="007D7EB5"/>
    <w:rsid w:val="007E098A"/>
    <w:rsid w:val="007E1B93"/>
    <w:rsid w:val="007E24DF"/>
    <w:rsid w:val="007E2FAA"/>
    <w:rsid w:val="007E3056"/>
    <w:rsid w:val="007E32D4"/>
    <w:rsid w:val="007E3416"/>
    <w:rsid w:val="007E4062"/>
    <w:rsid w:val="007E4853"/>
    <w:rsid w:val="007E5173"/>
    <w:rsid w:val="007E6313"/>
    <w:rsid w:val="007E7347"/>
    <w:rsid w:val="007F0894"/>
    <w:rsid w:val="007F0D1A"/>
    <w:rsid w:val="007F1144"/>
    <w:rsid w:val="007F1742"/>
    <w:rsid w:val="007F1BA8"/>
    <w:rsid w:val="007F2B6B"/>
    <w:rsid w:val="007F3E85"/>
    <w:rsid w:val="007F402C"/>
    <w:rsid w:val="007F59B7"/>
    <w:rsid w:val="007F5A4F"/>
    <w:rsid w:val="007F666C"/>
    <w:rsid w:val="007F67D5"/>
    <w:rsid w:val="007F7DF8"/>
    <w:rsid w:val="0080335E"/>
    <w:rsid w:val="00804460"/>
    <w:rsid w:val="0080574E"/>
    <w:rsid w:val="008119F5"/>
    <w:rsid w:val="00811ABE"/>
    <w:rsid w:val="00811E16"/>
    <w:rsid w:val="0081462F"/>
    <w:rsid w:val="008146A0"/>
    <w:rsid w:val="00814BC4"/>
    <w:rsid w:val="00817084"/>
    <w:rsid w:val="00817414"/>
    <w:rsid w:val="00820CDD"/>
    <w:rsid w:val="0082171D"/>
    <w:rsid w:val="00821D16"/>
    <w:rsid w:val="00822628"/>
    <w:rsid w:val="00822D84"/>
    <w:rsid w:val="00822FE6"/>
    <w:rsid w:val="00824247"/>
    <w:rsid w:val="00824F6A"/>
    <w:rsid w:val="00825CD5"/>
    <w:rsid w:val="008270F2"/>
    <w:rsid w:val="00827F06"/>
    <w:rsid w:val="00832871"/>
    <w:rsid w:val="00832FEA"/>
    <w:rsid w:val="00833888"/>
    <w:rsid w:val="00833D4A"/>
    <w:rsid w:val="00835CFD"/>
    <w:rsid w:val="00837945"/>
    <w:rsid w:val="00837FD1"/>
    <w:rsid w:val="0084338C"/>
    <w:rsid w:val="00843E83"/>
    <w:rsid w:val="00844981"/>
    <w:rsid w:val="00844CFE"/>
    <w:rsid w:val="008459C9"/>
    <w:rsid w:val="00847E01"/>
    <w:rsid w:val="00850CA4"/>
    <w:rsid w:val="00851820"/>
    <w:rsid w:val="00852E10"/>
    <w:rsid w:val="00852F57"/>
    <w:rsid w:val="008535D6"/>
    <w:rsid w:val="008542B8"/>
    <w:rsid w:val="00855BFD"/>
    <w:rsid w:val="0085639F"/>
    <w:rsid w:val="00856EC5"/>
    <w:rsid w:val="008571ED"/>
    <w:rsid w:val="00860071"/>
    <w:rsid w:val="0086212F"/>
    <w:rsid w:val="00863387"/>
    <w:rsid w:val="0086357E"/>
    <w:rsid w:val="00863D14"/>
    <w:rsid w:val="00864230"/>
    <w:rsid w:val="00865F8F"/>
    <w:rsid w:val="00866647"/>
    <w:rsid w:val="0086778E"/>
    <w:rsid w:val="00867B7D"/>
    <w:rsid w:val="00870627"/>
    <w:rsid w:val="00871335"/>
    <w:rsid w:val="008715FA"/>
    <w:rsid w:val="0087219E"/>
    <w:rsid w:val="00872F2E"/>
    <w:rsid w:val="008755E9"/>
    <w:rsid w:val="00880284"/>
    <w:rsid w:val="008809B6"/>
    <w:rsid w:val="00881AB6"/>
    <w:rsid w:val="00883DD8"/>
    <w:rsid w:val="008840A3"/>
    <w:rsid w:val="008866FD"/>
    <w:rsid w:val="0088727C"/>
    <w:rsid w:val="008874DF"/>
    <w:rsid w:val="0089147A"/>
    <w:rsid w:val="00891856"/>
    <w:rsid w:val="0089209F"/>
    <w:rsid w:val="008920DE"/>
    <w:rsid w:val="00892123"/>
    <w:rsid w:val="00892EB2"/>
    <w:rsid w:val="00893FEA"/>
    <w:rsid w:val="008A0E37"/>
    <w:rsid w:val="008A16A8"/>
    <w:rsid w:val="008A250A"/>
    <w:rsid w:val="008A36F7"/>
    <w:rsid w:val="008A497A"/>
    <w:rsid w:val="008A60AA"/>
    <w:rsid w:val="008A720A"/>
    <w:rsid w:val="008A7A74"/>
    <w:rsid w:val="008B0455"/>
    <w:rsid w:val="008B1083"/>
    <w:rsid w:val="008B1B4F"/>
    <w:rsid w:val="008B1C9F"/>
    <w:rsid w:val="008B1F6F"/>
    <w:rsid w:val="008B4B59"/>
    <w:rsid w:val="008B4B84"/>
    <w:rsid w:val="008B5801"/>
    <w:rsid w:val="008B60EB"/>
    <w:rsid w:val="008B7CA2"/>
    <w:rsid w:val="008B7FE6"/>
    <w:rsid w:val="008C0513"/>
    <w:rsid w:val="008C061A"/>
    <w:rsid w:val="008C07FB"/>
    <w:rsid w:val="008C1BBC"/>
    <w:rsid w:val="008C227E"/>
    <w:rsid w:val="008C2AC9"/>
    <w:rsid w:val="008C2E59"/>
    <w:rsid w:val="008C322A"/>
    <w:rsid w:val="008C3CE0"/>
    <w:rsid w:val="008C4858"/>
    <w:rsid w:val="008C76AB"/>
    <w:rsid w:val="008D09EB"/>
    <w:rsid w:val="008D1C9D"/>
    <w:rsid w:val="008D23A0"/>
    <w:rsid w:val="008D59F3"/>
    <w:rsid w:val="008D62B8"/>
    <w:rsid w:val="008D777C"/>
    <w:rsid w:val="008D7BC1"/>
    <w:rsid w:val="008D7F0E"/>
    <w:rsid w:val="008D7F38"/>
    <w:rsid w:val="008E00C5"/>
    <w:rsid w:val="008E072E"/>
    <w:rsid w:val="008E074C"/>
    <w:rsid w:val="008E101D"/>
    <w:rsid w:val="008E1021"/>
    <w:rsid w:val="008E18B8"/>
    <w:rsid w:val="008E1ED3"/>
    <w:rsid w:val="008E1EF1"/>
    <w:rsid w:val="008E2D5B"/>
    <w:rsid w:val="008E31F7"/>
    <w:rsid w:val="008E4364"/>
    <w:rsid w:val="008E47D3"/>
    <w:rsid w:val="008E4EE5"/>
    <w:rsid w:val="008E59DE"/>
    <w:rsid w:val="008F042D"/>
    <w:rsid w:val="008F05F9"/>
    <w:rsid w:val="008F2789"/>
    <w:rsid w:val="008F384D"/>
    <w:rsid w:val="008F45F9"/>
    <w:rsid w:val="008F58C9"/>
    <w:rsid w:val="008F639B"/>
    <w:rsid w:val="008F6408"/>
    <w:rsid w:val="008F6482"/>
    <w:rsid w:val="008F7460"/>
    <w:rsid w:val="008F7AFE"/>
    <w:rsid w:val="008F7BED"/>
    <w:rsid w:val="00900F6E"/>
    <w:rsid w:val="009018AE"/>
    <w:rsid w:val="00903824"/>
    <w:rsid w:val="00903CE1"/>
    <w:rsid w:val="009043FB"/>
    <w:rsid w:val="00905326"/>
    <w:rsid w:val="0090553F"/>
    <w:rsid w:val="00906030"/>
    <w:rsid w:val="0090634D"/>
    <w:rsid w:val="009063D2"/>
    <w:rsid w:val="00910288"/>
    <w:rsid w:val="00910CEB"/>
    <w:rsid w:val="009115A5"/>
    <w:rsid w:val="00916397"/>
    <w:rsid w:val="009212A7"/>
    <w:rsid w:val="009218B7"/>
    <w:rsid w:val="00922092"/>
    <w:rsid w:val="009222B4"/>
    <w:rsid w:val="0092276B"/>
    <w:rsid w:val="009244B5"/>
    <w:rsid w:val="00924C96"/>
    <w:rsid w:val="00925871"/>
    <w:rsid w:val="00926589"/>
    <w:rsid w:val="00927018"/>
    <w:rsid w:val="0092783D"/>
    <w:rsid w:val="0093112F"/>
    <w:rsid w:val="0093158F"/>
    <w:rsid w:val="00934F21"/>
    <w:rsid w:val="0093543E"/>
    <w:rsid w:val="00935882"/>
    <w:rsid w:val="00936903"/>
    <w:rsid w:val="009370A5"/>
    <w:rsid w:val="00940376"/>
    <w:rsid w:val="00940765"/>
    <w:rsid w:val="0094153F"/>
    <w:rsid w:val="00942C6E"/>
    <w:rsid w:val="009435BD"/>
    <w:rsid w:val="009441BF"/>
    <w:rsid w:val="00944C38"/>
    <w:rsid w:val="00945C7A"/>
    <w:rsid w:val="00947544"/>
    <w:rsid w:val="00947741"/>
    <w:rsid w:val="00953696"/>
    <w:rsid w:val="009539F0"/>
    <w:rsid w:val="009543AE"/>
    <w:rsid w:val="00954FB6"/>
    <w:rsid w:val="0095688B"/>
    <w:rsid w:val="00960A9B"/>
    <w:rsid w:val="00965165"/>
    <w:rsid w:val="00965931"/>
    <w:rsid w:val="009662D2"/>
    <w:rsid w:val="00966F53"/>
    <w:rsid w:val="009676AF"/>
    <w:rsid w:val="00967BC6"/>
    <w:rsid w:val="00973159"/>
    <w:rsid w:val="009736F8"/>
    <w:rsid w:val="00973C2D"/>
    <w:rsid w:val="00974582"/>
    <w:rsid w:val="00974C98"/>
    <w:rsid w:val="00975310"/>
    <w:rsid w:val="00977578"/>
    <w:rsid w:val="00981348"/>
    <w:rsid w:val="009813F7"/>
    <w:rsid w:val="0098158A"/>
    <w:rsid w:val="009830F3"/>
    <w:rsid w:val="00985E78"/>
    <w:rsid w:val="0098645B"/>
    <w:rsid w:val="00992E08"/>
    <w:rsid w:val="0099629F"/>
    <w:rsid w:val="00996340"/>
    <w:rsid w:val="00997A14"/>
    <w:rsid w:val="009A15DD"/>
    <w:rsid w:val="009A1A54"/>
    <w:rsid w:val="009A26AA"/>
    <w:rsid w:val="009A3055"/>
    <w:rsid w:val="009A521C"/>
    <w:rsid w:val="009A608C"/>
    <w:rsid w:val="009A6322"/>
    <w:rsid w:val="009A7E57"/>
    <w:rsid w:val="009B0761"/>
    <w:rsid w:val="009B2174"/>
    <w:rsid w:val="009B28EF"/>
    <w:rsid w:val="009B49AC"/>
    <w:rsid w:val="009B6E01"/>
    <w:rsid w:val="009B79CD"/>
    <w:rsid w:val="009B79E0"/>
    <w:rsid w:val="009B7B4F"/>
    <w:rsid w:val="009C22F9"/>
    <w:rsid w:val="009C278C"/>
    <w:rsid w:val="009C2F91"/>
    <w:rsid w:val="009C53C2"/>
    <w:rsid w:val="009C548F"/>
    <w:rsid w:val="009C5AC7"/>
    <w:rsid w:val="009C5F1D"/>
    <w:rsid w:val="009D092F"/>
    <w:rsid w:val="009D0BA6"/>
    <w:rsid w:val="009D1D88"/>
    <w:rsid w:val="009D4461"/>
    <w:rsid w:val="009D588B"/>
    <w:rsid w:val="009D5911"/>
    <w:rsid w:val="009D5D6C"/>
    <w:rsid w:val="009D6109"/>
    <w:rsid w:val="009D6D92"/>
    <w:rsid w:val="009D6E50"/>
    <w:rsid w:val="009E012E"/>
    <w:rsid w:val="009E048B"/>
    <w:rsid w:val="009E2FBA"/>
    <w:rsid w:val="009E311E"/>
    <w:rsid w:val="009E374D"/>
    <w:rsid w:val="009E4F68"/>
    <w:rsid w:val="009F0DE5"/>
    <w:rsid w:val="009F259D"/>
    <w:rsid w:val="009F2F89"/>
    <w:rsid w:val="009F30CD"/>
    <w:rsid w:val="009F3877"/>
    <w:rsid w:val="009F3E10"/>
    <w:rsid w:val="009F67EE"/>
    <w:rsid w:val="009F74C9"/>
    <w:rsid w:val="00A0078E"/>
    <w:rsid w:val="00A01529"/>
    <w:rsid w:val="00A01A8F"/>
    <w:rsid w:val="00A01E7A"/>
    <w:rsid w:val="00A02462"/>
    <w:rsid w:val="00A02F0D"/>
    <w:rsid w:val="00A03512"/>
    <w:rsid w:val="00A0379B"/>
    <w:rsid w:val="00A048F3"/>
    <w:rsid w:val="00A0648F"/>
    <w:rsid w:val="00A07269"/>
    <w:rsid w:val="00A07DFA"/>
    <w:rsid w:val="00A121AE"/>
    <w:rsid w:val="00A12337"/>
    <w:rsid w:val="00A14A4C"/>
    <w:rsid w:val="00A14B0D"/>
    <w:rsid w:val="00A14DB3"/>
    <w:rsid w:val="00A155A2"/>
    <w:rsid w:val="00A21D7F"/>
    <w:rsid w:val="00A21DC3"/>
    <w:rsid w:val="00A22337"/>
    <w:rsid w:val="00A235ED"/>
    <w:rsid w:val="00A25179"/>
    <w:rsid w:val="00A2529C"/>
    <w:rsid w:val="00A279DF"/>
    <w:rsid w:val="00A300C2"/>
    <w:rsid w:val="00A30149"/>
    <w:rsid w:val="00A306A8"/>
    <w:rsid w:val="00A3140E"/>
    <w:rsid w:val="00A31745"/>
    <w:rsid w:val="00A3208D"/>
    <w:rsid w:val="00A3385D"/>
    <w:rsid w:val="00A33D1B"/>
    <w:rsid w:val="00A35521"/>
    <w:rsid w:val="00A3568A"/>
    <w:rsid w:val="00A363B4"/>
    <w:rsid w:val="00A37C56"/>
    <w:rsid w:val="00A4086C"/>
    <w:rsid w:val="00A42B83"/>
    <w:rsid w:val="00A43F4A"/>
    <w:rsid w:val="00A4529B"/>
    <w:rsid w:val="00A452BD"/>
    <w:rsid w:val="00A46A4C"/>
    <w:rsid w:val="00A46CCB"/>
    <w:rsid w:val="00A50D90"/>
    <w:rsid w:val="00A51BB1"/>
    <w:rsid w:val="00A5283A"/>
    <w:rsid w:val="00A52F14"/>
    <w:rsid w:val="00A53284"/>
    <w:rsid w:val="00A54794"/>
    <w:rsid w:val="00A573FF"/>
    <w:rsid w:val="00A57708"/>
    <w:rsid w:val="00A57A07"/>
    <w:rsid w:val="00A60CCC"/>
    <w:rsid w:val="00A61CB7"/>
    <w:rsid w:val="00A62F2C"/>
    <w:rsid w:val="00A63B7B"/>
    <w:rsid w:val="00A63E20"/>
    <w:rsid w:val="00A64B3C"/>
    <w:rsid w:val="00A66343"/>
    <w:rsid w:val="00A7020A"/>
    <w:rsid w:val="00A703FB"/>
    <w:rsid w:val="00A7196E"/>
    <w:rsid w:val="00A71A27"/>
    <w:rsid w:val="00A7283D"/>
    <w:rsid w:val="00A72DF5"/>
    <w:rsid w:val="00A74FFF"/>
    <w:rsid w:val="00A75EE2"/>
    <w:rsid w:val="00A760C1"/>
    <w:rsid w:val="00A76B23"/>
    <w:rsid w:val="00A77BBE"/>
    <w:rsid w:val="00A8032A"/>
    <w:rsid w:val="00A8097C"/>
    <w:rsid w:val="00A80A3B"/>
    <w:rsid w:val="00A83F55"/>
    <w:rsid w:val="00A84D45"/>
    <w:rsid w:val="00A85DE5"/>
    <w:rsid w:val="00A86E71"/>
    <w:rsid w:val="00A8776E"/>
    <w:rsid w:val="00A9144F"/>
    <w:rsid w:val="00A924C1"/>
    <w:rsid w:val="00A92844"/>
    <w:rsid w:val="00A93036"/>
    <w:rsid w:val="00A9540C"/>
    <w:rsid w:val="00A95824"/>
    <w:rsid w:val="00A965CF"/>
    <w:rsid w:val="00A974A7"/>
    <w:rsid w:val="00A97608"/>
    <w:rsid w:val="00A97675"/>
    <w:rsid w:val="00A97F9C"/>
    <w:rsid w:val="00AA1354"/>
    <w:rsid w:val="00AA3111"/>
    <w:rsid w:val="00AA4532"/>
    <w:rsid w:val="00AA51A1"/>
    <w:rsid w:val="00AA5791"/>
    <w:rsid w:val="00AA5C48"/>
    <w:rsid w:val="00AA5EF1"/>
    <w:rsid w:val="00AB0828"/>
    <w:rsid w:val="00AB133D"/>
    <w:rsid w:val="00AB3EF3"/>
    <w:rsid w:val="00AB4605"/>
    <w:rsid w:val="00AB464D"/>
    <w:rsid w:val="00AB47F5"/>
    <w:rsid w:val="00AB5BFA"/>
    <w:rsid w:val="00AB64D5"/>
    <w:rsid w:val="00AB6CE4"/>
    <w:rsid w:val="00AB7799"/>
    <w:rsid w:val="00AC08BA"/>
    <w:rsid w:val="00AC0F45"/>
    <w:rsid w:val="00AC2BFF"/>
    <w:rsid w:val="00AC41DE"/>
    <w:rsid w:val="00AC4464"/>
    <w:rsid w:val="00AC5F9D"/>
    <w:rsid w:val="00AC79F1"/>
    <w:rsid w:val="00AC7C4E"/>
    <w:rsid w:val="00AC7FAC"/>
    <w:rsid w:val="00AD17C6"/>
    <w:rsid w:val="00AD1DCC"/>
    <w:rsid w:val="00AD3789"/>
    <w:rsid w:val="00AD60BF"/>
    <w:rsid w:val="00AE08B3"/>
    <w:rsid w:val="00AE19D7"/>
    <w:rsid w:val="00AE1F64"/>
    <w:rsid w:val="00AE3298"/>
    <w:rsid w:val="00AE51E7"/>
    <w:rsid w:val="00AE5BB6"/>
    <w:rsid w:val="00AE63C8"/>
    <w:rsid w:val="00AE7A20"/>
    <w:rsid w:val="00AF059C"/>
    <w:rsid w:val="00AF2D82"/>
    <w:rsid w:val="00AF4850"/>
    <w:rsid w:val="00AF5EA5"/>
    <w:rsid w:val="00AF68D4"/>
    <w:rsid w:val="00AF78B3"/>
    <w:rsid w:val="00B018FE"/>
    <w:rsid w:val="00B03314"/>
    <w:rsid w:val="00B045CD"/>
    <w:rsid w:val="00B05962"/>
    <w:rsid w:val="00B07527"/>
    <w:rsid w:val="00B076EA"/>
    <w:rsid w:val="00B077AC"/>
    <w:rsid w:val="00B118DB"/>
    <w:rsid w:val="00B11F61"/>
    <w:rsid w:val="00B140C6"/>
    <w:rsid w:val="00B14FC9"/>
    <w:rsid w:val="00B15A0B"/>
    <w:rsid w:val="00B1763A"/>
    <w:rsid w:val="00B17BD0"/>
    <w:rsid w:val="00B17D38"/>
    <w:rsid w:val="00B205AA"/>
    <w:rsid w:val="00B209ED"/>
    <w:rsid w:val="00B21814"/>
    <w:rsid w:val="00B2314B"/>
    <w:rsid w:val="00B2482A"/>
    <w:rsid w:val="00B26009"/>
    <w:rsid w:val="00B26246"/>
    <w:rsid w:val="00B2693B"/>
    <w:rsid w:val="00B26CD2"/>
    <w:rsid w:val="00B31ABC"/>
    <w:rsid w:val="00B320C7"/>
    <w:rsid w:val="00B33FA6"/>
    <w:rsid w:val="00B34475"/>
    <w:rsid w:val="00B3459D"/>
    <w:rsid w:val="00B35C94"/>
    <w:rsid w:val="00B37A5A"/>
    <w:rsid w:val="00B400DB"/>
    <w:rsid w:val="00B40A51"/>
    <w:rsid w:val="00B40D49"/>
    <w:rsid w:val="00B41B12"/>
    <w:rsid w:val="00B427E2"/>
    <w:rsid w:val="00B44803"/>
    <w:rsid w:val="00B44E6E"/>
    <w:rsid w:val="00B456EA"/>
    <w:rsid w:val="00B46098"/>
    <w:rsid w:val="00B47A84"/>
    <w:rsid w:val="00B47E57"/>
    <w:rsid w:val="00B508A1"/>
    <w:rsid w:val="00B52D05"/>
    <w:rsid w:val="00B52D33"/>
    <w:rsid w:val="00B53419"/>
    <w:rsid w:val="00B53D9C"/>
    <w:rsid w:val="00B53F6E"/>
    <w:rsid w:val="00B5470B"/>
    <w:rsid w:val="00B54D62"/>
    <w:rsid w:val="00B579D3"/>
    <w:rsid w:val="00B57A5A"/>
    <w:rsid w:val="00B603B9"/>
    <w:rsid w:val="00B6043A"/>
    <w:rsid w:val="00B6062F"/>
    <w:rsid w:val="00B62B87"/>
    <w:rsid w:val="00B63333"/>
    <w:rsid w:val="00B63917"/>
    <w:rsid w:val="00B64221"/>
    <w:rsid w:val="00B662A8"/>
    <w:rsid w:val="00B672ED"/>
    <w:rsid w:val="00B67C8E"/>
    <w:rsid w:val="00B70497"/>
    <w:rsid w:val="00B70EB4"/>
    <w:rsid w:val="00B70F63"/>
    <w:rsid w:val="00B713CF"/>
    <w:rsid w:val="00B721CF"/>
    <w:rsid w:val="00B72688"/>
    <w:rsid w:val="00B73A28"/>
    <w:rsid w:val="00B74150"/>
    <w:rsid w:val="00B744CC"/>
    <w:rsid w:val="00B747F6"/>
    <w:rsid w:val="00B760E5"/>
    <w:rsid w:val="00B76C96"/>
    <w:rsid w:val="00B7756F"/>
    <w:rsid w:val="00B801D6"/>
    <w:rsid w:val="00B806AF"/>
    <w:rsid w:val="00B80C95"/>
    <w:rsid w:val="00B8128D"/>
    <w:rsid w:val="00B8251C"/>
    <w:rsid w:val="00B82E72"/>
    <w:rsid w:val="00B82F22"/>
    <w:rsid w:val="00B83762"/>
    <w:rsid w:val="00B839BC"/>
    <w:rsid w:val="00B84C19"/>
    <w:rsid w:val="00B85B2A"/>
    <w:rsid w:val="00B85FC0"/>
    <w:rsid w:val="00B8734A"/>
    <w:rsid w:val="00B87F1A"/>
    <w:rsid w:val="00B90F59"/>
    <w:rsid w:val="00B913A7"/>
    <w:rsid w:val="00B92D81"/>
    <w:rsid w:val="00B92EB1"/>
    <w:rsid w:val="00B93841"/>
    <w:rsid w:val="00B94551"/>
    <w:rsid w:val="00B954EA"/>
    <w:rsid w:val="00B95E92"/>
    <w:rsid w:val="00B97861"/>
    <w:rsid w:val="00BA0795"/>
    <w:rsid w:val="00BA390C"/>
    <w:rsid w:val="00BA498A"/>
    <w:rsid w:val="00BA65C6"/>
    <w:rsid w:val="00BA687C"/>
    <w:rsid w:val="00BA7CFE"/>
    <w:rsid w:val="00BB0D70"/>
    <w:rsid w:val="00BB1769"/>
    <w:rsid w:val="00BB1A53"/>
    <w:rsid w:val="00BB2DE9"/>
    <w:rsid w:val="00BB2F54"/>
    <w:rsid w:val="00BB456D"/>
    <w:rsid w:val="00BB69DC"/>
    <w:rsid w:val="00BC0250"/>
    <w:rsid w:val="00BC1619"/>
    <w:rsid w:val="00BC18DF"/>
    <w:rsid w:val="00BC198F"/>
    <w:rsid w:val="00BC2455"/>
    <w:rsid w:val="00BC43DF"/>
    <w:rsid w:val="00BC534C"/>
    <w:rsid w:val="00BC5814"/>
    <w:rsid w:val="00BC763A"/>
    <w:rsid w:val="00BD186B"/>
    <w:rsid w:val="00BD28AC"/>
    <w:rsid w:val="00BD2C64"/>
    <w:rsid w:val="00BD35C6"/>
    <w:rsid w:val="00BD3B79"/>
    <w:rsid w:val="00BD417F"/>
    <w:rsid w:val="00BD4CC5"/>
    <w:rsid w:val="00BD599E"/>
    <w:rsid w:val="00BD6F45"/>
    <w:rsid w:val="00BD74FD"/>
    <w:rsid w:val="00BD7506"/>
    <w:rsid w:val="00BD7F2B"/>
    <w:rsid w:val="00BE39A5"/>
    <w:rsid w:val="00BE3C09"/>
    <w:rsid w:val="00BE3C97"/>
    <w:rsid w:val="00BE57D1"/>
    <w:rsid w:val="00BE5C71"/>
    <w:rsid w:val="00BE628E"/>
    <w:rsid w:val="00BE661F"/>
    <w:rsid w:val="00BE665D"/>
    <w:rsid w:val="00BF192F"/>
    <w:rsid w:val="00BF1EBB"/>
    <w:rsid w:val="00BF34DF"/>
    <w:rsid w:val="00BF3E6E"/>
    <w:rsid w:val="00BF52DC"/>
    <w:rsid w:val="00BF5645"/>
    <w:rsid w:val="00BF72CA"/>
    <w:rsid w:val="00C00AAD"/>
    <w:rsid w:val="00C01296"/>
    <w:rsid w:val="00C01CD2"/>
    <w:rsid w:val="00C02E6C"/>
    <w:rsid w:val="00C033E1"/>
    <w:rsid w:val="00C04424"/>
    <w:rsid w:val="00C05E9A"/>
    <w:rsid w:val="00C11728"/>
    <w:rsid w:val="00C12447"/>
    <w:rsid w:val="00C14897"/>
    <w:rsid w:val="00C15724"/>
    <w:rsid w:val="00C15DC4"/>
    <w:rsid w:val="00C15ED2"/>
    <w:rsid w:val="00C1766B"/>
    <w:rsid w:val="00C1770E"/>
    <w:rsid w:val="00C21B7F"/>
    <w:rsid w:val="00C22403"/>
    <w:rsid w:val="00C23DD1"/>
    <w:rsid w:val="00C23E9F"/>
    <w:rsid w:val="00C240CB"/>
    <w:rsid w:val="00C2457D"/>
    <w:rsid w:val="00C24F28"/>
    <w:rsid w:val="00C2515E"/>
    <w:rsid w:val="00C277C9"/>
    <w:rsid w:val="00C30E28"/>
    <w:rsid w:val="00C320DC"/>
    <w:rsid w:val="00C32318"/>
    <w:rsid w:val="00C327EF"/>
    <w:rsid w:val="00C32940"/>
    <w:rsid w:val="00C34529"/>
    <w:rsid w:val="00C35ABF"/>
    <w:rsid w:val="00C364CC"/>
    <w:rsid w:val="00C37416"/>
    <w:rsid w:val="00C416CD"/>
    <w:rsid w:val="00C41F6C"/>
    <w:rsid w:val="00C43777"/>
    <w:rsid w:val="00C44737"/>
    <w:rsid w:val="00C45849"/>
    <w:rsid w:val="00C46854"/>
    <w:rsid w:val="00C473CB"/>
    <w:rsid w:val="00C4757D"/>
    <w:rsid w:val="00C476E7"/>
    <w:rsid w:val="00C47A7A"/>
    <w:rsid w:val="00C507C1"/>
    <w:rsid w:val="00C548E6"/>
    <w:rsid w:val="00C54D51"/>
    <w:rsid w:val="00C55937"/>
    <w:rsid w:val="00C559FC"/>
    <w:rsid w:val="00C5663E"/>
    <w:rsid w:val="00C5680F"/>
    <w:rsid w:val="00C6010B"/>
    <w:rsid w:val="00C6014A"/>
    <w:rsid w:val="00C61AD7"/>
    <w:rsid w:val="00C62EB0"/>
    <w:rsid w:val="00C63CD4"/>
    <w:rsid w:val="00C64233"/>
    <w:rsid w:val="00C64A7F"/>
    <w:rsid w:val="00C64B5B"/>
    <w:rsid w:val="00C6620D"/>
    <w:rsid w:val="00C66291"/>
    <w:rsid w:val="00C66A62"/>
    <w:rsid w:val="00C66BAE"/>
    <w:rsid w:val="00C700BF"/>
    <w:rsid w:val="00C706E5"/>
    <w:rsid w:val="00C74200"/>
    <w:rsid w:val="00C7523E"/>
    <w:rsid w:val="00C754A7"/>
    <w:rsid w:val="00C76279"/>
    <w:rsid w:val="00C765E1"/>
    <w:rsid w:val="00C770A0"/>
    <w:rsid w:val="00C8033F"/>
    <w:rsid w:val="00C80AD8"/>
    <w:rsid w:val="00C80B81"/>
    <w:rsid w:val="00C80B9E"/>
    <w:rsid w:val="00C8182C"/>
    <w:rsid w:val="00C82114"/>
    <w:rsid w:val="00C84543"/>
    <w:rsid w:val="00C86F15"/>
    <w:rsid w:val="00C87802"/>
    <w:rsid w:val="00C87AE0"/>
    <w:rsid w:val="00C90D69"/>
    <w:rsid w:val="00C91AB0"/>
    <w:rsid w:val="00C91C67"/>
    <w:rsid w:val="00C925CD"/>
    <w:rsid w:val="00C9279C"/>
    <w:rsid w:val="00C92923"/>
    <w:rsid w:val="00C94324"/>
    <w:rsid w:val="00C94D76"/>
    <w:rsid w:val="00C954F5"/>
    <w:rsid w:val="00C95B44"/>
    <w:rsid w:val="00C9730E"/>
    <w:rsid w:val="00C974D7"/>
    <w:rsid w:val="00CA19C8"/>
    <w:rsid w:val="00CA2BAE"/>
    <w:rsid w:val="00CA4255"/>
    <w:rsid w:val="00CA4AAE"/>
    <w:rsid w:val="00CA5514"/>
    <w:rsid w:val="00CA60C4"/>
    <w:rsid w:val="00CA7110"/>
    <w:rsid w:val="00CA758B"/>
    <w:rsid w:val="00CA7612"/>
    <w:rsid w:val="00CB0805"/>
    <w:rsid w:val="00CB1C52"/>
    <w:rsid w:val="00CB29DA"/>
    <w:rsid w:val="00CB2A6C"/>
    <w:rsid w:val="00CB422D"/>
    <w:rsid w:val="00CB50A4"/>
    <w:rsid w:val="00CB52AF"/>
    <w:rsid w:val="00CB612C"/>
    <w:rsid w:val="00CB674E"/>
    <w:rsid w:val="00CC1367"/>
    <w:rsid w:val="00CC13F6"/>
    <w:rsid w:val="00CC3025"/>
    <w:rsid w:val="00CC334E"/>
    <w:rsid w:val="00CC338A"/>
    <w:rsid w:val="00CC4E10"/>
    <w:rsid w:val="00CC5E96"/>
    <w:rsid w:val="00CC5F57"/>
    <w:rsid w:val="00CD0B79"/>
    <w:rsid w:val="00CD2C04"/>
    <w:rsid w:val="00CD5476"/>
    <w:rsid w:val="00CD63D4"/>
    <w:rsid w:val="00CD678E"/>
    <w:rsid w:val="00CD680F"/>
    <w:rsid w:val="00CD7987"/>
    <w:rsid w:val="00CE038A"/>
    <w:rsid w:val="00CE051A"/>
    <w:rsid w:val="00CE1136"/>
    <w:rsid w:val="00CE26E9"/>
    <w:rsid w:val="00CE57ED"/>
    <w:rsid w:val="00CE593B"/>
    <w:rsid w:val="00CE685C"/>
    <w:rsid w:val="00CF005F"/>
    <w:rsid w:val="00CF010A"/>
    <w:rsid w:val="00CF28A8"/>
    <w:rsid w:val="00CF4CF4"/>
    <w:rsid w:val="00CF57DC"/>
    <w:rsid w:val="00CF5B4E"/>
    <w:rsid w:val="00CF5C33"/>
    <w:rsid w:val="00CF7BEA"/>
    <w:rsid w:val="00D0023A"/>
    <w:rsid w:val="00D0181E"/>
    <w:rsid w:val="00D035F9"/>
    <w:rsid w:val="00D0412B"/>
    <w:rsid w:val="00D04B87"/>
    <w:rsid w:val="00D0605E"/>
    <w:rsid w:val="00D0685B"/>
    <w:rsid w:val="00D108D5"/>
    <w:rsid w:val="00D11383"/>
    <w:rsid w:val="00D12DA5"/>
    <w:rsid w:val="00D13A3E"/>
    <w:rsid w:val="00D13D1D"/>
    <w:rsid w:val="00D13E16"/>
    <w:rsid w:val="00D15EB0"/>
    <w:rsid w:val="00D17446"/>
    <w:rsid w:val="00D17810"/>
    <w:rsid w:val="00D21477"/>
    <w:rsid w:val="00D21FDF"/>
    <w:rsid w:val="00D25BDA"/>
    <w:rsid w:val="00D272B7"/>
    <w:rsid w:val="00D3004E"/>
    <w:rsid w:val="00D303EB"/>
    <w:rsid w:val="00D317E4"/>
    <w:rsid w:val="00D318A0"/>
    <w:rsid w:val="00D31946"/>
    <w:rsid w:val="00D3390D"/>
    <w:rsid w:val="00D34CF9"/>
    <w:rsid w:val="00D35A3A"/>
    <w:rsid w:val="00D35AA5"/>
    <w:rsid w:val="00D36454"/>
    <w:rsid w:val="00D36D09"/>
    <w:rsid w:val="00D408D5"/>
    <w:rsid w:val="00D40AF7"/>
    <w:rsid w:val="00D43296"/>
    <w:rsid w:val="00D438A7"/>
    <w:rsid w:val="00D439EF"/>
    <w:rsid w:val="00D44885"/>
    <w:rsid w:val="00D44C26"/>
    <w:rsid w:val="00D451EF"/>
    <w:rsid w:val="00D460A2"/>
    <w:rsid w:val="00D46D3B"/>
    <w:rsid w:val="00D50D85"/>
    <w:rsid w:val="00D519D8"/>
    <w:rsid w:val="00D51B1B"/>
    <w:rsid w:val="00D51C70"/>
    <w:rsid w:val="00D52CF6"/>
    <w:rsid w:val="00D535FD"/>
    <w:rsid w:val="00D5677E"/>
    <w:rsid w:val="00D601ED"/>
    <w:rsid w:val="00D60390"/>
    <w:rsid w:val="00D60E77"/>
    <w:rsid w:val="00D61BE5"/>
    <w:rsid w:val="00D64478"/>
    <w:rsid w:val="00D6671B"/>
    <w:rsid w:val="00D66EEA"/>
    <w:rsid w:val="00D717A0"/>
    <w:rsid w:val="00D71D04"/>
    <w:rsid w:val="00D731B7"/>
    <w:rsid w:val="00D73C00"/>
    <w:rsid w:val="00D745E7"/>
    <w:rsid w:val="00D75116"/>
    <w:rsid w:val="00D76E0D"/>
    <w:rsid w:val="00D80604"/>
    <w:rsid w:val="00D824B9"/>
    <w:rsid w:val="00D84853"/>
    <w:rsid w:val="00D851BE"/>
    <w:rsid w:val="00D869EB"/>
    <w:rsid w:val="00D86B10"/>
    <w:rsid w:val="00D90F4C"/>
    <w:rsid w:val="00D92EFF"/>
    <w:rsid w:val="00D93A49"/>
    <w:rsid w:val="00D9436E"/>
    <w:rsid w:val="00D95CE5"/>
    <w:rsid w:val="00D9742C"/>
    <w:rsid w:val="00D9799A"/>
    <w:rsid w:val="00D97A8F"/>
    <w:rsid w:val="00DA0336"/>
    <w:rsid w:val="00DA169D"/>
    <w:rsid w:val="00DA198B"/>
    <w:rsid w:val="00DA332E"/>
    <w:rsid w:val="00DA695E"/>
    <w:rsid w:val="00DA6BFE"/>
    <w:rsid w:val="00DB0148"/>
    <w:rsid w:val="00DB3DBB"/>
    <w:rsid w:val="00DB6B35"/>
    <w:rsid w:val="00DB6F65"/>
    <w:rsid w:val="00DB7207"/>
    <w:rsid w:val="00DB7BFE"/>
    <w:rsid w:val="00DC02FB"/>
    <w:rsid w:val="00DC1728"/>
    <w:rsid w:val="00DC1B68"/>
    <w:rsid w:val="00DC21BD"/>
    <w:rsid w:val="00DC3D6F"/>
    <w:rsid w:val="00DC4D6C"/>
    <w:rsid w:val="00DC5A1C"/>
    <w:rsid w:val="00DC6820"/>
    <w:rsid w:val="00DC6AA6"/>
    <w:rsid w:val="00DD0415"/>
    <w:rsid w:val="00DD0968"/>
    <w:rsid w:val="00DD0A0D"/>
    <w:rsid w:val="00DD2896"/>
    <w:rsid w:val="00DD43B2"/>
    <w:rsid w:val="00DD4D92"/>
    <w:rsid w:val="00DD51E4"/>
    <w:rsid w:val="00DD6ACA"/>
    <w:rsid w:val="00DE041D"/>
    <w:rsid w:val="00DE0643"/>
    <w:rsid w:val="00DE47F7"/>
    <w:rsid w:val="00DE483E"/>
    <w:rsid w:val="00DE4F1F"/>
    <w:rsid w:val="00DE530C"/>
    <w:rsid w:val="00DE6F89"/>
    <w:rsid w:val="00DE7755"/>
    <w:rsid w:val="00DF0473"/>
    <w:rsid w:val="00DF06C4"/>
    <w:rsid w:val="00DF42D7"/>
    <w:rsid w:val="00DF435A"/>
    <w:rsid w:val="00DF4B7B"/>
    <w:rsid w:val="00DF4BCC"/>
    <w:rsid w:val="00DF4C64"/>
    <w:rsid w:val="00E002EB"/>
    <w:rsid w:val="00E00C76"/>
    <w:rsid w:val="00E02064"/>
    <w:rsid w:val="00E024EE"/>
    <w:rsid w:val="00E02C27"/>
    <w:rsid w:val="00E038BE"/>
    <w:rsid w:val="00E04847"/>
    <w:rsid w:val="00E05437"/>
    <w:rsid w:val="00E05757"/>
    <w:rsid w:val="00E05760"/>
    <w:rsid w:val="00E05E31"/>
    <w:rsid w:val="00E1035B"/>
    <w:rsid w:val="00E10FF2"/>
    <w:rsid w:val="00E117C8"/>
    <w:rsid w:val="00E12711"/>
    <w:rsid w:val="00E13EF2"/>
    <w:rsid w:val="00E14B5C"/>
    <w:rsid w:val="00E152CB"/>
    <w:rsid w:val="00E157CD"/>
    <w:rsid w:val="00E15BFC"/>
    <w:rsid w:val="00E173C8"/>
    <w:rsid w:val="00E17975"/>
    <w:rsid w:val="00E17EF2"/>
    <w:rsid w:val="00E21B90"/>
    <w:rsid w:val="00E22505"/>
    <w:rsid w:val="00E236A4"/>
    <w:rsid w:val="00E250B7"/>
    <w:rsid w:val="00E2528C"/>
    <w:rsid w:val="00E2711F"/>
    <w:rsid w:val="00E30A5B"/>
    <w:rsid w:val="00E31505"/>
    <w:rsid w:val="00E31D06"/>
    <w:rsid w:val="00E32E5E"/>
    <w:rsid w:val="00E337CC"/>
    <w:rsid w:val="00E348BF"/>
    <w:rsid w:val="00E34F3E"/>
    <w:rsid w:val="00E36452"/>
    <w:rsid w:val="00E36624"/>
    <w:rsid w:val="00E36976"/>
    <w:rsid w:val="00E3792D"/>
    <w:rsid w:val="00E40445"/>
    <w:rsid w:val="00E40713"/>
    <w:rsid w:val="00E4138A"/>
    <w:rsid w:val="00E420F9"/>
    <w:rsid w:val="00E45781"/>
    <w:rsid w:val="00E458B7"/>
    <w:rsid w:val="00E45DE6"/>
    <w:rsid w:val="00E46133"/>
    <w:rsid w:val="00E46D42"/>
    <w:rsid w:val="00E47AAD"/>
    <w:rsid w:val="00E50B3E"/>
    <w:rsid w:val="00E5101D"/>
    <w:rsid w:val="00E513E0"/>
    <w:rsid w:val="00E519B1"/>
    <w:rsid w:val="00E52AB7"/>
    <w:rsid w:val="00E53813"/>
    <w:rsid w:val="00E54255"/>
    <w:rsid w:val="00E54467"/>
    <w:rsid w:val="00E5646A"/>
    <w:rsid w:val="00E5797C"/>
    <w:rsid w:val="00E57F5D"/>
    <w:rsid w:val="00E62058"/>
    <w:rsid w:val="00E63FF6"/>
    <w:rsid w:val="00E65AEF"/>
    <w:rsid w:val="00E65F80"/>
    <w:rsid w:val="00E677E6"/>
    <w:rsid w:val="00E70621"/>
    <w:rsid w:val="00E70DE3"/>
    <w:rsid w:val="00E71AC9"/>
    <w:rsid w:val="00E73FAC"/>
    <w:rsid w:val="00E74087"/>
    <w:rsid w:val="00E74A17"/>
    <w:rsid w:val="00E752AC"/>
    <w:rsid w:val="00E76036"/>
    <w:rsid w:val="00E81060"/>
    <w:rsid w:val="00E81365"/>
    <w:rsid w:val="00E813BA"/>
    <w:rsid w:val="00E81C50"/>
    <w:rsid w:val="00E83C89"/>
    <w:rsid w:val="00E85F80"/>
    <w:rsid w:val="00E90DD0"/>
    <w:rsid w:val="00E90F81"/>
    <w:rsid w:val="00E916F3"/>
    <w:rsid w:val="00E91BCF"/>
    <w:rsid w:val="00E93E5B"/>
    <w:rsid w:val="00E950D6"/>
    <w:rsid w:val="00E96373"/>
    <w:rsid w:val="00E9747C"/>
    <w:rsid w:val="00E975A2"/>
    <w:rsid w:val="00E975F8"/>
    <w:rsid w:val="00E978D7"/>
    <w:rsid w:val="00E97DD3"/>
    <w:rsid w:val="00EA147C"/>
    <w:rsid w:val="00EA33CE"/>
    <w:rsid w:val="00EA3A47"/>
    <w:rsid w:val="00EA49FA"/>
    <w:rsid w:val="00EA540D"/>
    <w:rsid w:val="00EA5B8C"/>
    <w:rsid w:val="00EA62A9"/>
    <w:rsid w:val="00EA6A1C"/>
    <w:rsid w:val="00EA75CF"/>
    <w:rsid w:val="00EA7D98"/>
    <w:rsid w:val="00EB24D4"/>
    <w:rsid w:val="00EB255A"/>
    <w:rsid w:val="00EB2AF8"/>
    <w:rsid w:val="00EB2DF5"/>
    <w:rsid w:val="00EB49FB"/>
    <w:rsid w:val="00EB4ADB"/>
    <w:rsid w:val="00EB69D8"/>
    <w:rsid w:val="00EB76A9"/>
    <w:rsid w:val="00EC07BA"/>
    <w:rsid w:val="00EC0999"/>
    <w:rsid w:val="00EC0A4A"/>
    <w:rsid w:val="00EC127F"/>
    <w:rsid w:val="00EC3027"/>
    <w:rsid w:val="00EC3963"/>
    <w:rsid w:val="00EC53F6"/>
    <w:rsid w:val="00EC7469"/>
    <w:rsid w:val="00ED0749"/>
    <w:rsid w:val="00ED0AAB"/>
    <w:rsid w:val="00ED1253"/>
    <w:rsid w:val="00ED1782"/>
    <w:rsid w:val="00ED2BC4"/>
    <w:rsid w:val="00ED304F"/>
    <w:rsid w:val="00ED354D"/>
    <w:rsid w:val="00ED699C"/>
    <w:rsid w:val="00EE0BED"/>
    <w:rsid w:val="00EE0E65"/>
    <w:rsid w:val="00EE0EC8"/>
    <w:rsid w:val="00EE2CA5"/>
    <w:rsid w:val="00EE7F1D"/>
    <w:rsid w:val="00EF1067"/>
    <w:rsid w:val="00EF270A"/>
    <w:rsid w:val="00EF3B7E"/>
    <w:rsid w:val="00EF4EDA"/>
    <w:rsid w:val="00EF604E"/>
    <w:rsid w:val="00EF6BE2"/>
    <w:rsid w:val="00F000A1"/>
    <w:rsid w:val="00F000B9"/>
    <w:rsid w:val="00F00353"/>
    <w:rsid w:val="00F016A7"/>
    <w:rsid w:val="00F01C66"/>
    <w:rsid w:val="00F02020"/>
    <w:rsid w:val="00F04D6E"/>
    <w:rsid w:val="00F071F1"/>
    <w:rsid w:val="00F0738E"/>
    <w:rsid w:val="00F07EAC"/>
    <w:rsid w:val="00F10446"/>
    <w:rsid w:val="00F10536"/>
    <w:rsid w:val="00F10562"/>
    <w:rsid w:val="00F107D0"/>
    <w:rsid w:val="00F119E9"/>
    <w:rsid w:val="00F1200E"/>
    <w:rsid w:val="00F20701"/>
    <w:rsid w:val="00F20E9A"/>
    <w:rsid w:val="00F21323"/>
    <w:rsid w:val="00F2424D"/>
    <w:rsid w:val="00F24813"/>
    <w:rsid w:val="00F25460"/>
    <w:rsid w:val="00F265DE"/>
    <w:rsid w:val="00F35FF1"/>
    <w:rsid w:val="00F36F18"/>
    <w:rsid w:val="00F37A27"/>
    <w:rsid w:val="00F37BF9"/>
    <w:rsid w:val="00F37D22"/>
    <w:rsid w:val="00F40EC3"/>
    <w:rsid w:val="00F41A67"/>
    <w:rsid w:val="00F41BD5"/>
    <w:rsid w:val="00F421A7"/>
    <w:rsid w:val="00F43F34"/>
    <w:rsid w:val="00F450F9"/>
    <w:rsid w:val="00F457E5"/>
    <w:rsid w:val="00F45F39"/>
    <w:rsid w:val="00F4675A"/>
    <w:rsid w:val="00F50BBF"/>
    <w:rsid w:val="00F518C5"/>
    <w:rsid w:val="00F51D60"/>
    <w:rsid w:val="00F53597"/>
    <w:rsid w:val="00F53AF0"/>
    <w:rsid w:val="00F54197"/>
    <w:rsid w:val="00F5771A"/>
    <w:rsid w:val="00F609E6"/>
    <w:rsid w:val="00F60E00"/>
    <w:rsid w:val="00F641E8"/>
    <w:rsid w:val="00F660D3"/>
    <w:rsid w:val="00F660F5"/>
    <w:rsid w:val="00F71C43"/>
    <w:rsid w:val="00F73063"/>
    <w:rsid w:val="00F737C0"/>
    <w:rsid w:val="00F73857"/>
    <w:rsid w:val="00F74355"/>
    <w:rsid w:val="00F75676"/>
    <w:rsid w:val="00F77032"/>
    <w:rsid w:val="00F81D1D"/>
    <w:rsid w:val="00F82A0D"/>
    <w:rsid w:val="00F82D7B"/>
    <w:rsid w:val="00F83955"/>
    <w:rsid w:val="00F84BBB"/>
    <w:rsid w:val="00F8593D"/>
    <w:rsid w:val="00F86722"/>
    <w:rsid w:val="00F872AC"/>
    <w:rsid w:val="00F901FB"/>
    <w:rsid w:val="00F90C7A"/>
    <w:rsid w:val="00F92299"/>
    <w:rsid w:val="00F938AA"/>
    <w:rsid w:val="00F951DB"/>
    <w:rsid w:val="00F96761"/>
    <w:rsid w:val="00F96C1A"/>
    <w:rsid w:val="00FA0286"/>
    <w:rsid w:val="00FA06DA"/>
    <w:rsid w:val="00FA09F9"/>
    <w:rsid w:val="00FA0A99"/>
    <w:rsid w:val="00FA10ED"/>
    <w:rsid w:val="00FA1A21"/>
    <w:rsid w:val="00FA2F28"/>
    <w:rsid w:val="00FA2F6A"/>
    <w:rsid w:val="00FA3719"/>
    <w:rsid w:val="00FA4A22"/>
    <w:rsid w:val="00FA60D8"/>
    <w:rsid w:val="00FA76E0"/>
    <w:rsid w:val="00FB126D"/>
    <w:rsid w:val="00FB16D6"/>
    <w:rsid w:val="00FB1C90"/>
    <w:rsid w:val="00FB2E70"/>
    <w:rsid w:val="00FB791D"/>
    <w:rsid w:val="00FC0011"/>
    <w:rsid w:val="00FC04B0"/>
    <w:rsid w:val="00FC097B"/>
    <w:rsid w:val="00FC15AC"/>
    <w:rsid w:val="00FC1F2A"/>
    <w:rsid w:val="00FC2E37"/>
    <w:rsid w:val="00FC3626"/>
    <w:rsid w:val="00FC4496"/>
    <w:rsid w:val="00FC68A9"/>
    <w:rsid w:val="00FC6F14"/>
    <w:rsid w:val="00FD000A"/>
    <w:rsid w:val="00FD0361"/>
    <w:rsid w:val="00FD0365"/>
    <w:rsid w:val="00FD0A6B"/>
    <w:rsid w:val="00FD0C96"/>
    <w:rsid w:val="00FD15BD"/>
    <w:rsid w:val="00FD17BC"/>
    <w:rsid w:val="00FD17F5"/>
    <w:rsid w:val="00FD2023"/>
    <w:rsid w:val="00FD2E84"/>
    <w:rsid w:val="00FD3A00"/>
    <w:rsid w:val="00FD614C"/>
    <w:rsid w:val="00FD692A"/>
    <w:rsid w:val="00FD6B18"/>
    <w:rsid w:val="00FD7788"/>
    <w:rsid w:val="00FD792E"/>
    <w:rsid w:val="00FE0F35"/>
    <w:rsid w:val="00FE169D"/>
    <w:rsid w:val="00FE3393"/>
    <w:rsid w:val="00FE3778"/>
    <w:rsid w:val="00FE40F2"/>
    <w:rsid w:val="00FE4B9E"/>
    <w:rsid w:val="00FE4EB1"/>
    <w:rsid w:val="00FE5525"/>
    <w:rsid w:val="00FE5F87"/>
    <w:rsid w:val="00FE64AB"/>
    <w:rsid w:val="00FE6B21"/>
    <w:rsid w:val="00FF098A"/>
    <w:rsid w:val="00FF0EBC"/>
    <w:rsid w:val="00FF0F17"/>
    <w:rsid w:val="00FF319D"/>
    <w:rsid w:val="00FF3A9C"/>
    <w:rsid w:val="00FF48A4"/>
    <w:rsid w:val="00FF5D4F"/>
    <w:rsid w:val="00FF5D99"/>
    <w:rsid w:val="00FF7E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DE7EA"/>
  <w15:docId w15:val="{53F9671F-8FCE-46AA-9E57-D278849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C9"/>
  </w:style>
  <w:style w:type="paragraph" w:styleId="Heading1">
    <w:name w:val="heading 1"/>
    <w:basedOn w:val="Normal"/>
    <w:next w:val="Normal"/>
    <w:link w:val="Heading1Char"/>
    <w:uiPriority w:val="9"/>
    <w:qFormat/>
    <w:rsid w:val="008F58C9"/>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F58C9"/>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F58C9"/>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F58C9"/>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58C9"/>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F58C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F58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58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58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8C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8F58C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8F58C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F58C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F58C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F58C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F58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58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58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58C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F58C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F58C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F58C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F58C9"/>
    <w:rPr>
      <w:color w:val="5A5A5A" w:themeColor="text1" w:themeTint="A5"/>
      <w:spacing w:val="10"/>
    </w:rPr>
  </w:style>
  <w:style w:type="character" w:styleId="Strong">
    <w:name w:val="Strong"/>
    <w:basedOn w:val="DefaultParagraphFont"/>
    <w:uiPriority w:val="22"/>
    <w:qFormat/>
    <w:rsid w:val="008F58C9"/>
    <w:rPr>
      <w:b/>
      <w:bCs/>
      <w:color w:val="000000" w:themeColor="text1"/>
    </w:rPr>
  </w:style>
  <w:style w:type="character" w:styleId="Emphasis">
    <w:name w:val="Emphasis"/>
    <w:basedOn w:val="DefaultParagraphFont"/>
    <w:uiPriority w:val="20"/>
    <w:qFormat/>
    <w:rsid w:val="008F58C9"/>
    <w:rPr>
      <w:i/>
      <w:iCs/>
      <w:color w:val="auto"/>
    </w:rPr>
  </w:style>
  <w:style w:type="paragraph" w:styleId="NoSpacing">
    <w:name w:val="No Spacing"/>
    <w:link w:val="NoSpacingChar"/>
    <w:uiPriority w:val="1"/>
    <w:qFormat/>
    <w:rsid w:val="008F58C9"/>
    <w:pPr>
      <w:spacing w:after="0" w:line="240" w:lineRule="auto"/>
    </w:pPr>
  </w:style>
  <w:style w:type="paragraph" w:styleId="Quote">
    <w:name w:val="Quote"/>
    <w:basedOn w:val="Normal"/>
    <w:next w:val="Normal"/>
    <w:link w:val="QuoteChar"/>
    <w:uiPriority w:val="29"/>
    <w:qFormat/>
    <w:rsid w:val="008F58C9"/>
    <w:pPr>
      <w:spacing w:before="160"/>
      <w:ind w:left="720" w:right="720"/>
    </w:pPr>
    <w:rPr>
      <w:i/>
      <w:iCs/>
      <w:color w:val="000000" w:themeColor="text1"/>
    </w:rPr>
  </w:style>
  <w:style w:type="character" w:customStyle="1" w:styleId="QuoteChar">
    <w:name w:val="Quote Char"/>
    <w:basedOn w:val="DefaultParagraphFont"/>
    <w:link w:val="Quote"/>
    <w:uiPriority w:val="29"/>
    <w:rsid w:val="008F58C9"/>
    <w:rPr>
      <w:i/>
      <w:iCs/>
      <w:color w:val="000000" w:themeColor="text1"/>
    </w:rPr>
  </w:style>
  <w:style w:type="paragraph" w:styleId="IntenseQuote">
    <w:name w:val="Intense Quote"/>
    <w:basedOn w:val="Normal"/>
    <w:next w:val="Normal"/>
    <w:link w:val="IntenseQuoteChar"/>
    <w:uiPriority w:val="30"/>
    <w:qFormat/>
    <w:rsid w:val="008F58C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F58C9"/>
    <w:rPr>
      <w:color w:val="000000" w:themeColor="text1"/>
      <w:shd w:val="clear" w:color="auto" w:fill="F2F2F2" w:themeFill="background1" w:themeFillShade="F2"/>
    </w:rPr>
  </w:style>
  <w:style w:type="character" w:styleId="SubtleEmphasis">
    <w:name w:val="Subtle Emphasis"/>
    <w:basedOn w:val="DefaultParagraphFont"/>
    <w:uiPriority w:val="19"/>
    <w:qFormat/>
    <w:rsid w:val="008F58C9"/>
    <w:rPr>
      <w:i/>
      <w:iCs/>
      <w:color w:val="404040" w:themeColor="text1" w:themeTint="BF"/>
    </w:rPr>
  </w:style>
  <w:style w:type="character" w:styleId="IntenseEmphasis">
    <w:name w:val="Intense Emphasis"/>
    <w:basedOn w:val="DefaultParagraphFont"/>
    <w:uiPriority w:val="21"/>
    <w:qFormat/>
    <w:rsid w:val="008F58C9"/>
    <w:rPr>
      <w:b/>
      <w:bCs/>
      <w:i/>
      <w:iCs/>
      <w:caps/>
    </w:rPr>
  </w:style>
  <w:style w:type="character" w:styleId="SubtleReference">
    <w:name w:val="Subtle Reference"/>
    <w:basedOn w:val="DefaultParagraphFont"/>
    <w:uiPriority w:val="31"/>
    <w:qFormat/>
    <w:rsid w:val="008F58C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58C9"/>
    <w:rPr>
      <w:b/>
      <w:bCs/>
      <w:smallCaps/>
      <w:u w:val="single"/>
    </w:rPr>
  </w:style>
  <w:style w:type="character" w:styleId="BookTitle">
    <w:name w:val="Book Title"/>
    <w:basedOn w:val="DefaultParagraphFont"/>
    <w:uiPriority w:val="33"/>
    <w:qFormat/>
    <w:rsid w:val="008F58C9"/>
    <w:rPr>
      <w:b w:val="0"/>
      <w:bCs w:val="0"/>
      <w:smallCaps/>
      <w:spacing w:val="5"/>
    </w:rPr>
  </w:style>
  <w:style w:type="paragraph" w:styleId="TOCHeading">
    <w:name w:val="TOC Heading"/>
    <w:basedOn w:val="Heading1"/>
    <w:next w:val="Normal"/>
    <w:uiPriority w:val="39"/>
    <w:unhideWhenUsed/>
    <w:qFormat/>
    <w:rsid w:val="008F58C9"/>
    <w:pPr>
      <w:outlineLvl w:val="9"/>
    </w:pPr>
  </w:style>
  <w:style w:type="paragraph" w:styleId="TOC1">
    <w:name w:val="toc 1"/>
    <w:basedOn w:val="Normal"/>
    <w:next w:val="Normal"/>
    <w:autoRedefine/>
    <w:uiPriority w:val="39"/>
    <w:unhideWhenUsed/>
    <w:rsid w:val="00B95E92"/>
    <w:pPr>
      <w:tabs>
        <w:tab w:val="left" w:pos="440"/>
        <w:tab w:val="right" w:leader="dot" w:pos="9628"/>
      </w:tabs>
      <w:spacing w:after="100"/>
    </w:pPr>
  </w:style>
  <w:style w:type="character" w:styleId="Hyperlink">
    <w:name w:val="Hyperlink"/>
    <w:basedOn w:val="DefaultParagraphFont"/>
    <w:uiPriority w:val="99"/>
    <w:unhideWhenUsed/>
    <w:rsid w:val="002A186B"/>
    <w:rPr>
      <w:color w:val="0563C1" w:themeColor="hyperlink"/>
      <w:u w:val="single"/>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99"/>
    <w:qFormat/>
    <w:rsid w:val="00A4529B"/>
    <w:pPr>
      <w:spacing w:after="0" w:line="240" w:lineRule="auto"/>
      <w:ind w:left="720"/>
      <w:contextualSpacing/>
      <w:jc w:val="both"/>
    </w:pPr>
    <w:rPr>
      <w:rFonts w:ascii="Calibri" w:eastAsia="Calibri" w:hAnsi="Calibri" w:cs="Times New Roman"/>
    </w:rPr>
  </w:style>
  <w:style w:type="paragraph" w:styleId="FootnoteText">
    <w:name w:val="footnote text"/>
    <w:aliases w:val=" Char,Footnote,Fußnote,Footnote Text Char1,Footnote Text Char2 Char,Footnote Text Char1 Char Char,Footnote Text Char2 Char Char Char,Footnote Text Char1 Char Char Char Char,Footnote Text Char2 Char Char Char Char Char,ft,f"/>
    <w:basedOn w:val="Normal"/>
    <w:link w:val="FootnoteTextChar"/>
    <w:uiPriority w:val="99"/>
    <w:unhideWhenUsed/>
    <w:qFormat/>
    <w:rsid w:val="00B95E92"/>
    <w:pPr>
      <w:spacing w:after="0" w:line="240" w:lineRule="auto"/>
    </w:pPr>
    <w:rPr>
      <w:rFonts w:ascii="Times New Roman" w:eastAsiaTheme="minorHAnsi" w:hAnsi="Times New Roman"/>
      <w:sz w:val="20"/>
      <w:szCs w:val="20"/>
    </w:rPr>
  </w:style>
  <w:style w:type="character" w:customStyle="1" w:styleId="FootnoteTextChar">
    <w:name w:val="Footnote Text Char"/>
    <w:aliases w:val=" Char Char,Footnote Char,Fußnote Char,Footnote Text Char1 Char,Footnote Text Char2 Char Char,Footnote Text Char1 Char Char Char,Footnote Text Char2 Char Char Char Char,Footnote Text Char1 Char Char Char Char Char,ft Char,f Char"/>
    <w:basedOn w:val="DefaultParagraphFont"/>
    <w:link w:val="FootnoteText"/>
    <w:uiPriority w:val="99"/>
    <w:rsid w:val="00B95E92"/>
    <w:rPr>
      <w:rFonts w:ascii="Times New Roman" w:eastAsiaTheme="minorHAnsi" w:hAnsi="Times New Roman"/>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basedOn w:val="DefaultParagraphFont"/>
    <w:link w:val="BVIfnrChar1CharCharChar"/>
    <w:uiPriority w:val="99"/>
    <w:unhideWhenUsed/>
    <w:qFormat/>
    <w:rsid w:val="00B95E92"/>
    <w:rPr>
      <w:vertAlign w:val="superscript"/>
    </w:rPr>
  </w:style>
  <w:style w:type="paragraph" w:styleId="BodyTextIndent2">
    <w:name w:val="Body Text Indent 2"/>
    <w:basedOn w:val="Normal"/>
    <w:link w:val="BodyTextIndent2Char"/>
    <w:semiHidden/>
    <w:rsid w:val="00B95E92"/>
    <w:pPr>
      <w:spacing w:before="120" w:after="120" w:line="240" w:lineRule="auto"/>
      <w:ind w:firstLine="706"/>
      <w:jc w:val="both"/>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semiHidden/>
    <w:rsid w:val="00B95E92"/>
    <w:rPr>
      <w:rFonts w:ascii="Times New Roman" w:eastAsia="Times New Roman" w:hAnsi="Times New Roman" w:cs="Times New Roman"/>
      <w:sz w:val="24"/>
      <w:szCs w:val="20"/>
      <w:lang w:val="x-none" w:eastAsia="x-none"/>
    </w:rPr>
  </w:style>
  <w:style w:type="table" w:styleId="TableGrid">
    <w:name w:val="Table Grid"/>
    <w:basedOn w:val="TableNormal"/>
    <w:uiPriority w:val="59"/>
    <w:rsid w:val="00B95E92"/>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6682D"/>
    <w:pPr>
      <w:tabs>
        <w:tab w:val="left" w:pos="880"/>
        <w:tab w:val="right" w:leader="dot" w:pos="9628"/>
      </w:tabs>
      <w:spacing w:after="100"/>
      <w:ind w:left="220"/>
    </w:pPr>
  </w:style>
  <w:style w:type="paragraph" w:styleId="BalloonText">
    <w:name w:val="Balloon Text"/>
    <w:basedOn w:val="Normal"/>
    <w:link w:val="BalloonTextChar"/>
    <w:uiPriority w:val="99"/>
    <w:semiHidden/>
    <w:unhideWhenUsed/>
    <w:rsid w:val="0016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34"/>
    <w:rPr>
      <w:rFonts w:ascii="Segoe UI" w:hAnsi="Segoe UI" w:cs="Segoe UI"/>
      <w:sz w:val="18"/>
      <w:szCs w:val="18"/>
    </w:rPr>
  </w:style>
  <w:style w:type="table" w:customStyle="1" w:styleId="GridTable6Colorful-Accent11">
    <w:name w:val="Grid Table 6 Colorful - Accent 11"/>
    <w:basedOn w:val="TableNormal"/>
    <w:uiPriority w:val="51"/>
    <w:rsid w:val="0089209F"/>
    <w:pPr>
      <w:spacing w:after="0" w:line="240" w:lineRule="auto"/>
    </w:pPr>
    <w:rPr>
      <w:rFonts w:ascii="Times New Roman" w:eastAsiaTheme="minorHAnsi" w:hAnsi="Times New Roman"/>
      <w:color w:val="2E74B5" w:themeColor="accent1" w:themeShade="BF"/>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0F7CA1"/>
    <w:pPr>
      <w:spacing w:after="0" w:line="240" w:lineRule="auto"/>
    </w:pPr>
  </w:style>
  <w:style w:type="character" w:styleId="CommentReference">
    <w:name w:val="annotation reference"/>
    <w:basedOn w:val="DefaultParagraphFont"/>
    <w:unhideWhenUsed/>
    <w:rsid w:val="00822D84"/>
    <w:rPr>
      <w:sz w:val="16"/>
      <w:szCs w:val="16"/>
    </w:rPr>
  </w:style>
  <w:style w:type="paragraph" w:styleId="CommentText">
    <w:name w:val="annotation text"/>
    <w:basedOn w:val="Normal"/>
    <w:link w:val="CommentTextChar"/>
    <w:unhideWhenUsed/>
    <w:rsid w:val="00822D84"/>
    <w:pPr>
      <w:spacing w:line="240" w:lineRule="auto"/>
    </w:pPr>
    <w:rPr>
      <w:sz w:val="20"/>
      <w:szCs w:val="20"/>
    </w:rPr>
  </w:style>
  <w:style w:type="character" w:customStyle="1" w:styleId="CommentTextChar">
    <w:name w:val="Comment Text Char"/>
    <w:basedOn w:val="DefaultParagraphFont"/>
    <w:link w:val="CommentText"/>
    <w:rsid w:val="00822D84"/>
    <w:rPr>
      <w:sz w:val="20"/>
      <w:szCs w:val="20"/>
    </w:rPr>
  </w:style>
  <w:style w:type="paragraph" w:styleId="CommentSubject">
    <w:name w:val="annotation subject"/>
    <w:basedOn w:val="CommentText"/>
    <w:next w:val="CommentText"/>
    <w:link w:val="CommentSubjectChar"/>
    <w:uiPriority w:val="99"/>
    <w:semiHidden/>
    <w:unhideWhenUsed/>
    <w:rsid w:val="00822D84"/>
    <w:rPr>
      <w:b/>
      <w:bCs/>
    </w:rPr>
  </w:style>
  <w:style w:type="character" w:customStyle="1" w:styleId="CommentSubjectChar">
    <w:name w:val="Comment Subject Char"/>
    <w:basedOn w:val="CommentTextChar"/>
    <w:link w:val="CommentSubject"/>
    <w:uiPriority w:val="99"/>
    <w:semiHidden/>
    <w:rsid w:val="00822D84"/>
    <w:rPr>
      <w:b/>
      <w:bCs/>
      <w:sz w:val="20"/>
      <w:szCs w:val="20"/>
    </w:rPr>
  </w:style>
  <w:style w:type="paragraph" w:styleId="TOC3">
    <w:name w:val="toc 3"/>
    <w:basedOn w:val="Normal"/>
    <w:next w:val="Normal"/>
    <w:autoRedefine/>
    <w:uiPriority w:val="39"/>
    <w:unhideWhenUsed/>
    <w:rsid w:val="00AB64D5"/>
    <w:pPr>
      <w:spacing w:after="100"/>
      <w:ind w:left="440"/>
    </w:pPr>
  </w:style>
  <w:style w:type="paragraph" w:customStyle="1" w:styleId="Default">
    <w:name w:val="Default"/>
    <w:rsid w:val="009C5F1D"/>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444AD7"/>
  </w:style>
  <w:style w:type="paragraph" w:styleId="Header">
    <w:name w:val="header"/>
    <w:basedOn w:val="Normal"/>
    <w:link w:val="HeaderChar"/>
    <w:uiPriority w:val="99"/>
    <w:unhideWhenUsed/>
    <w:rsid w:val="00444A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AD7"/>
  </w:style>
  <w:style w:type="paragraph" w:styleId="Footer">
    <w:name w:val="footer"/>
    <w:basedOn w:val="Normal"/>
    <w:link w:val="FooterChar"/>
    <w:uiPriority w:val="99"/>
    <w:unhideWhenUsed/>
    <w:rsid w:val="00444A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4AD7"/>
  </w:style>
  <w:style w:type="character" w:styleId="FollowedHyperlink">
    <w:name w:val="FollowedHyperlink"/>
    <w:basedOn w:val="DefaultParagraphFont"/>
    <w:uiPriority w:val="99"/>
    <w:semiHidden/>
    <w:unhideWhenUsed/>
    <w:rsid w:val="00D21477"/>
    <w:rPr>
      <w:color w:val="954F72" w:themeColor="followedHyperlink"/>
      <w:u w:val="single"/>
    </w:rPr>
  </w:style>
  <w:style w:type="table" w:styleId="GridTable6Colorful-Accent1">
    <w:name w:val="Grid Table 6 Colorful Accent 1"/>
    <w:basedOn w:val="TableNormal"/>
    <w:uiPriority w:val="51"/>
    <w:rsid w:val="00527C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5D45EA"/>
  </w:style>
  <w:style w:type="paragraph" w:customStyle="1" w:styleId="liknoteik">
    <w:name w:val="lik_noteik"/>
    <w:basedOn w:val="Normal"/>
    <w:rsid w:val="00975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975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AE19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haretitle">
    <w:name w:val="share_title"/>
    <w:basedOn w:val="DefaultParagraphFont"/>
    <w:rsid w:val="00044F5F"/>
  </w:style>
  <w:style w:type="paragraph" w:styleId="BodyText">
    <w:name w:val="Body Text"/>
    <w:basedOn w:val="Normal"/>
    <w:link w:val="BodyTextChar"/>
    <w:uiPriority w:val="99"/>
    <w:unhideWhenUsed/>
    <w:rsid w:val="00C559FC"/>
    <w:pPr>
      <w:spacing w:after="120"/>
    </w:pPr>
  </w:style>
  <w:style w:type="character" w:customStyle="1" w:styleId="BodyTextChar">
    <w:name w:val="Body Text Char"/>
    <w:basedOn w:val="DefaultParagraphFont"/>
    <w:link w:val="BodyText"/>
    <w:uiPriority w:val="99"/>
    <w:rsid w:val="00C559FC"/>
  </w:style>
  <w:style w:type="table" w:styleId="GridTable1Light-Accent1">
    <w:name w:val="Grid Table 1 Light Accent 1"/>
    <w:basedOn w:val="TableNormal"/>
    <w:uiPriority w:val="46"/>
    <w:rsid w:val="001B0DB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1B0D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1">
    <w:name w:val="Grid Table 2 Accent 1"/>
    <w:basedOn w:val="TableNormal"/>
    <w:uiPriority w:val="47"/>
    <w:rsid w:val="001B0DB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820CDD"/>
    <w:rPr>
      <w:rFonts w:ascii="Calibri" w:eastAsia="Calibri" w:hAnsi="Calibri" w:cs="Times New Roman"/>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820CDD"/>
    <w:pPr>
      <w:spacing w:line="240" w:lineRule="exact"/>
    </w:pPr>
    <w:rPr>
      <w:vertAlign w:val="superscript"/>
    </w:rPr>
  </w:style>
  <w:style w:type="paragraph" w:customStyle="1" w:styleId="xmsonormal">
    <w:name w:val="x_msonormal"/>
    <w:basedOn w:val="Normal"/>
    <w:rsid w:val="00691B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691B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2">
    <w:name w:val="Text 2"/>
    <w:basedOn w:val="Normal"/>
    <w:uiPriority w:val="90"/>
    <w:qFormat/>
    <w:rsid w:val="00AD3789"/>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ksts">
    <w:name w:val="teksts"/>
    <w:rsid w:val="00C1766B"/>
    <w:pPr>
      <w:spacing w:after="120" w:line="240" w:lineRule="auto"/>
      <w:jc w:val="both"/>
    </w:pPr>
    <w:rPr>
      <w:rFonts w:ascii="Garamond" w:eastAsia="Times New Roman" w:hAnsi="Garamond" w:cs="Times New Roman"/>
      <w:sz w:val="24"/>
      <w:szCs w:val="20"/>
    </w:rPr>
  </w:style>
  <w:style w:type="table" w:styleId="TableGridLight">
    <w:name w:val="Grid Table Light"/>
    <w:basedOn w:val="TableNormal"/>
    <w:uiPriority w:val="40"/>
    <w:rsid w:val="000958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958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uiPriority w:val="99"/>
    <w:semiHidden/>
    <w:unhideWhenUsed/>
    <w:rsid w:val="00A07DFA"/>
    <w:pPr>
      <w:spacing w:after="120" w:line="480" w:lineRule="auto"/>
    </w:pPr>
  </w:style>
  <w:style w:type="character" w:customStyle="1" w:styleId="BodyText2Char">
    <w:name w:val="Body Text 2 Char"/>
    <w:basedOn w:val="DefaultParagraphFont"/>
    <w:link w:val="BodyText2"/>
    <w:uiPriority w:val="99"/>
    <w:semiHidden/>
    <w:rsid w:val="00A07DFA"/>
  </w:style>
  <w:style w:type="paragraph" w:customStyle="1" w:styleId="text-font">
    <w:name w:val="text-font"/>
    <w:basedOn w:val="Normal"/>
    <w:rsid w:val="00162F9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499">
      <w:bodyDiv w:val="1"/>
      <w:marLeft w:val="0"/>
      <w:marRight w:val="0"/>
      <w:marTop w:val="0"/>
      <w:marBottom w:val="0"/>
      <w:divBdr>
        <w:top w:val="none" w:sz="0" w:space="0" w:color="auto"/>
        <w:left w:val="none" w:sz="0" w:space="0" w:color="auto"/>
        <w:bottom w:val="none" w:sz="0" w:space="0" w:color="auto"/>
        <w:right w:val="none" w:sz="0" w:space="0" w:color="auto"/>
      </w:divBdr>
    </w:div>
    <w:div w:id="29499036">
      <w:bodyDiv w:val="1"/>
      <w:marLeft w:val="0"/>
      <w:marRight w:val="0"/>
      <w:marTop w:val="0"/>
      <w:marBottom w:val="0"/>
      <w:divBdr>
        <w:top w:val="none" w:sz="0" w:space="0" w:color="auto"/>
        <w:left w:val="none" w:sz="0" w:space="0" w:color="auto"/>
        <w:bottom w:val="none" w:sz="0" w:space="0" w:color="auto"/>
        <w:right w:val="none" w:sz="0" w:space="0" w:color="auto"/>
      </w:divBdr>
    </w:div>
    <w:div w:id="46732387">
      <w:bodyDiv w:val="1"/>
      <w:marLeft w:val="0"/>
      <w:marRight w:val="0"/>
      <w:marTop w:val="0"/>
      <w:marBottom w:val="0"/>
      <w:divBdr>
        <w:top w:val="none" w:sz="0" w:space="0" w:color="auto"/>
        <w:left w:val="none" w:sz="0" w:space="0" w:color="auto"/>
        <w:bottom w:val="none" w:sz="0" w:space="0" w:color="auto"/>
        <w:right w:val="none" w:sz="0" w:space="0" w:color="auto"/>
      </w:divBdr>
    </w:div>
    <w:div w:id="56099463">
      <w:bodyDiv w:val="1"/>
      <w:marLeft w:val="0"/>
      <w:marRight w:val="0"/>
      <w:marTop w:val="0"/>
      <w:marBottom w:val="0"/>
      <w:divBdr>
        <w:top w:val="none" w:sz="0" w:space="0" w:color="auto"/>
        <w:left w:val="none" w:sz="0" w:space="0" w:color="auto"/>
        <w:bottom w:val="none" w:sz="0" w:space="0" w:color="auto"/>
        <w:right w:val="none" w:sz="0" w:space="0" w:color="auto"/>
      </w:divBdr>
    </w:div>
    <w:div w:id="64888110">
      <w:bodyDiv w:val="1"/>
      <w:marLeft w:val="0"/>
      <w:marRight w:val="0"/>
      <w:marTop w:val="0"/>
      <w:marBottom w:val="0"/>
      <w:divBdr>
        <w:top w:val="none" w:sz="0" w:space="0" w:color="auto"/>
        <w:left w:val="none" w:sz="0" w:space="0" w:color="auto"/>
        <w:bottom w:val="none" w:sz="0" w:space="0" w:color="auto"/>
        <w:right w:val="none" w:sz="0" w:space="0" w:color="auto"/>
      </w:divBdr>
    </w:div>
    <w:div w:id="68624366">
      <w:bodyDiv w:val="1"/>
      <w:marLeft w:val="0"/>
      <w:marRight w:val="0"/>
      <w:marTop w:val="0"/>
      <w:marBottom w:val="0"/>
      <w:divBdr>
        <w:top w:val="none" w:sz="0" w:space="0" w:color="auto"/>
        <w:left w:val="none" w:sz="0" w:space="0" w:color="auto"/>
        <w:bottom w:val="none" w:sz="0" w:space="0" w:color="auto"/>
        <w:right w:val="none" w:sz="0" w:space="0" w:color="auto"/>
      </w:divBdr>
    </w:div>
    <w:div w:id="75789148">
      <w:bodyDiv w:val="1"/>
      <w:marLeft w:val="0"/>
      <w:marRight w:val="0"/>
      <w:marTop w:val="0"/>
      <w:marBottom w:val="0"/>
      <w:divBdr>
        <w:top w:val="none" w:sz="0" w:space="0" w:color="auto"/>
        <w:left w:val="none" w:sz="0" w:space="0" w:color="auto"/>
        <w:bottom w:val="none" w:sz="0" w:space="0" w:color="auto"/>
        <w:right w:val="none" w:sz="0" w:space="0" w:color="auto"/>
      </w:divBdr>
    </w:div>
    <w:div w:id="85924990">
      <w:bodyDiv w:val="1"/>
      <w:marLeft w:val="0"/>
      <w:marRight w:val="0"/>
      <w:marTop w:val="0"/>
      <w:marBottom w:val="0"/>
      <w:divBdr>
        <w:top w:val="none" w:sz="0" w:space="0" w:color="auto"/>
        <w:left w:val="none" w:sz="0" w:space="0" w:color="auto"/>
        <w:bottom w:val="none" w:sz="0" w:space="0" w:color="auto"/>
        <w:right w:val="none" w:sz="0" w:space="0" w:color="auto"/>
      </w:divBdr>
    </w:div>
    <w:div w:id="98722229">
      <w:bodyDiv w:val="1"/>
      <w:marLeft w:val="0"/>
      <w:marRight w:val="0"/>
      <w:marTop w:val="0"/>
      <w:marBottom w:val="0"/>
      <w:divBdr>
        <w:top w:val="none" w:sz="0" w:space="0" w:color="auto"/>
        <w:left w:val="none" w:sz="0" w:space="0" w:color="auto"/>
        <w:bottom w:val="none" w:sz="0" w:space="0" w:color="auto"/>
        <w:right w:val="none" w:sz="0" w:space="0" w:color="auto"/>
      </w:divBdr>
    </w:div>
    <w:div w:id="113132979">
      <w:bodyDiv w:val="1"/>
      <w:marLeft w:val="0"/>
      <w:marRight w:val="0"/>
      <w:marTop w:val="0"/>
      <w:marBottom w:val="0"/>
      <w:divBdr>
        <w:top w:val="none" w:sz="0" w:space="0" w:color="auto"/>
        <w:left w:val="none" w:sz="0" w:space="0" w:color="auto"/>
        <w:bottom w:val="none" w:sz="0" w:space="0" w:color="auto"/>
        <w:right w:val="none" w:sz="0" w:space="0" w:color="auto"/>
      </w:divBdr>
    </w:div>
    <w:div w:id="116218290">
      <w:bodyDiv w:val="1"/>
      <w:marLeft w:val="0"/>
      <w:marRight w:val="0"/>
      <w:marTop w:val="0"/>
      <w:marBottom w:val="0"/>
      <w:divBdr>
        <w:top w:val="none" w:sz="0" w:space="0" w:color="auto"/>
        <w:left w:val="none" w:sz="0" w:space="0" w:color="auto"/>
        <w:bottom w:val="none" w:sz="0" w:space="0" w:color="auto"/>
        <w:right w:val="none" w:sz="0" w:space="0" w:color="auto"/>
      </w:divBdr>
    </w:div>
    <w:div w:id="123930589">
      <w:bodyDiv w:val="1"/>
      <w:marLeft w:val="0"/>
      <w:marRight w:val="0"/>
      <w:marTop w:val="0"/>
      <w:marBottom w:val="0"/>
      <w:divBdr>
        <w:top w:val="none" w:sz="0" w:space="0" w:color="auto"/>
        <w:left w:val="none" w:sz="0" w:space="0" w:color="auto"/>
        <w:bottom w:val="none" w:sz="0" w:space="0" w:color="auto"/>
        <w:right w:val="none" w:sz="0" w:space="0" w:color="auto"/>
      </w:divBdr>
    </w:div>
    <w:div w:id="133447176">
      <w:bodyDiv w:val="1"/>
      <w:marLeft w:val="0"/>
      <w:marRight w:val="0"/>
      <w:marTop w:val="0"/>
      <w:marBottom w:val="0"/>
      <w:divBdr>
        <w:top w:val="none" w:sz="0" w:space="0" w:color="auto"/>
        <w:left w:val="none" w:sz="0" w:space="0" w:color="auto"/>
        <w:bottom w:val="none" w:sz="0" w:space="0" w:color="auto"/>
        <w:right w:val="none" w:sz="0" w:space="0" w:color="auto"/>
      </w:divBdr>
    </w:div>
    <w:div w:id="138811425">
      <w:bodyDiv w:val="1"/>
      <w:marLeft w:val="0"/>
      <w:marRight w:val="0"/>
      <w:marTop w:val="0"/>
      <w:marBottom w:val="0"/>
      <w:divBdr>
        <w:top w:val="none" w:sz="0" w:space="0" w:color="auto"/>
        <w:left w:val="none" w:sz="0" w:space="0" w:color="auto"/>
        <w:bottom w:val="none" w:sz="0" w:space="0" w:color="auto"/>
        <w:right w:val="none" w:sz="0" w:space="0" w:color="auto"/>
      </w:divBdr>
    </w:div>
    <w:div w:id="139855241">
      <w:bodyDiv w:val="1"/>
      <w:marLeft w:val="0"/>
      <w:marRight w:val="0"/>
      <w:marTop w:val="0"/>
      <w:marBottom w:val="0"/>
      <w:divBdr>
        <w:top w:val="none" w:sz="0" w:space="0" w:color="auto"/>
        <w:left w:val="none" w:sz="0" w:space="0" w:color="auto"/>
        <w:bottom w:val="none" w:sz="0" w:space="0" w:color="auto"/>
        <w:right w:val="none" w:sz="0" w:space="0" w:color="auto"/>
      </w:divBdr>
    </w:div>
    <w:div w:id="155849978">
      <w:bodyDiv w:val="1"/>
      <w:marLeft w:val="0"/>
      <w:marRight w:val="0"/>
      <w:marTop w:val="0"/>
      <w:marBottom w:val="0"/>
      <w:divBdr>
        <w:top w:val="none" w:sz="0" w:space="0" w:color="auto"/>
        <w:left w:val="none" w:sz="0" w:space="0" w:color="auto"/>
        <w:bottom w:val="none" w:sz="0" w:space="0" w:color="auto"/>
        <w:right w:val="none" w:sz="0" w:space="0" w:color="auto"/>
      </w:divBdr>
    </w:div>
    <w:div w:id="157502706">
      <w:bodyDiv w:val="1"/>
      <w:marLeft w:val="0"/>
      <w:marRight w:val="0"/>
      <w:marTop w:val="0"/>
      <w:marBottom w:val="0"/>
      <w:divBdr>
        <w:top w:val="none" w:sz="0" w:space="0" w:color="auto"/>
        <w:left w:val="none" w:sz="0" w:space="0" w:color="auto"/>
        <w:bottom w:val="none" w:sz="0" w:space="0" w:color="auto"/>
        <w:right w:val="none" w:sz="0" w:space="0" w:color="auto"/>
      </w:divBdr>
    </w:div>
    <w:div w:id="174195614">
      <w:bodyDiv w:val="1"/>
      <w:marLeft w:val="0"/>
      <w:marRight w:val="0"/>
      <w:marTop w:val="0"/>
      <w:marBottom w:val="0"/>
      <w:divBdr>
        <w:top w:val="none" w:sz="0" w:space="0" w:color="auto"/>
        <w:left w:val="none" w:sz="0" w:space="0" w:color="auto"/>
        <w:bottom w:val="none" w:sz="0" w:space="0" w:color="auto"/>
        <w:right w:val="none" w:sz="0" w:space="0" w:color="auto"/>
      </w:divBdr>
    </w:div>
    <w:div w:id="265963867">
      <w:bodyDiv w:val="1"/>
      <w:marLeft w:val="0"/>
      <w:marRight w:val="0"/>
      <w:marTop w:val="0"/>
      <w:marBottom w:val="0"/>
      <w:divBdr>
        <w:top w:val="none" w:sz="0" w:space="0" w:color="auto"/>
        <w:left w:val="none" w:sz="0" w:space="0" w:color="auto"/>
        <w:bottom w:val="none" w:sz="0" w:space="0" w:color="auto"/>
        <w:right w:val="none" w:sz="0" w:space="0" w:color="auto"/>
      </w:divBdr>
    </w:div>
    <w:div w:id="319508195">
      <w:bodyDiv w:val="1"/>
      <w:marLeft w:val="0"/>
      <w:marRight w:val="0"/>
      <w:marTop w:val="0"/>
      <w:marBottom w:val="0"/>
      <w:divBdr>
        <w:top w:val="none" w:sz="0" w:space="0" w:color="auto"/>
        <w:left w:val="none" w:sz="0" w:space="0" w:color="auto"/>
        <w:bottom w:val="none" w:sz="0" w:space="0" w:color="auto"/>
        <w:right w:val="none" w:sz="0" w:space="0" w:color="auto"/>
      </w:divBdr>
    </w:div>
    <w:div w:id="351804874">
      <w:bodyDiv w:val="1"/>
      <w:marLeft w:val="0"/>
      <w:marRight w:val="0"/>
      <w:marTop w:val="0"/>
      <w:marBottom w:val="0"/>
      <w:divBdr>
        <w:top w:val="none" w:sz="0" w:space="0" w:color="auto"/>
        <w:left w:val="none" w:sz="0" w:space="0" w:color="auto"/>
        <w:bottom w:val="none" w:sz="0" w:space="0" w:color="auto"/>
        <w:right w:val="none" w:sz="0" w:space="0" w:color="auto"/>
      </w:divBdr>
    </w:div>
    <w:div w:id="362176480">
      <w:bodyDiv w:val="1"/>
      <w:marLeft w:val="0"/>
      <w:marRight w:val="0"/>
      <w:marTop w:val="0"/>
      <w:marBottom w:val="0"/>
      <w:divBdr>
        <w:top w:val="none" w:sz="0" w:space="0" w:color="auto"/>
        <w:left w:val="none" w:sz="0" w:space="0" w:color="auto"/>
        <w:bottom w:val="none" w:sz="0" w:space="0" w:color="auto"/>
        <w:right w:val="none" w:sz="0" w:space="0" w:color="auto"/>
      </w:divBdr>
    </w:div>
    <w:div w:id="383217162">
      <w:bodyDiv w:val="1"/>
      <w:marLeft w:val="0"/>
      <w:marRight w:val="0"/>
      <w:marTop w:val="0"/>
      <w:marBottom w:val="0"/>
      <w:divBdr>
        <w:top w:val="none" w:sz="0" w:space="0" w:color="auto"/>
        <w:left w:val="none" w:sz="0" w:space="0" w:color="auto"/>
        <w:bottom w:val="none" w:sz="0" w:space="0" w:color="auto"/>
        <w:right w:val="none" w:sz="0" w:space="0" w:color="auto"/>
      </w:divBdr>
    </w:div>
    <w:div w:id="384840891">
      <w:bodyDiv w:val="1"/>
      <w:marLeft w:val="0"/>
      <w:marRight w:val="0"/>
      <w:marTop w:val="0"/>
      <w:marBottom w:val="0"/>
      <w:divBdr>
        <w:top w:val="none" w:sz="0" w:space="0" w:color="auto"/>
        <w:left w:val="none" w:sz="0" w:space="0" w:color="auto"/>
        <w:bottom w:val="none" w:sz="0" w:space="0" w:color="auto"/>
        <w:right w:val="none" w:sz="0" w:space="0" w:color="auto"/>
      </w:divBdr>
    </w:div>
    <w:div w:id="411466361">
      <w:bodyDiv w:val="1"/>
      <w:marLeft w:val="0"/>
      <w:marRight w:val="0"/>
      <w:marTop w:val="0"/>
      <w:marBottom w:val="0"/>
      <w:divBdr>
        <w:top w:val="none" w:sz="0" w:space="0" w:color="auto"/>
        <w:left w:val="none" w:sz="0" w:space="0" w:color="auto"/>
        <w:bottom w:val="none" w:sz="0" w:space="0" w:color="auto"/>
        <w:right w:val="none" w:sz="0" w:space="0" w:color="auto"/>
      </w:divBdr>
    </w:div>
    <w:div w:id="424114931">
      <w:bodyDiv w:val="1"/>
      <w:marLeft w:val="0"/>
      <w:marRight w:val="0"/>
      <w:marTop w:val="0"/>
      <w:marBottom w:val="0"/>
      <w:divBdr>
        <w:top w:val="none" w:sz="0" w:space="0" w:color="auto"/>
        <w:left w:val="none" w:sz="0" w:space="0" w:color="auto"/>
        <w:bottom w:val="none" w:sz="0" w:space="0" w:color="auto"/>
        <w:right w:val="none" w:sz="0" w:space="0" w:color="auto"/>
      </w:divBdr>
    </w:div>
    <w:div w:id="434063296">
      <w:bodyDiv w:val="1"/>
      <w:marLeft w:val="0"/>
      <w:marRight w:val="0"/>
      <w:marTop w:val="0"/>
      <w:marBottom w:val="0"/>
      <w:divBdr>
        <w:top w:val="none" w:sz="0" w:space="0" w:color="auto"/>
        <w:left w:val="none" w:sz="0" w:space="0" w:color="auto"/>
        <w:bottom w:val="none" w:sz="0" w:space="0" w:color="auto"/>
        <w:right w:val="none" w:sz="0" w:space="0" w:color="auto"/>
      </w:divBdr>
    </w:div>
    <w:div w:id="443547988">
      <w:bodyDiv w:val="1"/>
      <w:marLeft w:val="0"/>
      <w:marRight w:val="0"/>
      <w:marTop w:val="0"/>
      <w:marBottom w:val="0"/>
      <w:divBdr>
        <w:top w:val="none" w:sz="0" w:space="0" w:color="auto"/>
        <w:left w:val="none" w:sz="0" w:space="0" w:color="auto"/>
        <w:bottom w:val="none" w:sz="0" w:space="0" w:color="auto"/>
        <w:right w:val="none" w:sz="0" w:space="0" w:color="auto"/>
      </w:divBdr>
    </w:div>
    <w:div w:id="454838871">
      <w:bodyDiv w:val="1"/>
      <w:marLeft w:val="0"/>
      <w:marRight w:val="0"/>
      <w:marTop w:val="0"/>
      <w:marBottom w:val="0"/>
      <w:divBdr>
        <w:top w:val="none" w:sz="0" w:space="0" w:color="auto"/>
        <w:left w:val="none" w:sz="0" w:space="0" w:color="auto"/>
        <w:bottom w:val="none" w:sz="0" w:space="0" w:color="auto"/>
        <w:right w:val="none" w:sz="0" w:space="0" w:color="auto"/>
      </w:divBdr>
    </w:div>
    <w:div w:id="461462811">
      <w:bodyDiv w:val="1"/>
      <w:marLeft w:val="0"/>
      <w:marRight w:val="0"/>
      <w:marTop w:val="0"/>
      <w:marBottom w:val="0"/>
      <w:divBdr>
        <w:top w:val="none" w:sz="0" w:space="0" w:color="auto"/>
        <w:left w:val="none" w:sz="0" w:space="0" w:color="auto"/>
        <w:bottom w:val="none" w:sz="0" w:space="0" w:color="auto"/>
        <w:right w:val="none" w:sz="0" w:space="0" w:color="auto"/>
      </w:divBdr>
    </w:div>
    <w:div w:id="480269472">
      <w:bodyDiv w:val="1"/>
      <w:marLeft w:val="0"/>
      <w:marRight w:val="0"/>
      <w:marTop w:val="0"/>
      <w:marBottom w:val="0"/>
      <w:divBdr>
        <w:top w:val="none" w:sz="0" w:space="0" w:color="auto"/>
        <w:left w:val="none" w:sz="0" w:space="0" w:color="auto"/>
        <w:bottom w:val="none" w:sz="0" w:space="0" w:color="auto"/>
        <w:right w:val="none" w:sz="0" w:space="0" w:color="auto"/>
      </w:divBdr>
    </w:div>
    <w:div w:id="505708505">
      <w:bodyDiv w:val="1"/>
      <w:marLeft w:val="0"/>
      <w:marRight w:val="0"/>
      <w:marTop w:val="0"/>
      <w:marBottom w:val="0"/>
      <w:divBdr>
        <w:top w:val="none" w:sz="0" w:space="0" w:color="auto"/>
        <w:left w:val="none" w:sz="0" w:space="0" w:color="auto"/>
        <w:bottom w:val="none" w:sz="0" w:space="0" w:color="auto"/>
        <w:right w:val="none" w:sz="0" w:space="0" w:color="auto"/>
      </w:divBdr>
    </w:div>
    <w:div w:id="511796535">
      <w:bodyDiv w:val="1"/>
      <w:marLeft w:val="0"/>
      <w:marRight w:val="0"/>
      <w:marTop w:val="0"/>
      <w:marBottom w:val="0"/>
      <w:divBdr>
        <w:top w:val="none" w:sz="0" w:space="0" w:color="auto"/>
        <w:left w:val="none" w:sz="0" w:space="0" w:color="auto"/>
        <w:bottom w:val="none" w:sz="0" w:space="0" w:color="auto"/>
        <w:right w:val="none" w:sz="0" w:space="0" w:color="auto"/>
      </w:divBdr>
    </w:div>
    <w:div w:id="516192978">
      <w:bodyDiv w:val="1"/>
      <w:marLeft w:val="0"/>
      <w:marRight w:val="0"/>
      <w:marTop w:val="0"/>
      <w:marBottom w:val="0"/>
      <w:divBdr>
        <w:top w:val="none" w:sz="0" w:space="0" w:color="auto"/>
        <w:left w:val="none" w:sz="0" w:space="0" w:color="auto"/>
        <w:bottom w:val="none" w:sz="0" w:space="0" w:color="auto"/>
        <w:right w:val="none" w:sz="0" w:space="0" w:color="auto"/>
      </w:divBdr>
    </w:div>
    <w:div w:id="578177178">
      <w:bodyDiv w:val="1"/>
      <w:marLeft w:val="0"/>
      <w:marRight w:val="0"/>
      <w:marTop w:val="0"/>
      <w:marBottom w:val="0"/>
      <w:divBdr>
        <w:top w:val="none" w:sz="0" w:space="0" w:color="auto"/>
        <w:left w:val="none" w:sz="0" w:space="0" w:color="auto"/>
        <w:bottom w:val="none" w:sz="0" w:space="0" w:color="auto"/>
        <w:right w:val="none" w:sz="0" w:space="0" w:color="auto"/>
      </w:divBdr>
    </w:div>
    <w:div w:id="582448450">
      <w:bodyDiv w:val="1"/>
      <w:marLeft w:val="0"/>
      <w:marRight w:val="0"/>
      <w:marTop w:val="0"/>
      <w:marBottom w:val="0"/>
      <w:divBdr>
        <w:top w:val="none" w:sz="0" w:space="0" w:color="auto"/>
        <w:left w:val="none" w:sz="0" w:space="0" w:color="auto"/>
        <w:bottom w:val="none" w:sz="0" w:space="0" w:color="auto"/>
        <w:right w:val="none" w:sz="0" w:space="0" w:color="auto"/>
      </w:divBdr>
    </w:div>
    <w:div w:id="589313611">
      <w:bodyDiv w:val="1"/>
      <w:marLeft w:val="0"/>
      <w:marRight w:val="0"/>
      <w:marTop w:val="0"/>
      <w:marBottom w:val="0"/>
      <w:divBdr>
        <w:top w:val="none" w:sz="0" w:space="0" w:color="auto"/>
        <w:left w:val="none" w:sz="0" w:space="0" w:color="auto"/>
        <w:bottom w:val="none" w:sz="0" w:space="0" w:color="auto"/>
        <w:right w:val="none" w:sz="0" w:space="0" w:color="auto"/>
      </w:divBdr>
    </w:div>
    <w:div w:id="593780828">
      <w:bodyDiv w:val="1"/>
      <w:marLeft w:val="0"/>
      <w:marRight w:val="0"/>
      <w:marTop w:val="0"/>
      <w:marBottom w:val="0"/>
      <w:divBdr>
        <w:top w:val="none" w:sz="0" w:space="0" w:color="auto"/>
        <w:left w:val="none" w:sz="0" w:space="0" w:color="auto"/>
        <w:bottom w:val="none" w:sz="0" w:space="0" w:color="auto"/>
        <w:right w:val="none" w:sz="0" w:space="0" w:color="auto"/>
      </w:divBdr>
    </w:div>
    <w:div w:id="594442953">
      <w:bodyDiv w:val="1"/>
      <w:marLeft w:val="0"/>
      <w:marRight w:val="0"/>
      <w:marTop w:val="0"/>
      <w:marBottom w:val="0"/>
      <w:divBdr>
        <w:top w:val="none" w:sz="0" w:space="0" w:color="auto"/>
        <w:left w:val="none" w:sz="0" w:space="0" w:color="auto"/>
        <w:bottom w:val="none" w:sz="0" w:space="0" w:color="auto"/>
        <w:right w:val="none" w:sz="0" w:space="0" w:color="auto"/>
      </w:divBdr>
    </w:div>
    <w:div w:id="595329652">
      <w:bodyDiv w:val="1"/>
      <w:marLeft w:val="0"/>
      <w:marRight w:val="0"/>
      <w:marTop w:val="0"/>
      <w:marBottom w:val="0"/>
      <w:divBdr>
        <w:top w:val="none" w:sz="0" w:space="0" w:color="auto"/>
        <w:left w:val="none" w:sz="0" w:space="0" w:color="auto"/>
        <w:bottom w:val="none" w:sz="0" w:space="0" w:color="auto"/>
        <w:right w:val="none" w:sz="0" w:space="0" w:color="auto"/>
      </w:divBdr>
    </w:div>
    <w:div w:id="622924270">
      <w:bodyDiv w:val="1"/>
      <w:marLeft w:val="0"/>
      <w:marRight w:val="0"/>
      <w:marTop w:val="0"/>
      <w:marBottom w:val="0"/>
      <w:divBdr>
        <w:top w:val="none" w:sz="0" w:space="0" w:color="auto"/>
        <w:left w:val="none" w:sz="0" w:space="0" w:color="auto"/>
        <w:bottom w:val="none" w:sz="0" w:space="0" w:color="auto"/>
        <w:right w:val="none" w:sz="0" w:space="0" w:color="auto"/>
      </w:divBdr>
    </w:div>
    <w:div w:id="644512342">
      <w:bodyDiv w:val="1"/>
      <w:marLeft w:val="0"/>
      <w:marRight w:val="0"/>
      <w:marTop w:val="0"/>
      <w:marBottom w:val="0"/>
      <w:divBdr>
        <w:top w:val="none" w:sz="0" w:space="0" w:color="auto"/>
        <w:left w:val="none" w:sz="0" w:space="0" w:color="auto"/>
        <w:bottom w:val="none" w:sz="0" w:space="0" w:color="auto"/>
        <w:right w:val="none" w:sz="0" w:space="0" w:color="auto"/>
      </w:divBdr>
      <w:divsChild>
        <w:div w:id="2100372016">
          <w:marLeft w:val="0"/>
          <w:marRight w:val="0"/>
          <w:marTop w:val="0"/>
          <w:marBottom w:val="0"/>
          <w:divBdr>
            <w:top w:val="none" w:sz="0" w:space="0" w:color="auto"/>
            <w:left w:val="none" w:sz="0" w:space="0" w:color="auto"/>
            <w:bottom w:val="none" w:sz="0" w:space="0" w:color="auto"/>
            <w:right w:val="none" w:sz="0" w:space="0" w:color="auto"/>
          </w:divBdr>
          <w:divsChild>
            <w:div w:id="180435178">
              <w:marLeft w:val="0"/>
              <w:marRight w:val="0"/>
              <w:marTop w:val="0"/>
              <w:marBottom w:val="0"/>
              <w:divBdr>
                <w:top w:val="none" w:sz="0" w:space="0" w:color="auto"/>
                <w:left w:val="none" w:sz="0" w:space="0" w:color="auto"/>
                <w:bottom w:val="none" w:sz="0" w:space="0" w:color="auto"/>
                <w:right w:val="none" w:sz="0" w:space="0" w:color="auto"/>
              </w:divBdr>
              <w:divsChild>
                <w:div w:id="560679101">
                  <w:marLeft w:val="0"/>
                  <w:marRight w:val="0"/>
                  <w:marTop w:val="0"/>
                  <w:marBottom w:val="0"/>
                  <w:divBdr>
                    <w:top w:val="none" w:sz="0" w:space="0" w:color="auto"/>
                    <w:left w:val="none" w:sz="0" w:space="0" w:color="auto"/>
                    <w:bottom w:val="none" w:sz="0" w:space="0" w:color="auto"/>
                    <w:right w:val="none" w:sz="0" w:space="0" w:color="auto"/>
                  </w:divBdr>
                  <w:divsChild>
                    <w:div w:id="1582565554">
                      <w:marLeft w:val="0"/>
                      <w:marRight w:val="0"/>
                      <w:marTop w:val="0"/>
                      <w:marBottom w:val="0"/>
                      <w:divBdr>
                        <w:top w:val="none" w:sz="0" w:space="0" w:color="auto"/>
                        <w:left w:val="none" w:sz="0" w:space="0" w:color="auto"/>
                        <w:bottom w:val="none" w:sz="0" w:space="0" w:color="auto"/>
                        <w:right w:val="none" w:sz="0" w:space="0" w:color="auto"/>
                      </w:divBdr>
                      <w:divsChild>
                        <w:div w:id="52581364">
                          <w:marLeft w:val="0"/>
                          <w:marRight w:val="0"/>
                          <w:marTop w:val="0"/>
                          <w:marBottom w:val="0"/>
                          <w:divBdr>
                            <w:top w:val="none" w:sz="0" w:space="0" w:color="auto"/>
                            <w:left w:val="none" w:sz="0" w:space="0" w:color="auto"/>
                            <w:bottom w:val="none" w:sz="0" w:space="0" w:color="auto"/>
                            <w:right w:val="none" w:sz="0" w:space="0" w:color="auto"/>
                          </w:divBdr>
                          <w:divsChild>
                            <w:div w:id="1461268847">
                              <w:marLeft w:val="0"/>
                              <w:marRight w:val="0"/>
                              <w:marTop w:val="0"/>
                              <w:marBottom w:val="0"/>
                              <w:divBdr>
                                <w:top w:val="none" w:sz="0" w:space="0" w:color="auto"/>
                                <w:left w:val="none" w:sz="0" w:space="0" w:color="auto"/>
                                <w:bottom w:val="none" w:sz="0" w:space="0" w:color="auto"/>
                                <w:right w:val="none" w:sz="0" w:space="0" w:color="auto"/>
                              </w:divBdr>
                              <w:divsChild>
                                <w:div w:id="5588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91065">
      <w:bodyDiv w:val="1"/>
      <w:marLeft w:val="0"/>
      <w:marRight w:val="0"/>
      <w:marTop w:val="0"/>
      <w:marBottom w:val="0"/>
      <w:divBdr>
        <w:top w:val="none" w:sz="0" w:space="0" w:color="auto"/>
        <w:left w:val="none" w:sz="0" w:space="0" w:color="auto"/>
        <w:bottom w:val="none" w:sz="0" w:space="0" w:color="auto"/>
        <w:right w:val="none" w:sz="0" w:space="0" w:color="auto"/>
      </w:divBdr>
    </w:div>
    <w:div w:id="663778288">
      <w:bodyDiv w:val="1"/>
      <w:marLeft w:val="0"/>
      <w:marRight w:val="0"/>
      <w:marTop w:val="0"/>
      <w:marBottom w:val="0"/>
      <w:divBdr>
        <w:top w:val="none" w:sz="0" w:space="0" w:color="auto"/>
        <w:left w:val="none" w:sz="0" w:space="0" w:color="auto"/>
        <w:bottom w:val="none" w:sz="0" w:space="0" w:color="auto"/>
        <w:right w:val="none" w:sz="0" w:space="0" w:color="auto"/>
      </w:divBdr>
    </w:div>
    <w:div w:id="681667961">
      <w:bodyDiv w:val="1"/>
      <w:marLeft w:val="0"/>
      <w:marRight w:val="0"/>
      <w:marTop w:val="0"/>
      <w:marBottom w:val="0"/>
      <w:divBdr>
        <w:top w:val="none" w:sz="0" w:space="0" w:color="auto"/>
        <w:left w:val="none" w:sz="0" w:space="0" w:color="auto"/>
        <w:bottom w:val="none" w:sz="0" w:space="0" w:color="auto"/>
        <w:right w:val="none" w:sz="0" w:space="0" w:color="auto"/>
      </w:divBdr>
    </w:div>
    <w:div w:id="683824598">
      <w:bodyDiv w:val="1"/>
      <w:marLeft w:val="0"/>
      <w:marRight w:val="0"/>
      <w:marTop w:val="0"/>
      <w:marBottom w:val="0"/>
      <w:divBdr>
        <w:top w:val="none" w:sz="0" w:space="0" w:color="auto"/>
        <w:left w:val="none" w:sz="0" w:space="0" w:color="auto"/>
        <w:bottom w:val="none" w:sz="0" w:space="0" w:color="auto"/>
        <w:right w:val="none" w:sz="0" w:space="0" w:color="auto"/>
      </w:divBdr>
    </w:div>
    <w:div w:id="723676261">
      <w:bodyDiv w:val="1"/>
      <w:marLeft w:val="0"/>
      <w:marRight w:val="0"/>
      <w:marTop w:val="0"/>
      <w:marBottom w:val="0"/>
      <w:divBdr>
        <w:top w:val="none" w:sz="0" w:space="0" w:color="auto"/>
        <w:left w:val="none" w:sz="0" w:space="0" w:color="auto"/>
        <w:bottom w:val="none" w:sz="0" w:space="0" w:color="auto"/>
        <w:right w:val="none" w:sz="0" w:space="0" w:color="auto"/>
      </w:divBdr>
    </w:div>
    <w:div w:id="728500785">
      <w:bodyDiv w:val="1"/>
      <w:marLeft w:val="0"/>
      <w:marRight w:val="0"/>
      <w:marTop w:val="0"/>
      <w:marBottom w:val="0"/>
      <w:divBdr>
        <w:top w:val="none" w:sz="0" w:space="0" w:color="auto"/>
        <w:left w:val="none" w:sz="0" w:space="0" w:color="auto"/>
        <w:bottom w:val="none" w:sz="0" w:space="0" w:color="auto"/>
        <w:right w:val="none" w:sz="0" w:space="0" w:color="auto"/>
      </w:divBdr>
    </w:div>
    <w:div w:id="728919776">
      <w:bodyDiv w:val="1"/>
      <w:marLeft w:val="0"/>
      <w:marRight w:val="0"/>
      <w:marTop w:val="0"/>
      <w:marBottom w:val="0"/>
      <w:divBdr>
        <w:top w:val="none" w:sz="0" w:space="0" w:color="auto"/>
        <w:left w:val="none" w:sz="0" w:space="0" w:color="auto"/>
        <w:bottom w:val="none" w:sz="0" w:space="0" w:color="auto"/>
        <w:right w:val="none" w:sz="0" w:space="0" w:color="auto"/>
      </w:divBdr>
    </w:div>
    <w:div w:id="750278471">
      <w:bodyDiv w:val="1"/>
      <w:marLeft w:val="0"/>
      <w:marRight w:val="0"/>
      <w:marTop w:val="0"/>
      <w:marBottom w:val="0"/>
      <w:divBdr>
        <w:top w:val="none" w:sz="0" w:space="0" w:color="auto"/>
        <w:left w:val="none" w:sz="0" w:space="0" w:color="auto"/>
        <w:bottom w:val="none" w:sz="0" w:space="0" w:color="auto"/>
        <w:right w:val="none" w:sz="0" w:space="0" w:color="auto"/>
      </w:divBdr>
    </w:div>
    <w:div w:id="772819055">
      <w:bodyDiv w:val="1"/>
      <w:marLeft w:val="0"/>
      <w:marRight w:val="0"/>
      <w:marTop w:val="0"/>
      <w:marBottom w:val="0"/>
      <w:divBdr>
        <w:top w:val="none" w:sz="0" w:space="0" w:color="auto"/>
        <w:left w:val="none" w:sz="0" w:space="0" w:color="auto"/>
        <w:bottom w:val="none" w:sz="0" w:space="0" w:color="auto"/>
        <w:right w:val="none" w:sz="0" w:space="0" w:color="auto"/>
      </w:divBdr>
    </w:div>
    <w:div w:id="774982034">
      <w:bodyDiv w:val="1"/>
      <w:marLeft w:val="0"/>
      <w:marRight w:val="0"/>
      <w:marTop w:val="0"/>
      <w:marBottom w:val="0"/>
      <w:divBdr>
        <w:top w:val="none" w:sz="0" w:space="0" w:color="auto"/>
        <w:left w:val="none" w:sz="0" w:space="0" w:color="auto"/>
        <w:bottom w:val="none" w:sz="0" w:space="0" w:color="auto"/>
        <w:right w:val="none" w:sz="0" w:space="0" w:color="auto"/>
      </w:divBdr>
    </w:div>
    <w:div w:id="775439929">
      <w:bodyDiv w:val="1"/>
      <w:marLeft w:val="0"/>
      <w:marRight w:val="0"/>
      <w:marTop w:val="0"/>
      <w:marBottom w:val="0"/>
      <w:divBdr>
        <w:top w:val="none" w:sz="0" w:space="0" w:color="auto"/>
        <w:left w:val="none" w:sz="0" w:space="0" w:color="auto"/>
        <w:bottom w:val="none" w:sz="0" w:space="0" w:color="auto"/>
        <w:right w:val="none" w:sz="0" w:space="0" w:color="auto"/>
      </w:divBdr>
    </w:div>
    <w:div w:id="785153767">
      <w:bodyDiv w:val="1"/>
      <w:marLeft w:val="0"/>
      <w:marRight w:val="0"/>
      <w:marTop w:val="0"/>
      <w:marBottom w:val="0"/>
      <w:divBdr>
        <w:top w:val="none" w:sz="0" w:space="0" w:color="auto"/>
        <w:left w:val="none" w:sz="0" w:space="0" w:color="auto"/>
        <w:bottom w:val="none" w:sz="0" w:space="0" w:color="auto"/>
        <w:right w:val="none" w:sz="0" w:space="0" w:color="auto"/>
      </w:divBdr>
    </w:div>
    <w:div w:id="788091541">
      <w:bodyDiv w:val="1"/>
      <w:marLeft w:val="0"/>
      <w:marRight w:val="0"/>
      <w:marTop w:val="0"/>
      <w:marBottom w:val="0"/>
      <w:divBdr>
        <w:top w:val="none" w:sz="0" w:space="0" w:color="auto"/>
        <w:left w:val="none" w:sz="0" w:space="0" w:color="auto"/>
        <w:bottom w:val="none" w:sz="0" w:space="0" w:color="auto"/>
        <w:right w:val="none" w:sz="0" w:space="0" w:color="auto"/>
      </w:divBdr>
    </w:div>
    <w:div w:id="790435011">
      <w:bodyDiv w:val="1"/>
      <w:marLeft w:val="0"/>
      <w:marRight w:val="0"/>
      <w:marTop w:val="0"/>
      <w:marBottom w:val="0"/>
      <w:divBdr>
        <w:top w:val="none" w:sz="0" w:space="0" w:color="auto"/>
        <w:left w:val="none" w:sz="0" w:space="0" w:color="auto"/>
        <w:bottom w:val="none" w:sz="0" w:space="0" w:color="auto"/>
        <w:right w:val="none" w:sz="0" w:space="0" w:color="auto"/>
      </w:divBdr>
    </w:div>
    <w:div w:id="831485735">
      <w:bodyDiv w:val="1"/>
      <w:marLeft w:val="0"/>
      <w:marRight w:val="0"/>
      <w:marTop w:val="0"/>
      <w:marBottom w:val="0"/>
      <w:divBdr>
        <w:top w:val="none" w:sz="0" w:space="0" w:color="auto"/>
        <w:left w:val="none" w:sz="0" w:space="0" w:color="auto"/>
        <w:bottom w:val="none" w:sz="0" w:space="0" w:color="auto"/>
        <w:right w:val="none" w:sz="0" w:space="0" w:color="auto"/>
      </w:divBdr>
    </w:div>
    <w:div w:id="837691701">
      <w:bodyDiv w:val="1"/>
      <w:marLeft w:val="0"/>
      <w:marRight w:val="0"/>
      <w:marTop w:val="0"/>
      <w:marBottom w:val="0"/>
      <w:divBdr>
        <w:top w:val="none" w:sz="0" w:space="0" w:color="auto"/>
        <w:left w:val="none" w:sz="0" w:space="0" w:color="auto"/>
        <w:bottom w:val="none" w:sz="0" w:space="0" w:color="auto"/>
        <w:right w:val="none" w:sz="0" w:space="0" w:color="auto"/>
      </w:divBdr>
    </w:div>
    <w:div w:id="853571844">
      <w:bodyDiv w:val="1"/>
      <w:marLeft w:val="0"/>
      <w:marRight w:val="0"/>
      <w:marTop w:val="0"/>
      <w:marBottom w:val="0"/>
      <w:divBdr>
        <w:top w:val="none" w:sz="0" w:space="0" w:color="auto"/>
        <w:left w:val="none" w:sz="0" w:space="0" w:color="auto"/>
        <w:bottom w:val="none" w:sz="0" w:space="0" w:color="auto"/>
        <w:right w:val="none" w:sz="0" w:space="0" w:color="auto"/>
      </w:divBdr>
    </w:div>
    <w:div w:id="860358359">
      <w:bodyDiv w:val="1"/>
      <w:marLeft w:val="0"/>
      <w:marRight w:val="0"/>
      <w:marTop w:val="0"/>
      <w:marBottom w:val="0"/>
      <w:divBdr>
        <w:top w:val="none" w:sz="0" w:space="0" w:color="auto"/>
        <w:left w:val="none" w:sz="0" w:space="0" w:color="auto"/>
        <w:bottom w:val="none" w:sz="0" w:space="0" w:color="auto"/>
        <w:right w:val="none" w:sz="0" w:space="0" w:color="auto"/>
      </w:divBdr>
    </w:div>
    <w:div w:id="862326062">
      <w:bodyDiv w:val="1"/>
      <w:marLeft w:val="0"/>
      <w:marRight w:val="0"/>
      <w:marTop w:val="0"/>
      <w:marBottom w:val="0"/>
      <w:divBdr>
        <w:top w:val="none" w:sz="0" w:space="0" w:color="auto"/>
        <w:left w:val="none" w:sz="0" w:space="0" w:color="auto"/>
        <w:bottom w:val="none" w:sz="0" w:space="0" w:color="auto"/>
        <w:right w:val="none" w:sz="0" w:space="0" w:color="auto"/>
      </w:divBdr>
    </w:div>
    <w:div w:id="892736513">
      <w:bodyDiv w:val="1"/>
      <w:marLeft w:val="0"/>
      <w:marRight w:val="0"/>
      <w:marTop w:val="0"/>
      <w:marBottom w:val="0"/>
      <w:divBdr>
        <w:top w:val="none" w:sz="0" w:space="0" w:color="auto"/>
        <w:left w:val="none" w:sz="0" w:space="0" w:color="auto"/>
        <w:bottom w:val="none" w:sz="0" w:space="0" w:color="auto"/>
        <w:right w:val="none" w:sz="0" w:space="0" w:color="auto"/>
      </w:divBdr>
    </w:div>
    <w:div w:id="894391967">
      <w:bodyDiv w:val="1"/>
      <w:marLeft w:val="0"/>
      <w:marRight w:val="0"/>
      <w:marTop w:val="0"/>
      <w:marBottom w:val="0"/>
      <w:divBdr>
        <w:top w:val="none" w:sz="0" w:space="0" w:color="auto"/>
        <w:left w:val="none" w:sz="0" w:space="0" w:color="auto"/>
        <w:bottom w:val="none" w:sz="0" w:space="0" w:color="auto"/>
        <w:right w:val="none" w:sz="0" w:space="0" w:color="auto"/>
      </w:divBdr>
    </w:div>
    <w:div w:id="905719821">
      <w:bodyDiv w:val="1"/>
      <w:marLeft w:val="0"/>
      <w:marRight w:val="0"/>
      <w:marTop w:val="0"/>
      <w:marBottom w:val="0"/>
      <w:divBdr>
        <w:top w:val="none" w:sz="0" w:space="0" w:color="auto"/>
        <w:left w:val="none" w:sz="0" w:space="0" w:color="auto"/>
        <w:bottom w:val="none" w:sz="0" w:space="0" w:color="auto"/>
        <w:right w:val="none" w:sz="0" w:space="0" w:color="auto"/>
      </w:divBdr>
    </w:div>
    <w:div w:id="924800944">
      <w:bodyDiv w:val="1"/>
      <w:marLeft w:val="0"/>
      <w:marRight w:val="0"/>
      <w:marTop w:val="0"/>
      <w:marBottom w:val="0"/>
      <w:divBdr>
        <w:top w:val="none" w:sz="0" w:space="0" w:color="auto"/>
        <w:left w:val="none" w:sz="0" w:space="0" w:color="auto"/>
        <w:bottom w:val="none" w:sz="0" w:space="0" w:color="auto"/>
        <w:right w:val="none" w:sz="0" w:space="0" w:color="auto"/>
      </w:divBdr>
    </w:div>
    <w:div w:id="932398016">
      <w:bodyDiv w:val="1"/>
      <w:marLeft w:val="0"/>
      <w:marRight w:val="0"/>
      <w:marTop w:val="0"/>
      <w:marBottom w:val="0"/>
      <w:divBdr>
        <w:top w:val="none" w:sz="0" w:space="0" w:color="auto"/>
        <w:left w:val="none" w:sz="0" w:space="0" w:color="auto"/>
        <w:bottom w:val="none" w:sz="0" w:space="0" w:color="auto"/>
        <w:right w:val="none" w:sz="0" w:space="0" w:color="auto"/>
      </w:divBdr>
    </w:div>
    <w:div w:id="945691540">
      <w:bodyDiv w:val="1"/>
      <w:marLeft w:val="0"/>
      <w:marRight w:val="0"/>
      <w:marTop w:val="0"/>
      <w:marBottom w:val="0"/>
      <w:divBdr>
        <w:top w:val="none" w:sz="0" w:space="0" w:color="auto"/>
        <w:left w:val="none" w:sz="0" w:space="0" w:color="auto"/>
        <w:bottom w:val="none" w:sz="0" w:space="0" w:color="auto"/>
        <w:right w:val="none" w:sz="0" w:space="0" w:color="auto"/>
      </w:divBdr>
    </w:div>
    <w:div w:id="957490238">
      <w:bodyDiv w:val="1"/>
      <w:marLeft w:val="0"/>
      <w:marRight w:val="0"/>
      <w:marTop w:val="0"/>
      <w:marBottom w:val="0"/>
      <w:divBdr>
        <w:top w:val="none" w:sz="0" w:space="0" w:color="auto"/>
        <w:left w:val="none" w:sz="0" w:space="0" w:color="auto"/>
        <w:bottom w:val="none" w:sz="0" w:space="0" w:color="auto"/>
        <w:right w:val="none" w:sz="0" w:space="0" w:color="auto"/>
      </w:divBdr>
    </w:div>
    <w:div w:id="969551542">
      <w:bodyDiv w:val="1"/>
      <w:marLeft w:val="0"/>
      <w:marRight w:val="0"/>
      <w:marTop w:val="0"/>
      <w:marBottom w:val="0"/>
      <w:divBdr>
        <w:top w:val="none" w:sz="0" w:space="0" w:color="auto"/>
        <w:left w:val="none" w:sz="0" w:space="0" w:color="auto"/>
        <w:bottom w:val="none" w:sz="0" w:space="0" w:color="auto"/>
        <w:right w:val="none" w:sz="0" w:space="0" w:color="auto"/>
      </w:divBdr>
    </w:div>
    <w:div w:id="999969876">
      <w:bodyDiv w:val="1"/>
      <w:marLeft w:val="0"/>
      <w:marRight w:val="0"/>
      <w:marTop w:val="0"/>
      <w:marBottom w:val="0"/>
      <w:divBdr>
        <w:top w:val="none" w:sz="0" w:space="0" w:color="auto"/>
        <w:left w:val="none" w:sz="0" w:space="0" w:color="auto"/>
        <w:bottom w:val="none" w:sz="0" w:space="0" w:color="auto"/>
        <w:right w:val="none" w:sz="0" w:space="0" w:color="auto"/>
      </w:divBdr>
    </w:div>
    <w:div w:id="1015500076">
      <w:bodyDiv w:val="1"/>
      <w:marLeft w:val="0"/>
      <w:marRight w:val="0"/>
      <w:marTop w:val="0"/>
      <w:marBottom w:val="0"/>
      <w:divBdr>
        <w:top w:val="none" w:sz="0" w:space="0" w:color="auto"/>
        <w:left w:val="none" w:sz="0" w:space="0" w:color="auto"/>
        <w:bottom w:val="none" w:sz="0" w:space="0" w:color="auto"/>
        <w:right w:val="none" w:sz="0" w:space="0" w:color="auto"/>
      </w:divBdr>
    </w:div>
    <w:div w:id="1059867131">
      <w:bodyDiv w:val="1"/>
      <w:marLeft w:val="0"/>
      <w:marRight w:val="0"/>
      <w:marTop w:val="0"/>
      <w:marBottom w:val="0"/>
      <w:divBdr>
        <w:top w:val="none" w:sz="0" w:space="0" w:color="auto"/>
        <w:left w:val="none" w:sz="0" w:space="0" w:color="auto"/>
        <w:bottom w:val="none" w:sz="0" w:space="0" w:color="auto"/>
        <w:right w:val="none" w:sz="0" w:space="0" w:color="auto"/>
      </w:divBdr>
    </w:div>
    <w:div w:id="1077367379">
      <w:bodyDiv w:val="1"/>
      <w:marLeft w:val="0"/>
      <w:marRight w:val="0"/>
      <w:marTop w:val="0"/>
      <w:marBottom w:val="0"/>
      <w:divBdr>
        <w:top w:val="none" w:sz="0" w:space="0" w:color="auto"/>
        <w:left w:val="none" w:sz="0" w:space="0" w:color="auto"/>
        <w:bottom w:val="none" w:sz="0" w:space="0" w:color="auto"/>
        <w:right w:val="none" w:sz="0" w:space="0" w:color="auto"/>
      </w:divBdr>
    </w:div>
    <w:div w:id="1083994033">
      <w:bodyDiv w:val="1"/>
      <w:marLeft w:val="0"/>
      <w:marRight w:val="0"/>
      <w:marTop w:val="0"/>
      <w:marBottom w:val="0"/>
      <w:divBdr>
        <w:top w:val="none" w:sz="0" w:space="0" w:color="auto"/>
        <w:left w:val="none" w:sz="0" w:space="0" w:color="auto"/>
        <w:bottom w:val="none" w:sz="0" w:space="0" w:color="auto"/>
        <w:right w:val="none" w:sz="0" w:space="0" w:color="auto"/>
      </w:divBdr>
    </w:div>
    <w:div w:id="1093672253">
      <w:bodyDiv w:val="1"/>
      <w:marLeft w:val="0"/>
      <w:marRight w:val="0"/>
      <w:marTop w:val="0"/>
      <w:marBottom w:val="0"/>
      <w:divBdr>
        <w:top w:val="none" w:sz="0" w:space="0" w:color="auto"/>
        <w:left w:val="none" w:sz="0" w:space="0" w:color="auto"/>
        <w:bottom w:val="none" w:sz="0" w:space="0" w:color="auto"/>
        <w:right w:val="none" w:sz="0" w:space="0" w:color="auto"/>
      </w:divBdr>
    </w:div>
    <w:div w:id="1105492375">
      <w:bodyDiv w:val="1"/>
      <w:marLeft w:val="0"/>
      <w:marRight w:val="0"/>
      <w:marTop w:val="0"/>
      <w:marBottom w:val="0"/>
      <w:divBdr>
        <w:top w:val="none" w:sz="0" w:space="0" w:color="auto"/>
        <w:left w:val="none" w:sz="0" w:space="0" w:color="auto"/>
        <w:bottom w:val="none" w:sz="0" w:space="0" w:color="auto"/>
        <w:right w:val="none" w:sz="0" w:space="0" w:color="auto"/>
      </w:divBdr>
    </w:div>
    <w:div w:id="1115443391">
      <w:bodyDiv w:val="1"/>
      <w:marLeft w:val="0"/>
      <w:marRight w:val="0"/>
      <w:marTop w:val="0"/>
      <w:marBottom w:val="0"/>
      <w:divBdr>
        <w:top w:val="none" w:sz="0" w:space="0" w:color="auto"/>
        <w:left w:val="none" w:sz="0" w:space="0" w:color="auto"/>
        <w:bottom w:val="none" w:sz="0" w:space="0" w:color="auto"/>
        <w:right w:val="none" w:sz="0" w:space="0" w:color="auto"/>
      </w:divBdr>
    </w:div>
    <w:div w:id="1159886239">
      <w:bodyDiv w:val="1"/>
      <w:marLeft w:val="0"/>
      <w:marRight w:val="0"/>
      <w:marTop w:val="0"/>
      <w:marBottom w:val="0"/>
      <w:divBdr>
        <w:top w:val="none" w:sz="0" w:space="0" w:color="auto"/>
        <w:left w:val="none" w:sz="0" w:space="0" w:color="auto"/>
        <w:bottom w:val="none" w:sz="0" w:space="0" w:color="auto"/>
        <w:right w:val="none" w:sz="0" w:space="0" w:color="auto"/>
      </w:divBdr>
    </w:div>
    <w:div w:id="1187795742">
      <w:bodyDiv w:val="1"/>
      <w:marLeft w:val="0"/>
      <w:marRight w:val="0"/>
      <w:marTop w:val="0"/>
      <w:marBottom w:val="0"/>
      <w:divBdr>
        <w:top w:val="none" w:sz="0" w:space="0" w:color="auto"/>
        <w:left w:val="none" w:sz="0" w:space="0" w:color="auto"/>
        <w:bottom w:val="none" w:sz="0" w:space="0" w:color="auto"/>
        <w:right w:val="none" w:sz="0" w:space="0" w:color="auto"/>
      </w:divBdr>
    </w:div>
    <w:div w:id="1200781851">
      <w:bodyDiv w:val="1"/>
      <w:marLeft w:val="0"/>
      <w:marRight w:val="0"/>
      <w:marTop w:val="0"/>
      <w:marBottom w:val="0"/>
      <w:divBdr>
        <w:top w:val="none" w:sz="0" w:space="0" w:color="auto"/>
        <w:left w:val="none" w:sz="0" w:space="0" w:color="auto"/>
        <w:bottom w:val="none" w:sz="0" w:space="0" w:color="auto"/>
        <w:right w:val="none" w:sz="0" w:space="0" w:color="auto"/>
      </w:divBdr>
    </w:div>
    <w:div w:id="1220902264">
      <w:bodyDiv w:val="1"/>
      <w:marLeft w:val="0"/>
      <w:marRight w:val="0"/>
      <w:marTop w:val="0"/>
      <w:marBottom w:val="0"/>
      <w:divBdr>
        <w:top w:val="none" w:sz="0" w:space="0" w:color="auto"/>
        <w:left w:val="none" w:sz="0" w:space="0" w:color="auto"/>
        <w:bottom w:val="none" w:sz="0" w:space="0" w:color="auto"/>
        <w:right w:val="none" w:sz="0" w:space="0" w:color="auto"/>
      </w:divBdr>
    </w:div>
    <w:div w:id="1238827782">
      <w:bodyDiv w:val="1"/>
      <w:marLeft w:val="0"/>
      <w:marRight w:val="0"/>
      <w:marTop w:val="0"/>
      <w:marBottom w:val="0"/>
      <w:divBdr>
        <w:top w:val="none" w:sz="0" w:space="0" w:color="auto"/>
        <w:left w:val="none" w:sz="0" w:space="0" w:color="auto"/>
        <w:bottom w:val="none" w:sz="0" w:space="0" w:color="auto"/>
        <w:right w:val="none" w:sz="0" w:space="0" w:color="auto"/>
      </w:divBdr>
    </w:div>
    <w:div w:id="1239318265">
      <w:bodyDiv w:val="1"/>
      <w:marLeft w:val="0"/>
      <w:marRight w:val="0"/>
      <w:marTop w:val="0"/>
      <w:marBottom w:val="0"/>
      <w:divBdr>
        <w:top w:val="none" w:sz="0" w:space="0" w:color="auto"/>
        <w:left w:val="none" w:sz="0" w:space="0" w:color="auto"/>
        <w:bottom w:val="none" w:sz="0" w:space="0" w:color="auto"/>
        <w:right w:val="none" w:sz="0" w:space="0" w:color="auto"/>
      </w:divBdr>
    </w:div>
    <w:div w:id="1253856032">
      <w:bodyDiv w:val="1"/>
      <w:marLeft w:val="0"/>
      <w:marRight w:val="0"/>
      <w:marTop w:val="0"/>
      <w:marBottom w:val="0"/>
      <w:divBdr>
        <w:top w:val="none" w:sz="0" w:space="0" w:color="auto"/>
        <w:left w:val="none" w:sz="0" w:space="0" w:color="auto"/>
        <w:bottom w:val="none" w:sz="0" w:space="0" w:color="auto"/>
        <w:right w:val="none" w:sz="0" w:space="0" w:color="auto"/>
      </w:divBdr>
    </w:div>
    <w:div w:id="1278103206">
      <w:bodyDiv w:val="1"/>
      <w:marLeft w:val="0"/>
      <w:marRight w:val="0"/>
      <w:marTop w:val="0"/>
      <w:marBottom w:val="0"/>
      <w:divBdr>
        <w:top w:val="none" w:sz="0" w:space="0" w:color="auto"/>
        <w:left w:val="none" w:sz="0" w:space="0" w:color="auto"/>
        <w:bottom w:val="none" w:sz="0" w:space="0" w:color="auto"/>
        <w:right w:val="none" w:sz="0" w:space="0" w:color="auto"/>
      </w:divBdr>
    </w:div>
    <w:div w:id="1283148266">
      <w:bodyDiv w:val="1"/>
      <w:marLeft w:val="0"/>
      <w:marRight w:val="0"/>
      <w:marTop w:val="0"/>
      <w:marBottom w:val="0"/>
      <w:divBdr>
        <w:top w:val="none" w:sz="0" w:space="0" w:color="auto"/>
        <w:left w:val="none" w:sz="0" w:space="0" w:color="auto"/>
        <w:bottom w:val="none" w:sz="0" w:space="0" w:color="auto"/>
        <w:right w:val="none" w:sz="0" w:space="0" w:color="auto"/>
      </w:divBdr>
    </w:div>
    <w:div w:id="1302227230">
      <w:bodyDiv w:val="1"/>
      <w:marLeft w:val="0"/>
      <w:marRight w:val="0"/>
      <w:marTop w:val="0"/>
      <w:marBottom w:val="0"/>
      <w:divBdr>
        <w:top w:val="none" w:sz="0" w:space="0" w:color="auto"/>
        <w:left w:val="none" w:sz="0" w:space="0" w:color="auto"/>
        <w:bottom w:val="none" w:sz="0" w:space="0" w:color="auto"/>
        <w:right w:val="none" w:sz="0" w:space="0" w:color="auto"/>
      </w:divBdr>
    </w:div>
    <w:div w:id="1302610127">
      <w:bodyDiv w:val="1"/>
      <w:marLeft w:val="0"/>
      <w:marRight w:val="0"/>
      <w:marTop w:val="0"/>
      <w:marBottom w:val="0"/>
      <w:divBdr>
        <w:top w:val="none" w:sz="0" w:space="0" w:color="auto"/>
        <w:left w:val="none" w:sz="0" w:space="0" w:color="auto"/>
        <w:bottom w:val="none" w:sz="0" w:space="0" w:color="auto"/>
        <w:right w:val="none" w:sz="0" w:space="0" w:color="auto"/>
      </w:divBdr>
    </w:div>
    <w:div w:id="1305574850">
      <w:bodyDiv w:val="1"/>
      <w:marLeft w:val="0"/>
      <w:marRight w:val="0"/>
      <w:marTop w:val="0"/>
      <w:marBottom w:val="0"/>
      <w:divBdr>
        <w:top w:val="none" w:sz="0" w:space="0" w:color="auto"/>
        <w:left w:val="none" w:sz="0" w:space="0" w:color="auto"/>
        <w:bottom w:val="none" w:sz="0" w:space="0" w:color="auto"/>
        <w:right w:val="none" w:sz="0" w:space="0" w:color="auto"/>
      </w:divBdr>
    </w:div>
    <w:div w:id="1312178391">
      <w:bodyDiv w:val="1"/>
      <w:marLeft w:val="0"/>
      <w:marRight w:val="0"/>
      <w:marTop w:val="0"/>
      <w:marBottom w:val="0"/>
      <w:divBdr>
        <w:top w:val="none" w:sz="0" w:space="0" w:color="auto"/>
        <w:left w:val="none" w:sz="0" w:space="0" w:color="auto"/>
        <w:bottom w:val="none" w:sz="0" w:space="0" w:color="auto"/>
        <w:right w:val="none" w:sz="0" w:space="0" w:color="auto"/>
      </w:divBdr>
    </w:div>
    <w:div w:id="1321807807">
      <w:bodyDiv w:val="1"/>
      <w:marLeft w:val="0"/>
      <w:marRight w:val="0"/>
      <w:marTop w:val="0"/>
      <w:marBottom w:val="0"/>
      <w:divBdr>
        <w:top w:val="none" w:sz="0" w:space="0" w:color="auto"/>
        <w:left w:val="none" w:sz="0" w:space="0" w:color="auto"/>
        <w:bottom w:val="none" w:sz="0" w:space="0" w:color="auto"/>
        <w:right w:val="none" w:sz="0" w:space="0" w:color="auto"/>
      </w:divBdr>
    </w:div>
    <w:div w:id="1323313882">
      <w:bodyDiv w:val="1"/>
      <w:marLeft w:val="0"/>
      <w:marRight w:val="0"/>
      <w:marTop w:val="0"/>
      <w:marBottom w:val="0"/>
      <w:divBdr>
        <w:top w:val="none" w:sz="0" w:space="0" w:color="auto"/>
        <w:left w:val="none" w:sz="0" w:space="0" w:color="auto"/>
        <w:bottom w:val="none" w:sz="0" w:space="0" w:color="auto"/>
        <w:right w:val="none" w:sz="0" w:space="0" w:color="auto"/>
      </w:divBdr>
    </w:div>
    <w:div w:id="1371566114">
      <w:bodyDiv w:val="1"/>
      <w:marLeft w:val="0"/>
      <w:marRight w:val="0"/>
      <w:marTop w:val="0"/>
      <w:marBottom w:val="0"/>
      <w:divBdr>
        <w:top w:val="none" w:sz="0" w:space="0" w:color="auto"/>
        <w:left w:val="none" w:sz="0" w:space="0" w:color="auto"/>
        <w:bottom w:val="none" w:sz="0" w:space="0" w:color="auto"/>
        <w:right w:val="none" w:sz="0" w:space="0" w:color="auto"/>
      </w:divBdr>
    </w:div>
    <w:div w:id="1376851357">
      <w:bodyDiv w:val="1"/>
      <w:marLeft w:val="0"/>
      <w:marRight w:val="0"/>
      <w:marTop w:val="0"/>
      <w:marBottom w:val="0"/>
      <w:divBdr>
        <w:top w:val="none" w:sz="0" w:space="0" w:color="auto"/>
        <w:left w:val="none" w:sz="0" w:space="0" w:color="auto"/>
        <w:bottom w:val="none" w:sz="0" w:space="0" w:color="auto"/>
        <w:right w:val="none" w:sz="0" w:space="0" w:color="auto"/>
      </w:divBdr>
    </w:div>
    <w:div w:id="1423719924">
      <w:bodyDiv w:val="1"/>
      <w:marLeft w:val="0"/>
      <w:marRight w:val="0"/>
      <w:marTop w:val="0"/>
      <w:marBottom w:val="0"/>
      <w:divBdr>
        <w:top w:val="none" w:sz="0" w:space="0" w:color="auto"/>
        <w:left w:val="none" w:sz="0" w:space="0" w:color="auto"/>
        <w:bottom w:val="none" w:sz="0" w:space="0" w:color="auto"/>
        <w:right w:val="none" w:sz="0" w:space="0" w:color="auto"/>
      </w:divBdr>
    </w:div>
    <w:div w:id="1469859314">
      <w:bodyDiv w:val="1"/>
      <w:marLeft w:val="0"/>
      <w:marRight w:val="0"/>
      <w:marTop w:val="0"/>
      <w:marBottom w:val="0"/>
      <w:divBdr>
        <w:top w:val="none" w:sz="0" w:space="0" w:color="auto"/>
        <w:left w:val="none" w:sz="0" w:space="0" w:color="auto"/>
        <w:bottom w:val="none" w:sz="0" w:space="0" w:color="auto"/>
        <w:right w:val="none" w:sz="0" w:space="0" w:color="auto"/>
      </w:divBdr>
    </w:div>
    <w:div w:id="1476751285">
      <w:bodyDiv w:val="1"/>
      <w:marLeft w:val="0"/>
      <w:marRight w:val="0"/>
      <w:marTop w:val="0"/>
      <w:marBottom w:val="0"/>
      <w:divBdr>
        <w:top w:val="none" w:sz="0" w:space="0" w:color="auto"/>
        <w:left w:val="none" w:sz="0" w:space="0" w:color="auto"/>
        <w:bottom w:val="none" w:sz="0" w:space="0" w:color="auto"/>
        <w:right w:val="none" w:sz="0" w:space="0" w:color="auto"/>
      </w:divBdr>
    </w:div>
    <w:div w:id="1566573562">
      <w:bodyDiv w:val="1"/>
      <w:marLeft w:val="0"/>
      <w:marRight w:val="0"/>
      <w:marTop w:val="0"/>
      <w:marBottom w:val="0"/>
      <w:divBdr>
        <w:top w:val="none" w:sz="0" w:space="0" w:color="auto"/>
        <w:left w:val="none" w:sz="0" w:space="0" w:color="auto"/>
        <w:bottom w:val="none" w:sz="0" w:space="0" w:color="auto"/>
        <w:right w:val="none" w:sz="0" w:space="0" w:color="auto"/>
      </w:divBdr>
    </w:div>
    <w:div w:id="1586258991">
      <w:bodyDiv w:val="1"/>
      <w:marLeft w:val="0"/>
      <w:marRight w:val="0"/>
      <w:marTop w:val="0"/>
      <w:marBottom w:val="0"/>
      <w:divBdr>
        <w:top w:val="none" w:sz="0" w:space="0" w:color="auto"/>
        <w:left w:val="none" w:sz="0" w:space="0" w:color="auto"/>
        <w:bottom w:val="none" w:sz="0" w:space="0" w:color="auto"/>
        <w:right w:val="none" w:sz="0" w:space="0" w:color="auto"/>
      </w:divBdr>
      <w:divsChild>
        <w:div w:id="41751442">
          <w:marLeft w:val="0"/>
          <w:marRight w:val="0"/>
          <w:marTop w:val="0"/>
          <w:marBottom w:val="0"/>
          <w:divBdr>
            <w:top w:val="none" w:sz="0" w:space="0" w:color="auto"/>
            <w:left w:val="none" w:sz="0" w:space="0" w:color="auto"/>
            <w:bottom w:val="none" w:sz="0" w:space="0" w:color="auto"/>
            <w:right w:val="none" w:sz="0" w:space="0" w:color="auto"/>
          </w:divBdr>
          <w:divsChild>
            <w:div w:id="1211579600">
              <w:marLeft w:val="0"/>
              <w:marRight w:val="0"/>
              <w:marTop w:val="0"/>
              <w:marBottom w:val="0"/>
              <w:divBdr>
                <w:top w:val="none" w:sz="0" w:space="0" w:color="auto"/>
                <w:left w:val="none" w:sz="0" w:space="0" w:color="auto"/>
                <w:bottom w:val="none" w:sz="0" w:space="0" w:color="auto"/>
                <w:right w:val="none" w:sz="0" w:space="0" w:color="auto"/>
              </w:divBdr>
              <w:divsChild>
                <w:div w:id="1609504631">
                  <w:marLeft w:val="0"/>
                  <w:marRight w:val="0"/>
                  <w:marTop w:val="0"/>
                  <w:marBottom w:val="0"/>
                  <w:divBdr>
                    <w:top w:val="none" w:sz="0" w:space="0" w:color="auto"/>
                    <w:left w:val="none" w:sz="0" w:space="0" w:color="auto"/>
                    <w:bottom w:val="none" w:sz="0" w:space="0" w:color="auto"/>
                    <w:right w:val="none" w:sz="0" w:space="0" w:color="auto"/>
                  </w:divBdr>
                  <w:divsChild>
                    <w:div w:id="1518814419">
                      <w:marLeft w:val="0"/>
                      <w:marRight w:val="0"/>
                      <w:marTop w:val="0"/>
                      <w:marBottom w:val="0"/>
                      <w:divBdr>
                        <w:top w:val="none" w:sz="0" w:space="0" w:color="auto"/>
                        <w:left w:val="none" w:sz="0" w:space="0" w:color="auto"/>
                        <w:bottom w:val="none" w:sz="0" w:space="0" w:color="auto"/>
                        <w:right w:val="none" w:sz="0" w:space="0" w:color="auto"/>
                      </w:divBdr>
                      <w:divsChild>
                        <w:div w:id="1687054292">
                          <w:marLeft w:val="0"/>
                          <w:marRight w:val="0"/>
                          <w:marTop w:val="0"/>
                          <w:marBottom w:val="0"/>
                          <w:divBdr>
                            <w:top w:val="none" w:sz="0" w:space="0" w:color="auto"/>
                            <w:left w:val="none" w:sz="0" w:space="0" w:color="auto"/>
                            <w:bottom w:val="none" w:sz="0" w:space="0" w:color="auto"/>
                            <w:right w:val="none" w:sz="0" w:space="0" w:color="auto"/>
                          </w:divBdr>
                          <w:divsChild>
                            <w:div w:id="483549437">
                              <w:marLeft w:val="0"/>
                              <w:marRight w:val="0"/>
                              <w:marTop w:val="0"/>
                              <w:marBottom w:val="0"/>
                              <w:divBdr>
                                <w:top w:val="none" w:sz="0" w:space="0" w:color="auto"/>
                                <w:left w:val="none" w:sz="0" w:space="0" w:color="auto"/>
                                <w:bottom w:val="none" w:sz="0" w:space="0" w:color="auto"/>
                                <w:right w:val="none" w:sz="0" w:space="0" w:color="auto"/>
                              </w:divBdr>
                              <w:divsChild>
                                <w:div w:id="18881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10295">
      <w:bodyDiv w:val="1"/>
      <w:marLeft w:val="0"/>
      <w:marRight w:val="0"/>
      <w:marTop w:val="0"/>
      <w:marBottom w:val="0"/>
      <w:divBdr>
        <w:top w:val="none" w:sz="0" w:space="0" w:color="auto"/>
        <w:left w:val="none" w:sz="0" w:space="0" w:color="auto"/>
        <w:bottom w:val="none" w:sz="0" w:space="0" w:color="auto"/>
        <w:right w:val="none" w:sz="0" w:space="0" w:color="auto"/>
      </w:divBdr>
    </w:div>
    <w:div w:id="1596355050">
      <w:bodyDiv w:val="1"/>
      <w:marLeft w:val="0"/>
      <w:marRight w:val="0"/>
      <w:marTop w:val="0"/>
      <w:marBottom w:val="0"/>
      <w:divBdr>
        <w:top w:val="none" w:sz="0" w:space="0" w:color="auto"/>
        <w:left w:val="none" w:sz="0" w:space="0" w:color="auto"/>
        <w:bottom w:val="none" w:sz="0" w:space="0" w:color="auto"/>
        <w:right w:val="none" w:sz="0" w:space="0" w:color="auto"/>
      </w:divBdr>
    </w:div>
    <w:div w:id="1598515417">
      <w:bodyDiv w:val="1"/>
      <w:marLeft w:val="0"/>
      <w:marRight w:val="0"/>
      <w:marTop w:val="0"/>
      <w:marBottom w:val="0"/>
      <w:divBdr>
        <w:top w:val="none" w:sz="0" w:space="0" w:color="auto"/>
        <w:left w:val="none" w:sz="0" w:space="0" w:color="auto"/>
        <w:bottom w:val="none" w:sz="0" w:space="0" w:color="auto"/>
        <w:right w:val="none" w:sz="0" w:space="0" w:color="auto"/>
      </w:divBdr>
    </w:div>
    <w:div w:id="1612198682">
      <w:bodyDiv w:val="1"/>
      <w:marLeft w:val="0"/>
      <w:marRight w:val="0"/>
      <w:marTop w:val="0"/>
      <w:marBottom w:val="0"/>
      <w:divBdr>
        <w:top w:val="none" w:sz="0" w:space="0" w:color="auto"/>
        <w:left w:val="none" w:sz="0" w:space="0" w:color="auto"/>
        <w:bottom w:val="none" w:sz="0" w:space="0" w:color="auto"/>
        <w:right w:val="none" w:sz="0" w:space="0" w:color="auto"/>
      </w:divBdr>
    </w:div>
    <w:div w:id="1612973703">
      <w:bodyDiv w:val="1"/>
      <w:marLeft w:val="0"/>
      <w:marRight w:val="0"/>
      <w:marTop w:val="0"/>
      <w:marBottom w:val="0"/>
      <w:divBdr>
        <w:top w:val="none" w:sz="0" w:space="0" w:color="auto"/>
        <w:left w:val="none" w:sz="0" w:space="0" w:color="auto"/>
        <w:bottom w:val="none" w:sz="0" w:space="0" w:color="auto"/>
        <w:right w:val="none" w:sz="0" w:space="0" w:color="auto"/>
      </w:divBdr>
    </w:div>
    <w:div w:id="1663660091">
      <w:bodyDiv w:val="1"/>
      <w:marLeft w:val="0"/>
      <w:marRight w:val="0"/>
      <w:marTop w:val="0"/>
      <w:marBottom w:val="0"/>
      <w:divBdr>
        <w:top w:val="none" w:sz="0" w:space="0" w:color="auto"/>
        <w:left w:val="none" w:sz="0" w:space="0" w:color="auto"/>
        <w:bottom w:val="none" w:sz="0" w:space="0" w:color="auto"/>
        <w:right w:val="none" w:sz="0" w:space="0" w:color="auto"/>
      </w:divBdr>
    </w:div>
    <w:div w:id="1668089853">
      <w:bodyDiv w:val="1"/>
      <w:marLeft w:val="0"/>
      <w:marRight w:val="0"/>
      <w:marTop w:val="0"/>
      <w:marBottom w:val="0"/>
      <w:divBdr>
        <w:top w:val="none" w:sz="0" w:space="0" w:color="auto"/>
        <w:left w:val="none" w:sz="0" w:space="0" w:color="auto"/>
        <w:bottom w:val="none" w:sz="0" w:space="0" w:color="auto"/>
        <w:right w:val="none" w:sz="0" w:space="0" w:color="auto"/>
      </w:divBdr>
    </w:div>
    <w:div w:id="1709792048">
      <w:bodyDiv w:val="1"/>
      <w:marLeft w:val="0"/>
      <w:marRight w:val="0"/>
      <w:marTop w:val="0"/>
      <w:marBottom w:val="0"/>
      <w:divBdr>
        <w:top w:val="none" w:sz="0" w:space="0" w:color="auto"/>
        <w:left w:val="none" w:sz="0" w:space="0" w:color="auto"/>
        <w:bottom w:val="none" w:sz="0" w:space="0" w:color="auto"/>
        <w:right w:val="none" w:sz="0" w:space="0" w:color="auto"/>
      </w:divBdr>
    </w:div>
    <w:div w:id="1712605872">
      <w:bodyDiv w:val="1"/>
      <w:marLeft w:val="0"/>
      <w:marRight w:val="0"/>
      <w:marTop w:val="0"/>
      <w:marBottom w:val="0"/>
      <w:divBdr>
        <w:top w:val="none" w:sz="0" w:space="0" w:color="auto"/>
        <w:left w:val="none" w:sz="0" w:space="0" w:color="auto"/>
        <w:bottom w:val="none" w:sz="0" w:space="0" w:color="auto"/>
        <w:right w:val="none" w:sz="0" w:space="0" w:color="auto"/>
      </w:divBdr>
    </w:div>
    <w:div w:id="1713069802">
      <w:bodyDiv w:val="1"/>
      <w:marLeft w:val="0"/>
      <w:marRight w:val="0"/>
      <w:marTop w:val="0"/>
      <w:marBottom w:val="0"/>
      <w:divBdr>
        <w:top w:val="none" w:sz="0" w:space="0" w:color="auto"/>
        <w:left w:val="none" w:sz="0" w:space="0" w:color="auto"/>
        <w:bottom w:val="none" w:sz="0" w:space="0" w:color="auto"/>
        <w:right w:val="none" w:sz="0" w:space="0" w:color="auto"/>
      </w:divBdr>
    </w:div>
    <w:div w:id="1716807746">
      <w:bodyDiv w:val="1"/>
      <w:marLeft w:val="0"/>
      <w:marRight w:val="0"/>
      <w:marTop w:val="0"/>
      <w:marBottom w:val="0"/>
      <w:divBdr>
        <w:top w:val="none" w:sz="0" w:space="0" w:color="auto"/>
        <w:left w:val="none" w:sz="0" w:space="0" w:color="auto"/>
        <w:bottom w:val="none" w:sz="0" w:space="0" w:color="auto"/>
        <w:right w:val="none" w:sz="0" w:space="0" w:color="auto"/>
      </w:divBdr>
    </w:div>
    <w:div w:id="1770076345">
      <w:bodyDiv w:val="1"/>
      <w:marLeft w:val="0"/>
      <w:marRight w:val="0"/>
      <w:marTop w:val="0"/>
      <w:marBottom w:val="0"/>
      <w:divBdr>
        <w:top w:val="none" w:sz="0" w:space="0" w:color="auto"/>
        <w:left w:val="none" w:sz="0" w:space="0" w:color="auto"/>
        <w:bottom w:val="none" w:sz="0" w:space="0" w:color="auto"/>
        <w:right w:val="none" w:sz="0" w:space="0" w:color="auto"/>
      </w:divBdr>
    </w:div>
    <w:div w:id="1771001793">
      <w:bodyDiv w:val="1"/>
      <w:marLeft w:val="0"/>
      <w:marRight w:val="0"/>
      <w:marTop w:val="0"/>
      <w:marBottom w:val="0"/>
      <w:divBdr>
        <w:top w:val="none" w:sz="0" w:space="0" w:color="auto"/>
        <w:left w:val="none" w:sz="0" w:space="0" w:color="auto"/>
        <w:bottom w:val="none" w:sz="0" w:space="0" w:color="auto"/>
        <w:right w:val="none" w:sz="0" w:space="0" w:color="auto"/>
      </w:divBdr>
    </w:div>
    <w:div w:id="1797093932">
      <w:bodyDiv w:val="1"/>
      <w:marLeft w:val="0"/>
      <w:marRight w:val="0"/>
      <w:marTop w:val="0"/>
      <w:marBottom w:val="0"/>
      <w:divBdr>
        <w:top w:val="none" w:sz="0" w:space="0" w:color="auto"/>
        <w:left w:val="none" w:sz="0" w:space="0" w:color="auto"/>
        <w:bottom w:val="none" w:sz="0" w:space="0" w:color="auto"/>
        <w:right w:val="none" w:sz="0" w:space="0" w:color="auto"/>
      </w:divBdr>
    </w:div>
    <w:div w:id="1801067709">
      <w:bodyDiv w:val="1"/>
      <w:marLeft w:val="0"/>
      <w:marRight w:val="0"/>
      <w:marTop w:val="0"/>
      <w:marBottom w:val="0"/>
      <w:divBdr>
        <w:top w:val="none" w:sz="0" w:space="0" w:color="auto"/>
        <w:left w:val="none" w:sz="0" w:space="0" w:color="auto"/>
        <w:bottom w:val="none" w:sz="0" w:space="0" w:color="auto"/>
        <w:right w:val="none" w:sz="0" w:space="0" w:color="auto"/>
      </w:divBdr>
    </w:div>
    <w:div w:id="1803234157">
      <w:bodyDiv w:val="1"/>
      <w:marLeft w:val="0"/>
      <w:marRight w:val="0"/>
      <w:marTop w:val="0"/>
      <w:marBottom w:val="0"/>
      <w:divBdr>
        <w:top w:val="none" w:sz="0" w:space="0" w:color="auto"/>
        <w:left w:val="none" w:sz="0" w:space="0" w:color="auto"/>
        <w:bottom w:val="none" w:sz="0" w:space="0" w:color="auto"/>
        <w:right w:val="none" w:sz="0" w:space="0" w:color="auto"/>
      </w:divBdr>
    </w:div>
    <w:div w:id="1810509673">
      <w:bodyDiv w:val="1"/>
      <w:marLeft w:val="0"/>
      <w:marRight w:val="0"/>
      <w:marTop w:val="0"/>
      <w:marBottom w:val="0"/>
      <w:divBdr>
        <w:top w:val="none" w:sz="0" w:space="0" w:color="auto"/>
        <w:left w:val="none" w:sz="0" w:space="0" w:color="auto"/>
        <w:bottom w:val="none" w:sz="0" w:space="0" w:color="auto"/>
        <w:right w:val="none" w:sz="0" w:space="0" w:color="auto"/>
      </w:divBdr>
    </w:div>
    <w:div w:id="1812819746">
      <w:bodyDiv w:val="1"/>
      <w:marLeft w:val="0"/>
      <w:marRight w:val="0"/>
      <w:marTop w:val="0"/>
      <w:marBottom w:val="0"/>
      <w:divBdr>
        <w:top w:val="none" w:sz="0" w:space="0" w:color="auto"/>
        <w:left w:val="none" w:sz="0" w:space="0" w:color="auto"/>
        <w:bottom w:val="none" w:sz="0" w:space="0" w:color="auto"/>
        <w:right w:val="none" w:sz="0" w:space="0" w:color="auto"/>
      </w:divBdr>
    </w:div>
    <w:div w:id="1836190015">
      <w:bodyDiv w:val="1"/>
      <w:marLeft w:val="0"/>
      <w:marRight w:val="0"/>
      <w:marTop w:val="0"/>
      <w:marBottom w:val="0"/>
      <w:divBdr>
        <w:top w:val="none" w:sz="0" w:space="0" w:color="auto"/>
        <w:left w:val="none" w:sz="0" w:space="0" w:color="auto"/>
        <w:bottom w:val="none" w:sz="0" w:space="0" w:color="auto"/>
        <w:right w:val="none" w:sz="0" w:space="0" w:color="auto"/>
      </w:divBdr>
    </w:div>
    <w:div w:id="1838037269">
      <w:bodyDiv w:val="1"/>
      <w:marLeft w:val="0"/>
      <w:marRight w:val="0"/>
      <w:marTop w:val="0"/>
      <w:marBottom w:val="0"/>
      <w:divBdr>
        <w:top w:val="none" w:sz="0" w:space="0" w:color="auto"/>
        <w:left w:val="none" w:sz="0" w:space="0" w:color="auto"/>
        <w:bottom w:val="none" w:sz="0" w:space="0" w:color="auto"/>
        <w:right w:val="none" w:sz="0" w:space="0" w:color="auto"/>
      </w:divBdr>
    </w:div>
    <w:div w:id="1853956584">
      <w:bodyDiv w:val="1"/>
      <w:marLeft w:val="0"/>
      <w:marRight w:val="0"/>
      <w:marTop w:val="0"/>
      <w:marBottom w:val="0"/>
      <w:divBdr>
        <w:top w:val="none" w:sz="0" w:space="0" w:color="auto"/>
        <w:left w:val="none" w:sz="0" w:space="0" w:color="auto"/>
        <w:bottom w:val="none" w:sz="0" w:space="0" w:color="auto"/>
        <w:right w:val="none" w:sz="0" w:space="0" w:color="auto"/>
      </w:divBdr>
    </w:div>
    <w:div w:id="1859852151">
      <w:bodyDiv w:val="1"/>
      <w:marLeft w:val="0"/>
      <w:marRight w:val="0"/>
      <w:marTop w:val="0"/>
      <w:marBottom w:val="0"/>
      <w:divBdr>
        <w:top w:val="none" w:sz="0" w:space="0" w:color="auto"/>
        <w:left w:val="none" w:sz="0" w:space="0" w:color="auto"/>
        <w:bottom w:val="none" w:sz="0" w:space="0" w:color="auto"/>
        <w:right w:val="none" w:sz="0" w:space="0" w:color="auto"/>
      </w:divBdr>
    </w:div>
    <w:div w:id="1862009535">
      <w:bodyDiv w:val="1"/>
      <w:marLeft w:val="0"/>
      <w:marRight w:val="0"/>
      <w:marTop w:val="0"/>
      <w:marBottom w:val="0"/>
      <w:divBdr>
        <w:top w:val="none" w:sz="0" w:space="0" w:color="auto"/>
        <w:left w:val="none" w:sz="0" w:space="0" w:color="auto"/>
        <w:bottom w:val="none" w:sz="0" w:space="0" w:color="auto"/>
        <w:right w:val="none" w:sz="0" w:space="0" w:color="auto"/>
      </w:divBdr>
    </w:div>
    <w:div w:id="1878078898">
      <w:bodyDiv w:val="1"/>
      <w:marLeft w:val="0"/>
      <w:marRight w:val="0"/>
      <w:marTop w:val="0"/>
      <w:marBottom w:val="0"/>
      <w:divBdr>
        <w:top w:val="none" w:sz="0" w:space="0" w:color="auto"/>
        <w:left w:val="none" w:sz="0" w:space="0" w:color="auto"/>
        <w:bottom w:val="none" w:sz="0" w:space="0" w:color="auto"/>
        <w:right w:val="none" w:sz="0" w:space="0" w:color="auto"/>
      </w:divBdr>
    </w:div>
    <w:div w:id="1904635589">
      <w:bodyDiv w:val="1"/>
      <w:marLeft w:val="0"/>
      <w:marRight w:val="0"/>
      <w:marTop w:val="0"/>
      <w:marBottom w:val="0"/>
      <w:divBdr>
        <w:top w:val="none" w:sz="0" w:space="0" w:color="auto"/>
        <w:left w:val="none" w:sz="0" w:space="0" w:color="auto"/>
        <w:bottom w:val="none" w:sz="0" w:space="0" w:color="auto"/>
        <w:right w:val="none" w:sz="0" w:space="0" w:color="auto"/>
      </w:divBdr>
      <w:divsChild>
        <w:div w:id="562525388">
          <w:marLeft w:val="0"/>
          <w:marRight w:val="0"/>
          <w:marTop w:val="0"/>
          <w:marBottom w:val="0"/>
          <w:divBdr>
            <w:top w:val="none" w:sz="0" w:space="0" w:color="auto"/>
            <w:left w:val="none" w:sz="0" w:space="0" w:color="auto"/>
            <w:bottom w:val="none" w:sz="0" w:space="0" w:color="auto"/>
            <w:right w:val="none" w:sz="0" w:space="0" w:color="auto"/>
          </w:divBdr>
        </w:div>
        <w:div w:id="1628120273">
          <w:marLeft w:val="0"/>
          <w:marRight w:val="0"/>
          <w:marTop w:val="0"/>
          <w:marBottom w:val="0"/>
          <w:divBdr>
            <w:top w:val="none" w:sz="0" w:space="0" w:color="auto"/>
            <w:left w:val="none" w:sz="0" w:space="0" w:color="auto"/>
            <w:bottom w:val="none" w:sz="0" w:space="0" w:color="auto"/>
            <w:right w:val="none" w:sz="0" w:space="0" w:color="auto"/>
          </w:divBdr>
        </w:div>
      </w:divsChild>
    </w:div>
    <w:div w:id="1994136480">
      <w:bodyDiv w:val="1"/>
      <w:marLeft w:val="0"/>
      <w:marRight w:val="0"/>
      <w:marTop w:val="0"/>
      <w:marBottom w:val="0"/>
      <w:divBdr>
        <w:top w:val="none" w:sz="0" w:space="0" w:color="auto"/>
        <w:left w:val="none" w:sz="0" w:space="0" w:color="auto"/>
        <w:bottom w:val="none" w:sz="0" w:space="0" w:color="auto"/>
        <w:right w:val="none" w:sz="0" w:space="0" w:color="auto"/>
      </w:divBdr>
    </w:div>
    <w:div w:id="2021354369">
      <w:bodyDiv w:val="1"/>
      <w:marLeft w:val="0"/>
      <w:marRight w:val="0"/>
      <w:marTop w:val="0"/>
      <w:marBottom w:val="0"/>
      <w:divBdr>
        <w:top w:val="none" w:sz="0" w:space="0" w:color="auto"/>
        <w:left w:val="none" w:sz="0" w:space="0" w:color="auto"/>
        <w:bottom w:val="none" w:sz="0" w:space="0" w:color="auto"/>
        <w:right w:val="none" w:sz="0" w:space="0" w:color="auto"/>
      </w:divBdr>
    </w:div>
    <w:div w:id="2024701252">
      <w:bodyDiv w:val="1"/>
      <w:marLeft w:val="0"/>
      <w:marRight w:val="0"/>
      <w:marTop w:val="0"/>
      <w:marBottom w:val="0"/>
      <w:divBdr>
        <w:top w:val="none" w:sz="0" w:space="0" w:color="auto"/>
        <w:left w:val="none" w:sz="0" w:space="0" w:color="auto"/>
        <w:bottom w:val="none" w:sz="0" w:space="0" w:color="auto"/>
        <w:right w:val="none" w:sz="0" w:space="0" w:color="auto"/>
      </w:divBdr>
    </w:div>
    <w:div w:id="2036543145">
      <w:bodyDiv w:val="1"/>
      <w:marLeft w:val="0"/>
      <w:marRight w:val="0"/>
      <w:marTop w:val="0"/>
      <w:marBottom w:val="0"/>
      <w:divBdr>
        <w:top w:val="none" w:sz="0" w:space="0" w:color="auto"/>
        <w:left w:val="none" w:sz="0" w:space="0" w:color="auto"/>
        <w:bottom w:val="none" w:sz="0" w:space="0" w:color="auto"/>
        <w:right w:val="none" w:sz="0" w:space="0" w:color="auto"/>
      </w:divBdr>
    </w:div>
    <w:div w:id="2080396362">
      <w:bodyDiv w:val="1"/>
      <w:marLeft w:val="0"/>
      <w:marRight w:val="0"/>
      <w:marTop w:val="0"/>
      <w:marBottom w:val="0"/>
      <w:divBdr>
        <w:top w:val="none" w:sz="0" w:space="0" w:color="auto"/>
        <w:left w:val="none" w:sz="0" w:space="0" w:color="auto"/>
        <w:bottom w:val="none" w:sz="0" w:space="0" w:color="auto"/>
        <w:right w:val="none" w:sz="0" w:space="0" w:color="auto"/>
      </w:divBdr>
    </w:div>
    <w:div w:id="2088114412">
      <w:bodyDiv w:val="1"/>
      <w:marLeft w:val="0"/>
      <w:marRight w:val="0"/>
      <w:marTop w:val="0"/>
      <w:marBottom w:val="0"/>
      <w:divBdr>
        <w:top w:val="none" w:sz="0" w:space="0" w:color="auto"/>
        <w:left w:val="none" w:sz="0" w:space="0" w:color="auto"/>
        <w:bottom w:val="none" w:sz="0" w:space="0" w:color="auto"/>
        <w:right w:val="none" w:sz="0" w:space="0" w:color="auto"/>
      </w:divBdr>
    </w:div>
    <w:div w:id="2105761696">
      <w:bodyDiv w:val="1"/>
      <w:marLeft w:val="0"/>
      <w:marRight w:val="0"/>
      <w:marTop w:val="0"/>
      <w:marBottom w:val="0"/>
      <w:divBdr>
        <w:top w:val="none" w:sz="0" w:space="0" w:color="auto"/>
        <w:left w:val="none" w:sz="0" w:space="0" w:color="auto"/>
        <w:bottom w:val="none" w:sz="0" w:space="0" w:color="auto"/>
        <w:right w:val="none" w:sz="0" w:space="0" w:color="auto"/>
      </w:divBdr>
    </w:div>
    <w:div w:id="2115831197">
      <w:bodyDiv w:val="1"/>
      <w:marLeft w:val="0"/>
      <w:marRight w:val="0"/>
      <w:marTop w:val="0"/>
      <w:marBottom w:val="0"/>
      <w:divBdr>
        <w:top w:val="none" w:sz="0" w:space="0" w:color="auto"/>
        <w:left w:val="none" w:sz="0" w:space="0" w:color="auto"/>
        <w:bottom w:val="none" w:sz="0" w:space="0" w:color="auto"/>
        <w:right w:val="none" w:sz="0" w:space="0" w:color="auto"/>
      </w:divBdr>
    </w:div>
    <w:div w:id="2119833655">
      <w:bodyDiv w:val="1"/>
      <w:marLeft w:val="0"/>
      <w:marRight w:val="0"/>
      <w:marTop w:val="0"/>
      <w:marBottom w:val="0"/>
      <w:divBdr>
        <w:top w:val="none" w:sz="0" w:space="0" w:color="auto"/>
        <w:left w:val="none" w:sz="0" w:space="0" w:color="auto"/>
        <w:bottom w:val="none" w:sz="0" w:space="0" w:color="auto"/>
        <w:right w:val="none" w:sz="0" w:space="0" w:color="auto"/>
      </w:divBdr>
    </w:div>
    <w:div w:id="2122725884">
      <w:bodyDiv w:val="1"/>
      <w:marLeft w:val="0"/>
      <w:marRight w:val="0"/>
      <w:marTop w:val="0"/>
      <w:marBottom w:val="0"/>
      <w:divBdr>
        <w:top w:val="none" w:sz="0" w:space="0" w:color="auto"/>
        <w:left w:val="none" w:sz="0" w:space="0" w:color="auto"/>
        <w:bottom w:val="none" w:sz="0" w:space="0" w:color="auto"/>
        <w:right w:val="none" w:sz="0" w:space="0" w:color="auto"/>
      </w:divBdr>
    </w:div>
    <w:div w:id="21337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96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doc.php?id=1965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kumi.lv/ta/id/314184" TargetMode="External"/><Relationship Id="rId14" Type="http://schemas.openxmlformats.org/officeDocument/2006/relationships/chart" Target="charts/chart3.xml"/><Relationship Id="rId22" Type="http://schemas.openxmlformats.org/officeDocument/2006/relationships/theme" Target="theme/theme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62007-noteikumi-par-elektroenergijas-razosanu-izmantojot-atjaunojamos-energoresursu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fpd-traut\AppData\Local\Microsoft\Windows\INetCache\Content.Outlook\2A64S029\calc_FR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k\fpd\FPD\Tautsaimniecibas_un_fiskalas_parvaldibas_nodala\_Fisk&#257;lie%20riski\Aktu&#257;l&#257;%20inform&#257;cija%20pa%20gadiem\2021\misc\calc_FR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fpd\FPD\Tautsaimniecibas_un_fiskalas_parvaldibas_nodala\_Fisk&#257;lie%20riski\Aktu&#257;l&#257;%20inform&#257;cija%20pa%20gadiem\2021\misc\calc_FR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lidzdaliba!$A$6</c:f>
              <c:strCache>
                <c:ptCount val="1"/>
                <c:pt idx="0">
                  <c:v>Publiskās komercsabiedrības</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cat>
            <c:numRef>
              <c:f>lidzdaliba!$B$5:$H$5</c:f>
              <c:numCache>
                <c:formatCode>General</c:formatCode>
                <c:ptCount val="7"/>
                <c:pt idx="0">
                  <c:v>2013</c:v>
                </c:pt>
                <c:pt idx="1">
                  <c:v>2014</c:v>
                </c:pt>
                <c:pt idx="2">
                  <c:v>2015</c:v>
                </c:pt>
                <c:pt idx="3">
                  <c:v>2016</c:v>
                </c:pt>
                <c:pt idx="4">
                  <c:v>2017</c:v>
                </c:pt>
                <c:pt idx="5">
                  <c:v>2018</c:v>
                </c:pt>
                <c:pt idx="6">
                  <c:v>2019</c:v>
                </c:pt>
              </c:numCache>
            </c:numRef>
          </c:cat>
          <c:val>
            <c:numRef>
              <c:f>lidzdaliba!$B$6:$H$6</c:f>
              <c:numCache>
                <c:formatCode>0.00%</c:formatCode>
                <c:ptCount val="7"/>
                <c:pt idx="0">
                  <c:v>0.1678</c:v>
                </c:pt>
                <c:pt idx="1">
                  <c:v>0.17599999999999999</c:v>
                </c:pt>
                <c:pt idx="2">
                  <c:v>0.16700000000000001</c:v>
                </c:pt>
                <c:pt idx="3">
                  <c:v>0.17249999999999999</c:v>
                </c:pt>
                <c:pt idx="4">
                  <c:v>0.19059999999999999</c:v>
                </c:pt>
                <c:pt idx="5">
                  <c:v>0.16387087921512128</c:v>
                </c:pt>
                <c:pt idx="6">
                  <c:v>0.1551924358818644</c:v>
                </c:pt>
              </c:numCache>
            </c:numRef>
          </c:val>
          <c:smooth val="0"/>
          <c:extLst>
            <c:ext xmlns:c16="http://schemas.microsoft.com/office/drawing/2014/chart" uri="{C3380CC4-5D6E-409C-BE32-E72D297353CC}">
              <c16:uniqueId val="{00000000-E582-4892-821E-FDD513B49A8A}"/>
            </c:ext>
          </c:extLst>
        </c:ser>
        <c:dLbls>
          <c:showLegendKey val="0"/>
          <c:showVal val="0"/>
          <c:showCatName val="0"/>
          <c:showSerName val="0"/>
          <c:showPercent val="0"/>
          <c:showBubbleSize val="0"/>
        </c:dLbls>
        <c:marker val="1"/>
        <c:smooth val="0"/>
        <c:axId val="108466639"/>
        <c:axId val="108458735"/>
      </c:lineChart>
      <c:catAx>
        <c:axId val="10846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08458735"/>
        <c:crosses val="autoZero"/>
        <c:auto val="1"/>
        <c:lblAlgn val="ctr"/>
        <c:lblOffset val="100"/>
        <c:noMultiLvlLbl val="0"/>
      </c:catAx>
      <c:valAx>
        <c:axId val="108458735"/>
        <c:scaling>
          <c:orientation val="minMax"/>
          <c:min val="0.140000000000000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a:t>
                </a:r>
                <a:r>
                  <a:rPr lang="lv-LV" b="1" baseline="0">
                    <a:latin typeface="Times New Roman" panose="02020603050405020304" pitchFamily="18" charset="0"/>
                    <a:cs typeface="Times New Roman" panose="02020603050405020304" pitchFamily="18" charset="0"/>
                  </a:rPr>
                  <a:t> no IKP</a:t>
                </a:r>
                <a:endParaRPr lang="lv-LV"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084666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9"/>
            <c:invertIfNegative val="0"/>
            <c:bubble3D val="0"/>
            <c:spPr>
              <a:solidFill>
                <a:srgbClr val="92D050"/>
              </a:solidFill>
              <a:ln>
                <a:noFill/>
              </a:ln>
              <a:effectLst/>
            </c:spPr>
            <c:extLst>
              <c:ext xmlns:c16="http://schemas.microsoft.com/office/drawing/2014/chart" uri="{C3380CC4-5D6E-409C-BE32-E72D297353CC}">
                <c16:uniqueId val="{00000001-EC2B-4214-A6FE-32529264B20F}"/>
              </c:ext>
            </c:extLst>
          </c:dPt>
          <c:cat>
            <c:strRef>
              <c:f>liabilities!$K$13:$K$40</c:f>
              <c:strCache>
                <c:ptCount val="28"/>
                <c:pt idx="0">
                  <c:v>Nīderlande</c:v>
                </c:pt>
                <c:pt idx="1">
                  <c:v>Vācija</c:v>
                </c:pt>
                <c:pt idx="2">
                  <c:v>Grieķija</c:v>
                </c:pt>
                <c:pt idx="3">
                  <c:v>Luksemburga</c:v>
                </c:pt>
                <c:pt idx="4">
                  <c:v>Francija</c:v>
                </c:pt>
                <c:pt idx="5">
                  <c:v>Slovēnija</c:v>
                </c:pt>
                <c:pt idx="6">
                  <c:v>Īrija</c:v>
                </c:pt>
                <c:pt idx="7">
                  <c:v>Portugāle</c:v>
                </c:pt>
                <c:pt idx="8">
                  <c:v>Beļģija</c:v>
                </c:pt>
                <c:pt idx="9">
                  <c:v>Itālija</c:v>
                </c:pt>
                <c:pt idx="10">
                  <c:v>Kipra</c:v>
                </c:pt>
                <c:pt idx="11">
                  <c:v>Zviedrija</c:v>
                </c:pt>
                <c:pt idx="12">
                  <c:v>Apvienotā Karaliste</c:v>
                </c:pt>
                <c:pt idx="13">
                  <c:v>Somija</c:v>
                </c:pt>
                <c:pt idx="14">
                  <c:v>Polija</c:v>
                </c:pt>
                <c:pt idx="15">
                  <c:v>Dānija</c:v>
                </c:pt>
                <c:pt idx="16">
                  <c:v>Austrija</c:v>
                </c:pt>
                <c:pt idx="17">
                  <c:v>Spānija</c:v>
                </c:pt>
                <c:pt idx="18">
                  <c:v>Malta</c:v>
                </c:pt>
                <c:pt idx="19">
                  <c:v>Latvija</c:v>
                </c:pt>
                <c:pt idx="20">
                  <c:v>Ungārija</c:v>
                </c:pt>
                <c:pt idx="21">
                  <c:v>Bulgārija</c:v>
                </c:pt>
                <c:pt idx="22">
                  <c:v>Čehija</c:v>
                </c:pt>
                <c:pt idx="23">
                  <c:v>Igaunija</c:v>
                </c:pt>
                <c:pt idx="24">
                  <c:v>Horvātija</c:v>
                </c:pt>
                <c:pt idx="25">
                  <c:v>Rumānija</c:v>
                </c:pt>
                <c:pt idx="26">
                  <c:v>Lietuva</c:v>
                </c:pt>
                <c:pt idx="27">
                  <c:v>Slovākija</c:v>
                </c:pt>
              </c:strCache>
            </c:strRef>
          </c:cat>
          <c:val>
            <c:numRef>
              <c:f>liabilities!$L$13:$L$40</c:f>
              <c:numCache>
                <c:formatCode>#\ ##0.0</c:formatCode>
                <c:ptCount val="28"/>
                <c:pt idx="0">
                  <c:v>104.59333333333332</c:v>
                </c:pt>
                <c:pt idx="1">
                  <c:v>99.460000000000008</c:v>
                </c:pt>
                <c:pt idx="2">
                  <c:v>88.797142857142859</c:v>
                </c:pt>
                <c:pt idx="3">
                  <c:v>78.771428571428572</c:v>
                </c:pt>
                <c:pt idx="4">
                  <c:v>60.395000000000003</c:v>
                </c:pt>
                <c:pt idx="5">
                  <c:v>60.044285714285706</c:v>
                </c:pt>
                <c:pt idx="6">
                  <c:v>59.087142857142851</c:v>
                </c:pt>
                <c:pt idx="7">
                  <c:v>53.787142857142854</c:v>
                </c:pt>
                <c:pt idx="8">
                  <c:v>51.247142857142862</c:v>
                </c:pt>
                <c:pt idx="9">
                  <c:v>50.332857142857151</c:v>
                </c:pt>
                <c:pt idx="10">
                  <c:v>48.842499999999994</c:v>
                </c:pt>
                <c:pt idx="11">
                  <c:v>46.069999999999993</c:v>
                </c:pt>
                <c:pt idx="12">
                  <c:v>42.984285714285711</c:v>
                </c:pt>
                <c:pt idx="13">
                  <c:v>41.128571428571426</c:v>
                </c:pt>
                <c:pt idx="14">
                  <c:v>35.18</c:v>
                </c:pt>
                <c:pt idx="15">
                  <c:v>29.335714285714289</c:v>
                </c:pt>
                <c:pt idx="16">
                  <c:v>28.558333333333334</c:v>
                </c:pt>
                <c:pt idx="17">
                  <c:v>24.222857142857144</c:v>
                </c:pt>
                <c:pt idx="18">
                  <c:v>22.110000000000003</c:v>
                </c:pt>
                <c:pt idx="19">
                  <c:v>21.945714285714285</c:v>
                </c:pt>
                <c:pt idx="20">
                  <c:v>14.305714285714284</c:v>
                </c:pt>
                <c:pt idx="21">
                  <c:v>11.70142857142857</c:v>
                </c:pt>
                <c:pt idx="22">
                  <c:v>10.91285714285714</c:v>
                </c:pt>
                <c:pt idx="23">
                  <c:v>10.894285714285713</c:v>
                </c:pt>
                <c:pt idx="24">
                  <c:v>10.092857142857143</c:v>
                </c:pt>
                <c:pt idx="25">
                  <c:v>7.6885714285714286</c:v>
                </c:pt>
                <c:pt idx="26">
                  <c:v>7.1742857142857144</c:v>
                </c:pt>
                <c:pt idx="27">
                  <c:v>3.5371428571428574</c:v>
                </c:pt>
              </c:numCache>
            </c:numRef>
          </c:val>
          <c:extLst>
            <c:ext xmlns:c16="http://schemas.microsoft.com/office/drawing/2014/chart" uri="{C3380CC4-5D6E-409C-BE32-E72D297353CC}">
              <c16:uniqueId val="{00000002-EC2B-4214-A6FE-32529264B20F}"/>
            </c:ext>
          </c:extLst>
        </c:ser>
        <c:dLbls>
          <c:showLegendKey val="0"/>
          <c:showVal val="0"/>
          <c:showCatName val="0"/>
          <c:showSerName val="0"/>
          <c:showPercent val="0"/>
          <c:showBubbleSize val="0"/>
        </c:dLbls>
        <c:gapWidth val="219"/>
        <c:overlap val="-27"/>
        <c:axId val="1551600111"/>
        <c:axId val="1551600943"/>
      </c:barChart>
      <c:catAx>
        <c:axId val="155160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51600943"/>
        <c:crosses val="autoZero"/>
        <c:auto val="1"/>
        <c:lblAlgn val="ctr"/>
        <c:lblOffset val="100"/>
        <c:noMultiLvlLbl val="0"/>
      </c:catAx>
      <c:valAx>
        <c:axId val="1551600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 no IKP</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51600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0"/>
            <c:invertIfNegative val="0"/>
            <c:bubble3D val="0"/>
            <c:spPr>
              <a:solidFill>
                <a:srgbClr val="92D050"/>
              </a:solidFill>
              <a:ln>
                <a:noFill/>
              </a:ln>
              <a:effectLst/>
            </c:spPr>
            <c:extLst>
              <c:ext xmlns:c16="http://schemas.microsoft.com/office/drawing/2014/chart" uri="{C3380CC4-5D6E-409C-BE32-E72D297353CC}">
                <c16:uniqueId val="{00000001-1E51-4ED4-8139-202F2F382B45}"/>
              </c:ext>
            </c:extLst>
          </c:dPt>
          <c:cat>
            <c:strRef>
              <c:f>garantijas!$L$12:$L$39</c:f>
              <c:strCache>
                <c:ptCount val="28"/>
                <c:pt idx="0">
                  <c:v>Īrija</c:v>
                </c:pt>
                <c:pt idx="1">
                  <c:v>Somija</c:v>
                </c:pt>
                <c:pt idx="2">
                  <c:v>Austrija</c:v>
                </c:pt>
                <c:pt idx="3">
                  <c:v>Grieķija</c:v>
                </c:pt>
                <c:pt idx="4">
                  <c:v>Vācija</c:v>
                </c:pt>
                <c:pt idx="5">
                  <c:v>Dānija</c:v>
                </c:pt>
                <c:pt idx="6">
                  <c:v>Beļģija</c:v>
                </c:pt>
                <c:pt idx="7">
                  <c:v>Malta</c:v>
                </c:pt>
                <c:pt idx="8">
                  <c:v>Slovēnija</c:v>
                </c:pt>
                <c:pt idx="9">
                  <c:v>Francija</c:v>
                </c:pt>
                <c:pt idx="10">
                  <c:v>Zviedrija</c:v>
                </c:pt>
                <c:pt idx="11">
                  <c:v>Spānija</c:v>
                </c:pt>
                <c:pt idx="12">
                  <c:v>Kipra</c:v>
                </c:pt>
                <c:pt idx="13">
                  <c:v>Luksemburga</c:v>
                </c:pt>
                <c:pt idx="14">
                  <c:v>Portugāle</c:v>
                </c:pt>
                <c:pt idx="15">
                  <c:v>Ungārija</c:v>
                </c:pt>
                <c:pt idx="16">
                  <c:v>Nīderlande</c:v>
                </c:pt>
                <c:pt idx="17">
                  <c:v>Itālija</c:v>
                </c:pt>
                <c:pt idx="18">
                  <c:v>Rumānija</c:v>
                </c:pt>
                <c:pt idx="19">
                  <c:v>Horvātija</c:v>
                </c:pt>
                <c:pt idx="20">
                  <c:v>Latvija</c:v>
                </c:pt>
                <c:pt idx="21">
                  <c:v>Igaunija</c:v>
                </c:pt>
                <c:pt idx="22">
                  <c:v>Polija</c:v>
                </c:pt>
                <c:pt idx="23">
                  <c:v>Lietuva</c:v>
                </c:pt>
                <c:pt idx="24">
                  <c:v>Bulgārija</c:v>
                </c:pt>
                <c:pt idx="25">
                  <c:v>Čehija</c:v>
                </c:pt>
                <c:pt idx="26">
                  <c:v>Apvienotā Karaliste</c:v>
                </c:pt>
                <c:pt idx="27">
                  <c:v>Slovākija</c:v>
                </c:pt>
              </c:strCache>
            </c:strRef>
          </c:cat>
          <c:val>
            <c:numRef>
              <c:f>garantijas!$M$12:$M$39</c:f>
              <c:numCache>
                <c:formatCode>#,##0.00</c:formatCode>
                <c:ptCount val="28"/>
                <c:pt idx="0">
                  <c:v>29.131</c:v>
                </c:pt>
                <c:pt idx="1">
                  <c:v>26.428000000000004</c:v>
                </c:pt>
                <c:pt idx="2">
                  <c:v>21.917499999999997</c:v>
                </c:pt>
                <c:pt idx="3">
                  <c:v>19.98</c:v>
                </c:pt>
                <c:pt idx="4">
                  <c:v>15.747</c:v>
                </c:pt>
                <c:pt idx="5">
                  <c:v>12.337</c:v>
                </c:pt>
                <c:pt idx="6">
                  <c:v>12.306000000000001</c:v>
                </c:pt>
                <c:pt idx="7">
                  <c:v>12.303999999999998</c:v>
                </c:pt>
                <c:pt idx="8">
                  <c:v>11.980999999999998</c:v>
                </c:pt>
                <c:pt idx="9">
                  <c:v>11.599</c:v>
                </c:pt>
                <c:pt idx="10">
                  <c:v>11.546000000000001</c:v>
                </c:pt>
                <c:pt idx="11">
                  <c:v>11.485999999999997</c:v>
                </c:pt>
                <c:pt idx="12">
                  <c:v>10.959999999999999</c:v>
                </c:pt>
                <c:pt idx="13">
                  <c:v>10.138</c:v>
                </c:pt>
                <c:pt idx="14">
                  <c:v>7.9779999999999998</c:v>
                </c:pt>
                <c:pt idx="15">
                  <c:v>6.5830000000000002</c:v>
                </c:pt>
                <c:pt idx="16">
                  <c:v>5.3750000000000009</c:v>
                </c:pt>
                <c:pt idx="17">
                  <c:v>3.6849999999999996</c:v>
                </c:pt>
                <c:pt idx="18">
                  <c:v>2.2040000000000002</c:v>
                </c:pt>
                <c:pt idx="19">
                  <c:v>2.17</c:v>
                </c:pt>
                <c:pt idx="20">
                  <c:v>1.9850000000000001</c:v>
                </c:pt>
                <c:pt idx="21">
                  <c:v>1.7920000000000003</c:v>
                </c:pt>
                <c:pt idx="22">
                  <c:v>1.4569999999999999</c:v>
                </c:pt>
                <c:pt idx="23">
                  <c:v>0.98199999999999998</c:v>
                </c:pt>
                <c:pt idx="24">
                  <c:v>0.60899999999999999</c:v>
                </c:pt>
                <c:pt idx="25">
                  <c:v>0.376</c:v>
                </c:pt>
                <c:pt idx="26">
                  <c:v>0.20444444444444446</c:v>
                </c:pt>
                <c:pt idx="27">
                  <c:v>3.4000000000000009E-2</c:v>
                </c:pt>
              </c:numCache>
            </c:numRef>
          </c:val>
          <c:extLst>
            <c:ext xmlns:c16="http://schemas.microsoft.com/office/drawing/2014/chart" uri="{C3380CC4-5D6E-409C-BE32-E72D297353CC}">
              <c16:uniqueId val="{00000002-1E51-4ED4-8139-202F2F382B45}"/>
            </c:ext>
          </c:extLst>
        </c:ser>
        <c:dLbls>
          <c:showLegendKey val="0"/>
          <c:showVal val="0"/>
          <c:showCatName val="0"/>
          <c:showSerName val="0"/>
          <c:showPercent val="0"/>
          <c:showBubbleSize val="0"/>
        </c:dLbls>
        <c:gapWidth val="219"/>
        <c:overlap val="-27"/>
        <c:axId val="1787956735"/>
        <c:axId val="1787961727"/>
      </c:barChart>
      <c:catAx>
        <c:axId val="178795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787961727"/>
        <c:crosses val="autoZero"/>
        <c:auto val="1"/>
        <c:lblAlgn val="ctr"/>
        <c:lblOffset val="100"/>
        <c:noMultiLvlLbl val="0"/>
      </c:catAx>
      <c:valAx>
        <c:axId val="1787961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 no IKP</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787956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F382-A5A7-4945-A9C1-4B9CE79E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75590</Words>
  <Characters>43087</Characters>
  <Application>Microsoft Office Word</Application>
  <DocSecurity>0</DocSecurity>
  <Lines>359</Lines>
  <Paragraphs>236</Paragraphs>
  <ScaleCrop>false</ScaleCrop>
  <HeadingPairs>
    <vt:vector size="2" baseType="variant">
      <vt:variant>
        <vt:lpstr>Title</vt:lpstr>
      </vt:variant>
      <vt:variant>
        <vt:i4>1</vt:i4>
      </vt:variant>
    </vt:vector>
  </HeadingPairs>
  <TitlesOfParts>
    <vt:vector size="1" baseType="lpstr">
      <vt:lpstr>Informatīvais ziņojums "Fiskālo risku deklarācija"</vt:lpstr>
    </vt:vector>
  </TitlesOfParts>
  <Company>RĪGA, 2021</Company>
  <LinksUpToDate>false</LinksUpToDate>
  <CharactersWithSpaces>118441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"Fiskālo risku deklarācija"</dc:title>
  <dc:subject>Informatīvais ziņojums</dc:subject>
  <dc:creator>Mārtiņš Trautmanis</dc:creator>
  <cp:keywords/>
  <dc:description>Trautmanis, 67095409
Martins.Trautmanis@fm.gov.lv</dc:description>
  <cp:lastModifiedBy>Mārtiņš Trautmanis</cp:lastModifiedBy>
  <cp:revision>2</cp:revision>
  <cp:lastPrinted>2020-11-13T09:32:00Z</cp:lastPrinted>
  <dcterms:created xsi:type="dcterms:W3CDTF">2021-08-23T11:45:00Z</dcterms:created>
  <dcterms:modified xsi:type="dcterms:W3CDTF">2021-08-23T11:45:00Z</dcterms:modified>
</cp:coreProperties>
</file>