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26221" w14:textId="77777777" w:rsidR="00043218" w:rsidRPr="002B23A5" w:rsidRDefault="00043218" w:rsidP="00043218">
      <w:pPr>
        <w:ind w:firstLine="360"/>
        <w:jc w:val="center"/>
        <w:rPr>
          <w:b/>
        </w:rPr>
      </w:pPr>
    </w:p>
    <w:p w14:paraId="232B6EAC" w14:textId="77777777" w:rsidR="00043218" w:rsidRDefault="00043218" w:rsidP="00043218">
      <w:pPr>
        <w:ind w:firstLine="360"/>
        <w:jc w:val="center"/>
        <w:rPr>
          <w:b/>
          <w:sz w:val="32"/>
          <w:szCs w:val="32"/>
        </w:rPr>
      </w:pPr>
    </w:p>
    <w:p w14:paraId="5441786D" w14:textId="77777777" w:rsidR="00043218" w:rsidRPr="000A1F10" w:rsidRDefault="00043218" w:rsidP="00043218">
      <w:pPr>
        <w:rPr>
          <w:sz w:val="32"/>
          <w:szCs w:val="32"/>
        </w:rPr>
      </w:pPr>
    </w:p>
    <w:p w14:paraId="6EB5D36C" w14:textId="77777777" w:rsidR="00043218" w:rsidRPr="000A1F10" w:rsidRDefault="00043218" w:rsidP="00043218">
      <w:pPr>
        <w:rPr>
          <w:sz w:val="32"/>
          <w:szCs w:val="32"/>
        </w:rPr>
      </w:pPr>
    </w:p>
    <w:p w14:paraId="507CD0AB" w14:textId="77777777" w:rsidR="00043218" w:rsidRPr="000A1F10" w:rsidRDefault="00043218" w:rsidP="00043218">
      <w:pPr>
        <w:rPr>
          <w:sz w:val="32"/>
          <w:szCs w:val="32"/>
        </w:rPr>
      </w:pPr>
    </w:p>
    <w:p w14:paraId="5F5E0277" w14:textId="77777777" w:rsidR="00043218" w:rsidRDefault="00043218" w:rsidP="00043218">
      <w:pPr>
        <w:ind w:firstLine="360"/>
        <w:jc w:val="center"/>
        <w:rPr>
          <w:sz w:val="32"/>
          <w:szCs w:val="32"/>
        </w:rPr>
      </w:pPr>
    </w:p>
    <w:p w14:paraId="349180F9" w14:textId="77777777" w:rsidR="00043218" w:rsidRDefault="00043218" w:rsidP="00043218">
      <w:pPr>
        <w:jc w:val="center"/>
        <w:rPr>
          <w:b/>
          <w:sz w:val="44"/>
          <w:szCs w:val="32"/>
        </w:rPr>
      </w:pPr>
    </w:p>
    <w:p w14:paraId="4D0D9FF5" w14:textId="77777777" w:rsidR="00043218" w:rsidRDefault="00043218" w:rsidP="00043218">
      <w:pPr>
        <w:jc w:val="center"/>
        <w:rPr>
          <w:b/>
          <w:sz w:val="44"/>
          <w:szCs w:val="32"/>
        </w:rPr>
      </w:pPr>
    </w:p>
    <w:p w14:paraId="1EBE4921" w14:textId="77777777" w:rsidR="00043218" w:rsidRDefault="00043218" w:rsidP="00043218">
      <w:pPr>
        <w:jc w:val="center"/>
        <w:rPr>
          <w:b/>
          <w:sz w:val="44"/>
          <w:szCs w:val="32"/>
        </w:rPr>
      </w:pPr>
    </w:p>
    <w:p w14:paraId="050849A3" w14:textId="77777777" w:rsidR="00043218" w:rsidRDefault="00043218" w:rsidP="00043218">
      <w:pPr>
        <w:jc w:val="center"/>
        <w:rPr>
          <w:b/>
          <w:sz w:val="44"/>
          <w:szCs w:val="32"/>
        </w:rPr>
      </w:pPr>
    </w:p>
    <w:p w14:paraId="29FDB31B" w14:textId="77777777" w:rsidR="00043218" w:rsidRPr="000A1F10" w:rsidRDefault="00043218" w:rsidP="00043218">
      <w:pPr>
        <w:ind w:firstLine="0"/>
        <w:jc w:val="center"/>
        <w:rPr>
          <w:b/>
          <w:sz w:val="44"/>
          <w:szCs w:val="32"/>
        </w:rPr>
      </w:pPr>
      <w:r w:rsidRPr="000A1F10">
        <w:rPr>
          <w:b/>
          <w:sz w:val="44"/>
          <w:szCs w:val="32"/>
        </w:rPr>
        <w:t>Informatīvais ziņojums</w:t>
      </w:r>
    </w:p>
    <w:p w14:paraId="04CCD1D4" w14:textId="77777777" w:rsidR="00043218" w:rsidRPr="000A1F10" w:rsidRDefault="00043218" w:rsidP="00043218">
      <w:pPr>
        <w:rPr>
          <w:b/>
          <w:sz w:val="44"/>
          <w:szCs w:val="32"/>
        </w:rPr>
      </w:pPr>
    </w:p>
    <w:p w14:paraId="409A5C47" w14:textId="031B21E0" w:rsidR="00043218" w:rsidRPr="00A05C07" w:rsidRDefault="00043218" w:rsidP="00043218">
      <w:pPr>
        <w:ind w:firstLine="0"/>
        <w:jc w:val="center"/>
        <w:rPr>
          <w:b/>
          <w:sz w:val="44"/>
          <w:szCs w:val="32"/>
        </w:rPr>
      </w:pPr>
      <w:r w:rsidRPr="00A05C07">
        <w:rPr>
          <w:b/>
          <w:sz w:val="44"/>
          <w:szCs w:val="32"/>
        </w:rPr>
        <w:t>„Par makroekonomisko rādītāju, ieņēmumu un vispārējās valdības budžeta bilances prognozēm 20</w:t>
      </w:r>
      <w:r w:rsidR="00AC55E4">
        <w:rPr>
          <w:b/>
          <w:sz w:val="44"/>
          <w:szCs w:val="32"/>
        </w:rPr>
        <w:t>22</w:t>
      </w:r>
      <w:r w:rsidRPr="00A05C07">
        <w:rPr>
          <w:b/>
          <w:sz w:val="44"/>
          <w:szCs w:val="32"/>
        </w:rPr>
        <w:t>.-20</w:t>
      </w:r>
      <w:r w:rsidR="0013226B">
        <w:rPr>
          <w:b/>
          <w:sz w:val="44"/>
          <w:szCs w:val="32"/>
        </w:rPr>
        <w:t>2</w:t>
      </w:r>
      <w:r w:rsidR="00AC55E4">
        <w:rPr>
          <w:b/>
          <w:sz w:val="44"/>
          <w:szCs w:val="32"/>
        </w:rPr>
        <w:t>4</w:t>
      </w:r>
      <w:r w:rsidRPr="00A05C07">
        <w:rPr>
          <w:b/>
          <w:sz w:val="44"/>
          <w:szCs w:val="32"/>
        </w:rPr>
        <w:t>.gadā”</w:t>
      </w:r>
    </w:p>
    <w:p w14:paraId="7CD2D459" w14:textId="77777777" w:rsidR="00043218" w:rsidRPr="000A1F10" w:rsidRDefault="00043218" w:rsidP="00043218">
      <w:pPr>
        <w:rPr>
          <w:b/>
          <w:sz w:val="48"/>
          <w:szCs w:val="32"/>
        </w:rPr>
      </w:pPr>
    </w:p>
    <w:p w14:paraId="3F296241" w14:textId="77777777" w:rsidR="00043218" w:rsidRDefault="00043218" w:rsidP="00043218">
      <w:pPr>
        <w:tabs>
          <w:tab w:val="left" w:pos="2763"/>
        </w:tabs>
        <w:ind w:firstLine="360"/>
        <w:rPr>
          <w:sz w:val="32"/>
          <w:szCs w:val="32"/>
        </w:rPr>
      </w:pPr>
    </w:p>
    <w:p w14:paraId="31AB1E46" w14:textId="77777777" w:rsidR="00043218" w:rsidRDefault="00043218" w:rsidP="00043218">
      <w:pPr>
        <w:rPr>
          <w:sz w:val="32"/>
          <w:szCs w:val="32"/>
        </w:rPr>
      </w:pPr>
    </w:p>
    <w:p w14:paraId="0CB521EC" w14:textId="77777777" w:rsidR="00043218" w:rsidRPr="000A1F10" w:rsidRDefault="00043218" w:rsidP="00043218">
      <w:pPr>
        <w:rPr>
          <w:sz w:val="32"/>
          <w:szCs w:val="32"/>
        </w:rPr>
      </w:pPr>
    </w:p>
    <w:p w14:paraId="1BE320F2" w14:textId="77777777" w:rsidR="00043218" w:rsidRPr="000A1F10" w:rsidRDefault="00043218" w:rsidP="00043218">
      <w:pPr>
        <w:rPr>
          <w:sz w:val="32"/>
          <w:szCs w:val="32"/>
        </w:rPr>
      </w:pPr>
    </w:p>
    <w:p w14:paraId="73739EF4" w14:textId="77777777" w:rsidR="00043218" w:rsidRPr="000A1F10" w:rsidRDefault="00043218" w:rsidP="00043218">
      <w:pPr>
        <w:rPr>
          <w:sz w:val="32"/>
          <w:szCs w:val="32"/>
        </w:rPr>
      </w:pPr>
    </w:p>
    <w:p w14:paraId="35A5FBF0" w14:textId="77777777" w:rsidR="00043218" w:rsidRPr="000A1F10" w:rsidRDefault="00043218" w:rsidP="00043218">
      <w:pPr>
        <w:rPr>
          <w:sz w:val="32"/>
          <w:szCs w:val="32"/>
        </w:rPr>
      </w:pPr>
    </w:p>
    <w:p w14:paraId="3BBF056C" w14:textId="77777777" w:rsidR="00043218" w:rsidRPr="000A1F10" w:rsidRDefault="00043218" w:rsidP="00043218">
      <w:pPr>
        <w:rPr>
          <w:sz w:val="32"/>
          <w:szCs w:val="32"/>
        </w:rPr>
      </w:pPr>
    </w:p>
    <w:p w14:paraId="2A3FD4E8" w14:textId="77777777" w:rsidR="00043218" w:rsidRPr="000A1F10" w:rsidRDefault="00043218" w:rsidP="00043218">
      <w:pPr>
        <w:rPr>
          <w:sz w:val="32"/>
          <w:szCs w:val="32"/>
        </w:rPr>
      </w:pPr>
    </w:p>
    <w:p w14:paraId="6DD7857F" w14:textId="77777777" w:rsidR="00043218" w:rsidRDefault="00043218" w:rsidP="00043218">
      <w:pPr>
        <w:ind w:firstLine="360"/>
        <w:jc w:val="center"/>
        <w:rPr>
          <w:sz w:val="32"/>
          <w:szCs w:val="32"/>
        </w:rPr>
      </w:pPr>
    </w:p>
    <w:p w14:paraId="00294257" w14:textId="19EEEBC1" w:rsidR="00043218" w:rsidRDefault="00AC55E4" w:rsidP="00043218">
      <w:pPr>
        <w:ind w:firstLine="360"/>
        <w:jc w:val="center"/>
        <w:rPr>
          <w:sz w:val="32"/>
          <w:szCs w:val="32"/>
        </w:rPr>
      </w:pPr>
      <w:r>
        <w:rPr>
          <w:sz w:val="32"/>
          <w:szCs w:val="32"/>
        </w:rPr>
        <w:t>Rīga, 2021</w:t>
      </w:r>
    </w:p>
    <w:p w14:paraId="49E2B7FB" w14:textId="77777777" w:rsidR="00043218" w:rsidRDefault="0096417C" w:rsidP="0096417C">
      <w:pPr>
        <w:tabs>
          <w:tab w:val="left" w:pos="3143"/>
        </w:tabs>
        <w:ind w:firstLine="0"/>
        <w:rPr>
          <w:sz w:val="32"/>
          <w:szCs w:val="32"/>
        </w:rPr>
      </w:pPr>
      <w:r>
        <w:rPr>
          <w:sz w:val="32"/>
          <w:szCs w:val="32"/>
        </w:rPr>
        <w:lastRenderedPageBreak/>
        <w:tab/>
      </w:r>
    </w:p>
    <w:p w14:paraId="19B8F0C1" w14:textId="77777777" w:rsidR="0096417C" w:rsidRDefault="0096417C" w:rsidP="00043218">
      <w:pPr>
        <w:ind w:firstLine="360"/>
        <w:jc w:val="center"/>
        <w:rPr>
          <w:sz w:val="32"/>
          <w:szCs w:val="32"/>
        </w:rPr>
      </w:pPr>
    </w:p>
    <w:p w14:paraId="66F8D26F" w14:textId="77777777" w:rsidR="00043218" w:rsidRPr="000550FF" w:rsidRDefault="00043218" w:rsidP="00043218">
      <w:pPr>
        <w:ind w:firstLine="360"/>
        <w:jc w:val="center"/>
        <w:rPr>
          <w:b/>
          <w:sz w:val="32"/>
          <w:szCs w:val="32"/>
        </w:rPr>
      </w:pPr>
      <w:r>
        <w:rPr>
          <w:b/>
          <w:sz w:val="32"/>
          <w:szCs w:val="32"/>
        </w:rPr>
        <w:t xml:space="preserve"> </w:t>
      </w:r>
      <w:r w:rsidRPr="000550FF">
        <w:rPr>
          <w:b/>
          <w:sz w:val="32"/>
          <w:szCs w:val="32"/>
        </w:rPr>
        <w:t>Saturs</w:t>
      </w:r>
    </w:p>
    <w:p w14:paraId="72ADE09C" w14:textId="77777777" w:rsidR="00043218" w:rsidRPr="000550FF" w:rsidRDefault="00043218" w:rsidP="00043218">
      <w:pPr>
        <w:rPr>
          <w:b/>
          <w:sz w:val="32"/>
          <w:szCs w:val="32"/>
        </w:rPr>
      </w:pPr>
    </w:p>
    <w:p w14:paraId="5DA75BE3" w14:textId="7AB59164" w:rsidR="00CF25B6" w:rsidRDefault="00043218">
      <w:pPr>
        <w:pStyle w:val="TOC1"/>
        <w:rPr>
          <w:rFonts w:asciiTheme="minorHAnsi" w:eastAsiaTheme="minorEastAsia" w:hAnsiTheme="minorHAnsi"/>
          <w:noProof/>
          <w:sz w:val="22"/>
          <w:lang w:eastAsia="lv-LV"/>
        </w:rPr>
      </w:pPr>
      <w:r w:rsidRPr="000550FF">
        <w:rPr>
          <w:b/>
          <w:sz w:val="32"/>
          <w:szCs w:val="32"/>
        </w:rPr>
        <w:fldChar w:fldCharType="begin"/>
      </w:r>
      <w:r w:rsidRPr="000550FF">
        <w:rPr>
          <w:b/>
          <w:sz w:val="32"/>
          <w:szCs w:val="32"/>
        </w:rPr>
        <w:instrText xml:space="preserve"> TOC \o "1-3" \u </w:instrText>
      </w:r>
      <w:r w:rsidRPr="000550FF">
        <w:rPr>
          <w:b/>
          <w:sz w:val="32"/>
          <w:szCs w:val="32"/>
        </w:rPr>
        <w:fldChar w:fldCharType="separate"/>
      </w:r>
      <w:r w:rsidR="00CF25B6">
        <w:rPr>
          <w:noProof/>
        </w:rPr>
        <w:t>1.</w:t>
      </w:r>
      <w:r w:rsidR="00CF25B6">
        <w:rPr>
          <w:rFonts w:asciiTheme="minorHAnsi" w:eastAsiaTheme="minorEastAsia" w:hAnsiTheme="minorHAnsi"/>
          <w:noProof/>
          <w:sz w:val="22"/>
          <w:lang w:eastAsia="lv-LV"/>
        </w:rPr>
        <w:tab/>
      </w:r>
      <w:r w:rsidR="00CF25B6">
        <w:rPr>
          <w:noProof/>
        </w:rPr>
        <w:t>Galveno makroekonomisko rādītāju prognozes 2021.-2024.gadam</w:t>
      </w:r>
      <w:r w:rsidR="00CF25B6">
        <w:rPr>
          <w:noProof/>
        </w:rPr>
        <w:tab/>
      </w:r>
      <w:r w:rsidR="00CF25B6">
        <w:rPr>
          <w:noProof/>
        </w:rPr>
        <w:fldChar w:fldCharType="begin"/>
      </w:r>
      <w:r w:rsidR="00CF25B6">
        <w:rPr>
          <w:noProof/>
        </w:rPr>
        <w:instrText xml:space="preserve"> PAGEREF _Toc80081209 \h </w:instrText>
      </w:r>
      <w:r w:rsidR="00CF25B6">
        <w:rPr>
          <w:noProof/>
        </w:rPr>
      </w:r>
      <w:r w:rsidR="00CF25B6">
        <w:rPr>
          <w:noProof/>
        </w:rPr>
        <w:fldChar w:fldCharType="separate"/>
      </w:r>
      <w:r w:rsidR="00364987">
        <w:rPr>
          <w:noProof/>
        </w:rPr>
        <w:t>3</w:t>
      </w:r>
      <w:r w:rsidR="00CF25B6">
        <w:rPr>
          <w:noProof/>
        </w:rPr>
        <w:fldChar w:fldCharType="end"/>
      </w:r>
    </w:p>
    <w:p w14:paraId="787CF083" w14:textId="2DDFA8B5" w:rsidR="00CF25B6" w:rsidRDefault="00CF25B6">
      <w:pPr>
        <w:pStyle w:val="TOC1"/>
        <w:rPr>
          <w:rFonts w:asciiTheme="minorHAnsi" w:eastAsiaTheme="minorEastAsia" w:hAnsiTheme="minorHAnsi"/>
          <w:noProof/>
          <w:sz w:val="22"/>
          <w:lang w:eastAsia="lv-LV"/>
        </w:rPr>
      </w:pPr>
      <w:r>
        <w:rPr>
          <w:noProof/>
        </w:rPr>
        <w:t>2.</w:t>
      </w:r>
      <w:r>
        <w:rPr>
          <w:rFonts w:asciiTheme="minorHAnsi" w:eastAsiaTheme="minorEastAsia" w:hAnsiTheme="minorHAnsi"/>
          <w:noProof/>
          <w:sz w:val="22"/>
          <w:lang w:eastAsia="lv-LV"/>
        </w:rPr>
        <w:tab/>
      </w:r>
      <w:r>
        <w:rPr>
          <w:noProof/>
        </w:rPr>
        <w:t>Kopbudžeta nodokļu un valsts pamatbudžeta nenodokļu ieņēmumu prognoze 2022.-2024.gadam</w:t>
      </w:r>
      <w:r>
        <w:rPr>
          <w:noProof/>
        </w:rPr>
        <w:tab/>
      </w:r>
      <w:r>
        <w:rPr>
          <w:noProof/>
        </w:rPr>
        <w:fldChar w:fldCharType="begin"/>
      </w:r>
      <w:r>
        <w:rPr>
          <w:noProof/>
        </w:rPr>
        <w:instrText xml:space="preserve"> PAGEREF _Toc80081210 \h </w:instrText>
      </w:r>
      <w:r>
        <w:rPr>
          <w:noProof/>
        </w:rPr>
      </w:r>
      <w:r>
        <w:rPr>
          <w:noProof/>
        </w:rPr>
        <w:fldChar w:fldCharType="separate"/>
      </w:r>
      <w:r w:rsidR="00364987">
        <w:rPr>
          <w:noProof/>
        </w:rPr>
        <w:t>23</w:t>
      </w:r>
      <w:r>
        <w:rPr>
          <w:noProof/>
        </w:rPr>
        <w:fldChar w:fldCharType="end"/>
      </w:r>
    </w:p>
    <w:p w14:paraId="6C23D96F" w14:textId="62CC1B31" w:rsidR="00CF25B6" w:rsidRDefault="00CF25B6">
      <w:pPr>
        <w:pStyle w:val="TOC1"/>
        <w:rPr>
          <w:rFonts w:asciiTheme="minorHAnsi" w:eastAsiaTheme="minorEastAsia" w:hAnsiTheme="minorHAnsi"/>
          <w:noProof/>
          <w:sz w:val="22"/>
          <w:lang w:eastAsia="lv-LV"/>
        </w:rPr>
      </w:pPr>
      <w:r>
        <w:rPr>
          <w:noProof/>
        </w:rPr>
        <w:t>3.</w:t>
      </w:r>
      <w:r>
        <w:rPr>
          <w:rFonts w:asciiTheme="minorHAnsi" w:eastAsiaTheme="minorEastAsia" w:hAnsiTheme="minorHAnsi"/>
          <w:noProof/>
          <w:sz w:val="22"/>
          <w:lang w:eastAsia="lv-LV"/>
        </w:rPr>
        <w:tab/>
      </w:r>
      <w:r>
        <w:rPr>
          <w:noProof/>
        </w:rPr>
        <w:t>Vispārējās valdības budžeta bilances prognoze pie nemainīgas valdības politikas 2022.-2024.gadam</w:t>
      </w:r>
      <w:r>
        <w:rPr>
          <w:noProof/>
        </w:rPr>
        <w:tab/>
      </w:r>
      <w:r>
        <w:rPr>
          <w:noProof/>
        </w:rPr>
        <w:fldChar w:fldCharType="begin"/>
      </w:r>
      <w:r>
        <w:rPr>
          <w:noProof/>
        </w:rPr>
        <w:instrText xml:space="preserve"> PAGEREF _Toc80081211 \h </w:instrText>
      </w:r>
      <w:r>
        <w:rPr>
          <w:noProof/>
        </w:rPr>
      </w:r>
      <w:r>
        <w:rPr>
          <w:noProof/>
        </w:rPr>
        <w:fldChar w:fldCharType="separate"/>
      </w:r>
      <w:r w:rsidR="00364987">
        <w:rPr>
          <w:noProof/>
        </w:rPr>
        <w:t>25</w:t>
      </w:r>
      <w:r>
        <w:rPr>
          <w:noProof/>
        </w:rPr>
        <w:fldChar w:fldCharType="end"/>
      </w:r>
    </w:p>
    <w:p w14:paraId="36595D4D" w14:textId="5A360B20" w:rsidR="00CF25B6" w:rsidRDefault="00CF25B6">
      <w:pPr>
        <w:pStyle w:val="TOC1"/>
        <w:rPr>
          <w:rFonts w:asciiTheme="minorHAnsi" w:eastAsiaTheme="minorEastAsia" w:hAnsiTheme="minorHAnsi"/>
          <w:noProof/>
          <w:sz w:val="22"/>
          <w:lang w:eastAsia="lv-LV"/>
        </w:rPr>
      </w:pPr>
      <w:r>
        <w:rPr>
          <w:noProof/>
        </w:rPr>
        <w:t>4.</w:t>
      </w:r>
      <w:r>
        <w:rPr>
          <w:rFonts w:asciiTheme="minorHAnsi" w:eastAsiaTheme="minorEastAsia" w:hAnsiTheme="minorHAnsi"/>
          <w:noProof/>
          <w:sz w:val="22"/>
          <w:lang w:eastAsia="lv-LV"/>
        </w:rPr>
        <w:tab/>
      </w:r>
      <w:r>
        <w:rPr>
          <w:noProof/>
        </w:rPr>
        <w:t>Valdības apstiprinātie atbalsta pasākumi Covid-19 infekcijas izraisītās krīzes seku mazināšanai tautsaimniecībā un to fiskālā ietekme</w:t>
      </w:r>
      <w:r>
        <w:rPr>
          <w:noProof/>
        </w:rPr>
        <w:tab/>
      </w:r>
      <w:r>
        <w:rPr>
          <w:noProof/>
        </w:rPr>
        <w:fldChar w:fldCharType="begin"/>
      </w:r>
      <w:r>
        <w:rPr>
          <w:noProof/>
        </w:rPr>
        <w:instrText xml:space="preserve"> PAGEREF _Toc80081212 \h </w:instrText>
      </w:r>
      <w:r>
        <w:rPr>
          <w:noProof/>
        </w:rPr>
      </w:r>
      <w:r>
        <w:rPr>
          <w:noProof/>
        </w:rPr>
        <w:fldChar w:fldCharType="separate"/>
      </w:r>
      <w:r w:rsidR="00364987">
        <w:rPr>
          <w:noProof/>
        </w:rPr>
        <w:t>28</w:t>
      </w:r>
      <w:r>
        <w:rPr>
          <w:noProof/>
        </w:rPr>
        <w:fldChar w:fldCharType="end"/>
      </w:r>
    </w:p>
    <w:p w14:paraId="1D5D350E" w14:textId="003CA7C4" w:rsidR="00CF25B6" w:rsidRDefault="00CF25B6">
      <w:pPr>
        <w:pStyle w:val="TOC1"/>
        <w:rPr>
          <w:rFonts w:asciiTheme="minorHAnsi" w:eastAsiaTheme="minorEastAsia" w:hAnsiTheme="minorHAnsi"/>
          <w:noProof/>
          <w:sz w:val="22"/>
          <w:lang w:eastAsia="lv-LV"/>
        </w:rPr>
      </w:pPr>
      <w:r>
        <w:rPr>
          <w:noProof/>
        </w:rPr>
        <w:t>5.</w:t>
      </w:r>
      <w:r>
        <w:rPr>
          <w:rFonts w:asciiTheme="minorHAnsi" w:eastAsiaTheme="minorEastAsia" w:hAnsiTheme="minorHAnsi"/>
          <w:noProof/>
          <w:sz w:val="22"/>
          <w:lang w:eastAsia="lv-LV"/>
        </w:rPr>
        <w:tab/>
      </w:r>
      <w:r>
        <w:rPr>
          <w:noProof/>
        </w:rPr>
        <w:t>Vispārējās valdības parāda prognoze pie nemainīgas valdības politikas 2021.-2024. gadā</w:t>
      </w:r>
      <w:r>
        <w:rPr>
          <w:noProof/>
        </w:rPr>
        <w:tab/>
      </w:r>
      <w:r>
        <w:rPr>
          <w:noProof/>
        </w:rPr>
        <w:fldChar w:fldCharType="begin"/>
      </w:r>
      <w:r>
        <w:rPr>
          <w:noProof/>
        </w:rPr>
        <w:instrText xml:space="preserve"> PAGEREF _Toc80081213 \h </w:instrText>
      </w:r>
      <w:r>
        <w:rPr>
          <w:noProof/>
        </w:rPr>
      </w:r>
      <w:r>
        <w:rPr>
          <w:noProof/>
        </w:rPr>
        <w:fldChar w:fldCharType="separate"/>
      </w:r>
      <w:r w:rsidR="00364987">
        <w:rPr>
          <w:noProof/>
        </w:rPr>
        <w:t>30</w:t>
      </w:r>
      <w:r>
        <w:rPr>
          <w:noProof/>
        </w:rPr>
        <w:fldChar w:fldCharType="end"/>
      </w:r>
    </w:p>
    <w:p w14:paraId="1BC92B03" w14:textId="4889C7EF" w:rsidR="00CF25B6" w:rsidRDefault="00CF25B6">
      <w:pPr>
        <w:pStyle w:val="TOC1"/>
        <w:rPr>
          <w:rFonts w:asciiTheme="minorHAnsi" w:eastAsiaTheme="minorEastAsia" w:hAnsiTheme="minorHAnsi"/>
          <w:noProof/>
          <w:sz w:val="22"/>
          <w:lang w:eastAsia="lv-LV"/>
        </w:rPr>
      </w:pPr>
      <w:r>
        <w:rPr>
          <w:noProof/>
        </w:rPr>
        <w:t>6.</w:t>
      </w:r>
      <w:r>
        <w:rPr>
          <w:rFonts w:asciiTheme="minorHAnsi" w:eastAsiaTheme="minorEastAsia" w:hAnsiTheme="minorHAnsi"/>
          <w:noProof/>
          <w:sz w:val="22"/>
          <w:lang w:eastAsia="lv-LV"/>
        </w:rPr>
        <w:tab/>
      </w:r>
      <w:r>
        <w:rPr>
          <w:noProof/>
        </w:rPr>
        <w:t>Makroekonomiskās un fiskālās attīstības pesimistiskais  “Covid-19 trešā viļņa” scenārijs</w:t>
      </w:r>
      <w:r>
        <w:rPr>
          <w:noProof/>
        </w:rPr>
        <w:tab/>
      </w:r>
      <w:r>
        <w:rPr>
          <w:noProof/>
        </w:rPr>
        <w:tab/>
      </w:r>
      <w:r>
        <w:rPr>
          <w:noProof/>
        </w:rPr>
        <w:fldChar w:fldCharType="begin"/>
      </w:r>
      <w:r>
        <w:rPr>
          <w:noProof/>
        </w:rPr>
        <w:instrText xml:space="preserve"> PAGEREF _Toc80081214 \h </w:instrText>
      </w:r>
      <w:r>
        <w:rPr>
          <w:noProof/>
        </w:rPr>
      </w:r>
      <w:r>
        <w:rPr>
          <w:noProof/>
        </w:rPr>
        <w:fldChar w:fldCharType="separate"/>
      </w:r>
      <w:r w:rsidR="00364987">
        <w:rPr>
          <w:noProof/>
        </w:rPr>
        <w:t>31</w:t>
      </w:r>
      <w:r>
        <w:rPr>
          <w:noProof/>
        </w:rPr>
        <w:fldChar w:fldCharType="end"/>
      </w:r>
    </w:p>
    <w:p w14:paraId="0F83CC2A" w14:textId="5C95307E" w:rsidR="00CF25B6" w:rsidRDefault="00CF25B6">
      <w:pPr>
        <w:pStyle w:val="TOC1"/>
        <w:rPr>
          <w:rFonts w:asciiTheme="minorHAnsi" w:eastAsiaTheme="minorEastAsia" w:hAnsiTheme="minorHAnsi"/>
          <w:noProof/>
          <w:sz w:val="22"/>
          <w:lang w:eastAsia="lv-LV"/>
        </w:rPr>
      </w:pPr>
      <w:r>
        <w:rPr>
          <w:noProof/>
        </w:rPr>
        <w:t>7.</w:t>
      </w:r>
      <w:r>
        <w:rPr>
          <w:rFonts w:asciiTheme="minorHAnsi" w:eastAsiaTheme="minorEastAsia" w:hAnsiTheme="minorHAnsi"/>
          <w:noProof/>
          <w:sz w:val="22"/>
          <w:lang w:eastAsia="lv-LV"/>
        </w:rPr>
        <w:tab/>
      </w:r>
      <w:r>
        <w:rPr>
          <w:noProof/>
        </w:rPr>
        <w:t>Fiskālās politikas nosacījumi</w:t>
      </w:r>
      <w:r w:rsidR="005B466B" w:rsidRPr="005B466B">
        <w:rPr>
          <w:noProof/>
        </w:rPr>
        <w:t xml:space="preserve"> un fiskālā telpa 2022.-2024. gadam</w:t>
      </w:r>
      <w:r>
        <w:rPr>
          <w:noProof/>
        </w:rPr>
        <w:tab/>
      </w:r>
      <w:r>
        <w:rPr>
          <w:noProof/>
        </w:rPr>
        <w:fldChar w:fldCharType="begin"/>
      </w:r>
      <w:r>
        <w:rPr>
          <w:noProof/>
        </w:rPr>
        <w:instrText xml:space="preserve"> PAGEREF _Toc80081215 \h </w:instrText>
      </w:r>
      <w:r>
        <w:rPr>
          <w:noProof/>
        </w:rPr>
      </w:r>
      <w:r>
        <w:rPr>
          <w:noProof/>
        </w:rPr>
        <w:fldChar w:fldCharType="separate"/>
      </w:r>
      <w:r w:rsidR="00364987">
        <w:rPr>
          <w:noProof/>
        </w:rPr>
        <w:t>34</w:t>
      </w:r>
      <w:r>
        <w:rPr>
          <w:noProof/>
        </w:rPr>
        <w:fldChar w:fldCharType="end"/>
      </w:r>
    </w:p>
    <w:p w14:paraId="4E3C11F7" w14:textId="558383B8" w:rsidR="00CF25B6" w:rsidRDefault="00CF25B6">
      <w:pPr>
        <w:pStyle w:val="TOC1"/>
        <w:rPr>
          <w:rFonts w:asciiTheme="minorHAnsi" w:eastAsiaTheme="minorEastAsia" w:hAnsiTheme="minorHAnsi"/>
          <w:noProof/>
          <w:sz w:val="22"/>
          <w:lang w:eastAsia="lv-LV"/>
        </w:rPr>
      </w:pPr>
      <w:r>
        <w:rPr>
          <w:noProof/>
        </w:rPr>
        <w:t>8.</w:t>
      </w:r>
      <w:r>
        <w:rPr>
          <w:rFonts w:asciiTheme="minorHAnsi" w:eastAsiaTheme="minorEastAsia" w:hAnsiTheme="minorHAnsi"/>
          <w:noProof/>
          <w:sz w:val="22"/>
          <w:lang w:eastAsia="lv-LV"/>
        </w:rPr>
        <w:tab/>
      </w:r>
      <w:r>
        <w:rPr>
          <w:noProof/>
        </w:rPr>
        <w:t>Turpmākā rīcība</w:t>
      </w:r>
      <w:r>
        <w:rPr>
          <w:noProof/>
        </w:rPr>
        <w:tab/>
      </w:r>
      <w:r>
        <w:rPr>
          <w:noProof/>
        </w:rPr>
        <w:fldChar w:fldCharType="begin"/>
      </w:r>
      <w:r>
        <w:rPr>
          <w:noProof/>
        </w:rPr>
        <w:instrText xml:space="preserve"> PAGEREF _Toc80081216 \h </w:instrText>
      </w:r>
      <w:r>
        <w:rPr>
          <w:noProof/>
        </w:rPr>
      </w:r>
      <w:r>
        <w:rPr>
          <w:noProof/>
        </w:rPr>
        <w:fldChar w:fldCharType="separate"/>
      </w:r>
      <w:r w:rsidR="00364987">
        <w:rPr>
          <w:noProof/>
        </w:rPr>
        <w:t>37</w:t>
      </w:r>
      <w:r>
        <w:rPr>
          <w:noProof/>
        </w:rPr>
        <w:fldChar w:fldCharType="end"/>
      </w:r>
    </w:p>
    <w:p w14:paraId="7A5C199C" w14:textId="718A1F19" w:rsidR="00043218" w:rsidRPr="00AC55E4" w:rsidRDefault="00043218" w:rsidP="00043218">
      <w:pPr>
        <w:rPr>
          <w:b/>
          <w:sz w:val="32"/>
          <w:szCs w:val="32"/>
          <w:highlight w:val="yellow"/>
        </w:rPr>
      </w:pPr>
      <w:r w:rsidRPr="000550FF">
        <w:rPr>
          <w:b/>
          <w:sz w:val="32"/>
          <w:szCs w:val="32"/>
        </w:rPr>
        <w:fldChar w:fldCharType="end"/>
      </w:r>
      <w:r w:rsidRPr="00AC55E4">
        <w:rPr>
          <w:b/>
          <w:sz w:val="32"/>
          <w:szCs w:val="32"/>
          <w:highlight w:val="yellow"/>
        </w:rPr>
        <w:br w:type="page"/>
      </w:r>
    </w:p>
    <w:p w14:paraId="3A4F73A1" w14:textId="2E83FC8C" w:rsidR="00043218" w:rsidRPr="00964CAC" w:rsidRDefault="00043218" w:rsidP="00A83AAD">
      <w:pPr>
        <w:pStyle w:val="Heading1"/>
        <w:ind w:left="360"/>
      </w:pPr>
      <w:bookmarkStart w:id="0" w:name="_Toc80081209"/>
      <w:r w:rsidRPr="00964CAC">
        <w:lastRenderedPageBreak/>
        <w:t>Galveno makroekonomisko rādītāju</w:t>
      </w:r>
      <w:r w:rsidR="000550FF">
        <w:br/>
      </w:r>
      <w:r w:rsidRPr="00964CAC">
        <w:t>prognozes</w:t>
      </w:r>
      <w:r w:rsidR="000550FF">
        <w:t xml:space="preserve"> </w:t>
      </w:r>
      <w:r w:rsidRPr="00964CAC">
        <w:t>20</w:t>
      </w:r>
      <w:r w:rsidR="00964CAC" w:rsidRPr="00964CAC">
        <w:t>21</w:t>
      </w:r>
      <w:r w:rsidRPr="00964CAC">
        <w:t>.-20</w:t>
      </w:r>
      <w:r w:rsidR="00964CAC" w:rsidRPr="00964CAC">
        <w:t>24</w:t>
      </w:r>
      <w:r w:rsidRPr="00964CAC">
        <w:t>.gadam</w:t>
      </w:r>
      <w:bookmarkEnd w:id="0"/>
    </w:p>
    <w:p w14:paraId="4E5D55E7" w14:textId="4A8630BA" w:rsidR="00964CAC" w:rsidRDefault="00964CAC" w:rsidP="00A83AAD">
      <w:pPr>
        <w:spacing w:before="60" w:after="60"/>
        <w:rPr>
          <w:szCs w:val="20"/>
        </w:rPr>
      </w:pPr>
      <w:r>
        <w:rPr>
          <w:szCs w:val="20"/>
        </w:rPr>
        <w:t xml:space="preserve">Latvijas ekonomikas </w:t>
      </w:r>
      <w:r w:rsidRPr="009742FE">
        <w:rPr>
          <w:szCs w:val="20"/>
        </w:rPr>
        <w:t xml:space="preserve">izaugsme, kas 2017.-2018.gadā </w:t>
      </w:r>
      <w:r>
        <w:rPr>
          <w:szCs w:val="20"/>
        </w:rPr>
        <w:t>bija sasniegusi labu tuvu pie 4% pieauguma tempu, 2019.gadā jau sāka palēnām bremzēties. 2020. un 2021.gadā situāciju jau pilnībā noteica Covid-19 izplatība Latvijā un pasaulē, izraisot iekšzemes kopprodukta (IKP) kritumu. Pagājušajā gadā Latvijas IKP salīdzināmās cenās samazinājās par 3,6%. Tomēr ekonomikas kritums 2020.</w:t>
      </w:r>
      <w:r w:rsidR="000550FF">
        <w:rPr>
          <w:szCs w:val="20"/>
        </w:rPr>
        <w:t> </w:t>
      </w:r>
      <w:r>
        <w:rPr>
          <w:szCs w:val="20"/>
        </w:rPr>
        <w:t xml:space="preserve">gadā izrādījās būtiski mazāks </w:t>
      </w:r>
      <w:r>
        <w:t>nekā tika prognozēts Covid-19 krīzes sākumā, un to noteica gan visai veiksmīgā slimības pirmā uzliesmojuma pārvarēšana 2020.</w:t>
      </w:r>
      <w:r w:rsidR="000550FF">
        <w:t> </w:t>
      </w:r>
      <w:r>
        <w:t>gada pavasarī, gan ekonomikas atbalsta pasākumi un labvēlīgā ekonomikas struktūra, kad ražojošās nozares praktiski nepiedzīvoja izlaides apjomu kritumu.</w:t>
      </w:r>
      <w:r>
        <w:rPr>
          <w:szCs w:val="20"/>
        </w:rPr>
        <w:t xml:space="preserve"> </w:t>
      </w:r>
    </w:p>
    <w:p w14:paraId="6DB555FB" w14:textId="77777777" w:rsidR="00964CAC" w:rsidRDefault="00964CAC" w:rsidP="00A83AAD">
      <w:pPr>
        <w:spacing w:before="60" w:after="60"/>
      </w:pPr>
      <w:r>
        <w:t xml:space="preserve">Lielākā negatīvā ietekme uz ekonomikas kopējiem rādītājiem pagājušajā gadā bija krīzes tieši skartajām pakalpojumu nozarēm, kur transporta un uzglabāšanas nozare samazinājās par 14,9%, izmitināšanas un ēdināšanas nozare – par 38,1%, bet māksla, izklaide un atpūta – par 26,6%. Visas pakalpojumu nozares kopā pērn samazinājās par 4,8%, kamēr ražojošās nozares uzrādīja 0,4% pieaugumu. </w:t>
      </w:r>
    </w:p>
    <w:p w14:paraId="60B080EF" w14:textId="77777777" w:rsidR="00964CAC" w:rsidRDefault="00964CAC" w:rsidP="00A83AAD">
      <w:pPr>
        <w:spacing w:before="60" w:after="60"/>
      </w:pPr>
      <w:r>
        <w:t xml:space="preserve">Būvniecības nozare pagājušajā gadā palielinājās par 2,6%, bet lauksaimniecībā un mežsaimniecībā sasniegts 1,8% pieaugums, galvenokārt pateicoties labības rekordražai, kā arī augot apjomiem mežsaimniecībā un mežizstrādē. Salīdzinoši veiksmīgi krīzi pārvarēja arī apstrādes rūpniecība, kur apjomi pagājušajā gadā samazinājās tikai par 0,9%, galvenokārt pateicoties </w:t>
      </w:r>
      <w:r w:rsidRPr="0024672C">
        <w:t>pieaugumam kokapstrād</w:t>
      </w:r>
      <w:r>
        <w:t xml:space="preserve">es </w:t>
      </w:r>
      <w:r w:rsidRPr="0024672C">
        <w:t>nozarē, kā arī elektrisko iekārtu ražošanā.</w:t>
      </w:r>
    </w:p>
    <w:p w14:paraId="6E4F2950" w14:textId="0074DA75" w:rsidR="00964CAC" w:rsidRDefault="00964CAC" w:rsidP="00A83AAD">
      <w:pPr>
        <w:spacing w:before="60" w:after="60"/>
      </w:pPr>
      <w:r>
        <w:t>No izlietojuma puses Covid-19 krīze pērn vistiešāk atspoguļojās privātā patēriņa kritumā – par 10,0%, kamēr preču un pakalpojumu eksports samazinājās par 2,7%. Tajā pašā laikā importam samazinoties vēl straujāk, ārējās tirdzniecības izmaiņu ietekme uz kopējo ekonomikas izaugsmi bija pozitīva, kamēr sabiedriskais patēriņš pērn palielinājās par 2,6%</w:t>
      </w:r>
      <w:r w:rsidR="001878AB">
        <w:t>,</w:t>
      </w:r>
      <w:r>
        <w:t xml:space="preserve"> un arī investīcijās saglabājās 0,2% pieaugums.</w:t>
      </w:r>
    </w:p>
    <w:p w14:paraId="6DF0CFC1" w14:textId="1DED6717" w:rsidR="00964CAC" w:rsidRDefault="00964CAC" w:rsidP="00A83AAD">
      <w:pPr>
        <w:spacing w:before="60" w:after="60"/>
      </w:pPr>
      <w:r>
        <w:t>2021.</w:t>
      </w:r>
      <w:r w:rsidR="001878AB">
        <w:t> </w:t>
      </w:r>
      <w:r>
        <w:t>gada pirmajā pusē Latvijas ekonomikas attīstību joprojām būtiski ietekmēja Covid-19 situācija, slimības ierobežošanai ieviestie pasākumi un to pakāpeniska mīkstināšana. Pirmajā ceturksnī Latvijas IKP samazinājās par 1,3%, salīdzinājumā ar pagājušā gada attiecīgo ceturksni, bet otrajā ceturksnī jau bija fiksēta 10,3% izaugsme, ko noteica pagājušā gada zemā bāze un Covid-19 ierobežojumu pakāpeniska atcelšana.</w:t>
      </w:r>
    </w:p>
    <w:p w14:paraId="4A5F1C51" w14:textId="379893C1" w:rsidR="00964CAC" w:rsidRDefault="00964CAC" w:rsidP="00A83AAD">
      <w:pPr>
        <w:spacing w:before="60" w:after="60"/>
      </w:pPr>
      <w:r>
        <w:t>2021.</w:t>
      </w:r>
      <w:r w:rsidR="001878AB">
        <w:t> </w:t>
      </w:r>
      <w:r>
        <w:t>gada pirmās puses dati apliecināja, ka Latvijas ekonomika Covid-19 krīzes otro vilni pārvarējusi ar daudz mazākiem zaudējumiem nekā pirmo uzliesmojumu pagājušā gada pavasarī, lai gan saslimstības mazināšanai noteiktie ierobežojumi bija stingrāki. To noteica gan uzņēmumu labāka pielāgošanās Covid-19 situācijai, gan apjomīgākie valsts atbalsta pasākumi uzņēmējiem un iedzīvotājiem, nodrošinot iespēju krīzes skartajām nozarēm pilnībā nepārtraukt darbību un stimulējot iedzīvotāju patēriņu, gan palielinātais veselības nozares finansējums.</w:t>
      </w:r>
    </w:p>
    <w:p w14:paraId="3DCE3D59" w14:textId="18B79DD3" w:rsidR="00964CAC" w:rsidRDefault="00964CAC" w:rsidP="00A83AAD">
      <w:pPr>
        <w:spacing w:before="60" w:after="60"/>
      </w:pPr>
      <w:r>
        <w:lastRenderedPageBreak/>
        <w:t>No nozaru puses vislielākā pozitīvā ietekme uz Latvijas ekonomikas izaugsmi pirmajā ceturksnī bija veselības un sociālās aprūpes nozarei, kur pateicoties pieaugušajam valsts finansējumam un tam, ka atšķirībā no pagājušā gada nozares pakalpojumi nebija ierobežoti, tika sasniegts 19,7% kāpums. Finanšu pakalpojumu nozare pieauga par 15,2%, un kopējos rādītājus pozitīvi ietekmēja arī pieaugums apstrādes rūpniecībā par 1,6% un enerģētikā</w:t>
      </w:r>
      <w:r w:rsidR="001878AB">
        <w:t xml:space="preserve">, </w:t>
      </w:r>
      <w:r>
        <w:t>un ieguves rūpniecībā par 5,9%. Tāpat arī pateicoties pieaugušajiem vairumtirdzniecības apjomiem, tirdzniecības nozarē kopā bija fiksēts 2,0% kāpums.</w:t>
      </w:r>
    </w:p>
    <w:p w14:paraId="2C1444B8" w14:textId="77777777" w:rsidR="00964CAC" w:rsidRDefault="00964CAC" w:rsidP="00A83AAD">
      <w:pPr>
        <w:spacing w:before="60" w:after="60"/>
      </w:pPr>
      <w:r>
        <w:t>Lielāko negatīvo ietekmi uz ekonomikas rādītājiem pirmajā ceturksnī atstāja kritums Covid-19 ierobežojumu tieši skartajās nozarēs, tajā skaitā komercpakalpojumu nozarēs par 11,7%, izmitināšanā un ēdināšanā par 53,3%, kā arī transportā – par 8,2%. Transporta nozari gan atšķirībā no pagājušā gada vairs būtiski neietekmēja Krievijas tranzīta samazinājums, kur kravu apjomi jau pērn bija sarukuši līdz ļoti zemam līmenim. Atšķirībā no pagājušā gada, kad būvniecības nozare saglabāja stabilu pieaugumu, šogad pirmajā ceturksnī būvniecības apjomi kritās par 12,4%, ko noteica būvniecībai nelabvēlīgākie laika apstākļi un nelielais valsts investīciju izdevumu samazinājums šā gada sākumā.</w:t>
      </w:r>
    </w:p>
    <w:p w14:paraId="209D01F7" w14:textId="572E5B0D" w:rsidR="00964CAC" w:rsidRDefault="00964CAC" w:rsidP="00A83AAD">
      <w:pPr>
        <w:spacing w:before="60" w:after="60"/>
      </w:pPr>
      <w:r w:rsidRPr="001C2610">
        <w:t xml:space="preserve">Pēc </w:t>
      </w:r>
      <w:r>
        <w:t>2021.</w:t>
      </w:r>
      <w:r w:rsidR="001878AB">
        <w:t> </w:t>
      </w:r>
      <w:r>
        <w:t xml:space="preserve">gada </w:t>
      </w:r>
      <w:r w:rsidRPr="001C2610">
        <w:t xml:space="preserve">pirmajā ceturksnī piedzīvotā krituma, turpmākajos šā gada ceturkšņos </w:t>
      </w:r>
      <w:r>
        <w:t>Latvijā jau</w:t>
      </w:r>
      <w:r w:rsidRPr="001C2610">
        <w:t xml:space="preserve"> </w:t>
      </w:r>
      <w:r>
        <w:t xml:space="preserve">vērojama </w:t>
      </w:r>
      <w:r w:rsidRPr="001C2610">
        <w:t>visai strauja ekonomiskās izau</w:t>
      </w:r>
      <w:r>
        <w:t>gsmes atjaunošanās, ko nodrošina</w:t>
      </w:r>
      <w:r w:rsidRPr="001C2610">
        <w:t xml:space="preserve"> gan Covid-19 ierobežojumu mīkstināšana un atcelšana, gan valsts izdevumu pieaugums ekonomikas atbalstam, tajā skaitā iedzīvotāju patēriņam un investīcijām infrastruktūrā, gan pašlaik labvēlīgā ekonomiskā situācija pasaulē un galvenajās Latvijas ārējās tirdzniecības partnervalstīs.</w:t>
      </w:r>
      <w:r>
        <w:t xml:space="preserve"> Šo faktoru ietekmē 2021.gada otrajā ceturksnī, salīdzinot ar pirmo ceturksni, Latvijas IKP pēc sezonāli un kalendāri koriģētiem datiem palielinājās par 3,7%, kamēr gada griezumā, atbilstoši IKP ātrajam novērtējumam, tika sasniegta 10,3% izaugsme.</w:t>
      </w:r>
    </w:p>
    <w:p w14:paraId="42612045" w14:textId="662D7B0A" w:rsidR="00964CAC" w:rsidRPr="002E768B" w:rsidRDefault="00964CAC" w:rsidP="00A83AAD">
      <w:pPr>
        <w:spacing w:before="60" w:after="60"/>
        <w:rPr>
          <w:szCs w:val="20"/>
        </w:rPr>
      </w:pPr>
      <w:r>
        <w:t>Ņemot vērā 2021.</w:t>
      </w:r>
      <w:r w:rsidR="001878AB">
        <w:t> </w:t>
      </w:r>
      <w:r>
        <w:t>gada pirmā ceturkšņa IKP datus un paredzamo ekonomiskās izaugsmes atjaunošanos turpmākajos ceturkšņos, šā gada jūnija sākumā tika izstrādātas m</w:t>
      </w:r>
      <w:r w:rsidRPr="00265ED4">
        <w:t xml:space="preserve">akroekonomisko rādītāju prognozes 2021.-2024.gadam. Prognozes paredz, ka </w:t>
      </w:r>
      <w:r>
        <w:t>IKP</w:t>
      </w:r>
      <w:r w:rsidRPr="00265ED4">
        <w:t xml:space="preserve"> salīdzināmās cenās šogad </w:t>
      </w:r>
      <w:r>
        <w:t>palielināsies par 3,7</w:t>
      </w:r>
      <w:r w:rsidRPr="00265ED4">
        <w:t>%, bet 202</w:t>
      </w:r>
      <w:r>
        <w:t>2</w:t>
      </w:r>
      <w:r w:rsidRPr="00265ED4">
        <w:t>.</w:t>
      </w:r>
      <w:r w:rsidR="001878AB">
        <w:t> </w:t>
      </w:r>
      <w:r w:rsidRPr="00265ED4">
        <w:t xml:space="preserve">gadā ekonomikas izaugsme </w:t>
      </w:r>
      <w:r>
        <w:t>paātrināsies līdz 5,0%. 2023</w:t>
      </w:r>
      <w:r w:rsidRPr="00265ED4">
        <w:t>. un 202</w:t>
      </w:r>
      <w:r>
        <w:t>4</w:t>
      </w:r>
      <w:r w:rsidRPr="00265ED4">
        <w:t>.</w:t>
      </w:r>
      <w:r w:rsidR="001878AB">
        <w:t> </w:t>
      </w:r>
      <w:r w:rsidRPr="00265ED4">
        <w:t>g</w:t>
      </w:r>
      <w:r>
        <w:t>adā IKP pieaugums stabilizēsies un veidos attiecīgi 3,5% un 3,4%.</w:t>
      </w:r>
    </w:p>
    <w:p w14:paraId="231FD21B" w14:textId="77777777" w:rsidR="00964CAC" w:rsidRPr="00500AAB" w:rsidRDefault="00964CAC" w:rsidP="00A83AAD">
      <w:pPr>
        <w:rPr>
          <w:rFonts w:eastAsia="Calibri" w:cs="Times New Roman"/>
          <w:b/>
          <w:szCs w:val="20"/>
        </w:rPr>
      </w:pPr>
      <w:r w:rsidRPr="00500AAB">
        <w:rPr>
          <w:rFonts w:eastAsia="Calibri" w:cs="Times New Roman"/>
          <w:b/>
          <w:szCs w:val="20"/>
        </w:rPr>
        <w:t>Ārējā vide</w:t>
      </w:r>
    </w:p>
    <w:p w14:paraId="16CC23E3" w14:textId="5D50090F" w:rsidR="00964CAC" w:rsidRDefault="00964CAC" w:rsidP="00964CAC">
      <w:pPr>
        <w:spacing w:before="60" w:after="60"/>
        <w:rPr>
          <w:szCs w:val="20"/>
        </w:rPr>
      </w:pPr>
      <w:r>
        <w:rPr>
          <w:szCs w:val="20"/>
        </w:rPr>
        <w:t>Pasaules ekonomikas attīstību, kas jau 2019.</w:t>
      </w:r>
      <w:r w:rsidR="001878AB">
        <w:rPr>
          <w:szCs w:val="20"/>
        </w:rPr>
        <w:t> </w:t>
      </w:r>
      <w:r>
        <w:rPr>
          <w:szCs w:val="20"/>
        </w:rPr>
        <w:t>gadā bija sākusi nedaudz bremzēties, jau kopš 2020.</w:t>
      </w:r>
      <w:r w:rsidR="001878AB">
        <w:rPr>
          <w:szCs w:val="20"/>
        </w:rPr>
        <w:t> </w:t>
      </w:r>
      <w:r>
        <w:rPr>
          <w:szCs w:val="20"/>
        </w:rPr>
        <w:t xml:space="preserve">gada sākuma gandrīz pilnībā nosaka </w:t>
      </w:r>
      <w:r w:rsidRPr="000A1BF6">
        <w:rPr>
          <w:szCs w:val="20"/>
        </w:rPr>
        <w:t>Covid-19</w:t>
      </w:r>
      <w:r>
        <w:rPr>
          <w:szCs w:val="20"/>
        </w:rPr>
        <w:t xml:space="preserve"> pandēmija – gan slimības izplatības samazināšanai noteiktie ierobežojumi, gan vakcīnu izstrādāšana un vakcinācijas uzsākšana, gan valstu sniegtie atbalsta pasākumi biznesiem un iedzīvotājiem. 2020.</w:t>
      </w:r>
      <w:r w:rsidR="001878AB">
        <w:rPr>
          <w:szCs w:val="20"/>
        </w:rPr>
        <w:t> </w:t>
      </w:r>
      <w:r>
        <w:rPr>
          <w:szCs w:val="20"/>
        </w:rPr>
        <w:t xml:space="preserve">gadā pasaules ekonomika piedzīvoja 3,2% kritumu, kas bija smagāks nekā </w:t>
      </w:r>
      <w:r w:rsidRPr="000A1BF6">
        <w:rPr>
          <w:szCs w:val="20"/>
        </w:rPr>
        <w:t>finanšu krīzes laikā 2009.</w:t>
      </w:r>
      <w:r w:rsidR="001878AB">
        <w:rPr>
          <w:szCs w:val="20"/>
        </w:rPr>
        <w:t> </w:t>
      </w:r>
      <w:r w:rsidRPr="000A1BF6">
        <w:rPr>
          <w:szCs w:val="20"/>
        </w:rPr>
        <w:t>gadā, kad pasaules ekonomika saruka par 0,1%.</w:t>
      </w:r>
      <w:r>
        <w:rPr>
          <w:szCs w:val="20"/>
        </w:rPr>
        <w:t xml:space="preserve"> Tomēr kritums izrādījās mazāks nekā sākotnēji sagaidīts, un arī izaugsmes atjaunošanās šogad notiek straujāk.</w:t>
      </w:r>
    </w:p>
    <w:p w14:paraId="30897948" w14:textId="2ACCB422" w:rsidR="00964CAC" w:rsidRDefault="00964CAC" w:rsidP="00964CAC">
      <w:pPr>
        <w:spacing w:before="60" w:after="60"/>
        <w:rPr>
          <w:noProof/>
          <w:szCs w:val="20"/>
        </w:rPr>
      </w:pPr>
      <w:r w:rsidRPr="00776ED6">
        <w:rPr>
          <w:szCs w:val="20"/>
        </w:rPr>
        <w:lastRenderedPageBreak/>
        <w:t xml:space="preserve">Jau visu pagājušā gada otro pusi pasaules ekonomiskās attīstības prognozes tika pakāpeniski </w:t>
      </w:r>
      <w:r>
        <w:rPr>
          <w:szCs w:val="20"/>
        </w:rPr>
        <w:t>paaugstinātas un arī šogad Starptautiskais Valūtas fonds (SVF) vairākas reizes paaugstināja globālās izaugsmes prognozi 2021.</w:t>
      </w:r>
      <w:r w:rsidR="001878AB">
        <w:rPr>
          <w:szCs w:val="20"/>
        </w:rPr>
        <w:t> </w:t>
      </w:r>
      <w:r>
        <w:rPr>
          <w:szCs w:val="20"/>
        </w:rPr>
        <w:t>gadam. Atbilstoši jaunākajām, jūlijā publiskotajām SVF prognozēm, pasaules ekonomika šogad pieaugs par 6,0%, bet 2022.</w:t>
      </w:r>
      <w:r w:rsidR="001878AB">
        <w:rPr>
          <w:szCs w:val="20"/>
        </w:rPr>
        <w:t> </w:t>
      </w:r>
      <w:r>
        <w:rPr>
          <w:szCs w:val="20"/>
        </w:rPr>
        <w:t>gadā izaugsme kļūs nedaudz lēnāka, veidojot 4,9%. Salīdzinājumā ar iepriekšējām, aprīlī veidotajām prognozēm, kopējā pasaules ekonomikas izaugsmes prognoze šim gadam nav mainījusies. Taču attīstīto valstu, pirmām kārtām</w:t>
      </w:r>
      <w:r w:rsidR="001878AB">
        <w:rPr>
          <w:szCs w:val="20"/>
        </w:rPr>
        <w:t>,</w:t>
      </w:r>
      <w:r>
        <w:rPr>
          <w:szCs w:val="20"/>
        </w:rPr>
        <w:t xml:space="preserve"> ASV un </w:t>
      </w:r>
      <w:r w:rsidR="001878AB">
        <w:rPr>
          <w:noProof/>
          <w:szCs w:val="20"/>
        </w:rPr>
        <w:t>ei</w:t>
      </w:r>
      <w:r>
        <w:rPr>
          <w:noProof/>
          <w:szCs w:val="20"/>
        </w:rPr>
        <w:t>rozonas prognozes ir uzlabojušās, kamēr attīstības valstīm izaugsme tiek prognozēta nedaudz zemāka, īpaši pazeminoties Indijas ekonomikas pieaugumam, bet riski tiek saskatīti arī Ķīnā. Šādu atšķirīgu virzību pašlaik ielā mērā nosaka atšķirīgā vakcīnu pieejamība, vakcinācijas tempi un pandēmijas izplatības gaita attīstītajās un attīstības valstīs. Būtiska loma šeit ir arī atšķirīgajiem dažādu valstu fiskālā un monetārā atbalsta apjomiem.</w:t>
      </w:r>
    </w:p>
    <w:p w14:paraId="24FE9361" w14:textId="2434B23C" w:rsidR="00964CAC" w:rsidRDefault="00964CAC" w:rsidP="00964CAC">
      <w:pPr>
        <w:spacing w:before="60" w:after="60"/>
        <w:rPr>
          <w:szCs w:val="20"/>
        </w:rPr>
      </w:pPr>
      <w:r w:rsidRPr="000A1BF6">
        <w:rPr>
          <w:noProof/>
          <w:szCs w:val="20"/>
        </w:rPr>
        <w:t>Latvijas ekonomikas attīstību visbūtiskāk ietekmē situācija eirozonā</w:t>
      </w:r>
      <w:r w:rsidRPr="000A1BF6">
        <w:rPr>
          <w:szCs w:val="20"/>
        </w:rPr>
        <w:t xml:space="preserve"> un atsevišķās tās galvenajās ārējās tirdzniec</w:t>
      </w:r>
      <w:r>
        <w:rPr>
          <w:szCs w:val="20"/>
        </w:rPr>
        <w:t xml:space="preserve">ības partnervalstīs, un straujāka ierobežojumu atcelšana un partnervalstu spēcīgāka ekonomikas izaugsme dod pamatu sagaidīt straujākus attīstības tempus arī Latvijā. Līdzīgi kā pasaulei kopumā, </w:t>
      </w:r>
      <w:r>
        <w:rPr>
          <w:noProof/>
          <w:szCs w:val="20"/>
        </w:rPr>
        <w:t xml:space="preserve">arī eirozonai ekonomikas izaugsmes prognozes jau kopš pagājušā gada vidus tiek arvien paaugstinātas, un pēc </w:t>
      </w:r>
      <w:r w:rsidRPr="000A1BF6">
        <w:rPr>
          <w:noProof/>
          <w:szCs w:val="20"/>
        </w:rPr>
        <w:t>Eiro</w:t>
      </w:r>
      <w:r>
        <w:rPr>
          <w:noProof/>
          <w:szCs w:val="20"/>
        </w:rPr>
        <w:t>pas Komisijas (EK) pēdējām, 2021</w:t>
      </w:r>
      <w:r w:rsidRPr="000A1BF6">
        <w:rPr>
          <w:noProof/>
          <w:szCs w:val="20"/>
        </w:rPr>
        <w:t>.</w:t>
      </w:r>
      <w:r w:rsidR="001878AB">
        <w:rPr>
          <w:noProof/>
          <w:szCs w:val="20"/>
        </w:rPr>
        <w:t> </w:t>
      </w:r>
      <w:r w:rsidRPr="000A1BF6">
        <w:rPr>
          <w:noProof/>
          <w:szCs w:val="20"/>
        </w:rPr>
        <w:t xml:space="preserve">gada vasaras prognozēm, eirozonas ekonomika </w:t>
      </w:r>
      <w:r>
        <w:rPr>
          <w:noProof/>
          <w:szCs w:val="20"/>
        </w:rPr>
        <w:t>šogad pieaugs par 4,8% un nākamgad – par 4,5%, kas ir attiecīgi par 0,6</w:t>
      </w:r>
      <w:r w:rsidR="001878AB">
        <w:rPr>
          <w:noProof/>
          <w:szCs w:val="20"/>
        </w:rPr>
        <w:t> </w:t>
      </w:r>
      <w:r>
        <w:rPr>
          <w:noProof/>
          <w:szCs w:val="20"/>
        </w:rPr>
        <w:t>procentpunktiem un 1,5</w:t>
      </w:r>
      <w:r w:rsidR="001878AB">
        <w:rPr>
          <w:noProof/>
          <w:szCs w:val="20"/>
        </w:rPr>
        <w:t> </w:t>
      </w:r>
      <w:r>
        <w:rPr>
          <w:noProof/>
          <w:szCs w:val="20"/>
        </w:rPr>
        <w:t>procentpunktiem vairāk</w:t>
      </w:r>
      <w:r w:rsidR="001878AB">
        <w:rPr>
          <w:noProof/>
          <w:szCs w:val="20"/>
        </w:rPr>
        <w:t xml:space="preserve"> </w:t>
      </w:r>
      <w:r>
        <w:rPr>
          <w:noProof/>
          <w:szCs w:val="20"/>
        </w:rPr>
        <w:t>nekā EK bija</w:t>
      </w:r>
      <w:r>
        <w:rPr>
          <w:szCs w:val="20"/>
        </w:rPr>
        <w:t xml:space="preserve"> prognozējusi šā gada februārī. Desmit Latvijas lielāko eksporta partnervalstu – Lietuvas, Igaunijas, Krievijas, Vācijas, Zviedrijas, Apvienotās Karalistes, Dānijas, Polijas, Nīderlandes un Somijas – kopējā vidēji svērtā ekonomikas izaugsmes prognoze 2021.</w:t>
      </w:r>
      <w:r w:rsidR="001878AB">
        <w:rPr>
          <w:szCs w:val="20"/>
        </w:rPr>
        <w:t> </w:t>
      </w:r>
      <w:r>
        <w:rPr>
          <w:szCs w:val="20"/>
        </w:rPr>
        <w:t>gadam bija par 1,5</w:t>
      </w:r>
      <w:r w:rsidR="001878AB">
        <w:rPr>
          <w:szCs w:val="20"/>
        </w:rPr>
        <w:t> </w:t>
      </w:r>
      <w:r>
        <w:rPr>
          <w:szCs w:val="20"/>
        </w:rPr>
        <w:t>procentpunktiem augstāka nekā februārī un 2022.</w:t>
      </w:r>
      <w:r w:rsidR="001878AB">
        <w:rPr>
          <w:szCs w:val="20"/>
        </w:rPr>
        <w:t> </w:t>
      </w:r>
      <w:r>
        <w:rPr>
          <w:szCs w:val="20"/>
        </w:rPr>
        <w:t>gadam – par 0,3</w:t>
      </w:r>
      <w:r w:rsidR="001878AB">
        <w:rPr>
          <w:szCs w:val="20"/>
        </w:rPr>
        <w:t> </w:t>
      </w:r>
      <w:r>
        <w:rPr>
          <w:szCs w:val="20"/>
        </w:rPr>
        <w:t>procentpunktiem augstāka.</w:t>
      </w:r>
    </w:p>
    <w:p w14:paraId="5568AA02" w14:textId="2739E989" w:rsidR="00964CAC" w:rsidRDefault="00964CAC" w:rsidP="00964CAC">
      <w:pPr>
        <w:spacing w:before="60" w:after="60"/>
        <w:rPr>
          <w:szCs w:val="20"/>
        </w:rPr>
      </w:pPr>
      <w:r>
        <w:rPr>
          <w:szCs w:val="20"/>
        </w:rPr>
        <w:t>Jaunākie šā</w:t>
      </w:r>
      <w:r w:rsidRPr="000A1BF6">
        <w:rPr>
          <w:szCs w:val="20"/>
        </w:rPr>
        <w:t xml:space="preserve"> gada otrā ceturkšņa iekšze</w:t>
      </w:r>
      <w:r>
        <w:rPr>
          <w:szCs w:val="20"/>
        </w:rPr>
        <w:t xml:space="preserve">mes kopprodukta dati rāda, ka Eiropas ekonomiskās izaugsmes atjaunošanās šogad varētu būt arī straujāka par EK pēdējās prognozēs paredzēto. </w:t>
      </w:r>
      <w:r w:rsidRPr="000A1BF6">
        <w:rPr>
          <w:noProof/>
          <w:szCs w:val="20"/>
        </w:rPr>
        <w:t xml:space="preserve">Eirozonas ekonomika pēc IKP ātrā novērtējuma šā gada otrajā ceturksnī, salīdzinot ar </w:t>
      </w:r>
      <w:r>
        <w:rPr>
          <w:noProof/>
          <w:szCs w:val="20"/>
        </w:rPr>
        <w:t>iepriekšējo ceturksni, pieaugusi par 2,0%, kamēr EK savās jūlija prognozēs</w:t>
      </w:r>
      <w:r>
        <w:rPr>
          <w:szCs w:val="20"/>
        </w:rPr>
        <w:t xml:space="preserve"> otrajam ceturksnim bija paredzējusi 1,3% kāpumu.</w:t>
      </w:r>
    </w:p>
    <w:p w14:paraId="2B4EEA4A" w14:textId="78382762" w:rsidR="00964CAC" w:rsidRDefault="00964CAC" w:rsidP="00964CAC">
      <w:pPr>
        <w:spacing w:before="60" w:after="60"/>
        <w:rPr>
          <w:szCs w:val="20"/>
        </w:rPr>
      </w:pPr>
      <w:r>
        <w:rPr>
          <w:szCs w:val="20"/>
        </w:rPr>
        <w:t xml:space="preserve">Covid-19 pandēmija pēdējā pusotra gada laikā izraisījusi arī būtiskas cenu svārstības. Ja pagājušajā gadā izejvielu cenas pasaules tirgos piedzīvoja kritumu un patēriņa cenu pieaugumu ierobežoja arī </w:t>
      </w:r>
      <w:r>
        <w:rPr>
          <w:noProof/>
          <w:szCs w:val="20"/>
        </w:rPr>
        <w:t>ekonomikas kritums, šogad situācija jau ir pretēja</w:t>
      </w:r>
      <w:r w:rsidR="00345011">
        <w:rPr>
          <w:noProof/>
          <w:szCs w:val="20"/>
        </w:rPr>
        <w:t>,</w:t>
      </w:r>
      <w:r>
        <w:rPr>
          <w:noProof/>
          <w:szCs w:val="20"/>
        </w:rPr>
        <w:t xml:space="preserve"> un inflācijas līmenis pasaulē strauji paaugstinās. Eirozonā</w:t>
      </w:r>
      <w:r>
        <w:rPr>
          <w:szCs w:val="20"/>
        </w:rPr>
        <w:t xml:space="preserve"> inflācija pagājušajā gadā bija noslīdējusi līdz 0,3%, bet šogad, augot naftas un pārtikas izejvielu cenām pasaules tirgū, patēriņa cenu pieaugums pēc EK prognozēm varētu sasniegt 1,9%. Straujāku cenu pieaugumu veicina arī ekonomikas stimulēšanas pasākumi, </w:t>
      </w:r>
      <w:r w:rsidRPr="009D7481">
        <w:rPr>
          <w:szCs w:val="20"/>
        </w:rPr>
        <w:t xml:space="preserve">gan centrālajām bankām pazeminot procentu likmes, gan iegādājoties vērtspapīrus, </w:t>
      </w:r>
      <w:r>
        <w:rPr>
          <w:szCs w:val="20"/>
        </w:rPr>
        <w:t>gan</w:t>
      </w:r>
      <w:r w:rsidRPr="009D7481">
        <w:rPr>
          <w:szCs w:val="20"/>
        </w:rPr>
        <w:t xml:space="preserve"> valdībām </w:t>
      </w:r>
      <w:r>
        <w:rPr>
          <w:szCs w:val="20"/>
        </w:rPr>
        <w:t xml:space="preserve">Covid-19 krīzes laikā </w:t>
      </w:r>
      <w:r w:rsidRPr="009D7481">
        <w:rPr>
          <w:szCs w:val="20"/>
        </w:rPr>
        <w:t>sniedzot finansiālu atbalstu iedzīvotājiem</w:t>
      </w:r>
      <w:r>
        <w:rPr>
          <w:szCs w:val="20"/>
        </w:rPr>
        <w:t xml:space="preserve"> un uzņēmumiem.</w:t>
      </w:r>
    </w:p>
    <w:p w14:paraId="0D7EF160" w14:textId="31979479" w:rsidR="00964CAC" w:rsidRPr="002E768B" w:rsidRDefault="00964CAC" w:rsidP="00964CAC">
      <w:pPr>
        <w:spacing w:before="60" w:after="60"/>
        <w:rPr>
          <w:szCs w:val="20"/>
        </w:rPr>
      </w:pPr>
      <w:r>
        <w:rPr>
          <w:szCs w:val="20"/>
        </w:rPr>
        <w:lastRenderedPageBreak/>
        <w:t xml:space="preserve">Tāpat kā visu pēdējo pusotru gadu, arī pašlaik pasaulē saglabājas </w:t>
      </w:r>
      <w:r w:rsidRPr="000A1BF6">
        <w:rPr>
          <w:szCs w:val="20"/>
        </w:rPr>
        <w:t xml:space="preserve">ļoti augsta nenoteiktība </w:t>
      </w:r>
      <w:r>
        <w:rPr>
          <w:szCs w:val="20"/>
        </w:rPr>
        <w:t xml:space="preserve">par pandēmijas turpmāko attīstību, vakcinācijas tempiem un iespējamām jaunām vīrusa mutācijām. Riskus rada arī iespējams straujš inflācijas pieaugums, kas var izraisīt monetārās politikas izmaiņas un procentu likmju pieaugumu, dodot divkāršu sitienu attīstības valstīm ar zemiem vakcinācijas un augstiem parādu līmeņiem. </w:t>
      </w:r>
      <w:r w:rsidRPr="000A1BF6">
        <w:rPr>
          <w:szCs w:val="20"/>
        </w:rPr>
        <w:t xml:space="preserve">Līdz ar to gan pasaules, gan Latvijas galveno eksporta partnervalstu ekonomiskās attīstības prognozes arī turpmāk var piedzīvot visai krasas korekcijas, līdzīgi kā tas </w:t>
      </w:r>
      <w:r>
        <w:rPr>
          <w:szCs w:val="20"/>
        </w:rPr>
        <w:t>bijis</w:t>
      </w:r>
      <w:r w:rsidRPr="000A1BF6">
        <w:rPr>
          <w:szCs w:val="20"/>
        </w:rPr>
        <w:t xml:space="preserve"> </w:t>
      </w:r>
      <w:r>
        <w:rPr>
          <w:szCs w:val="20"/>
        </w:rPr>
        <w:t>visā pandēmijas laikā jau kopš 2020.</w:t>
      </w:r>
      <w:r w:rsidR="00D67F05">
        <w:rPr>
          <w:szCs w:val="20"/>
        </w:rPr>
        <w:t> </w:t>
      </w:r>
      <w:r>
        <w:rPr>
          <w:szCs w:val="20"/>
        </w:rPr>
        <w:t>gada sākuma.</w:t>
      </w:r>
    </w:p>
    <w:p w14:paraId="59FEB735" w14:textId="77777777" w:rsidR="00964CAC" w:rsidRDefault="00964CAC" w:rsidP="00A83AAD">
      <w:pPr>
        <w:rPr>
          <w:rFonts w:eastAsia="Calibri" w:cs="Times New Roman"/>
          <w:b/>
          <w:szCs w:val="20"/>
        </w:rPr>
      </w:pPr>
      <w:r w:rsidRPr="00500AAB">
        <w:rPr>
          <w:rFonts w:eastAsia="Calibri" w:cs="Times New Roman"/>
          <w:b/>
          <w:szCs w:val="20"/>
        </w:rPr>
        <w:t>Nozaru attīstība</w:t>
      </w:r>
    </w:p>
    <w:p w14:paraId="1BC74319" w14:textId="016C77C0" w:rsidR="00964CAC" w:rsidRPr="000F3BBA" w:rsidRDefault="00964CAC" w:rsidP="00964CAC">
      <w:pPr>
        <w:spacing w:before="60" w:after="60"/>
        <w:rPr>
          <w:szCs w:val="20"/>
        </w:rPr>
      </w:pPr>
      <w:r w:rsidRPr="000F3BBA">
        <w:rPr>
          <w:szCs w:val="20"/>
        </w:rPr>
        <w:t>Latvijas tautsaimniecība šā gada pirmajā pusgadā</w:t>
      </w:r>
      <w:r>
        <w:rPr>
          <w:szCs w:val="20"/>
        </w:rPr>
        <w:t xml:space="preserve"> kopā</w:t>
      </w:r>
      <w:r w:rsidRPr="000F3BBA">
        <w:rPr>
          <w:szCs w:val="20"/>
        </w:rPr>
        <w:t xml:space="preserve"> </w:t>
      </w:r>
      <w:r>
        <w:rPr>
          <w:szCs w:val="20"/>
        </w:rPr>
        <w:t>uzrādījusi</w:t>
      </w:r>
      <w:r w:rsidRPr="000F3BBA">
        <w:rPr>
          <w:szCs w:val="20"/>
        </w:rPr>
        <w:t xml:space="preserve"> strauju </w:t>
      </w:r>
      <w:r>
        <w:rPr>
          <w:szCs w:val="20"/>
        </w:rPr>
        <w:t xml:space="preserve">4,5% </w:t>
      </w:r>
      <w:r w:rsidRPr="000F3BBA">
        <w:rPr>
          <w:szCs w:val="20"/>
        </w:rPr>
        <w:t xml:space="preserve">izaugsmi. </w:t>
      </w:r>
      <w:r>
        <w:rPr>
          <w:szCs w:val="20"/>
        </w:rPr>
        <w:t>Janvārī un februārī lielu daļu tautsaimniecības nozaru negatīvi ietekmēja valstī noteiktie ierobežojumi</w:t>
      </w:r>
      <w:r w:rsidRPr="000F3BBA">
        <w:rPr>
          <w:szCs w:val="20"/>
        </w:rPr>
        <w:t xml:space="preserve"> pandēmijas mazināšanai, taču </w:t>
      </w:r>
      <w:r>
        <w:rPr>
          <w:szCs w:val="20"/>
        </w:rPr>
        <w:t xml:space="preserve">jau sākot no marta </w:t>
      </w:r>
      <w:r w:rsidR="00D67F05">
        <w:rPr>
          <w:szCs w:val="20"/>
        </w:rPr>
        <w:t>epidemioloģiskajai</w:t>
      </w:r>
      <w:r w:rsidRPr="000F3BBA">
        <w:rPr>
          <w:szCs w:val="20"/>
        </w:rPr>
        <w:t xml:space="preserve"> situācijai uzlabojoties, strauji auga gan rūpniecības, gan mazumtirdzniecības rādītāji</w:t>
      </w:r>
      <w:r>
        <w:rPr>
          <w:szCs w:val="20"/>
        </w:rPr>
        <w:t>.</w:t>
      </w:r>
    </w:p>
    <w:p w14:paraId="4665DD90" w14:textId="7A680C63" w:rsidR="00964CAC" w:rsidRPr="006D4EF7" w:rsidRDefault="00964CAC" w:rsidP="00A83AAD">
      <w:pPr>
        <w:spacing w:before="60" w:after="60"/>
        <w:rPr>
          <w:rFonts w:eastAsia="Calibri" w:cs="Times New Roman"/>
          <w:szCs w:val="20"/>
        </w:rPr>
      </w:pPr>
      <w:r w:rsidRPr="001647E4">
        <w:rPr>
          <w:rFonts w:eastAsia="Calibri" w:cs="Times New Roman"/>
          <w:b/>
          <w:szCs w:val="20"/>
        </w:rPr>
        <w:t>Rūpniecība</w:t>
      </w:r>
      <w:r w:rsidRPr="006D4EF7">
        <w:rPr>
          <w:rFonts w:eastAsia="Calibri" w:cs="Times New Roman"/>
          <w:szCs w:val="20"/>
        </w:rPr>
        <w:t xml:space="preserve"> 2020.</w:t>
      </w:r>
      <w:r w:rsidR="00D67F05">
        <w:rPr>
          <w:rFonts w:eastAsia="Calibri" w:cs="Times New Roman"/>
          <w:szCs w:val="20"/>
        </w:rPr>
        <w:t> </w:t>
      </w:r>
      <w:r w:rsidRPr="006D4EF7">
        <w:rPr>
          <w:rFonts w:eastAsia="Calibri" w:cs="Times New Roman"/>
          <w:szCs w:val="20"/>
        </w:rPr>
        <w:t>gadā pandēmijas radīto seku iespaidā</w:t>
      </w:r>
      <w:r>
        <w:rPr>
          <w:rFonts w:eastAsia="Calibri" w:cs="Times New Roman"/>
          <w:szCs w:val="20"/>
        </w:rPr>
        <w:t xml:space="preserve"> neuzrādīja izaugsmi.</w:t>
      </w:r>
      <w:r w:rsidRPr="006D4EF7">
        <w:rPr>
          <w:rFonts w:eastAsia="Calibri" w:cs="Times New Roman"/>
          <w:szCs w:val="20"/>
        </w:rPr>
        <w:t xml:space="preserve"> Salīdzinot ar 2019.</w:t>
      </w:r>
      <w:r w:rsidR="00D67F05">
        <w:rPr>
          <w:rFonts w:eastAsia="Calibri" w:cs="Times New Roman"/>
          <w:szCs w:val="20"/>
        </w:rPr>
        <w:t> </w:t>
      </w:r>
      <w:r w:rsidRPr="006D4EF7">
        <w:rPr>
          <w:rFonts w:eastAsia="Calibri" w:cs="Times New Roman"/>
          <w:szCs w:val="20"/>
        </w:rPr>
        <w:t xml:space="preserve">gadu, ražošanas apjomi </w:t>
      </w:r>
      <w:r w:rsidR="00D67F05" w:rsidRPr="006D4EF7">
        <w:rPr>
          <w:rFonts w:eastAsia="Calibri" w:cs="Times New Roman"/>
          <w:szCs w:val="20"/>
        </w:rPr>
        <w:t xml:space="preserve">(salīdzināmās cenās) </w:t>
      </w:r>
      <w:r w:rsidRPr="006D4EF7">
        <w:rPr>
          <w:rFonts w:eastAsia="Calibri" w:cs="Times New Roman"/>
          <w:szCs w:val="20"/>
        </w:rPr>
        <w:t>samazinājās par 1,8%, ko noteica apstrādes rūpniecības un elektroenerģijas</w:t>
      </w:r>
      <w:r w:rsidR="00D67F05">
        <w:rPr>
          <w:rFonts w:eastAsia="Calibri" w:cs="Times New Roman"/>
          <w:szCs w:val="20"/>
        </w:rPr>
        <w:t>,</w:t>
      </w:r>
      <w:r w:rsidRPr="006D4EF7">
        <w:rPr>
          <w:rFonts w:eastAsia="Calibri" w:cs="Times New Roman"/>
          <w:szCs w:val="20"/>
        </w:rPr>
        <w:t xml:space="preserve"> un gāzes apgādes sarukums, savukārt ieguves rūpniecība uzrādīja pieaugumu.</w:t>
      </w:r>
      <w:r w:rsidR="00D67F05">
        <w:rPr>
          <w:rFonts w:eastAsia="Calibri" w:cs="Times New Roman"/>
          <w:szCs w:val="20"/>
        </w:rPr>
        <w:t xml:space="preserve"> </w:t>
      </w:r>
      <w:r w:rsidRPr="006D4EF7">
        <w:rPr>
          <w:rFonts w:eastAsia="Calibri" w:cs="Times New Roman"/>
          <w:szCs w:val="20"/>
        </w:rPr>
        <w:t xml:space="preserve">Jāpiebilst, ka Covid-19 ietekme uz Latvijas rūpniecību </w:t>
      </w:r>
      <w:r>
        <w:rPr>
          <w:rFonts w:eastAsia="Calibri" w:cs="Times New Roman"/>
          <w:szCs w:val="20"/>
        </w:rPr>
        <w:t>2020.</w:t>
      </w:r>
      <w:r w:rsidR="00D67F05">
        <w:rPr>
          <w:rFonts w:eastAsia="Calibri" w:cs="Times New Roman"/>
          <w:szCs w:val="20"/>
        </w:rPr>
        <w:t> </w:t>
      </w:r>
      <w:r>
        <w:rPr>
          <w:rFonts w:eastAsia="Calibri" w:cs="Times New Roman"/>
          <w:szCs w:val="20"/>
        </w:rPr>
        <w:t xml:space="preserve">gadā </w:t>
      </w:r>
      <w:r w:rsidRPr="006D4EF7">
        <w:rPr>
          <w:rFonts w:eastAsia="Calibri" w:cs="Times New Roman"/>
          <w:szCs w:val="20"/>
        </w:rPr>
        <w:t>bijusi salīdzinoši neliela</w:t>
      </w:r>
      <w:r>
        <w:rPr>
          <w:rFonts w:eastAsia="Calibri" w:cs="Times New Roman"/>
          <w:szCs w:val="20"/>
        </w:rPr>
        <w:t>,</w:t>
      </w:r>
      <w:r w:rsidRPr="006D4EF7">
        <w:rPr>
          <w:rFonts w:eastAsia="Calibri" w:cs="Times New Roman"/>
          <w:szCs w:val="20"/>
        </w:rPr>
        <w:t xml:space="preserve"> salīdzinot ar situāciju citās Eiropas Savienības dalībvalstīs. </w:t>
      </w:r>
    </w:p>
    <w:p w14:paraId="4CF1C217" w14:textId="77777777" w:rsidR="00964CAC" w:rsidRPr="006D4EF7" w:rsidRDefault="00964CAC" w:rsidP="00A83AAD">
      <w:pPr>
        <w:spacing w:before="60" w:after="60"/>
        <w:rPr>
          <w:rFonts w:eastAsia="Calibri" w:cs="Times New Roman"/>
          <w:szCs w:val="20"/>
        </w:rPr>
      </w:pPr>
      <w:r w:rsidRPr="006D4EF7">
        <w:rPr>
          <w:rFonts w:eastAsia="Calibri" w:cs="Times New Roman"/>
          <w:szCs w:val="20"/>
        </w:rPr>
        <w:t xml:space="preserve">2021. gada pirmajā pusgadā, uzlabojoties pandēmiskajai situācijai, Latvijas rūpniecība piedzīvojusi strauju uzplaukumu, apjomiem nozarē pieaugot par 8,3% pret pērnā gada pirmo pusgadu, tostarp apstrādes rūpniecībā </w:t>
      </w:r>
      <w:r>
        <w:rPr>
          <w:rFonts w:eastAsia="Calibri" w:cs="Times New Roman"/>
          <w:szCs w:val="20"/>
        </w:rPr>
        <w:t xml:space="preserve">bijis </w:t>
      </w:r>
      <w:r w:rsidRPr="006D4EF7">
        <w:rPr>
          <w:rFonts w:eastAsia="Calibri" w:cs="Times New Roman"/>
          <w:szCs w:val="20"/>
        </w:rPr>
        <w:t>pieaugums par 9</w:t>
      </w:r>
      <w:r>
        <w:rPr>
          <w:rFonts w:eastAsia="Calibri" w:cs="Times New Roman"/>
          <w:szCs w:val="20"/>
        </w:rPr>
        <w:t>,0</w:t>
      </w:r>
      <w:r w:rsidRPr="006D4EF7">
        <w:rPr>
          <w:rFonts w:eastAsia="Calibri" w:cs="Times New Roman"/>
          <w:szCs w:val="20"/>
        </w:rPr>
        <w:t>%, elektroenerģijas un gāzes apgādes izlaides apjomi auguši par 6</w:t>
      </w:r>
      <w:r>
        <w:rPr>
          <w:rFonts w:eastAsia="Calibri" w:cs="Times New Roman"/>
          <w:szCs w:val="20"/>
        </w:rPr>
        <w:t>,0</w:t>
      </w:r>
      <w:r w:rsidRPr="006D4EF7">
        <w:rPr>
          <w:rFonts w:eastAsia="Calibri" w:cs="Times New Roman"/>
          <w:szCs w:val="20"/>
        </w:rPr>
        <w:t>%, bet ieguves rūpniecībā reģistrēts pieaugums par 5,7%.</w:t>
      </w:r>
    </w:p>
    <w:p w14:paraId="71AFD1F5" w14:textId="44BD0ECC" w:rsidR="00964CAC" w:rsidRPr="006D4EF7" w:rsidRDefault="00964CAC" w:rsidP="00A83AAD">
      <w:pPr>
        <w:spacing w:before="60" w:after="60"/>
        <w:rPr>
          <w:rFonts w:eastAsia="Calibri" w:cs="Times New Roman"/>
          <w:szCs w:val="20"/>
        </w:rPr>
      </w:pPr>
      <w:r w:rsidRPr="006D4EF7">
        <w:rPr>
          <w:rFonts w:eastAsia="Calibri" w:cs="Times New Roman"/>
          <w:szCs w:val="20"/>
        </w:rPr>
        <w:t xml:space="preserve">Lielākajā no rūpniecības </w:t>
      </w:r>
      <w:r w:rsidRPr="006D4EF7">
        <w:rPr>
          <w:rFonts w:eastAsia="Calibri" w:cs="Times New Roman"/>
          <w:noProof/>
          <w:szCs w:val="20"/>
        </w:rPr>
        <w:t>apakšnozarēm – apstrādes rūpniecībā 2020.</w:t>
      </w:r>
      <w:r w:rsidR="00D67F05">
        <w:rPr>
          <w:rFonts w:eastAsia="Calibri" w:cs="Times New Roman"/>
          <w:noProof/>
          <w:szCs w:val="20"/>
        </w:rPr>
        <w:t> </w:t>
      </w:r>
      <w:r w:rsidRPr="006D4EF7">
        <w:rPr>
          <w:rFonts w:eastAsia="Calibri" w:cs="Times New Roman"/>
          <w:noProof/>
          <w:szCs w:val="20"/>
        </w:rPr>
        <w:t>gadā</w:t>
      </w:r>
      <w:r>
        <w:rPr>
          <w:rFonts w:eastAsia="Calibri" w:cs="Times New Roman"/>
          <w:noProof/>
          <w:szCs w:val="20"/>
        </w:rPr>
        <w:t xml:space="preserve"> bijis</w:t>
      </w:r>
      <w:r w:rsidRPr="006D4EF7">
        <w:rPr>
          <w:rFonts w:eastAsia="Calibri" w:cs="Times New Roman"/>
          <w:noProof/>
          <w:szCs w:val="20"/>
        </w:rPr>
        <w:t xml:space="preserve"> kritums par 1</w:t>
      </w:r>
      <w:r>
        <w:rPr>
          <w:rFonts w:eastAsia="Calibri" w:cs="Times New Roman"/>
          <w:noProof/>
          <w:szCs w:val="20"/>
        </w:rPr>
        <w:t>,2%. Starp lielākajām apstrādes rūpniecības apakšnozarēm</w:t>
      </w:r>
      <w:r w:rsidRPr="006D4EF7">
        <w:rPr>
          <w:rFonts w:eastAsia="Calibri" w:cs="Times New Roman"/>
          <w:szCs w:val="20"/>
        </w:rPr>
        <w:t xml:space="preserve"> samazinājumi fiksēti pārtikas preču (-0,7%), nemetālisko minerālu (-1,9%) un gatavo metālizstrādājumu (-3,8%) ražošanā, turpretī, kokrūpniecībā pieaugums 4,1% apmērā pēc ražošanas apjomu krituma 2019. gadā. Pandēmijas mazināšanai radītie tirdzniecības un klātienes pakalpojumu ierobežojumi spēcīgi ietekmēja preču un pakalpojumu pieprasījumu, līdz ar to rūpnieki bija spiesti samazināt ražošanas apjomus, kā ietekmē samazinājās tekstilizstrādājumu (-11,8%), apģērbu (-8,2), ādas un ādas izstrādājumu (-21,9%) ražošana, kā arī iekārtu un ierīču remonts un uzstādīšana (-29,5%).</w:t>
      </w:r>
    </w:p>
    <w:p w14:paraId="01168989" w14:textId="6BB00127" w:rsidR="00964CAC" w:rsidRPr="006D4EF7" w:rsidRDefault="00964CAC" w:rsidP="00A83AAD">
      <w:pPr>
        <w:spacing w:before="60" w:after="60"/>
        <w:rPr>
          <w:rFonts w:eastAsia="Calibri" w:cs="Times New Roman"/>
          <w:szCs w:val="20"/>
        </w:rPr>
      </w:pPr>
      <w:r w:rsidRPr="006D4EF7">
        <w:rPr>
          <w:rFonts w:eastAsia="Calibri" w:cs="Times New Roman"/>
          <w:szCs w:val="20"/>
        </w:rPr>
        <w:t xml:space="preserve">Latvijas apstrādes rūpniekiem šā gada pirmajā pusgadā </w:t>
      </w:r>
      <w:r>
        <w:rPr>
          <w:rFonts w:eastAsia="Calibri" w:cs="Times New Roman"/>
          <w:szCs w:val="20"/>
        </w:rPr>
        <w:t>uzrādīto</w:t>
      </w:r>
      <w:r w:rsidRPr="006D4EF7">
        <w:rPr>
          <w:rFonts w:eastAsia="Calibri" w:cs="Times New Roman"/>
          <w:szCs w:val="20"/>
        </w:rPr>
        <w:t xml:space="preserve"> 9</w:t>
      </w:r>
      <w:r>
        <w:rPr>
          <w:rFonts w:eastAsia="Calibri" w:cs="Times New Roman"/>
          <w:szCs w:val="20"/>
        </w:rPr>
        <w:t>,0</w:t>
      </w:r>
      <w:r w:rsidRPr="006D4EF7">
        <w:rPr>
          <w:rFonts w:eastAsia="Calibri" w:cs="Times New Roman"/>
          <w:szCs w:val="20"/>
        </w:rPr>
        <w:t>% pieaugumu izdevies sasniegt ne tikai</w:t>
      </w:r>
      <w:r>
        <w:rPr>
          <w:rFonts w:eastAsia="Calibri" w:cs="Times New Roman"/>
          <w:szCs w:val="20"/>
        </w:rPr>
        <w:t xml:space="preserve"> pērnā gada</w:t>
      </w:r>
      <w:r w:rsidRPr="006D4EF7">
        <w:rPr>
          <w:rFonts w:eastAsia="Calibri" w:cs="Times New Roman"/>
          <w:szCs w:val="20"/>
        </w:rPr>
        <w:t xml:space="preserve"> </w:t>
      </w:r>
      <w:r>
        <w:rPr>
          <w:rFonts w:eastAsia="Calibri" w:cs="Times New Roman"/>
          <w:szCs w:val="20"/>
        </w:rPr>
        <w:t>zemās bāzes</w:t>
      </w:r>
      <w:r w:rsidRPr="006D4EF7">
        <w:rPr>
          <w:rFonts w:eastAsia="Calibri" w:cs="Times New Roman"/>
          <w:szCs w:val="20"/>
        </w:rPr>
        <w:t xml:space="preserve">, bet arī saražoto apjomu kāpuma dēļ, augot preču pieprasījumam ārvalstīs. Arī </w:t>
      </w:r>
      <w:r>
        <w:rPr>
          <w:rFonts w:eastAsia="Calibri" w:cs="Times New Roman"/>
          <w:szCs w:val="20"/>
        </w:rPr>
        <w:t>atskaitot</w:t>
      </w:r>
      <w:r w:rsidRPr="006D4EF7">
        <w:rPr>
          <w:rFonts w:eastAsia="Calibri" w:cs="Times New Roman"/>
          <w:szCs w:val="20"/>
        </w:rPr>
        <w:t xml:space="preserve"> pandēmijas ietekmi un salīdzinot saražotos apjomus ar 2019.</w:t>
      </w:r>
      <w:r w:rsidR="00D67F05">
        <w:rPr>
          <w:rFonts w:eastAsia="Calibri" w:cs="Times New Roman"/>
          <w:szCs w:val="20"/>
        </w:rPr>
        <w:t> </w:t>
      </w:r>
      <w:r w:rsidRPr="006D4EF7">
        <w:rPr>
          <w:rFonts w:eastAsia="Calibri" w:cs="Times New Roman"/>
          <w:szCs w:val="20"/>
        </w:rPr>
        <w:t>gadu, fiksēts 4</w:t>
      </w:r>
      <w:r>
        <w:rPr>
          <w:rFonts w:eastAsia="Calibri" w:cs="Times New Roman"/>
          <w:szCs w:val="20"/>
        </w:rPr>
        <w:t>,0</w:t>
      </w:r>
      <w:r w:rsidRPr="006D4EF7">
        <w:rPr>
          <w:rFonts w:eastAsia="Calibri" w:cs="Times New Roman"/>
          <w:szCs w:val="20"/>
        </w:rPr>
        <w:t xml:space="preserve">% </w:t>
      </w:r>
      <w:r>
        <w:rPr>
          <w:rFonts w:eastAsia="Calibri" w:cs="Times New Roman"/>
          <w:szCs w:val="20"/>
        </w:rPr>
        <w:t>pieaugums</w:t>
      </w:r>
      <w:r w:rsidRPr="006D4EF7">
        <w:rPr>
          <w:rFonts w:eastAsia="Calibri" w:cs="Times New Roman"/>
          <w:szCs w:val="20"/>
        </w:rPr>
        <w:t xml:space="preserve">. Apjomu pieaugums </w:t>
      </w:r>
      <w:r>
        <w:rPr>
          <w:rFonts w:eastAsia="Calibri" w:cs="Times New Roman"/>
          <w:szCs w:val="20"/>
        </w:rPr>
        <w:t>sasniegts</w:t>
      </w:r>
      <w:r w:rsidRPr="006D4EF7">
        <w:rPr>
          <w:rFonts w:eastAsia="Calibri" w:cs="Times New Roman"/>
          <w:szCs w:val="20"/>
        </w:rPr>
        <w:t xml:space="preserve"> gandrīz visās apstrādes rūpniecības </w:t>
      </w:r>
      <w:r w:rsidRPr="006D4EF7">
        <w:rPr>
          <w:rFonts w:eastAsia="Calibri" w:cs="Times New Roman"/>
          <w:noProof/>
          <w:szCs w:val="20"/>
        </w:rPr>
        <w:t>apakšnozarēs, taču visstraujāk attīstījusies kokrūpniecība</w:t>
      </w:r>
      <w:r w:rsidRPr="006D4EF7">
        <w:rPr>
          <w:rFonts w:eastAsia="Calibri" w:cs="Times New Roman"/>
          <w:szCs w:val="20"/>
        </w:rPr>
        <w:t xml:space="preserve">, kur ražošanas apjomi kāpuši par 9,9%. Kaut arī koka izstrādājumu eksports pirmajā pusgadā </w:t>
      </w:r>
      <w:r w:rsidRPr="006D4EF7">
        <w:rPr>
          <w:rFonts w:eastAsia="Calibri" w:cs="Times New Roman"/>
          <w:szCs w:val="20"/>
        </w:rPr>
        <w:lastRenderedPageBreak/>
        <w:t>palielinājies vien par 2</w:t>
      </w:r>
      <w:r>
        <w:rPr>
          <w:rFonts w:eastAsia="Calibri" w:cs="Times New Roman"/>
          <w:szCs w:val="20"/>
        </w:rPr>
        <w:t>,0</w:t>
      </w:r>
      <w:r w:rsidRPr="006D4EF7">
        <w:rPr>
          <w:rFonts w:eastAsia="Calibri" w:cs="Times New Roman"/>
          <w:szCs w:val="20"/>
        </w:rPr>
        <w:t xml:space="preserve">%, eksporta apjomi uz </w:t>
      </w:r>
      <w:r>
        <w:rPr>
          <w:rFonts w:eastAsia="Calibri" w:cs="Times New Roman"/>
          <w:szCs w:val="20"/>
        </w:rPr>
        <w:t>ASV</w:t>
      </w:r>
      <w:r w:rsidRPr="006D4EF7">
        <w:rPr>
          <w:rFonts w:eastAsia="Calibri" w:cs="Times New Roman"/>
          <w:szCs w:val="20"/>
        </w:rPr>
        <w:t xml:space="preserve"> un Apvienoto Karalisti ir dubultojušies. Arī mēbeļu ražošanā augsts pieaugums 29,2% apmērā.</w:t>
      </w:r>
    </w:p>
    <w:p w14:paraId="58A7050A" w14:textId="77777777" w:rsidR="00964CAC" w:rsidRPr="006D4EF7" w:rsidRDefault="00964CAC" w:rsidP="00A83AAD">
      <w:pPr>
        <w:spacing w:before="60" w:after="60"/>
        <w:rPr>
          <w:rFonts w:eastAsia="Calibri" w:cs="Times New Roman"/>
          <w:szCs w:val="20"/>
        </w:rPr>
      </w:pPr>
      <w:r w:rsidRPr="001E42D2">
        <w:rPr>
          <w:rFonts w:eastAsia="Calibri" w:cs="Times New Roman"/>
          <w:szCs w:val="20"/>
        </w:rPr>
        <w:t>Vieglajā rūpniecībā</w:t>
      </w:r>
      <w:r w:rsidRPr="006D4EF7">
        <w:rPr>
          <w:rFonts w:eastAsia="Calibri" w:cs="Times New Roman"/>
          <w:szCs w:val="20"/>
        </w:rPr>
        <w:t xml:space="preserve"> nozīmīgs pieaugums tekstilizstrādājumu (</w:t>
      </w:r>
      <w:r>
        <w:rPr>
          <w:rFonts w:eastAsia="Calibri" w:cs="Times New Roman"/>
          <w:szCs w:val="20"/>
        </w:rPr>
        <w:t>+</w:t>
      </w:r>
      <w:r w:rsidRPr="006D4EF7">
        <w:rPr>
          <w:rFonts w:eastAsia="Calibri" w:cs="Times New Roman"/>
          <w:szCs w:val="20"/>
        </w:rPr>
        <w:t>7,2%) un apģērbu (</w:t>
      </w:r>
      <w:r>
        <w:rPr>
          <w:rFonts w:eastAsia="Calibri" w:cs="Times New Roman"/>
          <w:szCs w:val="20"/>
        </w:rPr>
        <w:t>+</w:t>
      </w:r>
      <w:r w:rsidRPr="006D4EF7">
        <w:rPr>
          <w:rFonts w:eastAsia="Calibri" w:cs="Times New Roman"/>
          <w:szCs w:val="20"/>
        </w:rPr>
        <w:t>21</w:t>
      </w:r>
      <w:r>
        <w:rPr>
          <w:rFonts w:eastAsia="Calibri" w:cs="Times New Roman"/>
          <w:szCs w:val="20"/>
        </w:rPr>
        <w:t>,0</w:t>
      </w:r>
      <w:r w:rsidRPr="006D4EF7">
        <w:rPr>
          <w:rFonts w:eastAsia="Calibri" w:cs="Times New Roman"/>
          <w:szCs w:val="20"/>
        </w:rPr>
        <w:t xml:space="preserve">%) izstrādē. Šo </w:t>
      </w:r>
      <w:r w:rsidRPr="006D4EF7">
        <w:rPr>
          <w:rFonts w:eastAsia="Calibri" w:cs="Times New Roman"/>
          <w:noProof/>
          <w:szCs w:val="20"/>
        </w:rPr>
        <w:t>apakšnozari krasi ietekmēja pandēmijas mazināšanai pieņemtie tirdzniecības ierobežojumi, kuru pakāpeniska atvieglošana sākās ar šā gada marta mēnesi. Apģērbu veikaliem pamazām atsākot darbību, strauji auga pieprasījums, līdz ar ko rūpnieki varēja atkal palielināt zemā pieprasījuma rezultātā samazinātos ražošanas tempus. Ierobežojumu mīkstināšana palīdzēja atgūt pirmspandēmijas</w:t>
      </w:r>
      <w:r w:rsidRPr="006D4EF7">
        <w:rPr>
          <w:rFonts w:eastAsia="Calibri" w:cs="Times New Roman"/>
          <w:szCs w:val="20"/>
        </w:rPr>
        <w:t xml:space="preserve"> ražošanas  tempus arī elektrisko iekārtu un mehānismu un darba mašīnu produkcijā, kur pieaugums attiecīgi par 6,5% un 22,8%. Nozīmīgi pieaugumi arī poligrāfijā un ierakstu reproducēšanā (</w:t>
      </w:r>
      <w:r>
        <w:rPr>
          <w:rFonts w:eastAsia="Calibri" w:cs="Times New Roman"/>
          <w:szCs w:val="20"/>
        </w:rPr>
        <w:t>+</w:t>
      </w:r>
      <w:r w:rsidRPr="006D4EF7">
        <w:rPr>
          <w:rFonts w:eastAsia="Calibri" w:cs="Times New Roman"/>
          <w:szCs w:val="20"/>
        </w:rPr>
        <w:t>16,6%), ķīmisko vielu un ķīmisko produktu ražošanā (</w:t>
      </w:r>
      <w:r>
        <w:rPr>
          <w:rFonts w:eastAsia="Calibri" w:cs="Times New Roman"/>
          <w:szCs w:val="20"/>
        </w:rPr>
        <w:t>+</w:t>
      </w:r>
      <w:r w:rsidRPr="006D4EF7">
        <w:rPr>
          <w:rFonts w:eastAsia="Calibri" w:cs="Times New Roman"/>
          <w:szCs w:val="20"/>
        </w:rPr>
        <w:t xml:space="preserve">14,3%), ko pozitīvi ietekmējis augstais dezinfekcijas līdzekļu noiets. Nemetāliskie minerālu apjomi ražoti par 5,4% lielākā apmērā, un gatavie metālizstrādājumi, izņemot mašīnas un iekārtas </w:t>
      </w:r>
      <w:r>
        <w:rPr>
          <w:rFonts w:eastAsia="Calibri" w:cs="Times New Roman"/>
          <w:szCs w:val="20"/>
        </w:rPr>
        <w:t>-</w:t>
      </w:r>
      <w:r w:rsidRPr="006D4EF7">
        <w:rPr>
          <w:rFonts w:eastAsia="Calibri" w:cs="Times New Roman"/>
          <w:szCs w:val="20"/>
        </w:rPr>
        <w:t xml:space="preserve"> par 7,9% lielākā apmērā </w:t>
      </w:r>
      <w:r>
        <w:rPr>
          <w:rFonts w:eastAsia="Calibri" w:cs="Times New Roman"/>
          <w:szCs w:val="20"/>
        </w:rPr>
        <w:t>ne</w:t>
      </w:r>
      <w:r w:rsidRPr="006D4EF7">
        <w:rPr>
          <w:rFonts w:eastAsia="Calibri" w:cs="Times New Roman"/>
          <w:szCs w:val="20"/>
        </w:rPr>
        <w:t>kā pērn.</w:t>
      </w:r>
    </w:p>
    <w:p w14:paraId="1A793A49" w14:textId="77777777" w:rsidR="00964CAC" w:rsidRDefault="00964CAC" w:rsidP="00A83AAD">
      <w:pPr>
        <w:spacing w:before="60" w:after="60"/>
        <w:rPr>
          <w:rFonts w:eastAsia="Calibri" w:cs="Times New Roman"/>
          <w:szCs w:val="20"/>
        </w:rPr>
      </w:pPr>
      <w:r w:rsidRPr="00D65E70">
        <w:rPr>
          <w:rFonts w:eastAsia="Calibri" w:cs="Times New Roman"/>
          <w:szCs w:val="20"/>
        </w:rPr>
        <w:t>Savukārt par 1,5% samazinājusies pārtikas produktu ražošana</w:t>
      </w:r>
      <w:r>
        <w:rPr>
          <w:rFonts w:eastAsia="Calibri" w:cs="Times New Roman"/>
          <w:szCs w:val="20"/>
        </w:rPr>
        <w:t>.</w:t>
      </w:r>
      <w:r w:rsidRPr="00D65E70">
        <w:rPr>
          <w:rFonts w:eastAsia="Calibri" w:cs="Times New Roman"/>
          <w:szCs w:val="20"/>
        </w:rPr>
        <w:t xml:space="preserve"> Arī metālu ražošanas apjomi samazinājušies par 38,3% augošo izejvielu cenu ietekmē. Par 15,2% samazinājies arī iekārtu un ierīču remonts un uzstādīšana, ko savukārt ietekmēja klātienes pakalp</w:t>
      </w:r>
      <w:r>
        <w:rPr>
          <w:rFonts w:eastAsia="Calibri" w:cs="Times New Roman"/>
          <w:szCs w:val="20"/>
        </w:rPr>
        <w:t>ojumu ierobežošana gada sākumā.</w:t>
      </w:r>
    </w:p>
    <w:p w14:paraId="37BDC5CE" w14:textId="432CA0D5" w:rsidR="00964CAC" w:rsidRPr="006D4EF7" w:rsidRDefault="00964CAC" w:rsidP="00A83AAD">
      <w:pPr>
        <w:spacing w:before="60" w:after="60"/>
        <w:rPr>
          <w:rFonts w:eastAsia="Calibri" w:cs="Times New Roman"/>
          <w:szCs w:val="20"/>
        </w:rPr>
      </w:pPr>
      <w:r w:rsidRPr="006D4EF7">
        <w:rPr>
          <w:rFonts w:eastAsia="Calibri" w:cs="Times New Roman"/>
          <w:szCs w:val="20"/>
        </w:rPr>
        <w:t>EK ekonomiskās konfidences indekss liecina par ļoti pozitīvu noskaņojumu Eiropas, tajā skaitā arī Latvijas rūpnieku vidū, sagaidot augstus pasūtījumu apjomus un nodarbinātību. Tomēr bažas raisa strauji augošās naftas un ražošanas izejvielu cenas, kas savukārt palielinās rūpniecības galaproduktu cenas, iespējams, izraisot aktivitātes samazinājumu būvniecības nozarē.</w:t>
      </w:r>
    </w:p>
    <w:p w14:paraId="065A4E06" w14:textId="1D227CD2" w:rsidR="00964CAC" w:rsidRPr="006D4EF7" w:rsidRDefault="00964CAC" w:rsidP="00A83AAD">
      <w:pPr>
        <w:spacing w:before="60" w:after="60"/>
        <w:rPr>
          <w:rFonts w:eastAsia="Calibri" w:cs="Times New Roman"/>
          <w:szCs w:val="20"/>
        </w:rPr>
      </w:pPr>
      <w:r>
        <w:rPr>
          <w:rFonts w:eastAsia="Calibri" w:cs="Times New Roman"/>
          <w:b/>
          <w:szCs w:val="20"/>
        </w:rPr>
        <w:t xml:space="preserve">Mazumtirdzniecībā </w:t>
      </w:r>
      <w:r w:rsidRPr="006D4EF7">
        <w:rPr>
          <w:rFonts w:eastAsia="Calibri" w:cs="Times New Roman"/>
          <w:szCs w:val="20"/>
        </w:rPr>
        <w:t>2020.</w:t>
      </w:r>
      <w:r w:rsidR="00393275">
        <w:rPr>
          <w:rFonts w:eastAsia="Calibri" w:cs="Times New Roman"/>
          <w:szCs w:val="20"/>
        </w:rPr>
        <w:t> </w:t>
      </w:r>
      <w:r w:rsidRPr="006D4EF7">
        <w:rPr>
          <w:rFonts w:eastAsia="Calibri" w:cs="Times New Roman"/>
          <w:szCs w:val="20"/>
        </w:rPr>
        <w:t>gadā tika reģistrēta zemākā izaugsme pēdējo 10</w:t>
      </w:r>
      <w:r w:rsidR="00393275">
        <w:rPr>
          <w:rFonts w:eastAsia="Calibri" w:cs="Times New Roman"/>
          <w:szCs w:val="20"/>
        </w:rPr>
        <w:t> </w:t>
      </w:r>
      <w:r w:rsidRPr="006D4EF7">
        <w:rPr>
          <w:rFonts w:eastAsia="Calibri" w:cs="Times New Roman"/>
          <w:szCs w:val="20"/>
        </w:rPr>
        <w:t xml:space="preserve">gadu laikā, ko ietekmēja pandēmijas mazināšanai </w:t>
      </w:r>
      <w:r>
        <w:rPr>
          <w:rFonts w:eastAsia="Calibri" w:cs="Times New Roman"/>
          <w:szCs w:val="20"/>
        </w:rPr>
        <w:t>noteiktie</w:t>
      </w:r>
      <w:r w:rsidRPr="006D4EF7">
        <w:rPr>
          <w:rFonts w:eastAsia="Calibri" w:cs="Times New Roman"/>
          <w:szCs w:val="20"/>
        </w:rPr>
        <w:t xml:space="preserve"> tirdzniecības ierobežojumi. Lielākais kritums mazumtirdzniecībā tika piedzīvots aprī</w:t>
      </w:r>
      <w:r w:rsidR="00393275">
        <w:rPr>
          <w:rFonts w:eastAsia="Calibri" w:cs="Times New Roman"/>
          <w:szCs w:val="20"/>
        </w:rPr>
        <w:t>lī</w:t>
      </w:r>
      <w:r w:rsidRPr="006D4EF7">
        <w:rPr>
          <w:rFonts w:eastAsia="Calibri" w:cs="Times New Roman"/>
          <w:szCs w:val="20"/>
        </w:rPr>
        <w:t xml:space="preserve">, turpmākajos mēnešos </w:t>
      </w:r>
      <w:r>
        <w:rPr>
          <w:rFonts w:eastAsia="Calibri" w:cs="Times New Roman"/>
          <w:szCs w:val="20"/>
        </w:rPr>
        <w:t xml:space="preserve">situācijai uzlabojoties. 2020. gada </w:t>
      </w:r>
      <w:r w:rsidRPr="006D4EF7">
        <w:rPr>
          <w:rFonts w:eastAsia="Calibri" w:cs="Times New Roman"/>
          <w:szCs w:val="20"/>
        </w:rPr>
        <w:t xml:space="preserve">laikā mazumtirdzniecības apjomi auga par 1,4% pret 2019. gadu, tostarp pārtikas preču noiets auga par 3,5%, nepārtikas preču (izņemot degvielu) tirgotie apjomi samazinājās par 2,0%, bet degvielas tirdzniecība pieauga par 6,4%, sarūkot naftas cenām pasaulē. </w:t>
      </w:r>
    </w:p>
    <w:p w14:paraId="516FFC05" w14:textId="77777777" w:rsidR="00964CAC" w:rsidRDefault="00964CAC" w:rsidP="00A83AAD">
      <w:pPr>
        <w:spacing w:before="60" w:after="60"/>
        <w:rPr>
          <w:rFonts w:eastAsia="Calibri" w:cs="Times New Roman"/>
          <w:szCs w:val="20"/>
        </w:rPr>
      </w:pPr>
      <w:r w:rsidRPr="006D4EF7">
        <w:rPr>
          <w:rFonts w:eastAsia="Calibri" w:cs="Times New Roman"/>
          <w:szCs w:val="20"/>
        </w:rPr>
        <w:t>Tur</w:t>
      </w:r>
      <w:r>
        <w:rPr>
          <w:rFonts w:eastAsia="Calibri" w:cs="Times New Roman"/>
          <w:szCs w:val="20"/>
        </w:rPr>
        <w:t>pretim šā gada pirmajā pusgadā mazumtirdzniecībā</w:t>
      </w:r>
      <w:r w:rsidRPr="006D4EF7">
        <w:rPr>
          <w:rFonts w:eastAsia="Calibri" w:cs="Times New Roman"/>
          <w:szCs w:val="20"/>
        </w:rPr>
        <w:t xml:space="preserve"> vērojamas izteiktas atkopšanās pazīmes</w:t>
      </w:r>
      <w:r>
        <w:rPr>
          <w:rFonts w:eastAsia="Calibri" w:cs="Times New Roman"/>
          <w:szCs w:val="20"/>
        </w:rPr>
        <w:t>.</w:t>
      </w:r>
      <w:r w:rsidRPr="006D4EF7">
        <w:rPr>
          <w:rFonts w:eastAsia="Calibri" w:cs="Times New Roman"/>
          <w:szCs w:val="20"/>
        </w:rPr>
        <w:t xml:space="preserve"> </w:t>
      </w:r>
      <w:r>
        <w:rPr>
          <w:rFonts w:eastAsia="Calibri" w:cs="Times New Roman"/>
          <w:szCs w:val="20"/>
        </w:rPr>
        <w:t>J</w:t>
      </w:r>
      <w:r w:rsidRPr="006D4EF7">
        <w:rPr>
          <w:rFonts w:eastAsia="Calibri" w:cs="Times New Roman"/>
          <w:szCs w:val="20"/>
        </w:rPr>
        <w:t xml:space="preserve">anvārī un februārī nozari negatīvi ietekmēja Covid-19 pandēmijas mazināšanai radītie tirdzniecības ierobežojumi, kam sekoja straujš mazumtirdzniecības apjomu pieaugums turpmākajos četros mēnešos, uzlabojoties </w:t>
      </w:r>
      <w:r>
        <w:rPr>
          <w:rFonts w:eastAsia="Calibri" w:cs="Times New Roman"/>
          <w:szCs w:val="20"/>
        </w:rPr>
        <w:t>epidemioloģiskajai</w:t>
      </w:r>
      <w:r w:rsidRPr="006D4EF7">
        <w:rPr>
          <w:rFonts w:eastAsia="Calibri" w:cs="Times New Roman"/>
          <w:szCs w:val="20"/>
        </w:rPr>
        <w:t xml:space="preserve"> situācijai Latvijā. 2021. gada pirmajā pusgadā, salīdzinājumā ar pērnā gada pirmo pusgadu, kad situācija bija </w:t>
      </w:r>
      <w:r>
        <w:rPr>
          <w:rFonts w:eastAsia="Calibri" w:cs="Times New Roman"/>
          <w:szCs w:val="20"/>
        </w:rPr>
        <w:t xml:space="preserve">tieši </w:t>
      </w:r>
      <w:r w:rsidRPr="006D4EF7">
        <w:rPr>
          <w:rFonts w:eastAsia="Calibri" w:cs="Times New Roman"/>
          <w:szCs w:val="20"/>
        </w:rPr>
        <w:t>pretēja un pandēmija</w:t>
      </w:r>
      <w:r>
        <w:rPr>
          <w:rFonts w:eastAsia="Calibri" w:cs="Times New Roman"/>
          <w:szCs w:val="20"/>
        </w:rPr>
        <w:t xml:space="preserve"> nozari </w:t>
      </w:r>
      <w:r w:rsidRPr="006D4EF7">
        <w:rPr>
          <w:rFonts w:eastAsia="Calibri" w:cs="Times New Roman"/>
          <w:szCs w:val="20"/>
        </w:rPr>
        <w:t>skāra</w:t>
      </w:r>
      <w:r>
        <w:rPr>
          <w:rFonts w:eastAsia="Calibri" w:cs="Times New Roman"/>
          <w:szCs w:val="20"/>
        </w:rPr>
        <w:t>,</w:t>
      </w:r>
      <w:r w:rsidRPr="006D4EF7">
        <w:rPr>
          <w:rFonts w:eastAsia="Calibri" w:cs="Times New Roman"/>
          <w:szCs w:val="20"/>
        </w:rPr>
        <w:t xml:space="preserve"> sākot ar pērnā gada aprīļa mēnesi, mazumtirdzniecības apjomi auguši par 2,2%.</w:t>
      </w:r>
    </w:p>
    <w:p w14:paraId="50241C5D" w14:textId="2222DFAD" w:rsidR="00964CAC" w:rsidRPr="006D4EF7" w:rsidRDefault="00964CAC" w:rsidP="00A83AAD">
      <w:pPr>
        <w:spacing w:before="60" w:after="60"/>
        <w:rPr>
          <w:rFonts w:eastAsia="Calibri" w:cs="Times New Roman"/>
          <w:szCs w:val="20"/>
        </w:rPr>
      </w:pPr>
      <w:r w:rsidRPr="006D4EF7">
        <w:rPr>
          <w:rFonts w:eastAsia="Calibri" w:cs="Times New Roman"/>
          <w:szCs w:val="20"/>
        </w:rPr>
        <w:t xml:space="preserve"> Dalījumā pa preču grupām šā gada pirmajā pusgadā situācija ir samērā </w:t>
      </w:r>
      <w:r>
        <w:rPr>
          <w:rFonts w:eastAsia="Calibri" w:cs="Times New Roman"/>
          <w:szCs w:val="20"/>
        </w:rPr>
        <w:t>līdzīga</w:t>
      </w:r>
      <w:r w:rsidRPr="006D4EF7">
        <w:rPr>
          <w:rFonts w:eastAsia="Calibri" w:cs="Times New Roman"/>
          <w:szCs w:val="20"/>
        </w:rPr>
        <w:t>. Šā gada martā straujš pieaugums tirdzniecības apjomos bija vēroj</w:t>
      </w:r>
      <w:r>
        <w:rPr>
          <w:rFonts w:eastAsia="Calibri" w:cs="Times New Roman"/>
          <w:szCs w:val="20"/>
        </w:rPr>
        <w:t>a</w:t>
      </w:r>
      <w:r w:rsidRPr="006D4EF7">
        <w:rPr>
          <w:rFonts w:eastAsia="Calibri" w:cs="Times New Roman"/>
          <w:szCs w:val="20"/>
        </w:rPr>
        <w:t xml:space="preserve">ms gan pārtikas, gan nepārtikas preču grupās, pārējos mēnešos turpinoties mērenākai izaugsmei. Pārtikas preču mazumtirdzniecības apjomi salīdzinājumā ar pērnā </w:t>
      </w:r>
      <w:r w:rsidRPr="006D4EF7">
        <w:rPr>
          <w:rFonts w:eastAsia="Calibri" w:cs="Times New Roman"/>
          <w:szCs w:val="20"/>
        </w:rPr>
        <w:lastRenderedPageBreak/>
        <w:t>gada pirmo pusgadu palielinājušies par 1,3%, bet nepārtikas preču (izņemot degvielu) tirdzniecība pieaugusi par 0,6%, ko visvairāk ietekmēja tirdzniecības ierobežojumi šā gada sākumā. Savukārt degvielas mazumt</w:t>
      </w:r>
      <w:r>
        <w:rPr>
          <w:rFonts w:eastAsia="Calibri" w:cs="Times New Roman"/>
          <w:szCs w:val="20"/>
        </w:rPr>
        <w:t>irdzniecību pārdotā apjoma ziņā</w:t>
      </w:r>
      <w:r w:rsidRPr="006D4EF7">
        <w:rPr>
          <w:rFonts w:eastAsia="Calibri" w:cs="Times New Roman"/>
          <w:szCs w:val="20"/>
        </w:rPr>
        <w:t xml:space="preserve"> šā gada pirmajā pusē pandēmija ietekmējusi vismazāk. Pieaugot naftas cenām pasaulē, arī degvielas cenas Latvijā augušas ik mēnesi kopš 2020.</w:t>
      </w:r>
      <w:r w:rsidR="00393275">
        <w:rPr>
          <w:rFonts w:eastAsia="Calibri" w:cs="Times New Roman"/>
          <w:szCs w:val="20"/>
        </w:rPr>
        <w:t> </w:t>
      </w:r>
      <w:r w:rsidRPr="006D4EF7">
        <w:rPr>
          <w:rFonts w:eastAsia="Calibri" w:cs="Times New Roman"/>
          <w:szCs w:val="20"/>
        </w:rPr>
        <w:t>gada decembra, 2021.</w:t>
      </w:r>
      <w:r w:rsidR="00393275">
        <w:rPr>
          <w:rFonts w:eastAsia="Calibri" w:cs="Times New Roman"/>
          <w:szCs w:val="20"/>
        </w:rPr>
        <w:t> </w:t>
      </w:r>
      <w:r w:rsidRPr="006D4EF7">
        <w:rPr>
          <w:rFonts w:eastAsia="Calibri" w:cs="Times New Roman"/>
          <w:szCs w:val="20"/>
        </w:rPr>
        <w:t xml:space="preserve">gada pirmajā pusgadā pieaugot par 10,5% pret pērnā gada attiecīgo periodu. Neskatoties uz cenu pieaugumu, degvielas mazumtirdzniecības apjomi šā gada pirmajā pusgadā ik mēnesi </w:t>
      </w:r>
      <w:r>
        <w:rPr>
          <w:rFonts w:eastAsia="Calibri" w:cs="Times New Roman"/>
          <w:szCs w:val="20"/>
        </w:rPr>
        <w:t>ir pal</w:t>
      </w:r>
      <w:r w:rsidRPr="006D4EF7">
        <w:rPr>
          <w:rFonts w:eastAsia="Calibri" w:cs="Times New Roman"/>
          <w:szCs w:val="20"/>
        </w:rPr>
        <w:t>i</w:t>
      </w:r>
      <w:r>
        <w:rPr>
          <w:rFonts w:eastAsia="Calibri" w:cs="Times New Roman"/>
          <w:szCs w:val="20"/>
        </w:rPr>
        <w:t>elinājušies</w:t>
      </w:r>
      <w:r w:rsidRPr="006D4EF7">
        <w:rPr>
          <w:rFonts w:eastAsia="Calibri" w:cs="Times New Roman"/>
          <w:szCs w:val="20"/>
        </w:rPr>
        <w:t xml:space="preserve"> un </w:t>
      </w:r>
      <w:r>
        <w:rPr>
          <w:rFonts w:eastAsia="Calibri" w:cs="Times New Roman"/>
          <w:szCs w:val="20"/>
        </w:rPr>
        <w:t>ir</w:t>
      </w:r>
      <w:r w:rsidRPr="006D4EF7">
        <w:rPr>
          <w:rFonts w:eastAsia="Calibri" w:cs="Times New Roman"/>
          <w:szCs w:val="20"/>
        </w:rPr>
        <w:t xml:space="preserve"> par 8,3% augstāki </w:t>
      </w:r>
      <w:r>
        <w:rPr>
          <w:rFonts w:eastAsia="Calibri" w:cs="Times New Roman"/>
          <w:szCs w:val="20"/>
        </w:rPr>
        <w:t>ne</w:t>
      </w:r>
      <w:r w:rsidRPr="006D4EF7">
        <w:rPr>
          <w:rFonts w:eastAsia="Calibri" w:cs="Times New Roman"/>
          <w:szCs w:val="20"/>
        </w:rPr>
        <w:t xml:space="preserve">kā pērnā gada pirmajā pusgadā. Par nozares kopējo atkopšanos no pandēmijas </w:t>
      </w:r>
      <w:r>
        <w:rPr>
          <w:rFonts w:eastAsia="Calibri" w:cs="Times New Roman"/>
          <w:szCs w:val="20"/>
        </w:rPr>
        <w:t>ietekmes liecina arī Eiropas K</w:t>
      </w:r>
      <w:r w:rsidRPr="006D4EF7">
        <w:rPr>
          <w:rFonts w:eastAsia="Calibri" w:cs="Times New Roman"/>
          <w:szCs w:val="20"/>
        </w:rPr>
        <w:t xml:space="preserve">omisijas apkopotie uzņēmēju un patērētāju ekonomiskās konfidences rādītāji, </w:t>
      </w:r>
      <w:r>
        <w:rPr>
          <w:rFonts w:eastAsia="Calibri" w:cs="Times New Roman"/>
          <w:szCs w:val="20"/>
        </w:rPr>
        <w:t xml:space="preserve">kas šā gada </w:t>
      </w:r>
      <w:r w:rsidRPr="006D4EF7">
        <w:rPr>
          <w:rFonts w:eastAsia="Calibri" w:cs="Times New Roman"/>
          <w:szCs w:val="20"/>
        </w:rPr>
        <w:t xml:space="preserve">pirmajā pusgadā </w:t>
      </w:r>
      <w:r>
        <w:rPr>
          <w:rFonts w:eastAsia="Calibri" w:cs="Times New Roman"/>
          <w:szCs w:val="20"/>
        </w:rPr>
        <w:t>ir uzlabojušies</w:t>
      </w:r>
      <w:r w:rsidRPr="006D4EF7">
        <w:rPr>
          <w:rFonts w:eastAsia="Calibri" w:cs="Times New Roman"/>
          <w:szCs w:val="20"/>
        </w:rPr>
        <w:t xml:space="preserve"> un </w:t>
      </w:r>
      <w:r>
        <w:rPr>
          <w:rFonts w:eastAsia="Calibri" w:cs="Times New Roman"/>
          <w:szCs w:val="20"/>
        </w:rPr>
        <w:t>maijā</w:t>
      </w:r>
      <w:r w:rsidR="00393275">
        <w:rPr>
          <w:rFonts w:eastAsia="Calibri" w:cs="Times New Roman"/>
          <w:szCs w:val="20"/>
        </w:rPr>
        <w:t>-</w:t>
      </w:r>
      <w:r>
        <w:rPr>
          <w:rFonts w:eastAsia="Calibri" w:cs="Times New Roman"/>
          <w:szCs w:val="20"/>
        </w:rPr>
        <w:t>jūnijā</w:t>
      </w:r>
      <w:r w:rsidRPr="006D4EF7">
        <w:rPr>
          <w:rFonts w:eastAsia="Calibri" w:cs="Times New Roman"/>
          <w:szCs w:val="20"/>
        </w:rPr>
        <w:t xml:space="preserve"> atgrie</w:t>
      </w:r>
      <w:r>
        <w:rPr>
          <w:rFonts w:eastAsia="Calibri" w:cs="Times New Roman"/>
          <w:szCs w:val="20"/>
        </w:rPr>
        <w:t>zušies</w:t>
      </w:r>
      <w:r w:rsidRPr="006D4EF7">
        <w:rPr>
          <w:rFonts w:eastAsia="Calibri" w:cs="Times New Roman"/>
          <w:szCs w:val="20"/>
        </w:rPr>
        <w:t xml:space="preserve"> </w:t>
      </w:r>
      <w:r w:rsidRPr="006D4EF7">
        <w:rPr>
          <w:rFonts w:eastAsia="Calibri" w:cs="Times New Roman"/>
          <w:noProof/>
          <w:szCs w:val="20"/>
        </w:rPr>
        <w:t>pirmspandēmijas l</w:t>
      </w:r>
      <w:r w:rsidRPr="006D4EF7">
        <w:rPr>
          <w:rFonts w:eastAsia="Calibri" w:cs="Times New Roman"/>
          <w:szCs w:val="20"/>
        </w:rPr>
        <w:t>īmenī.</w:t>
      </w:r>
    </w:p>
    <w:p w14:paraId="1460FFBE" w14:textId="2EEBB096" w:rsidR="00964CAC" w:rsidRDefault="00964CAC" w:rsidP="00A83AAD">
      <w:pPr>
        <w:spacing w:before="60" w:after="60"/>
        <w:rPr>
          <w:szCs w:val="20"/>
        </w:rPr>
      </w:pPr>
      <w:r w:rsidRPr="00D65E70">
        <w:rPr>
          <w:szCs w:val="20"/>
        </w:rPr>
        <w:t>Pēc 2,7% kāpuma 2020.</w:t>
      </w:r>
      <w:r w:rsidR="00393275">
        <w:rPr>
          <w:szCs w:val="20"/>
        </w:rPr>
        <w:t> </w:t>
      </w:r>
      <w:r w:rsidRPr="00D65E70">
        <w:rPr>
          <w:szCs w:val="20"/>
        </w:rPr>
        <w:t xml:space="preserve">gadā, šā gada pirmajā pusgadā reģistrēta </w:t>
      </w:r>
      <w:r w:rsidRPr="00D65E70">
        <w:rPr>
          <w:b/>
          <w:szCs w:val="20"/>
        </w:rPr>
        <w:t>būvniecības</w:t>
      </w:r>
      <w:r w:rsidRPr="00D65E70">
        <w:rPr>
          <w:szCs w:val="20"/>
        </w:rPr>
        <w:t xml:space="preserve"> tempu samazināšanās  par 4,7% salīdzināmās cenās pret pērnā gada pirmo pusgadu. Samazinājumu izraisījis galvenokārt ēku būvniecības samazinājums par 10,4%, krītoties nedzīvojamo ēku būvēšanas apjomiem. Arī </w:t>
      </w:r>
      <w:r w:rsidRPr="00D65E70">
        <w:rPr>
          <w:noProof/>
          <w:szCs w:val="20"/>
        </w:rPr>
        <w:t>inženierbūvniecībā piedzīvots kritums 3,1% apmērā, samazinoties pilsētsaimniecības infrastruktūras objektu, elektroapgādes un telekomunikāciju, kā arī ūdensapgādes sistēmu būvniecībai. Turpretī specializētie būvdarbi uzrādījuši pieaugumu 0,9% apmērā. Izsniegto būvatļauju apjomi šā gada pirmajā pusgadā uzrādījuši augstu pieauguma līmeni 26% apmērā, ko ietekmēja galvenokārt pērnā gada zemā bāze pandēmijas iespaidā, bet būvatļaujās paredzētā platība pieaugusi par 5,3%, ko veicināja viena dzīvokļa māju, rūpnieciskās ražošanas ēku un noliktavu, kā arī plašizklaides pasākumu</w:t>
      </w:r>
      <w:r w:rsidRPr="00D65E70">
        <w:rPr>
          <w:szCs w:val="20"/>
        </w:rPr>
        <w:t xml:space="preserve">, izglītības, veselības aprūpes iestāžu ēkām izdotajās būvatļaujās paredzamā platība. Savukārt samazinājušās daudzdzīvokļu ēkām norādītās platības. Augošais izsniegto būvatļauju skaits un tajās norādīto platību pieaugums liecina par turpmāku izaugsmi būvniecības nozarē, arī būvniecības konfidences rādītājam pamazām atgriežoties </w:t>
      </w:r>
      <w:r w:rsidRPr="00D65E70">
        <w:rPr>
          <w:noProof/>
          <w:szCs w:val="20"/>
        </w:rPr>
        <w:t>pirmspandēmijas līmenī. Jāpiemin</w:t>
      </w:r>
      <w:r w:rsidRPr="00D65E70">
        <w:rPr>
          <w:szCs w:val="20"/>
        </w:rPr>
        <w:t xml:space="preserve">, ka būvniecības nozari turpmāk negatīvi var ietekmēt straujais būvmateriālu cenu kāpums. </w:t>
      </w:r>
    </w:p>
    <w:p w14:paraId="683FDB56" w14:textId="44DD55A8" w:rsidR="00964CAC" w:rsidRDefault="00964CAC" w:rsidP="00A83AAD">
      <w:pPr>
        <w:spacing w:before="60" w:after="60"/>
        <w:rPr>
          <w:szCs w:val="20"/>
        </w:rPr>
      </w:pPr>
      <w:r w:rsidRPr="00B53FBF">
        <w:rPr>
          <w:b/>
          <w:szCs w:val="20"/>
        </w:rPr>
        <w:t>T</w:t>
      </w:r>
      <w:r>
        <w:rPr>
          <w:b/>
          <w:szCs w:val="20"/>
        </w:rPr>
        <w:t>ransporta un uzglabāšanas nozare</w:t>
      </w:r>
      <w:r w:rsidRPr="00B53FBF">
        <w:rPr>
          <w:szCs w:val="20"/>
        </w:rPr>
        <w:t xml:space="preserve"> </w:t>
      </w:r>
      <w:r>
        <w:rPr>
          <w:szCs w:val="20"/>
        </w:rPr>
        <w:t>2020.</w:t>
      </w:r>
      <w:r w:rsidR="00393275">
        <w:rPr>
          <w:szCs w:val="20"/>
        </w:rPr>
        <w:t> </w:t>
      </w:r>
      <w:r>
        <w:rPr>
          <w:szCs w:val="20"/>
        </w:rPr>
        <w:t>gadā bija viena no Covid-19 krīzes smagāk skartajām nozarēm, kad slimības izplatības samazināšanai laikā no marta līdz jūnijam tika apturēti starptautiskie pasažieru pārvadājumi, un arī pēc satiksmes daļējas atjaunošanas pārvadājumu apjomi saglabājās ļoti zemi. Nozares darbību vēl papildus negatīvi ietekmēja Krievijas kravu tranzīta krasais samazinājums caur Latvijas ostām, un n</w:t>
      </w:r>
      <w:r w:rsidRPr="00082D3E">
        <w:rPr>
          <w:szCs w:val="20"/>
        </w:rPr>
        <w:t>ozares pievienotā vērtība salīdzināmās cenās pagājušajā gadā samazinājās par 14,9%</w:t>
      </w:r>
      <w:r>
        <w:rPr>
          <w:szCs w:val="20"/>
        </w:rPr>
        <w:t xml:space="preserve">. </w:t>
      </w:r>
      <w:r w:rsidRPr="00082D3E">
        <w:rPr>
          <w:szCs w:val="20"/>
        </w:rPr>
        <w:t xml:space="preserve">Pandēmijas ierobežojumu dēļ pasažieru skaits lidostā Rīga </w:t>
      </w:r>
      <w:r>
        <w:rPr>
          <w:szCs w:val="20"/>
        </w:rPr>
        <w:t>2020.</w:t>
      </w:r>
      <w:r w:rsidR="00393275">
        <w:rPr>
          <w:szCs w:val="20"/>
        </w:rPr>
        <w:t> </w:t>
      </w:r>
      <w:r>
        <w:rPr>
          <w:szCs w:val="20"/>
        </w:rPr>
        <w:t xml:space="preserve">gadā </w:t>
      </w:r>
      <w:r w:rsidRPr="00082D3E">
        <w:rPr>
          <w:szCs w:val="20"/>
        </w:rPr>
        <w:t>veidoja tikai ceturto daļu no 2019.</w:t>
      </w:r>
      <w:r w:rsidR="00393275">
        <w:rPr>
          <w:szCs w:val="20"/>
        </w:rPr>
        <w:t> </w:t>
      </w:r>
      <w:r w:rsidRPr="00082D3E">
        <w:rPr>
          <w:szCs w:val="20"/>
        </w:rPr>
        <w:t>gada līmeņa, samazinoties no 7,8 miljoniem līdz 2,0 miljoniem jeb par 74,2%, prāmju pasažieru skait</w:t>
      </w:r>
      <w:r>
        <w:rPr>
          <w:szCs w:val="20"/>
        </w:rPr>
        <w:t>s Latvijas ostās kritās</w:t>
      </w:r>
      <w:r w:rsidRPr="00082D3E">
        <w:rPr>
          <w:szCs w:val="20"/>
        </w:rPr>
        <w:t xml:space="preserve"> par 56,5%, bet pasažieru skaits sauszemes transportā </w:t>
      </w:r>
      <w:r>
        <w:rPr>
          <w:szCs w:val="20"/>
        </w:rPr>
        <w:t>saruka</w:t>
      </w:r>
      <w:r w:rsidRPr="00082D3E">
        <w:rPr>
          <w:szCs w:val="20"/>
        </w:rPr>
        <w:t xml:space="preserve"> par 36,4%. </w:t>
      </w:r>
      <w:r>
        <w:rPr>
          <w:szCs w:val="20"/>
        </w:rPr>
        <w:t>Arī k</w:t>
      </w:r>
      <w:r w:rsidRPr="00082D3E">
        <w:rPr>
          <w:szCs w:val="20"/>
        </w:rPr>
        <w:t>ravu apgrozība autopārvadājumos Covid-19 ietekmē samazinājās par 8,4%.</w:t>
      </w:r>
      <w:r>
        <w:rPr>
          <w:szCs w:val="20"/>
        </w:rPr>
        <w:tab/>
      </w:r>
    </w:p>
    <w:p w14:paraId="74CE5EBC" w14:textId="7A2BE52B" w:rsidR="00964CAC" w:rsidRDefault="00964CAC" w:rsidP="00A83AAD">
      <w:pPr>
        <w:spacing w:before="60" w:after="60"/>
        <w:rPr>
          <w:szCs w:val="20"/>
        </w:rPr>
      </w:pPr>
      <w:r w:rsidRPr="00B53FBF">
        <w:rPr>
          <w:szCs w:val="20"/>
        </w:rPr>
        <w:lastRenderedPageBreak/>
        <w:t xml:space="preserve">Krievijai pārorientējot </w:t>
      </w:r>
      <w:r>
        <w:rPr>
          <w:szCs w:val="20"/>
        </w:rPr>
        <w:t xml:space="preserve">naftas un ogļu </w:t>
      </w:r>
      <w:r w:rsidRPr="00B53FBF">
        <w:rPr>
          <w:szCs w:val="20"/>
        </w:rPr>
        <w:t>krava</w:t>
      </w:r>
      <w:r>
        <w:rPr>
          <w:szCs w:val="20"/>
        </w:rPr>
        <w:t xml:space="preserve">s uz savām Baltijas jūras ostām, </w:t>
      </w:r>
      <w:r w:rsidRPr="00B53FBF">
        <w:rPr>
          <w:szCs w:val="20"/>
        </w:rPr>
        <w:t xml:space="preserve">kravu apgrozījums </w:t>
      </w:r>
      <w:r>
        <w:rPr>
          <w:szCs w:val="20"/>
        </w:rPr>
        <w:t xml:space="preserve">Latvija </w:t>
      </w:r>
      <w:r w:rsidRPr="00B53FBF">
        <w:rPr>
          <w:szCs w:val="20"/>
        </w:rPr>
        <w:t>ostās 20</w:t>
      </w:r>
      <w:r>
        <w:rPr>
          <w:szCs w:val="20"/>
        </w:rPr>
        <w:t>20</w:t>
      </w:r>
      <w:r w:rsidRPr="00B53FBF">
        <w:rPr>
          <w:szCs w:val="20"/>
        </w:rPr>
        <w:t xml:space="preserve">.gadā bija par </w:t>
      </w:r>
      <w:r>
        <w:rPr>
          <w:szCs w:val="20"/>
        </w:rPr>
        <w:t>28,1</w:t>
      </w:r>
      <w:r w:rsidRPr="00B53FBF">
        <w:rPr>
          <w:szCs w:val="20"/>
        </w:rPr>
        <w:t xml:space="preserve">% </w:t>
      </w:r>
      <w:r>
        <w:rPr>
          <w:szCs w:val="20"/>
        </w:rPr>
        <w:t>mazāks nekā  2019</w:t>
      </w:r>
      <w:r w:rsidRPr="00B53FBF">
        <w:rPr>
          <w:szCs w:val="20"/>
        </w:rPr>
        <w:t>.</w:t>
      </w:r>
      <w:r w:rsidR="00393275">
        <w:rPr>
          <w:szCs w:val="20"/>
        </w:rPr>
        <w:t> </w:t>
      </w:r>
      <w:r w:rsidRPr="00B53FBF">
        <w:rPr>
          <w:szCs w:val="20"/>
        </w:rPr>
        <w:t xml:space="preserve">gadā, </w:t>
      </w:r>
      <w:r>
        <w:rPr>
          <w:szCs w:val="20"/>
        </w:rPr>
        <w:t>bet pa</w:t>
      </w:r>
      <w:r w:rsidRPr="00B53FBF">
        <w:rPr>
          <w:szCs w:val="20"/>
        </w:rPr>
        <w:t xml:space="preserve"> dzelzceļu pārvadāto kravu apjoms pērn saruka par </w:t>
      </w:r>
      <w:r>
        <w:rPr>
          <w:szCs w:val="20"/>
        </w:rPr>
        <w:t>43,4</w:t>
      </w:r>
      <w:r w:rsidRPr="00B53FBF">
        <w:rPr>
          <w:szCs w:val="20"/>
        </w:rPr>
        <w:t xml:space="preserve">%. </w:t>
      </w:r>
    </w:p>
    <w:p w14:paraId="2C15531A" w14:textId="48CBA85F" w:rsidR="00964CAC" w:rsidRDefault="00964CAC" w:rsidP="00A83AAD">
      <w:pPr>
        <w:spacing w:before="60" w:after="60"/>
        <w:rPr>
          <w:szCs w:val="20"/>
        </w:rPr>
      </w:pPr>
      <w:r>
        <w:rPr>
          <w:szCs w:val="20"/>
        </w:rPr>
        <w:t>Nelabvēlīga situācija nozarē saglabājās arī 2021.</w:t>
      </w:r>
      <w:r w:rsidR="00393275">
        <w:rPr>
          <w:szCs w:val="20"/>
        </w:rPr>
        <w:t> </w:t>
      </w:r>
      <w:r>
        <w:rPr>
          <w:szCs w:val="20"/>
        </w:rPr>
        <w:t>gada pirmajā pusē, kad Krievijas kravu tranzīts turpināja samazināties, gan nedaudz lēnākā tempā nekā 2020.</w:t>
      </w:r>
      <w:r w:rsidR="00393275">
        <w:rPr>
          <w:szCs w:val="20"/>
        </w:rPr>
        <w:t> </w:t>
      </w:r>
      <w:r>
        <w:rPr>
          <w:szCs w:val="20"/>
        </w:rPr>
        <w:t>gadā, un nozari joprojām negatīvi ietekmēja Covid-19 izplatības samazināšanai noteiktie ierobežojumi. Kravu apgrozījums ostās gada pirmajos sešos mēnešos bija par 9,5% mazāks nekā pirms gada, bet pārvadājumu apjomi dzelzceļā saruka par 11,9%. Pasažieru skaits lidostā gada pirmajā pusē saglabājās zems, salīdzinājumā ar pērnā gada pirmo pusi samazinoties par 69,3%, tomēr sākot no aprīļa jau sāka pārsniegt pagājušā gada līmeni. Krass kritums pret 2020.</w:t>
      </w:r>
      <w:r w:rsidR="00393275">
        <w:rPr>
          <w:szCs w:val="20"/>
        </w:rPr>
        <w:t> </w:t>
      </w:r>
      <w:r>
        <w:rPr>
          <w:szCs w:val="20"/>
        </w:rPr>
        <w:t xml:space="preserve">gada pirmā ceturkšņa līmeni bija arī sauszemes pasažieru pārvadājumos – par 51,8%, un jūras pārvadājumos – par 72,6%, savukārt kravu autopārvadājumos tika fiksēts </w:t>
      </w:r>
      <w:r w:rsidRPr="009B2A52">
        <w:rPr>
          <w:szCs w:val="20"/>
        </w:rPr>
        <w:t>visai spēcīgs 12,4%</w:t>
      </w:r>
      <w:r>
        <w:rPr>
          <w:szCs w:val="20"/>
        </w:rPr>
        <w:t xml:space="preserve"> kravu apgrozības</w:t>
      </w:r>
      <w:r w:rsidRPr="009B2A52">
        <w:rPr>
          <w:szCs w:val="20"/>
        </w:rPr>
        <w:t xml:space="preserve"> pieaugums</w:t>
      </w:r>
      <w:r>
        <w:rPr>
          <w:szCs w:val="20"/>
        </w:rPr>
        <w:t xml:space="preserve">, ko nodrošināja augošais pieprasījums, Eiropas ekonomikai arvien vairāk atgūstoties no Covid-19 krīzes. </w:t>
      </w:r>
      <w:r w:rsidRPr="00CA5CA6">
        <w:rPr>
          <w:szCs w:val="20"/>
        </w:rPr>
        <w:t>Gada tālākajos mēnešos</w:t>
      </w:r>
      <w:r>
        <w:rPr>
          <w:szCs w:val="20"/>
        </w:rPr>
        <w:t xml:space="preserve">, </w:t>
      </w:r>
      <w:r w:rsidRPr="00CA5CA6">
        <w:rPr>
          <w:szCs w:val="20"/>
        </w:rPr>
        <w:t>Covid-19 ierobežojumiem</w:t>
      </w:r>
      <w:r>
        <w:rPr>
          <w:szCs w:val="20"/>
        </w:rPr>
        <w:t xml:space="preserve"> arvien mazinoties</w:t>
      </w:r>
      <w:r w:rsidRPr="00CA5CA6">
        <w:rPr>
          <w:szCs w:val="20"/>
        </w:rPr>
        <w:t xml:space="preserve"> un atsākoties a</w:t>
      </w:r>
      <w:r>
        <w:rPr>
          <w:szCs w:val="20"/>
        </w:rPr>
        <w:t xml:space="preserve">ktīvākajai iedzīvotāju kustībai, </w:t>
      </w:r>
      <w:r w:rsidRPr="00CA5CA6">
        <w:rPr>
          <w:szCs w:val="20"/>
        </w:rPr>
        <w:t>stabilizācija un pieaugumi gai</w:t>
      </w:r>
      <w:r>
        <w:rPr>
          <w:szCs w:val="20"/>
        </w:rPr>
        <w:t>dāmi arī pasažieru pārvadājumos, un v</w:t>
      </w:r>
      <w:r w:rsidRPr="00CA5CA6">
        <w:rPr>
          <w:szCs w:val="20"/>
        </w:rPr>
        <w:t xml:space="preserve">isā 2021. gadā kopā transporta nozare varētu </w:t>
      </w:r>
      <w:r>
        <w:rPr>
          <w:szCs w:val="20"/>
        </w:rPr>
        <w:t>uzrādīt</w:t>
      </w:r>
      <w:r w:rsidRPr="00CA5CA6">
        <w:rPr>
          <w:szCs w:val="20"/>
        </w:rPr>
        <w:t xml:space="preserve"> nelielu pieaugumu</w:t>
      </w:r>
      <w:r>
        <w:rPr>
          <w:szCs w:val="20"/>
        </w:rPr>
        <w:t xml:space="preserve"> salīdzinājumā ar 2020.</w:t>
      </w:r>
      <w:r w:rsidR="00393275">
        <w:rPr>
          <w:szCs w:val="20"/>
        </w:rPr>
        <w:t> </w:t>
      </w:r>
      <w:r>
        <w:rPr>
          <w:szCs w:val="20"/>
        </w:rPr>
        <w:t xml:space="preserve">gadu, </w:t>
      </w:r>
      <w:r w:rsidRPr="00CA5CA6">
        <w:rPr>
          <w:szCs w:val="20"/>
        </w:rPr>
        <w:t xml:space="preserve">tomēr </w:t>
      </w:r>
      <w:r>
        <w:rPr>
          <w:szCs w:val="20"/>
        </w:rPr>
        <w:t>vēl būtiski atpaliekot no 2019.</w:t>
      </w:r>
      <w:r w:rsidR="00393275">
        <w:rPr>
          <w:szCs w:val="20"/>
        </w:rPr>
        <w:t> </w:t>
      </w:r>
      <w:r w:rsidRPr="00CA5CA6">
        <w:rPr>
          <w:szCs w:val="20"/>
        </w:rPr>
        <w:t>gada līmeņa</w:t>
      </w:r>
      <w:r>
        <w:rPr>
          <w:szCs w:val="20"/>
        </w:rPr>
        <w:t>.</w:t>
      </w:r>
    </w:p>
    <w:p w14:paraId="4921C936" w14:textId="77777777" w:rsidR="00964CAC" w:rsidRPr="00500AAB" w:rsidRDefault="00964CAC" w:rsidP="00A83AAD">
      <w:pPr>
        <w:rPr>
          <w:rFonts w:eastAsia="Calibri" w:cs="Times New Roman"/>
          <w:b/>
          <w:szCs w:val="20"/>
        </w:rPr>
      </w:pPr>
      <w:r w:rsidRPr="00500AAB">
        <w:rPr>
          <w:rFonts w:eastAsia="Calibri" w:cs="Times New Roman"/>
          <w:b/>
          <w:szCs w:val="20"/>
        </w:rPr>
        <w:t xml:space="preserve">Ārējā tirdzniecība </w:t>
      </w:r>
    </w:p>
    <w:p w14:paraId="3031025F" w14:textId="22E241F0" w:rsidR="00964CAC" w:rsidRPr="00C3377D" w:rsidRDefault="00964CAC" w:rsidP="00A83AAD">
      <w:pPr>
        <w:spacing w:before="60" w:after="60"/>
        <w:rPr>
          <w:szCs w:val="20"/>
        </w:rPr>
      </w:pPr>
      <w:r w:rsidRPr="00C3377D">
        <w:rPr>
          <w:szCs w:val="20"/>
        </w:rPr>
        <w:t>Latvijas preču un pakalpojumu ārējās tirdzniecības apgrozījums salīdzināmās cenās 2020.</w:t>
      </w:r>
      <w:r w:rsidR="00393275">
        <w:rPr>
          <w:szCs w:val="20"/>
        </w:rPr>
        <w:t> </w:t>
      </w:r>
      <w:r w:rsidRPr="00C3377D">
        <w:rPr>
          <w:szCs w:val="20"/>
        </w:rPr>
        <w:t>gadā samazinājās par 3,0%, uzrādot sliktāko sniegumu kopš 2010.</w:t>
      </w:r>
      <w:r w:rsidR="00393275">
        <w:rPr>
          <w:szCs w:val="20"/>
        </w:rPr>
        <w:t> </w:t>
      </w:r>
      <w:r w:rsidRPr="00C3377D">
        <w:rPr>
          <w:szCs w:val="20"/>
        </w:rPr>
        <w:t>gada. Covid-19 krīze vairāk ietekmēja preču un pakalpojumu importu, tam samazinoties par 3,3% salīdzinājumā ar 2019.</w:t>
      </w:r>
      <w:r w:rsidR="00393275">
        <w:rPr>
          <w:szCs w:val="20"/>
        </w:rPr>
        <w:t> </w:t>
      </w:r>
      <w:r w:rsidRPr="00C3377D">
        <w:rPr>
          <w:szCs w:val="20"/>
        </w:rPr>
        <w:t>gadu. Savukārt eksports salīdzināmās cenās samazinājās par 2,7%, ko ietekmēja straujš pakalpojumu eksporta kritums.</w:t>
      </w:r>
    </w:p>
    <w:p w14:paraId="6334C39C" w14:textId="0F9DD8C8" w:rsidR="00964CAC" w:rsidRPr="00C3377D" w:rsidRDefault="00964CAC" w:rsidP="00A83AAD">
      <w:pPr>
        <w:spacing w:before="60" w:after="60"/>
        <w:rPr>
          <w:szCs w:val="20"/>
        </w:rPr>
      </w:pPr>
      <w:r w:rsidRPr="00C3377D">
        <w:rPr>
          <w:szCs w:val="20"/>
        </w:rPr>
        <w:t xml:space="preserve"> Latvijas </w:t>
      </w:r>
      <w:r w:rsidRPr="00AB7941">
        <w:rPr>
          <w:b/>
          <w:szCs w:val="20"/>
        </w:rPr>
        <w:t xml:space="preserve">preču un pakalpojumu eksports </w:t>
      </w:r>
      <w:r w:rsidRPr="00C3377D">
        <w:rPr>
          <w:szCs w:val="20"/>
        </w:rPr>
        <w:t>pērnajā gadā ir samazinājies pirmo reizi 11 gadu laikā, tomēr eksporta kritums bija viens no mazākajiem starp Eiropas Savienības valstīm un būtiski zemāks nekā vidēji Eiropas Savienībā (</w:t>
      </w:r>
      <w:r>
        <w:rPr>
          <w:szCs w:val="20"/>
        </w:rPr>
        <w:noBreakHyphen/>
      </w:r>
      <w:r w:rsidRPr="00C3377D">
        <w:rPr>
          <w:szCs w:val="20"/>
        </w:rPr>
        <w:t>8,4%), tādējādi apliecinot savu konkurētspēju un noturību pandēmijas periodā. Zemāks eksporta kritums nekā vidēji Eiropas Savienībā ir saistīts ar vairākiem faktoriem. Pirmkārt, 2020.</w:t>
      </w:r>
      <w:r w:rsidR="00393275">
        <w:rPr>
          <w:szCs w:val="20"/>
        </w:rPr>
        <w:t> </w:t>
      </w:r>
      <w:r w:rsidRPr="00C3377D">
        <w:rPr>
          <w:szCs w:val="20"/>
        </w:rPr>
        <w:t xml:space="preserve">gadā kopumā epidemioloģiskā situācija Latvijā bija labāka nekā lielākajā daļā Eiropas Savienības valstu, kas ļāva ražojošajiem uzņēmumiem turpināt darbu. Otrkārt, Latvijā ir mazāks ar tūrisma nozari saistīto pakalpojumu īpatsvars pakalpojumu eksportā, it īpaši salīdzinājumā ar Dienvideiropas valstīm. Treškārt, </w:t>
      </w:r>
      <w:r w:rsidRPr="00C3377D">
        <w:rPr>
          <w:noProof/>
          <w:szCs w:val="20"/>
        </w:rPr>
        <w:t>rekordaugstā graudaugu</w:t>
      </w:r>
      <w:r w:rsidRPr="00C3377D">
        <w:rPr>
          <w:szCs w:val="20"/>
        </w:rPr>
        <w:t xml:space="preserve"> raža Latvi</w:t>
      </w:r>
      <w:r>
        <w:rPr>
          <w:szCs w:val="20"/>
        </w:rPr>
        <w:t>jā veicināja graudaugu eksportu</w:t>
      </w:r>
      <w:r w:rsidRPr="00C3377D">
        <w:rPr>
          <w:szCs w:val="20"/>
        </w:rPr>
        <w:t xml:space="preserve">. Ņemot vērā, ka Latvijas reālā iekšzemes kopprodukta kritums bija straujāks nekā eksporta samazinājums, eksporta īpatsvars iekšzemes kopproduktā </w:t>
      </w:r>
      <w:r>
        <w:rPr>
          <w:szCs w:val="20"/>
        </w:rPr>
        <w:t>2020.</w:t>
      </w:r>
      <w:r w:rsidR="00393275">
        <w:rPr>
          <w:szCs w:val="20"/>
        </w:rPr>
        <w:t> </w:t>
      </w:r>
      <w:r>
        <w:rPr>
          <w:szCs w:val="20"/>
        </w:rPr>
        <w:t xml:space="preserve">gadā </w:t>
      </w:r>
      <w:r w:rsidRPr="00C3377D">
        <w:rPr>
          <w:szCs w:val="20"/>
        </w:rPr>
        <w:t>palielinājās līdz 63,9%, sasnied</w:t>
      </w:r>
      <w:r>
        <w:rPr>
          <w:szCs w:val="20"/>
        </w:rPr>
        <w:t>zot vēsturiski augstāko līmeni.</w:t>
      </w:r>
    </w:p>
    <w:p w14:paraId="7A413459" w14:textId="6D8625E2" w:rsidR="00964CAC" w:rsidRPr="00C3377D" w:rsidRDefault="00964CAC" w:rsidP="00A83AAD">
      <w:pPr>
        <w:spacing w:before="60" w:after="60"/>
        <w:rPr>
          <w:szCs w:val="20"/>
        </w:rPr>
      </w:pPr>
      <w:r w:rsidRPr="00C3377D">
        <w:rPr>
          <w:szCs w:val="20"/>
        </w:rPr>
        <w:t>2020.</w:t>
      </w:r>
      <w:r w:rsidR="00393275">
        <w:rPr>
          <w:szCs w:val="20"/>
        </w:rPr>
        <w:t> </w:t>
      </w:r>
      <w:r w:rsidRPr="00C3377D">
        <w:rPr>
          <w:szCs w:val="20"/>
        </w:rPr>
        <w:t>gads Latvijas eksportētājiem bija ļoti izaicinošs, jo ekonomiskās aktivitātes kritums visā pasaulē, robežu slēgšana, izejvie</w:t>
      </w:r>
      <w:r>
        <w:rPr>
          <w:szCs w:val="20"/>
        </w:rPr>
        <w:t xml:space="preserve">lu un starppatēriņa preču </w:t>
      </w:r>
      <w:r>
        <w:rPr>
          <w:szCs w:val="20"/>
        </w:rPr>
        <w:lastRenderedPageBreak/>
        <w:t>piegādes</w:t>
      </w:r>
      <w:r w:rsidRPr="00C3377D">
        <w:rPr>
          <w:szCs w:val="20"/>
        </w:rPr>
        <w:t xml:space="preserve"> ķēžu traucējumi, nenoteiktība saistībā ar Lielbritānijas, kas ir viens no lielākajiem Latvijas eksporta tirgiem, izs</w:t>
      </w:r>
      <w:r>
        <w:rPr>
          <w:szCs w:val="20"/>
        </w:rPr>
        <w:t>tāšanos no Eiropas Savienības</w:t>
      </w:r>
      <w:r w:rsidRPr="00C3377D">
        <w:rPr>
          <w:szCs w:val="20"/>
        </w:rPr>
        <w:t xml:space="preserve">, negatīvi ietekmēja Latvijas preču eksporta attīstību. </w:t>
      </w:r>
      <w:r>
        <w:rPr>
          <w:szCs w:val="20"/>
        </w:rPr>
        <w:t>Neskatoties uz to,</w:t>
      </w:r>
      <w:r w:rsidRPr="00C3377D">
        <w:rPr>
          <w:szCs w:val="20"/>
        </w:rPr>
        <w:t xml:space="preserve"> Latvijas preču eksporta vērtība bija viena no straujāk augoš</w:t>
      </w:r>
      <w:r>
        <w:rPr>
          <w:szCs w:val="20"/>
        </w:rPr>
        <w:t>aj</w:t>
      </w:r>
      <w:r w:rsidRPr="00C3377D">
        <w:rPr>
          <w:szCs w:val="20"/>
        </w:rPr>
        <w:t>ām starp ES dalībvalstīm, salīdzināmās cenās palielinoties par 5,5%, kas bija otrais augstākais pieaugums aiz pēc Īrijas</w:t>
      </w:r>
      <w:r>
        <w:rPr>
          <w:szCs w:val="20"/>
        </w:rPr>
        <w:t>, kamēr</w:t>
      </w:r>
      <w:r w:rsidRPr="00C3377D">
        <w:rPr>
          <w:szCs w:val="20"/>
        </w:rPr>
        <w:t xml:space="preserve"> ES vidēji preču eksporta vērtība samazinājās vidēji par 5,6%.  Tādējādi preču eksporta izaugsme minimizēja straujā pakalpojumu eksporta krituma</w:t>
      </w:r>
      <w:r>
        <w:rPr>
          <w:szCs w:val="20"/>
        </w:rPr>
        <w:t xml:space="preserve"> </w:t>
      </w:r>
      <w:r w:rsidRPr="00C3377D">
        <w:rPr>
          <w:szCs w:val="20"/>
        </w:rPr>
        <w:t xml:space="preserve">negatīvo ietekmi. Preču eksportu </w:t>
      </w:r>
      <w:r w:rsidRPr="00C3377D">
        <w:rPr>
          <w:noProof/>
          <w:szCs w:val="20"/>
        </w:rPr>
        <w:t>veicināja rekordaugstā graudaugu</w:t>
      </w:r>
      <w:r w:rsidRPr="00C3377D">
        <w:rPr>
          <w:szCs w:val="20"/>
        </w:rPr>
        <w:t xml:space="preserve"> raža, kā arī el</w:t>
      </w:r>
      <w:r>
        <w:rPr>
          <w:szCs w:val="20"/>
        </w:rPr>
        <w:t>ektroiekārtu reeksporta kāpums.</w:t>
      </w:r>
    </w:p>
    <w:p w14:paraId="32824420" w14:textId="5D0846B0" w:rsidR="00964CAC" w:rsidRPr="00C3377D" w:rsidRDefault="00964CAC" w:rsidP="00A83AAD">
      <w:pPr>
        <w:spacing w:before="60" w:after="60"/>
        <w:rPr>
          <w:szCs w:val="20"/>
        </w:rPr>
      </w:pPr>
      <w:r w:rsidRPr="00C3377D">
        <w:rPr>
          <w:szCs w:val="20"/>
        </w:rPr>
        <w:t xml:space="preserve">Latvijas </w:t>
      </w:r>
      <w:r w:rsidRPr="0094375F">
        <w:rPr>
          <w:b/>
          <w:szCs w:val="20"/>
        </w:rPr>
        <w:t>pakalpojumu eksporta vērtība</w:t>
      </w:r>
      <w:r w:rsidRPr="00C3377D">
        <w:rPr>
          <w:szCs w:val="20"/>
        </w:rPr>
        <w:t xml:space="preserve"> 2020.</w:t>
      </w:r>
      <w:r w:rsidR="00393275">
        <w:rPr>
          <w:szCs w:val="20"/>
        </w:rPr>
        <w:t> </w:t>
      </w:r>
      <w:r w:rsidRPr="00C3377D">
        <w:rPr>
          <w:szCs w:val="20"/>
        </w:rPr>
        <w:t>gadā salīdzināmās cenās samazinājās par 21,4%, bet ES vidēji kritums veidoja 15,5%. Lielāks pakalpojumu eksporta kritums Latvijā ir saistīts ar to, ka transporta pakalpojumu eksportu Latvijā bez pandēmijas būtiski ietekmēja spēcīgs kritums jūras un dzelzceļa transporta pakalpojumos saistībā ar ogļu un naftas produktu kravu samazināšanos no K</w:t>
      </w:r>
      <w:r>
        <w:rPr>
          <w:szCs w:val="20"/>
        </w:rPr>
        <w:t>rievijas. Savukārt pandēmijas</w:t>
      </w:r>
      <w:r w:rsidRPr="00C3377D">
        <w:rPr>
          <w:szCs w:val="20"/>
        </w:rPr>
        <w:t xml:space="preserve"> un </w:t>
      </w:r>
      <w:r>
        <w:rPr>
          <w:szCs w:val="20"/>
        </w:rPr>
        <w:t>ārkārtējā stāvokļa dēļ</w:t>
      </w:r>
      <w:r w:rsidRPr="00C3377D">
        <w:rPr>
          <w:szCs w:val="20"/>
        </w:rPr>
        <w:t xml:space="preserve"> gan Latvijā, gan citās pasaules valstīs būtiski samazināj</w:t>
      </w:r>
      <w:r>
        <w:rPr>
          <w:szCs w:val="20"/>
        </w:rPr>
        <w:t>ās</w:t>
      </w:r>
      <w:r w:rsidRPr="00C3377D">
        <w:rPr>
          <w:szCs w:val="20"/>
        </w:rPr>
        <w:t xml:space="preserve"> gaisa</w:t>
      </w:r>
      <w:r>
        <w:rPr>
          <w:szCs w:val="20"/>
        </w:rPr>
        <w:t xml:space="preserve"> transporta pakalpojumu eksports</w:t>
      </w:r>
      <w:r w:rsidRPr="00C3377D">
        <w:rPr>
          <w:szCs w:val="20"/>
        </w:rPr>
        <w:t xml:space="preserve"> un ārvalstu tūristu </w:t>
      </w:r>
      <w:r>
        <w:rPr>
          <w:szCs w:val="20"/>
        </w:rPr>
        <w:t>izdevumi Latvijā.</w:t>
      </w:r>
    </w:p>
    <w:p w14:paraId="4A7C5AF6" w14:textId="4E0AE110" w:rsidR="00964CAC" w:rsidRPr="00C3377D" w:rsidRDefault="00964CAC" w:rsidP="00A83AAD">
      <w:pPr>
        <w:spacing w:before="60" w:after="60"/>
        <w:rPr>
          <w:szCs w:val="20"/>
        </w:rPr>
      </w:pPr>
      <w:r w:rsidRPr="00C3377D">
        <w:rPr>
          <w:szCs w:val="20"/>
        </w:rPr>
        <w:t>Arī 2021.</w:t>
      </w:r>
      <w:r w:rsidR="00393275">
        <w:rPr>
          <w:szCs w:val="20"/>
        </w:rPr>
        <w:t> </w:t>
      </w:r>
      <w:r w:rsidRPr="00C3377D">
        <w:rPr>
          <w:szCs w:val="20"/>
        </w:rPr>
        <w:t>gada pirmajā ceturksnī turpinājās preču un pakalpojumu eksporta kritums, ko noteica tieši pakalpojumu eksporta samazinājums. Kopēj</w:t>
      </w:r>
      <w:r>
        <w:rPr>
          <w:szCs w:val="20"/>
        </w:rPr>
        <w:t>ais</w:t>
      </w:r>
      <w:r w:rsidRPr="00C3377D">
        <w:rPr>
          <w:szCs w:val="20"/>
        </w:rPr>
        <w:t xml:space="preserve"> eksport</w:t>
      </w:r>
      <w:r>
        <w:rPr>
          <w:szCs w:val="20"/>
        </w:rPr>
        <w:t>s</w:t>
      </w:r>
      <w:r w:rsidRPr="00C3377D">
        <w:rPr>
          <w:szCs w:val="20"/>
        </w:rPr>
        <w:t xml:space="preserve"> salīdzināmās cenās š.g. pirmajā ceturksnī bija par 0,9% zemāk</w:t>
      </w:r>
      <w:r>
        <w:rPr>
          <w:szCs w:val="20"/>
        </w:rPr>
        <w:t>s</w:t>
      </w:r>
      <w:r w:rsidRPr="00C3377D">
        <w:rPr>
          <w:szCs w:val="20"/>
        </w:rPr>
        <w:t xml:space="preserve"> nekā pirms gada</w:t>
      </w:r>
      <w:r>
        <w:rPr>
          <w:szCs w:val="20"/>
        </w:rPr>
        <w:t xml:space="preserve">. </w:t>
      </w:r>
      <w:r w:rsidRPr="00C3377D">
        <w:rPr>
          <w:szCs w:val="20"/>
        </w:rPr>
        <w:t xml:space="preserve">Šajā periodā preču eksports </w:t>
      </w:r>
      <w:r>
        <w:rPr>
          <w:szCs w:val="20"/>
        </w:rPr>
        <w:t>palielinājās</w:t>
      </w:r>
      <w:r w:rsidRPr="00C3377D">
        <w:rPr>
          <w:szCs w:val="20"/>
        </w:rPr>
        <w:t xml:space="preserve"> par </w:t>
      </w:r>
      <w:r>
        <w:rPr>
          <w:szCs w:val="20"/>
        </w:rPr>
        <w:t>4,0%, bet pakalpojumu eksports samazinājā</w:t>
      </w:r>
      <w:r w:rsidRPr="00C3377D">
        <w:rPr>
          <w:szCs w:val="20"/>
        </w:rPr>
        <w:t xml:space="preserve">s par 14,4%. </w:t>
      </w:r>
      <w:r>
        <w:rPr>
          <w:szCs w:val="20"/>
        </w:rPr>
        <w:t>No mēneša datiem</w:t>
      </w:r>
      <w:r w:rsidRPr="00C3377D">
        <w:rPr>
          <w:szCs w:val="20"/>
        </w:rPr>
        <w:t xml:space="preserve"> var secināt, ka būtisks pakalpojumu eksporta kritums bija fiksēts š.g. janvārī un februārī, vidēji ap 18,0%, bet martā kritums gada izteiksmē samazinājā</w:t>
      </w:r>
      <w:r>
        <w:rPr>
          <w:szCs w:val="20"/>
        </w:rPr>
        <w:t>s</w:t>
      </w:r>
      <w:r w:rsidRPr="00C3377D">
        <w:rPr>
          <w:szCs w:val="20"/>
        </w:rPr>
        <w:t xml:space="preserve"> līdz 3,0%. Savukārt aktuālākie dati par š.g. aprīli</w:t>
      </w:r>
      <w:r>
        <w:rPr>
          <w:szCs w:val="20"/>
        </w:rPr>
        <w:t xml:space="preserve"> un maiju liecina, ka </w:t>
      </w:r>
      <w:r w:rsidRPr="00C3377D">
        <w:rPr>
          <w:szCs w:val="20"/>
        </w:rPr>
        <w:t>pakalpojumu eksports ir stabilizējies un uzrāda nelielu pieaugumu, ko li</w:t>
      </w:r>
      <w:r>
        <w:rPr>
          <w:szCs w:val="20"/>
        </w:rPr>
        <w:t>elā mērā nosaka pērnā gada zemā</w:t>
      </w:r>
      <w:r w:rsidRPr="00C3377D">
        <w:rPr>
          <w:szCs w:val="20"/>
        </w:rPr>
        <w:t xml:space="preserve"> bāze. </w:t>
      </w:r>
    </w:p>
    <w:p w14:paraId="1FBA7951" w14:textId="12690D37" w:rsidR="00964CAC" w:rsidRDefault="00964CAC" w:rsidP="00A83AAD">
      <w:pPr>
        <w:spacing w:before="60" w:after="60"/>
        <w:rPr>
          <w:szCs w:val="20"/>
        </w:rPr>
      </w:pPr>
      <w:r>
        <w:rPr>
          <w:szCs w:val="20"/>
        </w:rPr>
        <w:t>Savukārt</w:t>
      </w:r>
      <w:r w:rsidRPr="00C3377D">
        <w:rPr>
          <w:szCs w:val="20"/>
        </w:rPr>
        <w:t xml:space="preserve"> preču eksports 2021. gada janvārī uzrādīja nelielu samazinājumu, kas bija saistīts galvenokārt ar augu valsts produktu eksporta samazinājumu un satiksmes līdzekļu reeksporta kritumu. </w:t>
      </w:r>
      <w:r>
        <w:rPr>
          <w:szCs w:val="20"/>
        </w:rPr>
        <w:t>Tomēr</w:t>
      </w:r>
      <w:r w:rsidRPr="00C3377D">
        <w:rPr>
          <w:szCs w:val="20"/>
        </w:rPr>
        <w:t xml:space="preserve"> turpmākajos mēnešos preču eksporta vērtība pieauga, pie tam ar paātrinājumu k</w:t>
      </w:r>
      <w:r>
        <w:rPr>
          <w:szCs w:val="20"/>
        </w:rPr>
        <w:t>atrā</w:t>
      </w:r>
      <w:r w:rsidRPr="00C3377D">
        <w:rPr>
          <w:szCs w:val="20"/>
        </w:rPr>
        <w:t xml:space="preserve"> mēnesī. Tā, š.g. februārī preču eksporta vērtība bija par 7,0% augstāka nekā pērnā gada attiecīgajā mēnesī, kamēr maijā gada pieaug</w:t>
      </w:r>
      <w:r>
        <w:rPr>
          <w:szCs w:val="20"/>
        </w:rPr>
        <w:t>ums veidoja jau 36,2%. Tādējādi</w:t>
      </w:r>
      <w:r w:rsidRPr="00C3377D">
        <w:rPr>
          <w:szCs w:val="20"/>
        </w:rPr>
        <w:t xml:space="preserve"> š.g. pirmajos piecos mēnešos</w:t>
      </w:r>
      <w:r>
        <w:rPr>
          <w:szCs w:val="20"/>
        </w:rPr>
        <w:t xml:space="preserve"> kopā</w:t>
      </w:r>
      <w:r w:rsidRPr="00C3377D">
        <w:rPr>
          <w:szCs w:val="20"/>
        </w:rPr>
        <w:t xml:space="preserve"> Latvijas preču eksporta vērtība bija par 18,1% augstāka nekā iepriekšējā gada attiecīgajā laikā periodā.</w:t>
      </w:r>
      <w:r>
        <w:rPr>
          <w:szCs w:val="20"/>
        </w:rPr>
        <w:t xml:space="preserve"> Straujo eksporta pieaugumu </w:t>
      </w:r>
      <w:r w:rsidRPr="00C3377D">
        <w:rPr>
          <w:szCs w:val="20"/>
        </w:rPr>
        <w:t xml:space="preserve">noteica </w:t>
      </w:r>
      <w:r>
        <w:rPr>
          <w:szCs w:val="20"/>
        </w:rPr>
        <w:t xml:space="preserve">gan </w:t>
      </w:r>
      <w:r w:rsidRPr="00C3377D">
        <w:rPr>
          <w:szCs w:val="20"/>
        </w:rPr>
        <w:t>pērnā gada zemā bāze, it īpaši 2020.gada aprīlī un maijā, kad Covid-19 krīzes rezultātā Latvijas preču ekspor</w:t>
      </w:r>
      <w:r>
        <w:rPr>
          <w:szCs w:val="20"/>
        </w:rPr>
        <w:t xml:space="preserve">ts samazinājās vidēji par 14,0%, gan </w:t>
      </w:r>
      <w:r w:rsidRPr="00C3377D">
        <w:rPr>
          <w:szCs w:val="20"/>
        </w:rPr>
        <w:t>pasaules ekonomikas at</w:t>
      </w:r>
      <w:r>
        <w:rPr>
          <w:szCs w:val="20"/>
        </w:rPr>
        <w:t xml:space="preserve">gūšanās no Covid-19 krīzes. </w:t>
      </w:r>
      <w:r w:rsidRPr="00C3377D">
        <w:rPr>
          <w:szCs w:val="20"/>
        </w:rPr>
        <w:t xml:space="preserve">Sagaidāms, ka arī turpmākajos mēnešos preču eksporta vērtība turpinās palielināties. Tomēr, izzūdot bāzes efektiem, </w:t>
      </w:r>
      <w:r>
        <w:rPr>
          <w:szCs w:val="20"/>
        </w:rPr>
        <w:t xml:space="preserve">gada pieauguma temps pakāpeniski mazināsies, tomēr joprojām </w:t>
      </w:r>
      <w:r>
        <w:rPr>
          <w:noProof/>
          <w:szCs w:val="20"/>
        </w:rPr>
        <w:t>saglabājoties divciparu pieaugumam</w:t>
      </w:r>
      <w:r>
        <w:rPr>
          <w:szCs w:val="20"/>
        </w:rPr>
        <w:t>.</w:t>
      </w:r>
    </w:p>
    <w:p w14:paraId="4FCCEC1F" w14:textId="5CCD9AA9" w:rsidR="00964CAC" w:rsidRPr="00C3377D" w:rsidRDefault="00964CAC" w:rsidP="00A83AAD">
      <w:pPr>
        <w:spacing w:before="60" w:after="60"/>
        <w:rPr>
          <w:szCs w:val="20"/>
        </w:rPr>
      </w:pPr>
      <w:r>
        <w:rPr>
          <w:szCs w:val="20"/>
        </w:rPr>
        <w:t xml:space="preserve">Par labām perspektīvām eksporta attīstībai liecina augošā ekonomikas konfidence Eiropas Savienībā, kas ir </w:t>
      </w:r>
      <w:r w:rsidRPr="00C3377D">
        <w:rPr>
          <w:szCs w:val="20"/>
        </w:rPr>
        <w:t>lielā</w:t>
      </w:r>
      <w:r>
        <w:rPr>
          <w:szCs w:val="20"/>
        </w:rPr>
        <w:t>kais</w:t>
      </w:r>
      <w:r w:rsidRPr="00C3377D">
        <w:rPr>
          <w:szCs w:val="20"/>
        </w:rPr>
        <w:t xml:space="preserve"> </w:t>
      </w:r>
      <w:r>
        <w:rPr>
          <w:szCs w:val="20"/>
        </w:rPr>
        <w:t>Latvijas tirdzniecības partneris,</w:t>
      </w:r>
      <w:r w:rsidRPr="00C3377D">
        <w:rPr>
          <w:szCs w:val="20"/>
        </w:rPr>
        <w:t xml:space="preserve"> </w:t>
      </w:r>
      <w:r>
        <w:rPr>
          <w:szCs w:val="20"/>
        </w:rPr>
        <w:t xml:space="preserve">pēdējos mēnešos pat pārsniedzot </w:t>
      </w:r>
      <w:r w:rsidR="00E92BC1">
        <w:rPr>
          <w:szCs w:val="20"/>
        </w:rPr>
        <w:t>pirms</w:t>
      </w:r>
      <w:r w:rsidR="00E92BC1" w:rsidRPr="00C3377D">
        <w:rPr>
          <w:szCs w:val="20"/>
        </w:rPr>
        <w:t xml:space="preserve"> pandēmijas</w:t>
      </w:r>
      <w:r w:rsidRPr="00C3377D">
        <w:rPr>
          <w:szCs w:val="20"/>
        </w:rPr>
        <w:t xml:space="preserve"> līmeni. Pozitīvi vērtējams, ka ekonomikas konfidence strauji uzlabojās tādās valstīs kā Vācija, Francija, Itālija, </w:t>
      </w:r>
      <w:r w:rsidRPr="00C3377D">
        <w:rPr>
          <w:szCs w:val="20"/>
        </w:rPr>
        <w:lastRenderedPageBreak/>
        <w:t xml:space="preserve">Nīderlande, Polija un Zviedrija, kas ir lielākās ES ekonomikas. Tāpat patērētāju un uzņēmēju konfidence palielinājās arī Lietuvā un Igaunijā, kas ir divi lielākie </w:t>
      </w:r>
      <w:r>
        <w:rPr>
          <w:szCs w:val="20"/>
        </w:rPr>
        <w:t>Latvijas preču noieta tirgi.</w:t>
      </w:r>
    </w:p>
    <w:p w14:paraId="038B36FC" w14:textId="35E7BD5D" w:rsidR="00964CAC" w:rsidRPr="00C3377D" w:rsidRDefault="00964CAC" w:rsidP="00A83AAD">
      <w:pPr>
        <w:spacing w:before="60" w:after="60"/>
        <w:rPr>
          <w:szCs w:val="20"/>
        </w:rPr>
      </w:pPr>
      <w:r w:rsidRPr="00C3377D">
        <w:rPr>
          <w:szCs w:val="20"/>
        </w:rPr>
        <w:t>Preču eksporta kāpums š</w:t>
      </w:r>
      <w:r w:rsidR="009E7575">
        <w:rPr>
          <w:szCs w:val="20"/>
        </w:rPr>
        <w:t>ā gada</w:t>
      </w:r>
      <w:r w:rsidRPr="00C3377D">
        <w:rPr>
          <w:szCs w:val="20"/>
        </w:rPr>
        <w:t xml:space="preserve"> piecos m</w:t>
      </w:r>
      <w:r>
        <w:rPr>
          <w:szCs w:val="20"/>
        </w:rPr>
        <w:t>ēnešos kopumā bija fiksēts visās preču grupā</w:t>
      </w:r>
      <w:r w:rsidRPr="00C3377D">
        <w:rPr>
          <w:szCs w:val="20"/>
        </w:rPr>
        <w:t xml:space="preserve">s. Lielāko devumu preču eksporta izaugsmē nodrošināja koksnes un koka izstrādājumu eksporta pieaugums par 26,4% salīdzinājumā ar attiecīgo periodu 2020. gadā. Koksnes un koka izstrādājumu eksporta pieaugums bija fiksēts uz Dāniju, Nīderlandi un ASV. Tomēr noteicošā loma </w:t>
      </w:r>
      <w:r>
        <w:rPr>
          <w:szCs w:val="20"/>
        </w:rPr>
        <w:t>bija</w:t>
      </w:r>
      <w:r w:rsidRPr="00C3377D">
        <w:rPr>
          <w:szCs w:val="20"/>
        </w:rPr>
        <w:t xml:space="preserve"> eksporta pieaugum</w:t>
      </w:r>
      <w:r>
        <w:rPr>
          <w:szCs w:val="20"/>
        </w:rPr>
        <w:t>am</w:t>
      </w:r>
      <w:r w:rsidRPr="00C3377D">
        <w:rPr>
          <w:szCs w:val="20"/>
        </w:rPr>
        <w:t xml:space="preserve"> uz Apvienoto Karalisti, būtiski palielinoties garumā sazāģēt</w:t>
      </w:r>
      <w:r>
        <w:rPr>
          <w:szCs w:val="20"/>
        </w:rPr>
        <w:t>u</w:t>
      </w:r>
      <w:r w:rsidRPr="00C3377D">
        <w:rPr>
          <w:szCs w:val="20"/>
        </w:rPr>
        <w:t xml:space="preserve"> kokmateriāl</w:t>
      </w:r>
      <w:r>
        <w:rPr>
          <w:szCs w:val="20"/>
        </w:rPr>
        <w:t xml:space="preserve">u un koksnes granulu eksportam, kas nodrošināja </w:t>
      </w:r>
      <w:r w:rsidRPr="00C3377D">
        <w:rPr>
          <w:szCs w:val="20"/>
        </w:rPr>
        <w:t xml:space="preserve">divas trešdaļas no </w:t>
      </w:r>
      <w:r>
        <w:rPr>
          <w:szCs w:val="20"/>
        </w:rPr>
        <w:t xml:space="preserve">kopējās </w:t>
      </w:r>
      <w:r w:rsidRPr="00C3377D">
        <w:rPr>
          <w:szCs w:val="20"/>
        </w:rPr>
        <w:t>kok</w:t>
      </w:r>
      <w:r>
        <w:rPr>
          <w:szCs w:val="20"/>
        </w:rPr>
        <w:t>a un koksnes eksporta izaugsmes</w:t>
      </w:r>
      <w:r w:rsidRPr="00C3377D">
        <w:rPr>
          <w:szCs w:val="20"/>
        </w:rPr>
        <w:t xml:space="preserve">.    </w:t>
      </w:r>
    </w:p>
    <w:p w14:paraId="0EC90D3C" w14:textId="00D9735F" w:rsidR="00964CAC" w:rsidRPr="00C3377D" w:rsidRDefault="00964CAC" w:rsidP="00A83AAD">
      <w:pPr>
        <w:spacing w:before="60" w:after="60"/>
        <w:rPr>
          <w:szCs w:val="20"/>
        </w:rPr>
      </w:pPr>
      <w:r w:rsidRPr="00C3377D">
        <w:rPr>
          <w:szCs w:val="20"/>
        </w:rPr>
        <w:t>Būtisku devumu preču eksporta izaugsmē š</w:t>
      </w:r>
      <w:r w:rsidR="009E7575">
        <w:rPr>
          <w:szCs w:val="20"/>
        </w:rPr>
        <w:t>ā gada</w:t>
      </w:r>
      <w:r w:rsidRPr="00C3377D">
        <w:rPr>
          <w:szCs w:val="20"/>
        </w:rPr>
        <w:t xml:space="preserve"> piecos mēnešos nodrošināja mehānisko ierīču un elektroiekārtu eksporta pieaugums par 14,4%. Atšķirībā no koka un koksnes izstrādājumu preču grupas, eksporta pieaugums šajā preču grupā ir diversificētāks gan preču, gan valstu griezumā. Lielākie eksporta kāpumi bija fiksēti elektroniskām shēmām, elektrības sadalei paredzētie paneļiem, monitoriem, projektoriem, automātiskās datu apstrādes iekārtām, telefonu aprātiem, monitoriem, projektiem, elektroniskām shēmām un citām mehāniskajiem un elektroiekārtām. Galvenie noieta tirgi šai preču grupai bija ES dalībvalstis un ASV. Vienlaicīgi jāatzīmē, kā šo preču grupu, it īpaši elektroiekārtu eksportu veicināja reeksporta apjomu pieaugums, jo arī impor</w:t>
      </w:r>
      <w:r>
        <w:rPr>
          <w:szCs w:val="20"/>
        </w:rPr>
        <w:t>ta datos ir fiksēti līdzvērtīgi</w:t>
      </w:r>
      <w:r w:rsidRPr="00C3377D">
        <w:rPr>
          <w:szCs w:val="20"/>
        </w:rPr>
        <w:t xml:space="preserve"> pieauguma tempi.  </w:t>
      </w:r>
    </w:p>
    <w:p w14:paraId="520D664D" w14:textId="77777777" w:rsidR="00964CAC" w:rsidRPr="00C3377D" w:rsidRDefault="00964CAC" w:rsidP="00A83AAD">
      <w:pPr>
        <w:spacing w:before="60" w:after="60"/>
        <w:rPr>
          <w:szCs w:val="20"/>
        </w:rPr>
      </w:pPr>
      <w:r w:rsidRPr="00C3377D">
        <w:rPr>
          <w:szCs w:val="20"/>
        </w:rPr>
        <w:t>Noz</w:t>
      </w:r>
      <w:r>
        <w:rPr>
          <w:szCs w:val="20"/>
        </w:rPr>
        <w:t>īmīgu ieguldījumu preču eksporta</w:t>
      </w:r>
      <w:r w:rsidRPr="00C3377D">
        <w:rPr>
          <w:szCs w:val="20"/>
        </w:rPr>
        <w:t xml:space="preserve"> attīstībā nodrošināja metālu un to izstrādājumu preču grupa. Zīmīgi, ka arī šajā preču grupā eksporta kāpums bija diversificēts un fiksēts dzelzs atkritumiem, plakan</w:t>
      </w:r>
      <w:r>
        <w:rPr>
          <w:szCs w:val="20"/>
        </w:rPr>
        <w:t>aj</w:t>
      </w:r>
      <w:r w:rsidRPr="00C3377D">
        <w:rPr>
          <w:szCs w:val="20"/>
        </w:rPr>
        <w:t>i</w:t>
      </w:r>
      <w:r>
        <w:rPr>
          <w:szCs w:val="20"/>
        </w:rPr>
        <w:t>em</w:t>
      </w:r>
      <w:r w:rsidRPr="00C3377D">
        <w:rPr>
          <w:szCs w:val="20"/>
        </w:rPr>
        <w:t xml:space="preserve"> dzelzs velmējumiem, tērauda izstrādājumiem, kā arī varam un tā izstrādājumiem. Tādējādi kopējais metālu preču grupas eksports ir palielinājies par 25,3%. </w:t>
      </w:r>
    </w:p>
    <w:p w14:paraId="671A77F4" w14:textId="761117F2" w:rsidR="00964CAC" w:rsidRPr="00C3377D" w:rsidRDefault="00964CAC" w:rsidP="00A83AAD">
      <w:pPr>
        <w:spacing w:before="60" w:after="60"/>
        <w:rPr>
          <w:szCs w:val="20"/>
        </w:rPr>
      </w:pPr>
      <w:r w:rsidRPr="00C3377D">
        <w:rPr>
          <w:szCs w:val="20"/>
        </w:rPr>
        <w:t xml:space="preserve">Straujākais preču kāpums starp visām preču grupām </w:t>
      </w:r>
      <w:r>
        <w:rPr>
          <w:szCs w:val="20"/>
        </w:rPr>
        <w:t xml:space="preserve">bija </w:t>
      </w:r>
      <w:r>
        <w:rPr>
          <w:noProof/>
          <w:szCs w:val="20"/>
        </w:rPr>
        <w:t>minerālproduktiem, kuru</w:t>
      </w:r>
      <w:r w:rsidRPr="00C3377D">
        <w:rPr>
          <w:noProof/>
          <w:szCs w:val="20"/>
        </w:rPr>
        <w:t xml:space="preserve"> eksporta vērtība pieauga par 41,0%, galvenokārt pateicoties </w:t>
      </w:r>
      <w:r>
        <w:rPr>
          <w:noProof/>
          <w:szCs w:val="20"/>
        </w:rPr>
        <w:t>lielākam naftas eļļu</w:t>
      </w:r>
      <w:r w:rsidRPr="00C3377D">
        <w:rPr>
          <w:noProof/>
          <w:szCs w:val="20"/>
        </w:rPr>
        <w:t xml:space="preserve">, dabasgāzes un elektroenerģijas eksportam </w:t>
      </w:r>
      <w:r>
        <w:rPr>
          <w:noProof/>
          <w:szCs w:val="20"/>
        </w:rPr>
        <w:t xml:space="preserve">uz Lietuvu un Igauniju, ko noteica </w:t>
      </w:r>
      <w:r w:rsidRPr="00C3377D">
        <w:rPr>
          <w:noProof/>
          <w:szCs w:val="20"/>
        </w:rPr>
        <w:t xml:space="preserve">gan cenu kāpums, gan arī lielāks </w:t>
      </w:r>
      <w:r>
        <w:rPr>
          <w:noProof/>
          <w:szCs w:val="20"/>
        </w:rPr>
        <w:t>eksporta</w:t>
      </w:r>
      <w:r w:rsidRPr="00C3377D">
        <w:rPr>
          <w:noProof/>
          <w:szCs w:val="20"/>
        </w:rPr>
        <w:t xml:space="preserve"> apjoms. Šī</w:t>
      </w:r>
      <w:r>
        <w:rPr>
          <w:noProof/>
          <w:szCs w:val="20"/>
        </w:rPr>
        <w:t xml:space="preserve">s preču grupas cenu pieaugumu </w:t>
      </w:r>
      <w:r w:rsidRPr="00C3377D">
        <w:rPr>
          <w:noProof/>
          <w:szCs w:val="20"/>
        </w:rPr>
        <w:t xml:space="preserve">ietekmē </w:t>
      </w:r>
      <w:r>
        <w:rPr>
          <w:noProof/>
          <w:szCs w:val="20"/>
        </w:rPr>
        <w:t xml:space="preserve">gan </w:t>
      </w:r>
      <w:r w:rsidRPr="00C3377D">
        <w:rPr>
          <w:noProof/>
          <w:szCs w:val="20"/>
        </w:rPr>
        <w:t xml:space="preserve">pasaules ekonomikas atkopšanās, </w:t>
      </w:r>
      <w:r>
        <w:rPr>
          <w:noProof/>
          <w:szCs w:val="20"/>
        </w:rPr>
        <w:t>gan</w:t>
      </w:r>
      <w:r w:rsidRPr="00C3377D">
        <w:rPr>
          <w:noProof/>
          <w:szCs w:val="20"/>
        </w:rPr>
        <w:t xml:space="preserve"> ieviestie ierobežojumi koron</w:t>
      </w:r>
      <w:r w:rsidR="009E7575">
        <w:rPr>
          <w:noProof/>
          <w:szCs w:val="20"/>
        </w:rPr>
        <w:t>a</w:t>
      </w:r>
      <w:r w:rsidRPr="00C3377D">
        <w:rPr>
          <w:noProof/>
          <w:szCs w:val="20"/>
        </w:rPr>
        <w:t>vīrusa</w:t>
      </w:r>
      <w:r w:rsidRPr="00C3377D">
        <w:rPr>
          <w:szCs w:val="20"/>
        </w:rPr>
        <w:t xml:space="preserve"> izplatības maz</w:t>
      </w:r>
      <w:r>
        <w:rPr>
          <w:szCs w:val="20"/>
        </w:rPr>
        <w:t>ināšanai, kas negatīvi ietekmējuši</w:t>
      </w:r>
      <w:r w:rsidRPr="00C3377D">
        <w:rPr>
          <w:szCs w:val="20"/>
        </w:rPr>
        <w:t xml:space="preserve"> ražošanas jaudas un piegā</w:t>
      </w:r>
      <w:r>
        <w:rPr>
          <w:szCs w:val="20"/>
        </w:rPr>
        <w:t>žu</w:t>
      </w:r>
      <w:r w:rsidRPr="00C3377D">
        <w:rPr>
          <w:szCs w:val="20"/>
        </w:rPr>
        <w:t xml:space="preserve"> ātrumu. Tādējādi piedāvājums at</w:t>
      </w:r>
      <w:r>
        <w:rPr>
          <w:szCs w:val="20"/>
        </w:rPr>
        <w:t>jaunojas</w:t>
      </w:r>
      <w:r w:rsidRPr="00C3377D">
        <w:rPr>
          <w:szCs w:val="20"/>
        </w:rPr>
        <w:t xml:space="preserve"> lēnāk nekā pieprasījums, radot cenu spiedienu atse</w:t>
      </w:r>
      <w:r>
        <w:rPr>
          <w:szCs w:val="20"/>
        </w:rPr>
        <w:t>višķās nozarēs. Kopš gada sākuma</w:t>
      </w:r>
      <w:r w:rsidRPr="00C3377D">
        <w:rPr>
          <w:szCs w:val="20"/>
        </w:rPr>
        <w:t xml:space="preserve"> pasaules biržās strauji pieauga naftas, koksnes, metālu un citu izejvielu cenas. To apliecina arī ražotāju un eksporta vienības cenas Latvijā. Š</w:t>
      </w:r>
      <w:r w:rsidR="009E7575">
        <w:rPr>
          <w:szCs w:val="20"/>
        </w:rPr>
        <w:t>ā gada</w:t>
      </w:r>
      <w:r w:rsidRPr="00C3377D">
        <w:rPr>
          <w:szCs w:val="20"/>
        </w:rPr>
        <w:t xml:space="preserve"> piecos mēnešos eksporta vienības cenas palielinājās par 6,2%, stra</w:t>
      </w:r>
      <w:r>
        <w:rPr>
          <w:szCs w:val="20"/>
        </w:rPr>
        <w:t>ujāk palielinoties tieši koksnes</w:t>
      </w:r>
      <w:r w:rsidRPr="00C3377D">
        <w:rPr>
          <w:szCs w:val="20"/>
        </w:rPr>
        <w:t>, metālu un naftas pro</w:t>
      </w:r>
      <w:r>
        <w:rPr>
          <w:szCs w:val="20"/>
        </w:rPr>
        <w:t>duktu cenām.</w:t>
      </w:r>
    </w:p>
    <w:p w14:paraId="7D78BFA0" w14:textId="77777777" w:rsidR="00964CAC" w:rsidRDefault="00964CAC" w:rsidP="00A83AAD">
      <w:pPr>
        <w:spacing w:before="60" w:after="60"/>
        <w:rPr>
          <w:szCs w:val="20"/>
        </w:rPr>
      </w:pPr>
      <w:r w:rsidRPr="00C3377D">
        <w:rPr>
          <w:szCs w:val="20"/>
        </w:rPr>
        <w:t>Ja preču eksportam ir visi priekšnosacījumi straujam kāpumam un preču ražotāji samēr</w:t>
      </w:r>
      <w:r>
        <w:rPr>
          <w:szCs w:val="20"/>
        </w:rPr>
        <w:t>ā</w:t>
      </w:r>
      <w:r w:rsidRPr="00C3377D">
        <w:rPr>
          <w:szCs w:val="20"/>
        </w:rPr>
        <w:t xml:space="preserve"> labi pārdzīvoja Covid-19 krīzi, tad pandēmijas negatīvā iet</w:t>
      </w:r>
      <w:r>
        <w:rPr>
          <w:szCs w:val="20"/>
        </w:rPr>
        <w:t xml:space="preserve">ekme uz pakalpojumu eksportu </w:t>
      </w:r>
      <w:r w:rsidRPr="00C3377D">
        <w:rPr>
          <w:szCs w:val="20"/>
        </w:rPr>
        <w:t xml:space="preserve">joprojām </w:t>
      </w:r>
      <w:r>
        <w:rPr>
          <w:szCs w:val="20"/>
        </w:rPr>
        <w:t xml:space="preserve">ir </w:t>
      </w:r>
      <w:r w:rsidRPr="00C3377D">
        <w:rPr>
          <w:szCs w:val="20"/>
        </w:rPr>
        <w:t>jūtama. Dati par pirmajiem 5 mēnešiem liecina, ka kopējais pakalpojumu eksports faktiskajās cenās ir samazinājies par 5,9% salīdzinā</w:t>
      </w:r>
      <w:r>
        <w:rPr>
          <w:szCs w:val="20"/>
        </w:rPr>
        <w:t>jumā ar attiecīgo periodu pērn, l</w:t>
      </w:r>
      <w:r w:rsidRPr="00C3377D">
        <w:rPr>
          <w:szCs w:val="20"/>
        </w:rPr>
        <w:t>ai arī pēdējos divos mēnešos</w:t>
      </w:r>
      <w:r>
        <w:rPr>
          <w:szCs w:val="20"/>
        </w:rPr>
        <w:t xml:space="preserve"> ir</w:t>
      </w:r>
      <w:r w:rsidRPr="00C3377D">
        <w:rPr>
          <w:szCs w:val="20"/>
        </w:rPr>
        <w:t xml:space="preserve"> </w:t>
      </w:r>
      <w:r w:rsidRPr="00C3377D">
        <w:rPr>
          <w:szCs w:val="20"/>
        </w:rPr>
        <w:lastRenderedPageBreak/>
        <w:t xml:space="preserve">vērojama pozitīva dinamika, </w:t>
      </w:r>
      <w:r>
        <w:rPr>
          <w:szCs w:val="20"/>
        </w:rPr>
        <w:t xml:space="preserve">kad </w:t>
      </w:r>
      <w:r w:rsidRPr="00C3377D">
        <w:rPr>
          <w:szCs w:val="20"/>
        </w:rPr>
        <w:t>aprīlī un maijā kopējā pakalpojumu eksporta vērtība gada griezumā pieauga attiecīg</w:t>
      </w:r>
      <w:r>
        <w:rPr>
          <w:szCs w:val="20"/>
        </w:rPr>
        <w:t xml:space="preserve">i par 5,2% un 9,5%. </w:t>
      </w:r>
      <w:r w:rsidRPr="00C3377D">
        <w:rPr>
          <w:szCs w:val="20"/>
        </w:rPr>
        <w:t>Tomēr situācija tūrism</w:t>
      </w:r>
      <w:r>
        <w:rPr>
          <w:szCs w:val="20"/>
        </w:rPr>
        <w:t>a</w:t>
      </w:r>
      <w:r w:rsidRPr="00C3377D">
        <w:rPr>
          <w:szCs w:val="20"/>
        </w:rPr>
        <w:t xml:space="preserve"> nozarē un aviopārvadājumu nozarē saglabājas sarežģīta, kas negatīvi ietekmē</w:t>
      </w:r>
      <w:r>
        <w:rPr>
          <w:szCs w:val="20"/>
        </w:rPr>
        <w:t xml:space="preserve"> kopējo pakalpojumu eksportu.</w:t>
      </w:r>
    </w:p>
    <w:p w14:paraId="1C5C6439" w14:textId="11192E9F" w:rsidR="00964CAC" w:rsidRDefault="00964CAC" w:rsidP="00A83AAD">
      <w:pPr>
        <w:spacing w:before="60" w:after="60"/>
        <w:rPr>
          <w:szCs w:val="20"/>
        </w:rPr>
      </w:pPr>
      <w:r w:rsidRPr="00C3377D">
        <w:rPr>
          <w:szCs w:val="20"/>
        </w:rPr>
        <w:t xml:space="preserve">Lai arī </w:t>
      </w:r>
      <w:r>
        <w:rPr>
          <w:szCs w:val="20"/>
        </w:rPr>
        <w:t>līdz jūlija</w:t>
      </w:r>
      <w:r w:rsidRPr="00C3377D">
        <w:rPr>
          <w:szCs w:val="20"/>
        </w:rPr>
        <w:t xml:space="preserve"> beigām ES vidēji pilnībā bija vakcinēti gandrīz 60% no pieaugušajiem</w:t>
      </w:r>
      <w:r>
        <w:rPr>
          <w:szCs w:val="20"/>
        </w:rPr>
        <w:t xml:space="preserve"> iedzīvotājiem</w:t>
      </w:r>
      <w:r w:rsidRPr="00C3377D">
        <w:rPr>
          <w:szCs w:val="20"/>
        </w:rPr>
        <w:t>, ES dalībvalstīs</w:t>
      </w:r>
      <w:r>
        <w:rPr>
          <w:szCs w:val="20"/>
        </w:rPr>
        <w:t xml:space="preserve"> </w:t>
      </w:r>
      <w:r w:rsidRPr="00C3377D">
        <w:rPr>
          <w:szCs w:val="20"/>
        </w:rPr>
        <w:t>joprojām ir noteikti cilvēku pulcēšanās ierobežojumi. Savukārt nevakcinētiem cilv</w:t>
      </w:r>
      <w:r>
        <w:rPr>
          <w:szCs w:val="20"/>
        </w:rPr>
        <w:t xml:space="preserve">ēkiem ārvalstu ceļošanu </w:t>
      </w:r>
      <w:r>
        <w:rPr>
          <w:noProof/>
          <w:szCs w:val="20"/>
        </w:rPr>
        <w:t>sarežģī</w:t>
      </w:r>
      <w:r w:rsidRPr="00C3377D">
        <w:rPr>
          <w:noProof/>
          <w:szCs w:val="20"/>
        </w:rPr>
        <w:t xml:space="preserve"> </w:t>
      </w:r>
      <w:r>
        <w:rPr>
          <w:noProof/>
          <w:szCs w:val="20"/>
        </w:rPr>
        <w:t>nepieciešamība</w:t>
      </w:r>
      <w:r w:rsidRPr="00C3377D">
        <w:rPr>
          <w:szCs w:val="20"/>
        </w:rPr>
        <w:t xml:space="preserve"> nodod Covid-19 analīzes un ievērot karantīnu. Tādējādi tūristu plūsma joprojām ir vāja. Š.g. piecos mēnešos ārvalstu tūristu skaits Latvijā bija par 83,0% mazāks nekā pērnā gadā attiecīgajā periodā. Aprīlī un maijā bija fiksēts straujš iebraukušo tūristu skaita pieaugums, </w:t>
      </w:r>
      <w:r>
        <w:rPr>
          <w:szCs w:val="20"/>
        </w:rPr>
        <w:t xml:space="preserve">tajā skaitā </w:t>
      </w:r>
      <w:r w:rsidRPr="00C3377D">
        <w:rPr>
          <w:szCs w:val="20"/>
        </w:rPr>
        <w:t>š</w:t>
      </w:r>
      <w:r w:rsidR="004B300C">
        <w:rPr>
          <w:szCs w:val="20"/>
        </w:rPr>
        <w:t>ā gada</w:t>
      </w:r>
      <w:r w:rsidRPr="00C3377D">
        <w:rPr>
          <w:szCs w:val="20"/>
        </w:rPr>
        <w:t xml:space="preserve"> maijā apkalpoto ārvalstu personu skaits Latvijas viesnīcās gada griezumā palie</w:t>
      </w:r>
      <w:r>
        <w:rPr>
          <w:szCs w:val="20"/>
        </w:rPr>
        <w:t>lināj</w:t>
      </w:r>
      <w:r w:rsidRPr="00C3377D">
        <w:rPr>
          <w:szCs w:val="20"/>
        </w:rPr>
        <w:t>ies par 116% gada griezumā. Tomēr absolūtos skaitļos ārvalstu personu skaits š</w:t>
      </w:r>
      <w:r w:rsidR="004B300C">
        <w:rPr>
          <w:szCs w:val="20"/>
        </w:rPr>
        <w:t>ā gada</w:t>
      </w:r>
      <w:r w:rsidRPr="00C3377D">
        <w:rPr>
          <w:szCs w:val="20"/>
        </w:rPr>
        <w:t xml:space="preserve"> maijā bija vien 13,7 tūkst. cilvēku, kas ir būtiski </w:t>
      </w:r>
      <w:r>
        <w:rPr>
          <w:szCs w:val="20"/>
        </w:rPr>
        <w:t>mazāk</w:t>
      </w:r>
      <w:r w:rsidRPr="00C3377D">
        <w:rPr>
          <w:szCs w:val="20"/>
        </w:rPr>
        <w:t xml:space="preserve"> nekā pirms Covid-19 krīzes, piem</w:t>
      </w:r>
      <w:r>
        <w:rPr>
          <w:szCs w:val="20"/>
        </w:rPr>
        <w:t>ēram, 2020.</w:t>
      </w:r>
      <w:r w:rsidR="004B300C">
        <w:rPr>
          <w:szCs w:val="20"/>
        </w:rPr>
        <w:t> </w:t>
      </w:r>
      <w:r>
        <w:rPr>
          <w:szCs w:val="20"/>
        </w:rPr>
        <w:t>gada</w:t>
      </w:r>
      <w:r w:rsidRPr="00C3377D">
        <w:rPr>
          <w:szCs w:val="20"/>
        </w:rPr>
        <w:t xml:space="preserve"> janvārī Latviju apmeklēja vairāk nekā 110 tūkst. cilvēku.</w:t>
      </w:r>
    </w:p>
    <w:p w14:paraId="1F7DA55E" w14:textId="1BC71509" w:rsidR="00964CAC" w:rsidRPr="00C3377D" w:rsidRDefault="00964CAC" w:rsidP="00A83AAD">
      <w:pPr>
        <w:spacing w:before="60" w:after="60"/>
        <w:rPr>
          <w:szCs w:val="20"/>
        </w:rPr>
      </w:pPr>
      <w:r w:rsidRPr="00C3377D">
        <w:rPr>
          <w:szCs w:val="20"/>
        </w:rPr>
        <w:t>Savukārt ārvalstu tūristu izdevumi Latvijā š</w:t>
      </w:r>
      <w:r w:rsidR="004B300C">
        <w:rPr>
          <w:szCs w:val="20"/>
        </w:rPr>
        <w:t>ā gada</w:t>
      </w:r>
      <w:r w:rsidRPr="00C3377D">
        <w:rPr>
          <w:szCs w:val="20"/>
        </w:rPr>
        <w:t xml:space="preserve"> piecos mēnešos bija par 62,6% mazāki nekā iepriekšējā gada attiecīgajā periodā. Tādējādi ārvalstu tūristu izdevumu kritums </w:t>
      </w:r>
      <w:r>
        <w:rPr>
          <w:szCs w:val="20"/>
        </w:rPr>
        <w:t>atstāja</w:t>
      </w:r>
      <w:r w:rsidRPr="00C3377D">
        <w:rPr>
          <w:szCs w:val="20"/>
        </w:rPr>
        <w:t xml:space="preserve"> lielāko negatīvo ietekmi uz pakalpojumu e</w:t>
      </w:r>
      <w:r>
        <w:rPr>
          <w:szCs w:val="20"/>
        </w:rPr>
        <w:t>ksportu. Atbilstoši aktuālākajā</w:t>
      </w:r>
      <w:r w:rsidRPr="00C3377D">
        <w:rPr>
          <w:szCs w:val="20"/>
        </w:rPr>
        <w:t>m starptautiskās lidostas “Rīga” prognozēm, šogad Rīgas lidosta varētu apkalpot 2 miljonus pasažierus jeb aptuveni tikpat daudz</w:t>
      </w:r>
      <w:r>
        <w:rPr>
          <w:szCs w:val="20"/>
        </w:rPr>
        <w:t>, cik 2020.</w:t>
      </w:r>
      <w:r w:rsidR="004B300C">
        <w:rPr>
          <w:szCs w:val="20"/>
        </w:rPr>
        <w:t> </w:t>
      </w:r>
      <w:r>
        <w:rPr>
          <w:szCs w:val="20"/>
        </w:rPr>
        <w:t>gadā, kas apliecin</w:t>
      </w:r>
      <w:r w:rsidRPr="00C3377D">
        <w:rPr>
          <w:szCs w:val="20"/>
        </w:rPr>
        <w:t xml:space="preserve">a, ka situācija tūrismā jomā </w:t>
      </w:r>
      <w:r>
        <w:rPr>
          <w:szCs w:val="20"/>
        </w:rPr>
        <w:t>saglabājas</w:t>
      </w:r>
      <w:r w:rsidRPr="00C3377D">
        <w:rPr>
          <w:szCs w:val="20"/>
        </w:rPr>
        <w:t xml:space="preserve"> sarežģīta.   </w:t>
      </w:r>
    </w:p>
    <w:p w14:paraId="323DC5A4" w14:textId="17AA69F9" w:rsidR="00964CAC" w:rsidRPr="00C3377D" w:rsidRDefault="00964CAC" w:rsidP="00A83AAD">
      <w:pPr>
        <w:spacing w:before="60" w:after="60"/>
        <w:rPr>
          <w:szCs w:val="20"/>
        </w:rPr>
      </w:pPr>
      <w:r w:rsidRPr="00C3377D">
        <w:rPr>
          <w:szCs w:val="20"/>
        </w:rPr>
        <w:t>Transporta pakalpojumu eksports š</w:t>
      </w:r>
      <w:r w:rsidR="004B300C">
        <w:rPr>
          <w:szCs w:val="20"/>
        </w:rPr>
        <w:t>ā gada</w:t>
      </w:r>
      <w:r w:rsidRPr="00C3377D">
        <w:rPr>
          <w:szCs w:val="20"/>
        </w:rPr>
        <w:t xml:space="preserve"> piecos mēnešos ir samazinājies par 4,6%. Detalizēti dati par transporta pakalpojumu veidiem piecos mēnešos nav pieejami, bet pirmā ceturkšņa rezultāti liecina, ka lielāko negatīvo ietekmi uz transporta pakalpojumu eksportu </w:t>
      </w:r>
      <w:r>
        <w:rPr>
          <w:szCs w:val="20"/>
        </w:rPr>
        <w:t>atstāja</w:t>
      </w:r>
      <w:r w:rsidRPr="00C3377D">
        <w:rPr>
          <w:szCs w:val="20"/>
        </w:rPr>
        <w:t xml:space="preserve"> gaisa </w:t>
      </w:r>
      <w:r>
        <w:rPr>
          <w:szCs w:val="20"/>
        </w:rPr>
        <w:t>transporta pakalpojumu kritums. P</w:t>
      </w:r>
      <w:r w:rsidRPr="00C3377D">
        <w:rPr>
          <w:szCs w:val="20"/>
        </w:rPr>
        <w:t>ārējo pakalpojumu eksporta vērtība</w:t>
      </w:r>
      <w:r>
        <w:rPr>
          <w:szCs w:val="20"/>
        </w:rPr>
        <w:t xml:space="preserve"> piecos mēnešos</w:t>
      </w:r>
      <w:r w:rsidRPr="00C3377D">
        <w:rPr>
          <w:szCs w:val="20"/>
        </w:rPr>
        <w:t xml:space="preserve"> ir palielinājusies par 5,3%, ko veicināja informāc</w:t>
      </w:r>
      <w:r>
        <w:rPr>
          <w:szCs w:val="20"/>
        </w:rPr>
        <w:t xml:space="preserve">ijas un </w:t>
      </w:r>
      <w:r>
        <w:rPr>
          <w:noProof/>
          <w:szCs w:val="20"/>
        </w:rPr>
        <w:t>datorpakalpojumu, kā arī</w:t>
      </w:r>
      <w:r>
        <w:rPr>
          <w:szCs w:val="20"/>
        </w:rPr>
        <w:t xml:space="preserve"> finanšu pakalpojumu eksports.</w:t>
      </w:r>
    </w:p>
    <w:p w14:paraId="06D3EACA" w14:textId="6416C7DE" w:rsidR="00964CAC" w:rsidRPr="00C3377D" w:rsidRDefault="00964CAC" w:rsidP="00A83AAD">
      <w:pPr>
        <w:spacing w:before="60" w:after="60"/>
        <w:rPr>
          <w:szCs w:val="20"/>
        </w:rPr>
      </w:pPr>
      <w:r w:rsidRPr="00C3377D">
        <w:rPr>
          <w:szCs w:val="20"/>
        </w:rPr>
        <w:t xml:space="preserve">Tāpat kā eksports, arī </w:t>
      </w:r>
      <w:r w:rsidRPr="003D3602">
        <w:rPr>
          <w:b/>
          <w:szCs w:val="20"/>
        </w:rPr>
        <w:t>preču un pakalpojumu imports</w:t>
      </w:r>
      <w:r>
        <w:rPr>
          <w:szCs w:val="20"/>
        </w:rPr>
        <w:t xml:space="preserve"> 2020.</w:t>
      </w:r>
      <w:r w:rsidR="004B300C">
        <w:rPr>
          <w:szCs w:val="20"/>
        </w:rPr>
        <w:t> </w:t>
      </w:r>
      <w:r w:rsidRPr="00C3377D">
        <w:rPr>
          <w:szCs w:val="20"/>
        </w:rPr>
        <w:t xml:space="preserve">gadā saruka. Mazinoties ekonomikas aktivitātei Latvijā, mazinājās arī pieprasījums pēc importa precēm, galvenokārt starppatēriņa precēm, kas tiek izmantotas ražošanas procesā. Savukārt ārējā pieprasījuma kritums negatīvi ietekmēja satiksmes līdzekļu reeksporta apjomus, tādējādi mazinot </w:t>
      </w:r>
      <w:r w:rsidRPr="00C3377D">
        <w:rPr>
          <w:noProof/>
          <w:szCs w:val="20"/>
        </w:rPr>
        <w:t>kapitālpreču importu</w:t>
      </w:r>
      <w:r w:rsidRPr="00C3377D">
        <w:rPr>
          <w:szCs w:val="20"/>
        </w:rPr>
        <w:t>. Kopējais preču un pakalpojumu imports salīdzināmajās cenās 2020.</w:t>
      </w:r>
      <w:r w:rsidR="004B300C">
        <w:rPr>
          <w:szCs w:val="20"/>
        </w:rPr>
        <w:t> </w:t>
      </w:r>
      <w:r w:rsidRPr="00C3377D">
        <w:rPr>
          <w:szCs w:val="20"/>
        </w:rPr>
        <w:t>gadā bija par 3,3% mazāks</w:t>
      </w:r>
      <w:r>
        <w:rPr>
          <w:szCs w:val="20"/>
        </w:rPr>
        <w:t xml:space="preserve"> </w:t>
      </w:r>
      <w:r w:rsidRPr="00C3377D">
        <w:rPr>
          <w:szCs w:val="20"/>
        </w:rPr>
        <w:t>nekā iepriekšējā gadā. Ņemot vērā, ka importa kritums bija straujāks par eksportu</w:t>
      </w:r>
      <w:r>
        <w:rPr>
          <w:szCs w:val="20"/>
        </w:rPr>
        <w:t xml:space="preserve"> samazinājumu, </w:t>
      </w:r>
      <w:r w:rsidRPr="00C3377D">
        <w:rPr>
          <w:szCs w:val="20"/>
        </w:rPr>
        <w:t>neto eksporta devums reālā iekšzemes kopprodukta pieaugumā 2020.</w:t>
      </w:r>
      <w:r w:rsidR="004B300C">
        <w:rPr>
          <w:szCs w:val="20"/>
        </w:rPr>
        <w:t> </w:t>
      </w:r>
      <w:r w:rsidRPr="00C3377D">
        <w:rPr>
          <w:szCs w:val="20"/>
        </w:rPr>
        <w:t>gadā bija pozitīvs, proti, 0,5 procentpunkti.</w:t>
      </w:r>
    </w:p>
    <w:p w14:paraId="0AE3026E" w14:textId="3A8B152F" w:rsidR="00964CAC" w:rsidRPr="00C3377D" w:rsidRDefault="00964CAC" w:rsidP="00A83AAD">
      <w:pPr>
        <w:spacing w:before="60" w:after="60"/>
        <w:rPr>
          <w:szCs w:val="20"/>
        </w:rPr>
      </w:pPr>
      <w:r>
        <w:rPr>
          <w:szCs w:val="20"/>
        </w:rPr>
        <w:t>2021.</w:t>
      </w:r>
      <w:r w:rsidR="004B300C">
        <w:rPr>
          <w:szCs w:val="20"/>
        </w:rPr>
        <w:t> </w:t>
      </w:r>
      <w:r>
        <w:rPr>
          <w:szCs w:val="20"/>
        </w:rPr>
        <w:t>gada</w:t>
      </w:r>
      <w:r w:rsidRPr="00C3377D">
        <w:rPr>
          <w:szCs w:val="20"/>
        </w:rPr>
        <w:t xml:space="preserve"> pirmajā ceturksnī kopējais imports bija pērnā gada līmenī. </w:t>
      </w:r>
      <w:r>
        <w:rPr>
          <w:szCs w:val="20"/>
        </w:rPr>
        <w:t>Analizējot mēnešu</w:t>
      </w:r>
      <w:r w:rsidRPr="00C3377D">
        <w:rPr>
          <w:szCs w:val="20"/>
        </w:rPr>
        <w:t xml:space="preserve"> datus</w:t>
      </w:r>
      <w:r w:rsidR="00F61E10">
        <w:rPr>
          <w:szCs w:val="20"/>
        </w:rPr>
        <w:t>,</w:t>
      </w:r>
      <w:r w:rsidRPr="00C3377D">
        <w:rPr>
          <w:szCs w:val="20"/>
        </w:rPr>
        <w:t xml:space="preserve"> var secināt, ka kopējais preču un pakalpojumu importa </w:t>
      </w:r>
      <w:r>
        <w:rPr>
          <w:szCs w:val="20"/>
        </w:rPr>
        <w:t>kāpums bija straujāks nekā eksporta pieaugums</w:t>
      </w:r>
      <w:r w:rsidRPr="00C3377D">
        <w:rPr>
          <w:szCs w:val="20"/>
        </w:rPr>
        <w:t>. Preču importa vērtība faktiskajās cenās pirmajos š</w:t>
      </w:r>
      <w:r w:rsidR="004B300C">
        <w:rPr>
          <w:szCs w:val="20"/>
        </w:rPr>
        <w:t>ā gada</w:t>
      </w:r>
      <w:r w:rsidRPr="00C3377D">
        <w:rPr>
          <w:szCs w:val="20"/>
        </w:rPr>
        <w:t xml:space="preserve"> piecos mēnešos bija par 20,2% augstāka nekā 2020.</w:t>
      </w:r>
      <w:r w:rsidR="00F61E10">
        <w:rPr>
          <w:szCs w:val="20"/>
        </w:rPr>
        <w:t> </w:t>
      </w:r>
      <w:r w:rsidRPr="00C3377D">
        <w:rPr>
          <w:szCs w:val="20"/>
        </w:rPr>
        <w:t>gada attiecīgajā laikā periodā. Preču impor</w:t>
      </w:r>
      <w:r>
        <w:rPr>
          <w:szCs w:val="20"/>
        </w:rPr>
        <w:t>ta dinamika ir līdzīga eksporta dinamikai</w:t>
      </w:r>
      <w:r w:rsidRPr="00C3377D">
        <w:rPr>
          <w:szCs w:val="20"/>
        </w:rPr>
        <w:t>. Gadā sākumā bija fiksēts neliels imports samazinājums, bet turpmākajos mēnešo</w:t>
      </w:r>
      <w:r>
        <w:rPr>
          <w:szCs w:val="20"/>
        </w:rPr>
        <w:t xml:space="preserve">s </w:t>
      </w:r>
      <w:r>
        <w:rPr>
          <w:szCs w:val="20"/>
        </w:rPr>
        <w:lastRenderedPageBreak/>
        <w:t xml:space="preserve">preču imports nepārtraukti </w:t>
      </w:r>
      <w:r w:rsidRPr="00C3377D">
        <w:rPr>
          <w:szCs w:val="20"/>
        </w:rPr>
        <w:t xml:space="preserve">palielinājies, </w:t>
      </w:r>
      <w:r>
        <w:rPr>
          <w:szCs w:val="20"/>
        </w:rPr>
        <w:t>gada pieauguma tempiem kāpjot no</w:t>
      </w:r>
      <w:r w:rsidRPr="00C3377D">
        <w:rPr>
          <w:szCs w:val="20"/>
        </w:rPr>
        <w:t xml:space="preserve"> 2,4% </w:t>
      </w:r>
      <w:r>
        <w:rPr>
          <w:szCs w:val="20"/>
        </w:rPr>
        <w:t xml:space="preserve">februārī līdz 53,7% </w:t>
      </w:r>
      <w:r w:rsidRPr="00C3377D">
        <w:rPr>
          <w:szCs w:val="20"/>
        </w:rPr>
        <w:t>maijā.</w:t>
      </w:r>
    </w:p>
    <w:p w14:paraId="41E0EE88" w14:textId="77777777" w:rsidR="00964CAC" w:rsidRPr="00C3377D" w:rsidRDefault="00964CAC" w:rsidP="00A83AAD">
      <w:pPr>
        <w:spacing w:before="60" w:after="60"/>
        <w:rPr>
          <w:noProof/>
          <w:szCs w:val="20"/>
        </w:rPr>
      </w:pPr>
      <w:r w:rsidRPr="00C3377D">
        <w:rPr>
          <w:szCs w:val="20"/>
        </w:rPr>
        <w:t xml:space="preserve"> Straujš importa pieaugums pēdējos mēnešos liecina par Latvijas ekonomikas atkopšan</w:t>
      </w:r>
      <w:r>
        <w:rPr>
          <w:szCs w:val="20"/>
        </w:rPr>
        <w:t>o</w:t>
      </w:r>
      <w:r w:rsidRPr="00C3377D">
        <w:rPr>
          <w:szCs w:val="20"/>
        </w:rPr>
        <w:t>s. Palielinoties iekšējam patēriņam un aktivizējoties būvniecībai, pieprasījums pēc patēriņ</w:t>
      </w:r>
      <w:r>
        <w:rPr>
          <w:szCs w:val="20"/>
        </w:rPr>
        <w:t xml:space="preserve">a un kapitāla importa precēm pieaug un </w:t>
      </w:r>
      <w:r w:rsidRPr="00C3377D">
        <w:rPr>
          <w:szCs w:val="20"/>
        </w:rPr>
        <w:t>veicina importu. Zīmīgi, ka arī preču im</w:t>
      </w:r>
      <w:r>
        <w:rPr>
          <w:szCs w:val="20"/>
        </w:rPr>
        <w:t>ports, tāpat kā eksports, ir palielinājies visās preču grupā</w:t>
      </w:r>
      <w:r w:rsidRPr="00C3377D">
        <w:rPr>
          <w:szCs w:val="20"/>
        </w:rPr>
        <w:t>s</w:t>
      </w:r>
      <w:r>
        <w:rPr>
          <w:szCs w:val="20"/>
        </w:rPr>
        <w:t>.</w:t>
      </w:r>
      <w:r w:rsidRPr="00C3377D">
        <w:rPr>
          <w:szCs w:val="20"/>
        </w:rPr>
        <w:t xml:space="preserve"> Būtiskāko devumu preču importa pieaugumā nodrošināja mehānisko ierīču un elektroiekārtu, satiksmes līdzekļu, metālu un to izstrādājumu, ka arī </w:t>
      </w:r>
      <w:r w:rsidRPr="00C3377D">
        <w:rPr>
          <w:noProof/>
          <w:szCs w:val="20"/>
        </w:rPr>
        <w:t xml:space="preserve">minerālproduktu imports. </w:t>
      </w:r>
    </w:p>
    <w:p w14:paraId="6D2BB690" w14:textId="52F50A34" w:rsidR="00964CAC" w:rsidRPr="00C3377D" w:rsidRDefault="00964CAC" w:rsidP="00A83AAD">
      <w:pPr>
        <w:spacing w:before="60" w:after="60"/>
        <w:rPr>
          <w:szCs w:val="20"/>
        </w:rPr>
      </w:pPr>
      <w:r>
        <w:rPr>
          <w:szCs w:val="20"/>
        </w:rPr>
        <w:t>Atšķirībā</w:t>
      </w:r>
      <w:r w:rsidRPr="00C3377D">
        <w:rPr>
          <w:szCs w:val="20"/>
        </w:rPr>
        <w:t xml:space="preserve"> no pakalpojumu eksporta, kura vērtība š</w:t>
      </w:r>
      <w:r w:rsidR="00F61E10">
        <w:rPr>
          <w:szCs w:val="20"/>
        </w:rPr>
        <w:t>ā gada</w:t>
      </w:r>
      <w:r w:rsidRPr="00C3377D">
        <w:rPr>
          <w:szCs w:val="20"/>
        </w:rPr>
        <w:t xml:space="preserve"> pirmajā ceturksnī samazinājās, pakalpojumu imports pieauga par 5,8%, ko </w:t>
      </w:r>
      <w:r>
        <w:rPr>
          <w:szCs w:val="20"/>
        </w:rPr>
        <w:t>veicināja transporta pakalpojumu</w:t>
      </w:r>
      <w:r w:rsidRPr="00C3377D">
        <w:rPr>
          <w:szCs w:val="20"/>
        </w:rPr>
        <w:t>, kā arī pārējo pakalpojumu imports. Savukārt Latvij</w:t>
      </w:r>
      <w:r>
        <w:rPr>
          <w:szCs w:val="20"/>
        </w:rPr>
        <w:t>as iedzīvotāju izdevumi ārvalstī</w:t>
      </w:r>
      <w:r w:rsidRPr="00C3377D">
        <w:rPr>
          <w:szCs w:val="20"/>
        </w:rPr>
        <w:t>s samazinājās par 51,3% salīdzinājumā ar pērnā gada pirmaj</w:t>
      </w:r>
      <w:r>
        <w:rPr>
          <w:szCs w:val="20"/>
        </w:rPr>
        <w:t>iem pieciem mēnešiem. Ierobežotā</w:t>
      </w:r>
      <w:r w:rsidRPr="00C3377D">
        <w:rPr>
          <w:szCs w:val="20"/>
        </w:rPr>
        <w:t xml:space="preserve">s iespējas Latvijas iedzīvotājiem doties </w:t>
      </w:r>
      <w:r>
        <w:rPr>
          <w:szCs w:val="20"/>
        </w:rPr>
        <w:t>uz ārvalstīm</w:t>
      </w:r>
      <w:r w:rsidRPr="00C3377D">
        <w:rPr>
          <w:szCs w:val="20"/>
        </w:rPr>
        <w:t xml:space="preserve"> no vienas puses ir vērtējam</w:t>
      </w:r>
      <w:r>
        <w:rPr>
          <w:szCs w:val="20"/>
        </w:rPr>
        <w:t>a</w:t>
      </w:r>
      <w:r w:rsidRPr="00C3377D">
        <w:rPr>
          <w:szCs w:val="20"/>
        </w:rPr>
        <w:t xml:space="preserve">s negatīvi, tomēr ieekonomētā nauda paliek valstī un visticamāk </w:t>
      </w:r>
      <w:r>
        <w:rPr>
          <w:szCs w:val="20"/>
        </w:rPr>
        <w:t>tiek</w:t>
      </w:r>
      <w:r w:rsidRPr="00C3377D">
        <w:rPr>
          <w:szCs w:val="20"/>
        </w:rPr>
        <w:t xml:space="preserve"> novirzīta patēriņam tieši Latvijā. </w:t>
      </w:r>
    </w:p>
    <w:p w14:paraId="4107A660" w14:textId="026869E1" w:rsidR="00964CAC" w:rsidRPr="00C3377D" w:rsidRDefault="00964CAC" w:rsidP="00A83AAD">
      <w:pPr>
        <w:spacing w:before="60" w:after="60"/>
        <w:rPr>
          <w:noProof/>
          <w:szCs w:val="20"/>
        </w:rPr>
      </w:pPr>
      <w:r w:rsidRPr="00C3377D">
        <w:rPr>
          <w:szCs w:val="20"/>
        </w:rPr>
        <w:t xml:space="preserve">Ārējās tirdzniecības apgrozījuma straujais pieaugums būtiski ietekmēja Latvijas </w:t>
      </w:r>
      <w:r w:rsidRPr="00715B0B">
        <w:rPr>
          <w:b/>
          <w:szCs w:val="20"/>
        </w:rPr>
        <w:t>maksājumu bilances tekošo kontu</w:t>
      </w:r>
      <w:r w:rsidRPr="00C3377D">
        <w:rPr>
          <w:szCs w:val="20"/>
        </w:rPr>
        <w:t>. 2021.</w:t>
      </w:r>
      <w:r w:rsidR="00F61E10">
        <w:rPr>
          <w:szCs w:val="20"/>
        </w:rPr>
        <w:t> </w:t>
      </w:r>
      <w:r w:rsidRPr="00C3377D">
        <w:rPr>
          <w:szCs w:val="20"/>
        </w:rPr>
        <w:t>gad</w:t>
      </w:r>
      <w:r>
        <w:rPr>
          <w:szCs w:val="20"/>
        </w:rPr>
        <w:t>a</w:t>
      </w:r>
      <w:r w:rsidRPr="00C3377D">
        <w:rPr>
          <w:szCs w:val="20"/>
        </w:rPr>
        <w:t xml:space="preserve"> piecos mēnešos tekošajā kontā bi</w:t>
      </w:r>
      <w:r>
        <w:rPr>
          <w:szCs w:val="20"/>
        </w:rPr>
        <w:t xml:space="preserve">ja fiksēts deficīts </w:t>
      </w:r>
      <w:r>
        <w:rPr>
          <w:noProof/>
          <w:szCs w:val="20"/>
        </w:rPr>
        <w:t xml:space="preserve">116 milj. </w:t>
      </w:r>
      <w:r w:rsidRPr="00F8454C">
        <w:rPr>
          <w:i/>
          <w:noProof/>
          <w:szCs w:val="20"/>
        </w:rPr>
        <w:t>euro</w:t>
      </w:r>
      <w:r>
        <w:rPr>
          <w:noProof/>
          <w:szCs w:val="20"/>
        </w:rPr>
        <w:t xml:space="preserve"> apmērā pretstatā 305 milj. </w:t>
      </w:r>
      <w:r w:rsidRPr="00F8454C">
        <w:rPr>
          <w:i/>
          <w:noProof/>
          <w:szCs w:val="20"/>
        </w:rPr>
        <w:t>euro</w:t>
      </w:r>
      <w:r w:rsidRPr="00C3377D">
        <w:rPr>
          <w:noProof/>
          <w:szCs w:val="20"/>
        </w:rPr>
        <w:t xml:space="preserve"> pārpalikumam pērnā gada piecos mēnešos. Pasliktinājās visas tekoš</w:t>
      </w:r>
      <w:r>
        <w:rPr>
          <w:noProof/>
          <w:szCs w:val="20"/>
        </w:rPr>
        <w:t>ā</w:t>
      </w:r>
      <w:r w:rsidRPr="00C3377D">
        <w:rPr>
          <w:noProof/>
          <w:szCs w:val="20"/>
        </w:rPr>
        <w:t xml:space="preserve"> konta apakškontu bilances, tomēr noteicošā loma bija tieši ārējās tirdzniecības kontiem. Preču importam palielinoties straujāk par preču eksportu, preču konta deficīts ir </w:t>
      </w:r>
      <w:r>
        <w:rPr>
          <w:noProof/>
          <w:szCs w:val="20"/>
        </w:rPr>
        <w:t xml:space="preserve">palielinājies par 169 milj. </w:t>
      </w:r>
      <w:r w:rsidRPr="00F8454C">
        <w:rPr>
          <w:i/>
          <w:noProof/>
          <w:szCs w:val="20"/>
        </w:rPr>
        <w:t>euro</w:t>
      </w:r>
      <w:r w:rsidRPr="00C3377D">
        <w:rPr>
          <w:noProof/>
          <w:szCs w:val="20"/>
        </w:rPr>
        <w:t xml:space="preserve"> līdz 776</w:t>
      </w:r>
      <w:r>
        <w:rPr>
          <w:noProof/>
          <w:szCs w:val="20"/>
        </w:rPr>
        <w:t xml:space="preserve"> milj. </w:t>
      </w:r>
      <w:r w:rsidRPr="00F8454C">
        <w:rPr>
          <w:i/>
          <w:noProof/>
          <w:szCs w:val="20"/>
        </w:rPr>
        <w:t>euro</w:t>
      </w:r>
      <w:r w:rsidRPr="00C3377D">
        <w:rPr>
          <w:noProof/>
          <w:szCs w:val="20"/>
        </w:rPr>
        <w:t xml:space="preserve">. Samazinoties pakalpojumu eksportam un vienlaicīgi pieaugot pakalpojumu importam, pakalpojumu konta pārpalikums </w:t>
      </w:r>
      <w:r>
        <w:rPr>
          <w:noProof/>
          <w:szCs w:val="20"/>
        </w:rPr>
        <w:t xml:space="preserve">ir samazinājies par 167 milj. </w:t>
      </w:r>
      <w:r w:rsidRPr="00F8454C">
        <w:rPr>
          <w:i/>
          <w:noProof/>
          <w:szCs w:val="20"/>
        </w:rPr>
        <w:t>euro</w:t>
      </w:r>
      <w:r>
        <w:rPr>
          <w:noProof/>
          <w:szCs w:val="20"/>
        </w:rPr>
        <w:t xml:space="preserve"> līdz 645 milj. </w:t>
      </w:r>
      <w:r w:rsidRPr="00F8454C">
        <w:rPr>
          <w:i/>
          <w:noProof/>
          <w:szCs w:val="20"/>
        </w:rPr>
        <w:t>euro</w:t>
      </w:r>
      <w:r w:rsidRPr="00C3377D">
        <w:rPr>
          <w:noProof/>
          <w:szCs w:val="20"/>
        </w:rPr>
        <w:t>. Tādējādi pakalpojumu konta pārpalikums nenosedz preču konta deficītu.</w:t>
      </w:r>
    </w:p>
    <w:p w14:paraId="5D8698A6" w14:textId="1CDD9C83" w:rsidR="00964CAC" w:rsidRDefault="00964CAC" w:rsidP="00A83AAD">
      <w:pPr>
        <w:spacing w:before="60" w:after="60"/>
        <w:rPr>
          <w:szCs w:val="20"/>
        </w:rPr>
      </w:pPr>
      <w:r w:rsidRPr="00C3377D">
        <w:rPr>
          <w:noProof/>
          <w:szCs w:val="20"/>
        </w:rPr>
        <w:t xml:space="preserve"> Sākotnējo ienākuma konta deficīts </w:t>
      </w:r>
      <w:r>
        <w:rPr>
          <w:noProof/>
          <w:szCs w:val="20"/>
        </w:rPr>
        <w:t xml:space="preserve">ir palielinājies par 43 milj. </w:t>
      </w:r>
      <w:r w:rsidRPr="00EC10EF">
        <w:rPr>
          <w:i/>
          <w:noProof/>
          <w:szCs w:val="20"/>
        </w:rPr>
        <w:t>euro</w:t>
      </w:r>
      <w:r>
        <w:rPr>
          <w:noProof/>
          <w:szCs w:val="20"/>
        </w:rPr>
        <w:t xml:space="preserve"> līdz 95</w:t>
      </w:r>
      <w:r w:rsidR="00F61E10">
        <w:rPr>
          <w:noProof/>
          <w:szCs w:val="20"/>
        </w:rPr>
        <w:t> </w:t>
      </w:r>
      <w:r>
        <w:rPr>
          <w:noProof/>
          <w:szCs w:val="20"/>
        </w:rPr>
        <w:t xml:space="preserve">milj. </w:t>
      </w:r>
      <w:r w:rsidRPr="00EC10EF">
        <w:rPr>
          <w:i/>
          <w:noProof/>
          <w:szCs w:val="20"/>
        </w:rPr>
        <w:t>euro</w:t>
      </w:r>
      <w:r w:rsidRPr="00C3377D">
        <w:rPr>
          <w:noProof/>
          <w:szCs w:val="20"/>
        </w:rPr>
        <w:t xml:space="preserve">, ko ietekmēja lielāks izmaksāto dividenžu apjoms ārvalstu investoriem, kā arī mazāka ES fondu investīciju ieplūde </w:t>
      </w:r>
      <w:r>
        <w:rPr>
          <w:noProof/>
          <w:szCs w:val="20"/>
        </w:rPr>
        <w:t>šajā kontā</w:t>
      </w:r>
      <w:r>
        <w:rPr>
          <w:szCs w:val="20"/>
        </w:rPr>
        <w:t>. Savukārt otrreizējo</w:t>
      </w:r>
      <w:r w:rsidRPr="00C3377D">
        <w:rPr>
          <w:szCs w:val="20"/>
        </w:rPr>
        <w:t xml:space="preserve"> ienākum</w:t>
      </w:r>
      <w:r>
        <w:rPr>
          <w:szCs w:val="20"/>
        </w:rPr>
        <w:t>u konta</w:t>
      </w:r>
      <w:r w:rsidRPr="00C3377D">
        <w:rPr>
          <w:szCs w:val="20"/>
        </w:rPr>
        <w:t xml:space="preserve"> pārpalikums ir samazinājies par</w:t>
      </w:r>
      <w:r>
        <w:rPr>
          <w:szCs w:val="20"/>
        </w:rPr>
        <w:t xml:space="preserve"> 44 </w:t>
      </w:r>
      <w:r>
        <w:rPr>
          <w:noProof/>
          <w:szCs w:val="20"/>
        </w:rPr>
        <w:t>milj. eiro līdz 111</w:t>
      </w:r>
      <w:r w:rsidR="00F61E10">
        <w:rPr>
          <w:noProof/>
          <w:szCs w:val="20"/>
        </w:rPr>
        <w:t> </w:t>
      </w:r>
      <w:r>
        <w:rPr>
          <w:noProof/>
          <w:szCs w:val="20"/>
        </w:rPr>
        <w:t xml:space="preserve">milj. </w:t>
      </w:r>
      <w:r w:rsidRPr="00EC10EF">
        <w:rPr>
          <w:i/>
          <w:noProof/>
          <w:szCs w:val="20"/>
        </w:rPr>
        <w:t>euro</w:t>
      </w:r>
      <w:r w:rsidRPr="00C3377D">
        <w:rPr>
          <w:noProof/>
          <w:szCs w:val="20"/>
        </w:rPr>
        <w:t>, ko negatīvi ietekmēja augstākas Latvijas iemaksas ES budžetā, kā</w:t>
      </w:r>
      <w:r w:rsidRPr="00C3377D">
        <w:rPr>
          <w:szCs w:val="20"/>
        </w:rPr>
        <w:t xml:space="preserve"> arī māj</w:t>
      </w:r>
      <w:r>
        <w:rPr>
          <w:szCs w:val="20"/>
        </w:rPr>
        <w:t>saimniecību un uzņēmumu augstāk</w:t>
      </w:r>
      <w:r w:rsidRPr="00C3377D">
        <w:rPr>
          <w:szCs w:val="20"/>
        </w:rPr>
        <w:t xml:space="preserve">s kapitāla pārvedumu apjoms uz ārvalstīm. </w:t>
      </w:r>
    </w:p>
    <w:p w14:paraId="0F9B081A" w14:textId="77777777" w:rsidR="00964CAC" w:rsidRPr="00500AAB" w:rsidRDefault="00964CAC" w:rsidP="00A83AAD">
      <w:pPr>
        <w:rPr>
          <w:rFonts w:eastAsia="Calibri" w:cs="Times New Roman"/>
          <w:b/>
          <w:szCs w:val="20"/>
        </w:rPr>
      </w:pPr>
      <w:r w:rsidRPr="00500AAB">
        <w:rPr>
          <w:rFonts w:eastAsia="Calibri" w:cs="Times New Roman"/>
          <w:b/>
          <w:szCs w:val="20"/>
        </w:rPr>
        <w:t xml:space="preserve">Investīcijas </w:t>
      </w:r>
    </w:p>
    <w:p w14:paraId="49928138" w14:textId="3F36F247" w:rsidR="00964CAC" w:rsidRPr="0049062B" w:rsidRDefault="00964CAC" w:rsidP="00A83AAD">
      <w:pPr>
        <w:spacing w:before="60" w:after="60"/>
        <w:rPr>
          <w:szCs w:val="20"/>
        </w:rPr>
      </w:pPr>
      <w:r w:rsidRPr="0049062B">
        <w:rPr>
          <w:szCs w:val="20"/>
        </w:rPr>
        <w:t xml:space="preserve">Par </w:t>
      </w:r>
      <w:r w:rsidRPr="0049062B">
        <w:rPr>
          <w:noProof/>
          <w:szCs w:val="20"/>
        </w:rPr>
        <w:t>spīti ekonomiskās aktivitātes kritumam 2020.</w:t>
      </w:r>
      <w:r w:rsidR="00F61E10">
        <w:rPr>
          <w:noProof/>
          <w:szCs w:val="20"/>
        </w:rPr>
        <w:t> </w:t>
      </w:r>
      <w:r w:rsidRPr="0049062B">
        <w:rPr>
          <w:noProof/>
          <w:szCs w:val="20"/>
        </w:rPr>
        <w:t>gadā, investīciju apjoms Latvijā ir nedaudz palielinājies. Bruto pamatkapitāla ve</w:t>
      </w:r>
      <w:r>
        <w:rPr>
          <w:noProof/>
          <w:szCs w:val="20"/>
        </w:rPr>
        <w:t xml:space="preserve">idošana pērn bija 6281 milj. </w:t>
      </w:r>
      <w:r w:rsidRPr="00145245">
        <w:rPr>
          <w:i/>
          <w:noProof/>
          <w:szCs w:val="20"/>
        </w:rPr>
        <w:t>euro</w:t>
      </w:r>
      <w:r w:rsidRPr="0049062B">
        <w:rPr>
          <w:noProof/>
          <w:szCs w:val="20"/>
        </w:rPr>
        <w:t xml:space="preserve"> apmērā, kas salīdzināmajās cenās bija par 0,2% vairāk nekā 2019.</w:t>
      </w:r>
      <w:r w:rsidR="00F61E10">
        <w:rPr>
          <w:noProof/>
          <w:szCs w:val="20"/>
        </w:rPr>
        <w:t> </w:t>
      </w:r>
      <w:r w:rsidRPr="0049062B">
        <w:rPr>
          <w:noProof/>
          <w:szCs w:val="20"/>
        </w:rPr>
        <w:t>gadā. Tādējādi</w:t>
      </w:r>
      <w:r w:rsidRPr="0049062B">
        <w:rPr>
          <w:szCs w:val="20"/>
        </w:rPr>
        <w:t xml:space="preserve"> Covid-19 krīzes negatīvā ietekme uz investīciju aktivitāti bija būtiski mazāka nekā uz privāto patēriņu vai ārējo tirdzniecību.</w:t>
      </w:r>
    </w:p>
    <w:p w14:paraId="14742EE4" w14:textId="3603EB99" w:rsidR="00964CAC" w:rsidRPr="0049062B" w:rsidRDefault="00964CAC" w:rsidP="00A83AAD">
      <w:pPr>
        <w:spacing w:before="60" w:after="60"/>
        <w:rPr>
          <w:szCs w:val="20"/>
        </w:rPr>
      </w:pPr>
      <w:r w:rsidRPr="0049062B">
        <w:rPr>
          <w:szCs w:val="20"/>
        </w:rPr>
        <w:t>Investīciju apjoma izmaiņas 2020</w:t>
      </w:r>
      <w:r>
        <w:rPr>
          <w:szCs w:val="20"/>
        </w:rPr>
        <w:t>.</w:t>
      </w:r>
      <w:r w:rsidR="00F61E10">
        <w:rPr>
          <w:szCs w:val="20"/>
        </w:rPr>
        <w:t> </w:t>
      </w:r>
      <w:r>
        <w:rPr>
          <w:szCs w:val="20"/>
        </w:rPr>
        <w:t xml:space="preserve">gadā </w:t>
      </w:r>
      <w:r w:rsidRPr="0049062B">
        <w:rPr>
          <w:szCs w:val="20"/>
        </w:rPr>
        <w:t>pa</w:t>
      </w:r>
      <w:r>
        <w:rPr>
          <w:szCs w:val="20"/>
        </w:rPr>
        <w:t xml:space="preserve"> ceturkšņiem ir atšķirīgas</w:t>
      </w:r>
      <w:r w:rsidRPr="0049062B">
        <w:rPr>
          <w:szCs w:val="20"/>
        </w:rPr>
        <w:t>. Ja pērnā gada 1.</w:t>
      </w:r>
      <w:r w:rsidR="00F61E10">
        <w:rPr>
          <w:szCs w:val="20"/>
        </w:rPr>
        <w:t> </w:t>
      </w:r>
      <w:r w:rsidRPr="0049062B">
        <w:rPr>
          <w:szCs w:val="20"/>
        </w:rPr>
        <w:t xml:space="preserve">ceturksnī, kad pandēmija vēl nebija </w:t>
      </w:r>
      <w:r w:rsidR="00E92BC1" w:rsidRPr="0049062B">
        <w:rPr>
          <w:szCs w:val="20"/>
        </w:rPr>
        <w:t>skarusī</w:t>
      </w:r>
      <w:r w:rsidRPr="0049062B">
        <w:rPr>
          <w:szCs w:val="20"/>
        </w:rPr>
        <w:t xml:space="preserve"> Latviju, investīcijas</w:t>
      </w:r>
      <w:r>
        <w:rPr>
          <w:szCs w:val="20"/>
        </w:rPr>
        <w:t xml:space="preserve"> salīdzinājumā ar iepriekšējā gada attiecīgo periodu palielinājās par 4,6%,</w:t>
      </w:r>
      <w:r w:rsidRPr="0049062B">
        <w:rPr>
          <w:szCs w:val="20"/>
        </w:rPr>
        <w:t xml:space="preserve"> tad jau 2020.</w:t>
      </w:r>
      <w:r w:rsidR="00F61E10">
        <w:rPr>
          <w:szCs w:val="20"/>
        </w:rPr>
        <w:t> </w:t>
      </w:r>
      <w:r w:rsidRPr="0049062B">
        <w:rPr>
          <w:szCs w:val="20"/>
        </w:rPr>
        <w:t xml:space="preserve">gada otrajā ceturksnī, pandēmijas sākumā – laikā, kad, pastāvot lielai </w:t>
      </w:r>
      <w:r w:rsidRPr="0049062B">
        <w:rPr>
          <w:szCs w:val="20"/>
        </w:rPr>
        <w:lastRenderedPageBreak/>
        <w:t>nenoteiktībai, būtiski pasliktinājās uzņēmumu noskaņojums, tika fiks</w:t>
      </w:r>
      <w:r>
        <w:rPr>
          <w:szCs w:val="20"/>
        </w:rPr>
        <w:t>ēts investīciju kritums par 4,8%.</w:t>
      </w:r>
      <w:r w:rsidRPr="0049062B">
        <w:rPr>
          <w:szCs w:val="20"/>
        </w:rPr>
        <w:t xml:space="preserve"> Situācijai stabilizējoties un mēreni palielinoties ekonomiska</w:t>
      </w:r>
      <w:r>
        <w:rPr>
          <w:szCs w:val="20"/>
        </w:rPr>
        <w:t>ja</w:t>
      </w:r>
      <w:r w:rsidRPr="0049062B">
        <w:rPr>
          <w:szCs w:val="20"/>
        </w:rPr>
        <w:t>i aktivitātei, trešajā ceturksnī investīcijas samazinājās vien par 0,9%, bet jau ceturtajā ceturksnī atsākās investīciju kāpums, un bruto pamatkapitāla veidošanas apjoms bija par 2,6% lielāks nekā 2019.</w:t>
      </w:r>
      <w:r w:rsidR="00F61E10">
        <w:rPr>
          <w:szCs w:val="20"/>
        </w:rPr>
        <w:t> </w:t>
      </w:r>
      <w:r w:rsidRPr="0049062B">
        <w:rPr>
          <w:szCs w:val="20"/>
        </w:rPr>
        <w:t>gada ceturtajā ceturksnī. Investīciju aktivitāte tradicionāli ir svārstīgāka nek</w:t>
      </w:r>
      <w:r>
        <w:rPr>
          <w:szCs w:val="20"/>
        </w:rPr>
        <w:t>ā IKP vidējās izmaiņas. Turklāt</w:t>
      </w:r>
      <w:r w:rsidRPr="0049062B">
        <w:rPr>
          <w:szCs w:val="20"/>
        </w:rPr>
        <w:t xml:space="preserve"> investīcijas ir tā IKP komponente, kas vairāk pakļauta biznesa ciklam. Tā kā Covid-19 krīze nav saistīta ar biznesa ciklu kā tādu, tad mājsaimniecību un uzņēmēju rīcība attiecībā uz uzkrājumiem un</w:t>
      </w:r>
      <w:r>
        <w:rPr>
          <w:szCs w:val="20"/>
        </w:rPr>
        <w:t xml:space="preserve"> investīcijām var būt atšķirīga </w:t>
      </w:r>
      <w:r w:rsidRPr="0049062B">
        <w:rPr>
          <w:szCs w:val="20"/>
        </w:rPr>
        <w:t>kā iepriekšējās finanšu un ekon</w:t>
      </w:r>
      <w:r>
        <w:rPr>
          <w:szCs w:val="20"/>
        </w:rPr>
        <w:t xml:space="preserve">omikas krīzēs, ar </w:t>
      </w:r>
      <w:r w:rsidRPr="0049062B">
        <w:rPr>
          <w:szCs w:val="20"/>
        </w:rPr>
        <w:t>ko arī skaidrojams investīci</w:t>
      </w:r>
      <w:r>
        <w:rPr>
          <w:szCs w:val="20"/>
        </w:rPr>
        <w:t>ju pieaugums pērnā gada nogalē.</w:t>
      </w:r>
    </w:p>
    <w:p w14:paraId="4837A9BC" w14:textId="74C56DDE" w:rsidR="00964CAC" w:rsidRPr="0049062B" w:rsidRDefault="00964CAC" w:rsidP="00A83AAD">
      <w:pPr>
        <w:spacing w:before="60" w:after="60"/>
        <w:rPr>
          <w:szCs w:val="20"/>
        </w:rPr>
      </w:pPr>
      <w:r w:rsidRPr="0049062B">
        <w:rPr>
          <w:szCs w:val="20"/>
        </w:rPr>
        <w:t>Investīciju apjoms Latvijā 2020.</w:t>
      </w:r>
      <w:r w:rsidR="00F61E10">
        <w:rPr>
          <w:szCs w:val="20"/>
        </w:rPr>
        <w:t> </w:t>
      </w:r>
      <w:r w:rsidRPr="0049062B">
        <w:rPr>
          <w:szCs w:val="20"/>
        </w:rPr>
        <w:t xml:space="preserve">gadā bija noturīgs arī uz ES kopējā fona. ES investīcijas pērn samazinājās vidēji par 6,7%, un tikai četrām ES dalībvalstīm, proti,  Dānijai, Igaunijai, Rumānijai, kā arī Latvijai, par spīti Covid-19 krīzei pērn investīciju apjoms bija augošs. Pandēmijas laikā investīciju vide </w:t>
      </w:r>
      <w:r>
        <w:rPr>
          <w:szCs w:val="20"/>
        </w:rPr>
        <w:t>visās ES dalībvalstīs</w:t>
      </w:r>
      <w:r w:rsidRPr="0049062B">
        <w:rPr>
          <w:szCs w:val="20"/>
        </w:rPr>
        <w:t xml:space="preserve"> ir būtiski pasliktinājus</w:t>
      </w:r>
      <w:r>
        <w:rPr>
          <w:szCs w:val="20"/>
        </w:rPr>
        <w:t xml:space="preserve">ies, jo </w:t>
      </w:r>
      <w:r w:rsidRPr="0049062B">
        <w:rPr>
          <w:szCs w:val="20"/>
        </w:rPr>
        <w:t>uzņēmēju vēlme veikt jaunas investīcijas, attīstīt jaunus projektus bija minimāla zema saistībā ar nenoteiktību par ieviesto ierobežojumu ilgumu, kas praktiski apturēja atsevišķu nozaru</w:t>
      </w:r>
      <w:r>
        <w:rPr>
          <w:szCs w:val="20"/>
        </w:rPr>
        <w:t>,</w:t>
      </w:r>
      <w:r w:rsidRPr="0049062B">
        <w:rPr>
          <w:szCs w:val="20"/>
        </w:rPr>
        <w:t xml:space="preserve"> kā piemēram, izmitināšana</w:t>
      </w:r>
      <w:r>
        <w:rPr>
          <w:szCs w:val="20"/>
        </w:rPr>
        <w:t>s</w:t>
      </w:r>
      <w:r w:rsidRPr="0049062B">
        <w:rPr>
          <w:szCs w:val="20"/>
        </w:rPr>
        <w:t>, ēdināšana</w:t>
      </w:r>
      <w:r>
        <w:rPr>
          <w:szCs w:val="20"/>
        </w:rPr>
        <w:t>s</w:t>
      </w:r>
      <w:r w:rsidRPr="0049062B">
        <w:rPr>
          <w:szCs w:val="20"/>
        </w:rPr>
        <w:t>, pasažieru pārva</w:t>
      </w:r>
      <w:r>
        <w:rPr>
          <w:szCs w:val="20"/>
        </w:rPr>
        <w:t>dājumu darbību</w:t>
      </w:r>
      <w:r w:rsidRPr="0049062B">
        <w:rPr>
          <w:szCs w:val="20"/>
        </w:rPr>
        <w:t>. Šādos apstākļos palielinājās valdības loma investīciju veikšanā tautsaimniecībā. Vispārējās valdības investīciju apjoms ES 2020.</w:t>
      </w:r>
      <w:r w:rsidR="00F61E10">
        <w:rPr>
          <w:szCs w:val="20"/>
        </w:rPr>
        <w:t> </w:t>
      </w:r>
      <w:r w:rsidRPr="0049062B">
        <w:rPr>
          <w:szCs w:val="20"/>
        </w:rPr>
        <w:t xml:space="preserve">gadā palielinājās vidēji par 4,0%. Savukārt Latvijā vispārējās valdības investīcijas pieauga par 8,3%, palielinot </w:t>
      </w:r>
      <w:r>
        <w:rPr>
          <w:szCs w:val="20"/>
        </w:rPr>
        <w:t xml:space="preserve">to īpatsvaru </w:t>
      </w:r>
      <w:r w:rsidRPr="00D65E70">
        <w:rPr>
          <w:szCs w:val="20"/>
        </w:rPr>
        <w:t>kopējās investīcijās no 22,6% 2019.gadā līdz</w:t>
      </w:r>
      <w:r w:rsidRPr="0049062B">
        <w:rPr>
          <w:szCs w:val="20"/>
        </w:rPr>
        <w:t xml:space="preserve"> 24,1% 2020.</w:t>
      </w:r>
      <w:r w:rsidR="00F61E10">
        <w:rPr>
          <w:szCs w:val="20"/>
        </w:rPr>
        <w:t> </w:t>
      </w:r>
      <w:r w:rsidRPr="0049062B">
        <w:rPr>
          <w:szCs w:val="20"/>
        </w:rPr>
        <w:t xml:space="preserve">gadā. </w:t>
      </w:r>
    </w:p>
    <w:p w14:paraId="1A776106" w14:textId="11B61CE1" w:rsidR="00964CAC" w:rsidRPr="0049062B" w:rsidRDefault="00964CAC" w:rsidP="00A83AAD">
      <w:pPr>
        <w:spacing w:before="60" w:after="60"/>
        <w:rPr>
          <w:szCs w:val="20"/>
        </w:rPr>
      </w:pPr>
      <w:r w:rsidRPr="0049062B">
        <w:rPr>
          <w:szCs w:val="20"/>
        </w:rPr>
        <w:t>Investīcijas biroju, mājokļu, noliktavu un citu ēku būvniecībā, kā arī jau esošo ēku un būvju renovācijā joprojām saglabājas kā galvenais investīciju veids. 2020.</w:t>
      </w:r>
      <w:r w:rsidR="00F61E10">
        <w:rPr>
          <w:szCs w:val="20"/>
        </w:rPr>
        <w:t> </w:t>
      </w:r>
      <w:r w:rsidRPr="0049062B">
        <w:rPr>
          <w:szCs w:val="20"/>
        </w:rPr>
        <w:t>gadā investīcijas ēkās un būvēs veidoja 51,9% no kopējām investīcijām un, salīdzinot ar 2019.</w:t>
      </w:r>
      <w:r w:rsidR="00F61E10">
        <w:rPr>
          <w:szCs w:val="20"/>
        </w:rPr>
        <w:t> </w:t>
      </w:r>
      <w:r w:rsidRPr="0049062B">
        <w:rPr>
          <w:szCs w:val="20"/>
        </w:rPr>
        <w:t>gadu, palielinājās par 1,5% salīdzināmajās cenās. Pateicoties labvēlīgiem laika apstāk</w:t>
      </w:r>
      <w:r>
        <w:rPr>
          <w:szCs w:val="20"/>
        </w:rPr>
        <w:t>ļiem gada sākumā un realizētie</w:t>
      </w:r>
      <w:r w:rsidRPr="0049062B">
        <w:rPr>
          <w:szCs w:val="20"/>
        </w:rPr>
        <w:t>m būvniecības objektiem gan privātajā, gan sabiedriskajā sektorā, būvniecības produkcijas apjoms salīdzinājumā ar 2019.</w:t>
      </w:r>
      <w:r w:rsidR="00F61E10">
        <w:rPr>
          <w:szCs w:val="20"/>
        </w:rPr>
        <w:t> </w:t>
      </w:r>
      <w:r w:rsidRPr="0049062B">
        <w:rPr>
          <w:szCs w:val="20"/>
        </w:rPr>
        <w:t>gadu palielinājās par 2,7%.</w:t>
      </w:r>
    </w:p>
    <w:p w14:paraId="70D1E0D8" w14:textId="1FDD4F3D" w:rsidR="00964CAC" w:rsidRPr="0049062B" w:rsidRDefault="00964CAC" w:rsidP="00A83AAD">
      <w:pPr>
        <w:spacing w:before="60" w:after="60"/>
        <w:rPr>
          <w:szCs w:val="20"/>
        </w:rPr>
      </w:pPr>
      <w:r w:rsidRPr="0049062B">
        <w:rPr>
          <w:szCs w:val="20"/>
        </w:rPr>
        <w:t>Covid-19 pandēmija ietekmēja visas tautsaimniecības nozares, tomēr noskaņojuma kritums būvniecības nozarē nebija tik liels, kā citās nozarēs, it īpaši pakalpojumu nozarēs. Būvniecības pasūtījumu apjoms 2020.</w:t>
      </w:r>
      <w:r w:rsidR="00F61E10">
        <w:rPr>
          <w:szCs w:val="20"/>
        </w:rPr>
        <w:t> </w:t>
      </w:r>
      <w:r w:rsidRPr="0049062B">
        <w:rPr>
          <w:szCs w:val="20"/>
        </w:rPr>
        <w:t>gada aprīlī un maijā noslīdēja līdz 2016.</w:t>
      </w:r>
      <w:r w:rsidR="00F61E10">
        <w:rPr>
          <w:szCs w:val="20"/>
        </w:rPr>
        <w:t> </w:t>
      </w:r>
      <w:r w:rsidRPr="0049062B">
        <w:rPr>
          <w:szCs w:val="20"/>
        </w:rPr>
        <w:t>gada vidējam līmenim, kad būvniecības produkcijas apjoms kopumā samazinājās par 16,6%. Tomēr jau pērnā gada jūnijā konfidences līmenis būvniecības nozarē sāka uzlaboties un gada nogalē stabilizējās.</w:t>
      </w:r>
    </w:p>
    <w:p w14:paraId="3EABAB1D" w14:textId="0277C19F" w:rsidR="00964CAC" w:rsidRPr="0049062B" w:rsidRDefault="00964CAC" w:rsidP="00A83AAD">
      <w:pPr>
        <w:spacing w:before="60" w:after="60"/>
        <w:rPr>
          <w:szCs w:val="20"/>
        </w:rPr>
      </w:pPr>
      <w:r w:rsidRPr="0049062B">
        <w:rPr>
          <w:szCs w:val="20"/>
        </w:rPr>
        <w:t>Co</w:t>
      </w:r>
      <w:r>
        <w:rPr>
          <w:szCs w:val="20"/>
        </w:rPr>
        <w:t xml:space="preserve">vid-19 krīze negatīvi ietekmēja jau iepriekš zemo investīciju līmeni iekārtās un mašīnās, </w:t>
      </w:r>
      <w:r w:rsidRPr="0049062B">
        <w:rPr>
          <w:szCs w:val="20"/>
        </w:rPr>
        <w:t>kas 2020.</w:t>
      </w:r>
      <w:r w:rsidR="00F61E10">
        <w:rPr>
          <w:szCs w:val="20"/>
        </w:rPr>
        <w:t> </w:t>
      </w:r>
      <w:r w:rsidRPr="0049062B">
        <w:rPr>
          <w:szCs w:val="20"/>
        </w:rPr>
        <w:t xml:space="preserve">gadā veidoja 39,5% no kopējām investīcijām un salīdzinājumā ar iepriekšējo gadu samazinājās par 2,2%. Neskatoties uz to, ka </w:t>
      </w:r>
      <w:r w:rsidR="00E92BC1" w:rsidRPr="0049062B">
        <w:rPr>
          <w:szCs w:val="20"/>
        </w:rPr>
        <w:t>pirms pandēmijas</w:t>
      </w:r>
      <w:r w:rsidRPr="0049062B">
        <w:rPr>
          <w:szCs w:val="20"/>
        </w:rPr>
        <w:t xml:space="preserve"> investīciju apjoms šajos aktīvos bija augošs un 2019.</w:t>
      </w:r>
      <w:r w:rsidR="00F61E10">
        <w:rPr>
          <w:szCs w:val="20"/>
        </w:rPr>
        <w:t> </w:t>
      </w:r>
      <w:r w:rsidRPr="0049062B">
        <w:rPr>
          <w:szCs w:val="20"/>
        </w:rPr>
        <w:t>gadā sasniedza augstāko līmeni desmitgadē, tas nebija pietiekošs, lai spētu būtiski veicināt inovācijas un nodrošināt produktivitātes pieaugumu. Investīciju apjoms tehnoloģiskajās iekārtās un mašīnās 2019.-2020.g</w:t>
      </w:r>
      <w:r>
        <w:rPr>
          <w:szCs w:val="20"/>
        </w:rPr>
        <w:t>ad</w:t>
      </w:r>
      <w:r w:rsidR="00F61E10">
        <w:rPr>
          <w:szCs w:val="20"/>
        </w:rPr>
        <w:t>ā</w:t>
      </w:r>
      <w:r>
        <w:rPr>
          <w:szCs w:val="20"/>
        </w:rPr>
        <w:t xml:space="preserve"> vidēji bija 2,5 miljardi </w:t>
      </w:r>
      <w:r w:rsidRPr="006D68B7">
        <w:rPr>
          <w:i/>
          <w:noProof/>
          <w:szCs w:val="20"/>
        </w:rPr>
        <w:t>euro</w:t>
      </w:r>
      <w:r>
        <w:rPr>
          <w:noProof/>
          <w:szCs w:val="20"/>
        </w:rPr>
        <w:t xml:space="preserve"> gadā, kas atbilst tikai</w:t>
      </w:r>
      <w:r w:rsidRPr="0049062B">
        <w:rPr>
          <w:noProof/>
          <w:szCs w:val="20"/>
        </w:rPr>
        <w:t xml:space="preserve"> 2005.</w:t>
      </w:r>
      <w:r w:rsidR="00F61E10">
        <w:rPr>
          <w:noProof/>
          <w:szCs w:val="20"/>
        </w:rPr>
        <w:t> </w:t>
      </w:r>
      <w:r w:rsidRPr="0049062B">
        <w:rPr>
          <w:noProof/>
          <w:szCs w:val="20"/>
        </w:rPr>
        <w:t>gada līmenim, norādot uz uzņēmēju piesardzību</w:t>
      </w:r>
      <w:r w:rsidRPr="0049062B">
        <w:rPr>
          <w:szCs w:val="20"/>
        </w:rPr>
        <w:t xml:space="preserve"> </w:t>
      </w:r>
      <w:r w:rsidRPr="0049062B">
        <w:rPr>
          <w:szCs w:val="20"/>
        </w:rPr>
        <w:lastRenderedPageBreak/>
        <w:t>investīciju veikšanu savas uzņēmējdarbības paplašināšanai. Savukārt Covid-19 tikai pasliktināja šo situāciju.</w:t>
      </w:r>
    </w:p>
    <w:p w14:paraId="5AD0600F" w14:textId="2C4651B4" w:rsidR="00964CAC" w:rsidRPr="0049062B" w:rsidRDefault="00964CAC" w:rsidP="00A83AAD">
      <w:pPr>
        <w:spacing w:before="60" w:after="60"/>
        <w:rPr>
          <w:szCs w:val="20"/>
        </w:rPr>
      </w:pPr>
      <w:r w:rsidRPr="0049062B">
        <w:rPr>
          <w:szCs w:val="20"/>
        </w:rPr>
        <w:t>2021.</w:t>
      </w:r>
      <w:r w:rsidR="00F61E10">
        <w:rPr>
          <w:szCs w:val="20"/>
        </w:rPr>
        <w:t> </w:t>
      </w:r>
      <w:r w:rsidRPr="0049062B">
        <w:rPr>
          <w:szCs w:val="20"/>
        </w:rPr>
        <w:t xml:space="preserve">gada pirmajā </w:t>
      </w:r>
      <w:r>
        <w:rPr>
          <w:szCs w:val="20"/>
        </w:rPr>
        <w:t>ceturksnī kopējais</w:t>
      </w:r>
      <w:r w:rsidRPr="0049062B">
        <w:rPr>
          <w:szCs w:val="20"/>
        </w:rPr>
        <w:t xml:space="preserve"> investīc</w:t>
      </w:r>
      <w:r>
        <w:rPr>
          <w:szCs w:val="20"/>
        </w:rPr>
        <w:t>iju apjoms veidoja 1161 milj.</w:t>
      </w:r>
      <w:r w:rsidR="00F61E10">
        <w:rPr>
          <w:szCs w:val="20"/>
        </w:rPr>
        <w:t> </w:t>
      </w:r>
      <w:proofErr w:type="spellStart"/>
      <w:r w:rsidRPr="00B619C4">
        <w:rPr>
          <w:i/>
          <w:noProof/>
          <w:szCs w:val="20"/>
        </w:rPr>
        <w:t>euro</w:t>
      </w:r>
      <w:proofErr w:type="spellEnd"/>
      <w:r>
        <w:rPr>
          <w:noProof/>
          <w:szCs w:val="20"/>
        </w:rPr>
        <w:t>, kas bija par 4,5% mazāk nekā pērnā gada pirmajā</w:t>
      </w:r>
      <w:r w:rsidRPr="0049062B">
        <w:rPr>
          <w:noProof/>
          <w:szCs w:val="20"/>
        </w:rPr>
        <w:t xml:space="preserve"> ceturksn</w:t>
      </w:r>
      <w:r>
        <w:rPr>
          <w:noProof/>
          <w:szCs w:val="20"/>
        </w:rPr>
        <w:t>ī</w:t>
      </w:r>
      <w:r w:rsidRPr="0049062B">
        <w:rPr>
          <w:noProof/>
          <w:szCs w:val="20"/>
        </w:rPr>
        <w:t>. Bažas rada tas, ka investīciju</w:t>
      </w:r>
      <w:r w:rsidRPr="0049062B">
        <w:rPr>
          <w:szCs w:val="20"/>
        </w:rPr>
        <w:t xml:space="preserve"> apjoms bija zemāks ne tikai salīdzinājumā ar vidējo investīciju līmeni pērn, bet </w:t>
      </w:r>
      <w:r>
        <w:rPr>
          <w:szCs w:val="20"/>
        </w:rPr>
        <w:t>arī salīdzinājumā</w:t>
      </w:r>
      <w:r w:rsidRPr="0049062B">
        <w:rPr>
          <w:szCs w:val="20"/>
        </w:rPr>
        <w:t xml:space="preserve"> ar pērnā gada otro ceturksni, kad pandēmija būtiski ietekmēja ekonomisko aktivitāti.</w:t>
      </w:r>
    </w:p>
    <w:p w14:paraId="07020834" w14:textId="466B451D" w:rsidR="00964CAC" w:rsidRPr="0049062B" w:rsidRDefault="00964CAC" w:rsidP="00A83AAD">
      <w:pPr>
        <w:spacing w:before="60" w:after="60"/>
        <w:rPr>
          <w:szCs w:val="20"/>
        </w:rPr>
      </w:pPr>
      <w:r w:rsidRPr="0049062B">
        <w:rPr>
          <w:szCs w:val="20"/>
        </w:rPr>
        <w:t>Investīciju kritumu noteica mazāka aktivitāte būvniecības nozarē. Būvniecības produkcijas apjoms š</w:t>
      </w:r>
      <w:r w:rsidR="00F61E10">
        <w:rPr>
          <w:szCs w:val="20"/>
        </w:rPr>
        <w:t>ā gada</w:t>
      </w:r>
      <w:r w:rsidRPr="0049062B">
        <w:rPr>
          <w:szCs w:val="20"/>
        </w:rPr>
        <w:t xml:space="preserve"> pirmajā ceturksnī samazinājās par 12,3% salīdzinājumā ar iepriekšējā gada attiecīgo periodu. Savukārt investīcijas jaunu ēku un būvju būvniecībā, ka arī ēku rekonstrukcijā š</w:t>
      </w:r>
      <w:r w:rsidR="00F61E10">
        <w:rPr>
          <w:szCs w:val="20"/>
        </w:rPr>
        <w:t xml:space="preserve">ā gada </w:t>
      </w:r>
      <w:r w:rsidRPr="0049062B">
        <w:rPr>
          <w:szCs w:val="20"/>
        </w:rPr>
        <w:t xml:space="preserve">pirmajā ceturksnī samazinājās par 12,9%. Jāatzīmē, </w:t>
      </w:r>
      <w:r>
        <w:rPr>
          <w:szCs w:val="20"/>
        </w:rPr>
        <w:t>ka šā</w:t>
      </w:r>
      <w:r w:rsidRPr="0049062B">
        <w:rPr>
          <w:szCs w:val="20"/>
        </w:rPr>
        <w:t xml:space="preserve"> gada sākumā gaisa temperatūra bija būtiski zemāka nekā pērn</w:t>
      </w:r>
      <w:r>
        <w:rPr>
          <w:szCs w:val="20"/>
        </w:rPr>
        <w:t>ā</w:t>
      </w:r>
      <w:r w:rsidRPr="0049062B">
        <w:rPr>
          <w:szCs w:val="20"/>
        </w:rPr>
        <w:t xml:space="preserve"> gada sākumā, un laika apstākļi kopumā nebija labvēlīgi būvniecības darbiem. Balstoties uz uzņēmumu aptaujas datiem, darba apjoms būvniecības nozarē š</w:t>
      </w:r>
      <w:r w:rsidR="00F61E10">
        <w:rPr>
          <w:szCs w:val="20"/>
        </w:rPr>
        <w:t>ā gada</w:t>
      </w:r>
      <w:r w:rsidRPr="0049062B">
        <w:rPr>
          <w:szCs w:val="20"/>
        </w:rPr>
        <w:t xml:space="preserve"> otr</w:t>
      </w:r>
      <w:r>
        <w:rPr>
          <w:szCs w:val="20"/>
        </w:rPr>
        <w:t>ajā un trešajā ceturksnī pieaug</w:t>
      </w:r>
      <w:r w:rsidRPr="0049062B">
        <w:rPr>
          <w:szCs w:val="20"/>
        </w:rPr>
        <w:t xml:space="preserve">s, kopumā atgriežoties </w:t>
      </w:r>
      <w:r w:rsidR="00E92BC1" w:rsidRPr="0049062B">
        <w:rPr>
          <w:noProof/>
          <w:szCs w:val="20"/>
        </w:rPr>
        <w:t>p</w:t>
      </w:r>
      <w:r w:rsidR="00E92BC1">
        <w:rPr>
          <w:noProof/>
          <w:szCs w:val="20"/>
        </w:rPr>
        <w:t>irmspandēmijas</w:t>
      </w:r>
      <w:r>
        <w:rPr>
          <w:szCs w:val="20"/>
        </w:rPr>
        <w:t xml:space="preserve"> līmenī. Tādējādi</w:t>
      </w:r>
      <w:r w:rsidRPr="0049062B">
        <w:rPr>
          <w:szCs w:val="20"/>
        </w:rPr>
        <w:t xml:space="preserve"> augošā konfidence būvniecības nozarē un dati par pasūtījumu apjomu liecina, ka investīciju kritums ēkās un būvēs 2021.</w:t>
      </w:r>
      <w:r w:rsidR="00F61E10">
        <w:rPr>
          <w:szCs w:val="20"/>
        </w:rPr>
        <w:t> </w:t>
      </w:r>
      <w:r w:rsidRPr="0049062B">
        <w:rPr>
          <w:szCs w:val="20"/>
        </w:rPr>
        <w:t>gada sākumā ir īslaicīgs un lielā mērā ir saistīts ar nelabvēlīg</w:t>
      </w:r>
      <w:r>
        <w:rPr>
          <w:szCs w:val="20"/>
        </w:rPr>
        <w:t>aj</w:t>
      </w:r>
      <w:r w:rsidRPr="0049062B">
        <w:rPr>
          <w:szCs w:val="20"/>
        </w:rPr>
        <w:t xml:space="preserve">iem laika apstākļiem. </w:t>
      </w:r>
    </w:p>
    <w:p w14:paraId="740163D1" w14:textId="7AFF4E9E" w:rsidR="00964CAC" w:rsidRPr="0049062B" w:rsidRDefault="00964CAC" w:rsidP="00A83AAD">
      <w:pPr>
        <w:spacing w:before="60" w:after="60"/>
        <w:rPr>
          <w:szCs w:val="20"/>
        </w:rPr>
      </w:pPr>
      <w:r w:rsidRPr="0049062B">
        <w:rPr>
          <w:szCs w:val="20"/>
        </w:rPr>
        <w:t>Investīcijas iekārtās un mašīnās š</w:t>
      </w:r>
      <w:r w:rsidR="00F61E10">
        <w:rPr>
          <w:szCs w:val="20"/>
        </w:rPr>
        <w:t>ā gada</w:t>
      </w:r>
      <w:r w:rsidRPr="0049062B">
        <w:rPr>
          <w:szCs w:val="20"/>
        </w:rPr>
        <w:t xml:space="preserve"> pirmajā ceturksnī pieauga par 7,9% gada griezumā un kopumā veidoja 43,1% no kopē</w:t>
      </w:r>
      <w:r>
        <w:rPr>
          <w:szCs w:val="20"/>
        </w:rPr>
        <w:t>jām investīcijām. Samērā straujais</w:t>
      </w:r>
      <w:r w:rsidRPr="0049062B">
        <w:rPr>
          <w:szCs w:val="20"/>
        </w:rPr>
        <w:t xml:space="preserve"> pieaugums ir atspoguļojies arī importa datos, jo </w:t>
      </w:r>
      <w:r w:rsidRPr="0049062B">
        <w:rPr>
          <w:noProof/>
          <w:szCs w:val="20"/>
        </w:rPr>
        <w:t xml:space="preserve">kapitālpreču </w:t>
      </w:r>
      <w:r w:rsidRPr="0049062B">
        <w:rPr>
          <w:szCs w:val="20"/>
        </w:rPr>
        <w:t>importa vērtības kāpums attiecīg</w:t>
      </w:r>
      <w:r>
        <w:rPr>
          <w:szCs w:val="20"/>
        </w:rPr>
        <w:t>aj</w:t>
      </w:r>
      <w:r w:rsidRPr="0049062B">
        <w:rPr>
          <w:szCs w:val="20"/>
        </w:rPr>
        <w:t xml:space="preserve">ā </w:t>
      </w:r>
      <w:r>
        <w:rPr>
          <w:szCs w:val="20"/>
        </w:rPr>
        <w:t>laikā periodā arī bija straujš</w:t>
      </w:r>
      <w:r w:rsidRPr="0049062B">
        <w:rPr>
          <w:szCs w:val="20"/>
        </w:rPr>
        <w:t>, pieaugot par 11,7% faktiskajās cenās. Aktuālākie apstrādes rūpniecības nozarē strādājošo uzņēmēju aptaujas dati par investīcijas ietekmējošiem faktoriem rāda, ka 56% no plānotajām investīcijām 2021.</w:t>
      </w:r>
      <w:r w:rsidR="00F61E10">
        <w:rPr>
          <w:szCs w:val="20"/>
        </w:rPr>
        <w:t> </w:t>
      </w:r>
      <w:r w:rsidRPr="0049062B">
        <w:rPr>
          <w:szCs w:val="20"/>
        </w:rPr>
        <w:t>gadā būs vērstas uz veco iekārtu aizvietošanu un ražošanas procesu optimizāciju, un tikai 30% uz ražošanas paplašināšanu. Visticamāk, ka pandēmijas dēļ uzņē</w:t>
      </w:r>
      <w:r>
        <w:rPr>
          <w:szCs w:val="20"/>
        </w:rPr>
        <w:t xml:space="preserve">mumi joprojām ir piesardzīgi </w:t>
      </w:r>
      <w:r w:rsidRPr="0049062B">
        <w:rPr>
          <w:szCs w:val="20"/>
        </w:rPr>
        <w:t>jaunu projektu īstenoš</w:t>
      </w:r>
      <w:r>
        <w:rPr>
          <w:szCs w:val="20"/>
        </w:rPr>
        <w:t xml:space="preserve">anu, tāpēc paplašināšanai </w:t>
      </w:r>
      <w:r w:rsidR="00E92BC1">
        <w:rPr>
          <w:szCs w:val="20"/>
        </w:rPr>
        <w:t>atveļ</w:t>
      </w:r>
      <w:r>
        <w:rPr>
          <w:szCs w:val="20"/>
        </w:rPr>
        <w:t xml:space="preserve"> </w:t>
      </w:r>
      <w:r w:rsidRPr="0049062B">
        <w:rPr>
          <w:szCs w:val="20"/>
        </w:rPr>
        <w:t xml:space="preserve">mazāk nekā trešo daļu no plānotajām investīcijām.  </w:t>
      </w:r>
    </w:p>
    <w:p w14:paraId="745F3A37" w14:textId="77777777" w:rsidR="00964CAC" w:rsidRPr="0049062B" w:rsidRDefault="00964CAC" w:rsidP="00A83AAD">
      <w:pPr>
        <w:spacing w:before="60" w:after="60"/>
        <w:rPr>
          <w:szCs w:val="20"/>
        </w:rPr>
      </w:pPr>
      <w:r w:rsidRPr="0049062B">
        <w:rPr>
          <w:szCs w:val="20"/>
        </w:rPr>
        <w:t>Pandēmijas dēļ tādās nozarēs kā izmitināšana, ēdināšana, izklaide un kultūra, kā arī transports būtiski ir samazinājies apgrozījums un pasliktinājušies peļņas rādītāji. Visticamāk šīs nozares atteiksies no jauniem kredītiem un investīciju veikšanas vidējā termiņā. Savukārt, darba organizācijas ieradumu maiņa un masveidīga attālinātā darba prakses ieviešana varētu mazināt pieprasījumu pēc birojiem, kas negatīvi ietekmēs investīciju aktivitāti.</w:t>
      </w:r>
    </w:p>
    <w:p w14:paraId="04494266" w14:textId="77777777" w:rsidR="00964CAC" w:rsidRDefault="00964CAC" w:rsidP="00A83AAD">
      <w:pPr>
        <w:spacing w:before="60" w:after="60"/>
        <w:rPr>
          <w:rFonts w:eastAsia="Calibri" w:cs="Times New Roman"/>
          <w:b/>
          <w:noProof/>
          <w:szCs w:val="20"/>
        </w:rPr>
      </w:pPr>
      <w:r w:rsidRPr="0049062B">
        <w:rPr>
          <w:szCs w:val="20"/>
        </w:rPr>
        <w:t xml:space="preserve">Tādējādi šajā ekonomikas krīzē būtiska loma ir valdības īstenotajiem ekonomikas atbalsta un izaugsmes veicināšanas pasākumiem. Salīdzinājumā ar iepriekšējo ekonomikas krīzi šobrīd Latvijas finanšu stāvoklis ir labāks un pieejamie finanšu </w:t>
      </w:r>
      <w:r w:rsidRPr="0049062B">
        <w:rPr>
          <w:noProof/>
          <w:szCs w:val="20"/>
        </w:rPr>
        <w:t xml:space="preserve">resursi ir ievērojami plašāki. Valsts atbalsts uzņēmumiem, izmaksājot dīkstāves pabalstus un piešķirot grantus apgrozāmo līdzekļu plūsmas nodrošināšanai, palīdz mazināt Covid-19 krīzes negatīvo ietekmi uz uzņēmumu darbību. Savukārt vidējā termiņā Latvijai būs pieejamas ES struktūrfondu investīcijas, Atveseļošanas un noturības mehānisma līdzekļi, kā arī investīcijas </w:t>
      </w:r>
      <w:r w:rsidRPr="00E92BC1">
        <w:rPr>
          <w:i/>
          <w:noProof/>
          <w:szCs w:val="20"/>
        </w:rPr>
        <w:t>Rail Baltica</w:t>
      </w:r>
      <w:r w:rsidRPr="0049062B">
        <w:rPr>
          <w:noProof/>
          <w:szCs w:val="20"/>
        </w:rPr>
        <w:t xml:space="preserve"> projekta realizācijai.</w:t>
      </w:r>
    </w:p>
    <w:p w14:paraId="0985049F" w14:textId="77777777" w:rsidR="00964CAC" w:rsidRPr="00500AAB" w:rsidRDefault="00964CAC" w:rsidP="00A83AAD">
      <w:pPr>
        <w:rPr>
          <w:rFonts w:eastAsia="Calibri" w:cs="Times New Roman"/>
          <w:b/>
          <w:szCs w:val="20"/>
        </w:rPr>
      </w:pPr>
      <w:r w:rsidRPr="00500AAB">
        <w:rPr>
          <w:rFonts w:eastAsia="Calibri" w:cs="Times New Roman"/>
          <w:b/>
          <w:szCs w:val="20"/>
        </w:rPr>
        <w:lastRenderedPageBreak/>
        <w:t>Darba tirgus</w:t>
      </w:r>
    </w:p>
    <w:p w14:paraId="4F0EF8C4" w14:textId="4E9D1C2D" w:rsidR="00964CAC" w:rsidRDefault="00964CAC" w:rsidP="00964CAC">
      <w:pPr>
        <w:spacing w:before="60" w:after="60"/>
        <w:rPr>
          <w:szCs w:val="23"/>
        </w:rPr>
      </w:pPr>
      <w:r w:rsidRPr="00571162">
        <w:rPr>
          <w:szCs w:val="20"/>
        </w:rPr>
        <w:t xml:space="preserve">Līdz ar straujo ekonomikas izaugsmi </w:t>
      </w:r>
      <w:r>
        <w:rPr>
          <w:szCs w:val="20"/>
        </w:rPr>
        <w:t>laikā līdz 2019. gadam</w:t>
      </w:r>
      <w:r w:rsidRPr="00571162">
        <w:rPr>
          <w:szCs w:val="20"/>
        </w:rPr>
        <w:t xml:space="preserve"> Latvijā bija vērojama visai strauja bezdarba līmeņa samazināšanās, kas atsevišķās nozarēs un profesijās jau robežojās ar darbaspēka trūkumu, </w:t>
      </w:r>
      <w:r>
        <w:rPr>
          <w:szCs w:val="20"/>
        </w:rPr>
        <w:t>bet</w:t>
      </w:r>
      <w:r w:rsidRPr="00571162">
        <w:rPr>
          <w:szCs w:val="20"/>
        </w:rPr>
        <w:t xml:space="preserve"> 2020.</w:t>
      </w:r>
      <w:r>
        <w:rPr>
          <w:szCs w:val="20"/>
        </w:rPr>
        <w:t> </w:t>
      </w:r>
      <w:r w:rsidRPr="00571162">
        <w:rPr>
          <w:szCs w:val="20"/>
        </w:rPr>
        <w:t xml:space="preserve">gadā </w:t>
      </w:r>
      <w:r>
        <w:rPr>
          <w:szCs w:val="20"/>
        </w:rPr>
        <w:t>šo dinamiku</w:t>
      </w:r>
      <w:r w:rsidRPr="00571162">
        <w:rPr>
          <w:szCs w:val="20"/>
        </w:rPr>
        <w:t xml:space="preserve"> pārtrauca </w:t>
      </w:r>
      <w:r w:rsidRPr="00571162">
        <w:rPr>
          <w:noProof/>
          <w:szCs w:val="20"/>
        </w:rPr>
        <w:t>koronavīrusa izraisītā</w:t>
      </w:r>
      <w:r w:rsidRPr="00571162">
        <w:rPr>
          <w:szCs w:val="20"/>
        </w:rPr>
        <w:t xml:space="preserve"> krīze.</w:t>
      </w:r>
      <w:r>
        <w:rPr>
          <w:szCs w:val="20"/>
        </w:rPr>
        <w:t xml:space="preserve"> </w:t>
      </w:r>
      <w:r w:rsidRPr="00BD2805">
        <w:t>2020.</w:t>
      </w:r>
      <w:r>
        <w:t> </w:t>
      </w:r>
      <w:r w:rsidRPr="00BD2805">
        <w:t>gadā b</w:t>
      </w:r>
      <w:r w:rsidRPr="00BD2805">
        <w:rPr>
          <w:szCs w:val="23"/>
        </w:rPr>
        <w:t>ezdarba līmenis pēc desmit gadus ilguša krituma</w:t>
      </w:r>
      <w:r>
        <w:rPr>
          <w:szCs w:val="23"/>
        </w:rPr>
        <w:t xml:space="preserve"> salīdzinājumā ar 2019. gadu</w:t>
      </w:r>
      <w:r w:rsidRPr="00BD2805">
        <w:rPr>
          <w:szCs w:val="23"/>
        </w:rPr>
        <w:t xml:space="preserve"> p</w:t>
      </w:r>
      <w:r>
        <w:rPr>
          <w:szCs w:val="23"/>
        </w:rPr>
        <w:t>ieauga par 1,8</w:t>
      </w:r>
      <w:r w:rsidR="0037512D">
        <w:rPr>
          <w:szCs w:val="23"/>
        </w:rPr>
        <w:t> </w:t>
      </w:r>
      <w:r>
        <w:rPr>
          <w:szCs w:val="23"/>
        </w:rPr>
        <w:t xml:space="preserve">procentpunktiem un sasniedza 8,1%, bet tautsaimniecībā nodarbināto iedzīvotāju skaits saruka </w:t>
      </w:r>
      <w:r w:rsidRPr="00BD2805">
        <w:t>par 17 tūkstošiem jeb 1,9%</w:t>
      </w:r>
      <w:r>
        <w:t xml:space="preserve">. </w:t>
      </w:r>
      <w:r w:rsidRPr="00BD2805">
        <w:rPr>
          <w:szCs w:val="23"/>
        </w:rPr>
        <w:t xml:space="preserve">Šāds bezdarba pieaugums </w:t>
      </w:r>
      <w:r>
        <w:rPr>
          <w:szCs w:val="23"/>
        </w:rPr>
        <w:t xml:space="preserve">tomēr </w:t>
      </w:r>
      <w:r w:rsidRPr="00BD2805">
        <w:rPr>
          <w:szCs w:val="23"/>
        </w:rPr>
        <w:t>bija mērenāks, nekā tika prognozēts Covid</w:t>
      </w:r>
      <w:r>
        <w:rPr>
          <w:szCs w:val="23"/>
        </w:rPr>
        <w:t>-19</w:t>
      </w:r>
      <w:r w:rsidRPr="00BD2805">
        <w:rPr>
          <w:szCs w:val="23"/>
        </w:rPr>
        <w:t xml:space="preserve"> krīzes sākumā,  un </w:t>
      </w:r>
      <w:r>
        <w:rPr>
          <w:szCs w:val="23"/>
        </w:rPr>
        <w:t xml:space="preserve">bezdarbs joprojām </w:t>
      </w:r>
      <w:r w:rsidRPr="00BD2805">
        <w:rPr>
          <w:szCs w:val="23"/>
        </w:rPr>
        <w:t xml:space="preserve">tālu atpalika </w:t>
      </w:r>
      <w:r w:rsidRPr="00BD2805">
        <w:rPr>
          <w:noProof/>
          <w:szCs w:val="23"/>
        </w:rPr>
        <w:t xml:space="preserve">no </w:t>
      </w:r>
      <w:r w:rsidR="00E92BC1" w:rsidRPr="00BD2805">
        <w:rPr>
          <w:noProof/>
          <w:szCs w:val="23"/>
        </w:rPr>
        <w:t>rekordaugstajiem</w:t>
      </w:r>
      <w:r w:rsidRPr="00BD2805">
        <w:rPr>
          <w:noProof/>
          <w:szCs w:val="23"/>
        </w:rPr>
        <w:t xml:space="preserve"> līmeņiem</w:t>
      </w:r>
      <w:r w:rsidRPr="00BD2805">
        <w:rPr>
          <w:szCs w:val="23"/>
        </w:rPr>
        <w:t xml:space="preserve">, kas </w:t>
      </w:r>
      <w:r>
        <w:rPr>
          <w:szCs w:val="23"/>
        </w:rPr>
        <w:t>tika sasniegti</w:t>
      </w:r>
      <w:r w:rsidRPr="00BD2805">
        <w:rPr>
          <w:szCs w:val="23"/>
        </w:rPr>
        <w:t xml:space="preserve"> 2009.-2010.</w:t>
      </w:r>
      <w:r>
        <w:rPr>
          <w:szCs w:val="23"/>
        </w:rPr>
        <w:t> </w:t>
      </w:r>
      <w:r w:rsidRPr="00BD2805">
        <w:rPr>
          <w:szCs w:val="23"/>
        </w:rPr>
        <w:t>gada ekonomiskās krīzes laikā.</w:t>
      </w:r>
    </w:p>
    <w:p w14:paraId="0C6A491A" w14:textId="77777777" w:rsidR="00964CAC" w:rsidRDefault="00964CAC" w:rsidP="00964CAC">
      <w:pPr>
        <w:spacing w:before="60" w:after="60"/>
        <w:rPr>
          <w:szCs w:val="20"/>
        </w:rPr>
      </w:pPr>
      <w:r w:rsidRPr="00C705C9">
        <w:rPr>
          <w:szCs w:val="20"/>
        </w:rPr>
        <w:t>2021.</w:t>
      </w:r>
      <w:r>
        <w:rPr>
          <w:szCs w:val="20"/>
        </w:rPr>
        <w:t> </w:t>
      </w:r>
      <w:r w:rsidRPr="00C705C9">
        <w:rPr>
          <w:szCs w:val="20"/>
        </w:rPr>
        <w:t>gada pirm</w:t>
      </w:r>
      <w:r>
        <w:rPr>
          <w:szCs w:val="20"/>
        </w:rPr>
        <w:t>ajā pusē</w:t>
      </w:r>
      <w:r w:rsidRPr="00C705C9">
        <w:rPr>
          <w:szCs w:val="20"/>
        </w:rPr>
        <w:t xml:space="preserve"> situāciju darba tirgū turpināja noteikt Covid-19 pandēmija – slimības atkārtotais uzliesmojums, kas sākās pagājušā gada rudenī, un vairāku nozaru darbības apturēšana vai ierobežošana. </w:t>
      </w:r>
      <w:r>
        <w:rPr>
          <w:szCs w:val="20"/>
        </w:rPr>
        <w:t xml:space="preserve">Šā gada pirmajā ceturksnī </w:t>
      </w:r>
      <w:r w:rsidRPr="0008461A">
        <w:rPr>
          <w:szCs w:val="20"/>
        </w:rPr>
        <w:t>bezdarba līmenis</w:t>
      </w:r>
      <w:r>
        <w:rPr>
          <w:szCs w:val="20"/>
        </w:rPr>
        <w:t xml:space="preserve"> pēc </w:t>
      </w:r>
      <w:r>
        <w:rPr>
          <w:noProof/>
          <w:szCs w:val="20"/>
        </w:rPr>
        <w:t>darbaspēka apsekojuma</w:t>
      </w:r>
      <w:r>
        <w:rPr>
          <w:szCs w:val="20"/>
        </w:rPr>
        <w:t xml:space="preserve"> datiem</w:t>
      </w:r>
      <w:r w:rsidRPr="0008461A">
        <w:rPr>
          <w:szCs w:val="20"/>
        </w:rPr>
        <w:t xml:space="preserve"> L</w:t>
      </w:r>
      <w:r>
        <w:rPr>
          <w:szCs w:val="20"/>
        </w:rPr>
        <w:t xml:space="preserve">atvijā paaugstinājās līdz 8,1% un bija par </w:t>
      </w:r>
      <w:r w:rsidRPr="0008461A">
        <w:rPr>
          <w:szCs w:val="20"/>
        </w:rPr>
        <w:t xml:space="preserve">0,2 procentpunktiem augstāks nekā pagājušā gada ceturtajā ceturksnī, bet gada laikā bezdarba līmenis </w:t>
      </w:r>
      <w:r>
        <w:rPr>
          <w:szCs w:val="20"/>
        </w:rPr>
        <w:t xml:space="preserve">bija </w:t>
      </w:r>
      <w:r w:rsidRPr="0008461A">
        <w:rPr>
          <w:szCs w:val="20"/>
        </w:rPr>
        <w:t xml:space="preserve">paaugstinājies par 0,5 procentpunktiem. </w:t>
      </w:r>
      <w:r>
        <w:rPr>
          <w:szCs w:val="20"/>
        </w:rPr>
        <w:t>Tāpat kā pagājušajā gadā, arī šā gada pirmajā ceturksnī b</w:t>
      </w:r>
      <w:r w:rsidRPr="0008461A">
        <w:rPr>
          <w:szCs w:val="20"/>
        </w:rPr>
        <w:t>ezdarba</w:t>
      </w:r>
      <w:r>
        <w:rPr>
          <w:szCs w:val="20"/>
        </w:rPr>
        <w:t xml:space="preserve"> pieaugums</w:t>
      </w:r>
      <w:r w:rsidRPr="0008461A">
        <w:rPr>
          <w:szCs w:val="20"/>
        </w:rPr>
        <w:t xml:space="preserve"> </w:t>
      </w:r>
      <w:r>
        <w:rPr>
          <w:szCs w:val="20"/>
        </w:rPr>
        <w:t>bija</w:t>
      </w:r>
      <w:r w:rsidRPr="0008461A">
        <w:rPr>
          <w:szCs w:val="20"/>
        </w:rPr>
        <w:t xml:space="preserve"> </w:t>
      </w:r>
      <w:r>
        <w:rPr>
          <w:szCs w:val="20"/>
        </w:rPr>
        <w:t>ļoti</w:t>
      </w:r>
      <w:r w:rsidRPr="0008461A">
        <w:rPr>
          <w:szCs w:val="20"/>
        </w:rPr>
        <w:t xml:space="preserve"> </w:t>
      </w:r>
      <w:r>
        <w:rPr>
          <w:szCs w:val="20"/>
        </w:rPr>
        <w:t>mērens un to būtiski ierobežoja</w:t>
      </w:r>
      <w:r w:rsidRPr="0008461A">
        <w:rPr>
          <w:szCs w:val="20"/>
        </w:rPr>
        <w:t xml:space="preserve"> </w:t>
      </w:r>
      <w:r>
        <w:rPr>
          <w:szCs w:val="20"/>
        </w:rPr>
        <w:t xml:space="preserve">gan </w:t>
      </w:r>
      <w:r w:rsidRPr="0008461A">
        <w:rPr>
          <w:szCs w:val="20"/>
        </w:rPr>
        <w:t xml:space="preserve">valsts sniegtais atbalsts dīkstāves pabalstu un algu subsīdiju veidā, gan tas, ka ekonomika krīzes otrajā vilnī </w:t>
      </w:r>
      <w:r>
        <w:rPr>
          <w:szCs w:val="20"/>
        </w:rPr>
        <w:t xml:space="preserve">jau bija </w:t>
      </w:r>
      <w:r w:rsidRPr="0008461A">
        <w:rPr>
          <w:szCs w:val="20"/>
        </w:rPr>
        <w:t xml:space="preserve">labāk pielāgojusies Covid-19 ierobežojumiem. </w:t>
      </w:r>
    </w:p>
    <w:p w14:paraId="64833260" w14:textId="092BA153" w:rsidR="00964CAC" w:rsidRDefault="00964CAC" w:rsidP="00964CAC">
      <w:pPr>
        <w:spacing w:before="60" w:after="60"/>
        <w:rPr>
          <w:szCs w:val="20"/>
        </w:rPr>
      </w:pPr>
      <w:r w:rsidRPr="0008461A">
        <w:rPr>
          <w:szCs w:val="20"/>
        </w:rPr>
        <w:t xml:space="preserve">Tautsaimniecībā nodarbināto iedzīvotāju skaits </w:t>
      </w:r>
      <w:r>
        <w:rPr>
          <w:szCs w:val="20"/>
        </w:rPr>
        <w:t>2021. gada pirmajā ceturksnī bija</w:t>
      </w:r>
      <w:r w:rsidRPr="0008461A">
        <w:rPr>
          <w:szCs w:val="20"/>
        </w:rPr>
        <w:t xml:space="preserve"> par 5,4% jeb 48,3 tūk</w:t>
      </w:r>
      <w:r>
        <w:rPr>
          <w:szCs w:val="20"/>
        </w:rPr>
        <w:t xml:space="preserve">stošiem mazāks nekā pirms gada, ko noteica galvenokārt darbinieku pāriešana ekonomiski neaktīvu iedzīvotāju statusā dīkstāves pabalstu saņemšanas laikā. </w:t>
      </w:r>
      <w:r w:rsidRPr="00FC1DEA">
        <w:rPr>
          <w:szCs w:val="20"/>
        </w:rPr>
        <w:t xml:space="preserve">Dati par aizņemtajām darba vietām rāda, ka </w:t>
      </w:r>
      <w:r>
        <w:rPr>
          <w:szCs w:val="20"/>
        </w:rPr>
        <w:t xml:space="preserve">pandēmijas laikā </w:t>
      </w:r>
      <w:r w:rsidRPr="00FC1DEA">
        <w:rPr>
          <w:szCs w:val="20"/>
        </w:rPr>
        <w:t>lielākais</w:t>
      </w:r>
      <w:r>
        <w:rPr>
          <w:szCs w:val="20"/>
        </w:rPr>
        <w:t xml:space="preserve"> strādājošo skaita kritums bija</w:t>
      </w:r>
      <w:r w:rsidRPr="00FC1DEA">
        <w:rPr>
          <w:szCs w:val="20"/>
        </w:rPr>
        <w:t xml:space="preserve"> </w:t>
      </w:r>
      <w:r>
        <w:rPr>
          <w:szCs w:val="20"/>
        </w:rPr>
        <w:t>ierobežojumu</w:t>
      </w:r>
      <w:r w:rsidRPr="00FC1DEA">
        <w:rPr>
          <w:szCs w:val="20"/>
        </w:rPr>
        <w:t xml:space="preserve"> tieši skartajās nozarēs, tajā skaitā izmitināšanas un ēdināšanas nozarē aizņemto darba vietu skaits</w:t>
      </w:r>
      <w:r>
        <w:rPr>
          <w:szCs w:val="20"/>
        </w:rPr>
        <w:t xml:space="preserve"> 2021.</w:t>
      </w:r>
      <w:r w:rsidR="0037512D">
        <w:rPr>
          <w:szCs w:val="20"/>
        </w:rPr>
        <w:t> </w:t>
      </w:r>
      <w:r>
        <w:rPr>
          <w:szCs w:val="20"/>
        </w:rPr>
        <w:t>gada pirmā ceturkšņa beigās bija par</w:t>
      </w:r>
      <w:r w:rsidRPr="00FC1DEA">
        <w:rPr>
          <w:szCs w:val="20"/>
        </w:rPr>
        <w:t xml:space="preserve"> </w:t>
      </w:r>
      <w:r>
        <w:rPr>
          <w:szCs w:val="20"/>
        </w:rPr>
        <w:t>14,8</w:t>
      </w:r>
      <w:r w:rsidRPr="00FC1DEA">
        <w:rPr>
          <w:szCs w:val="20"/>
        </w:rPr>
        <w:t>%</w:t>
      </w:r>
      <w:r>
        <w:rPr>
          <w:szCs w:val="20"/>
        </w:rPr>
        <w:t xml:space="preserve"> mazāks nekā pirms gada, bet transporta nozarē</w:t>
      </w:r>
      <w:r w:rsidRPr="00FC1DEA">
        <w:rPr>
          <w:szCs w:val="20"/>
        </w:rPr>
        <w:t xml:space="preserve"> </w:t>
      </w:r>
      <w:r>
        <w:rPr>
          <w:szCs w:val="20"/>
        </w:rPr>
        <w:t>darba vietu skaits samazinājās par 8,1%. Finanšu pakalpojumu</w:t>
      </w:r>
      <w:r w:rsidRPr="00FC1DEA">
        <w:rPr>
          <w:szCs w:val="20"/>
        </w:rPr>
        <w:t xml:space="preserve"> </w:t>
      </w:r>
      <w:r>
        <w:rPr>
          <w:szCs w:val="20"/>
        </w:rPr>
        <w:t>nozarē aizņemto darba vietu skaits kritās</w:t>
      </w:r>
      <w:r w:rsidRPr="00FC1DEA">
        <w:rPr>
          <w:szCs w:val="20"/>
        </w:rPr>
        <w:t xml:space="preserve"> par </w:t>
      </w:r>
      <w:r>
        <w:rPr>
          <w:szCs w:val="20"/>
        </w:rPr>
        <w:t>4,0</w:t>
      </w:r>
      <w:r w:rsidRPr="00FC1DEA">
        <w:rPr>
          <w:szCs w:val="20"/>
        </w:rPr>
        <w:t xml:space="preserve">% un mākslas izklaides un atpūtas nozarē – par </w:t>
      </w:r>
      <w:r>
        <w:rPr>
          <w:szCs w:val="20"/>
        </w:rPr>
        <w:t>3,2</w:t>
      </w:r>
      <w:r w:rsidRPr="00FC1DEA">
        <w:rPr>
          <w:szCs w:val="20"/>
        </w:rPr>
        <w:t xml:space="preserve">%. Tajā pašā laikā darba vietu skaits informācijas un komunikācijas pakalpojumu nozarē pieauga par </w:t>
      </w:r>
      <w:r>
        <w:rPr>
          <w:szCs w:val="20"/>
        </w:rPr>
        <w:t>15,2</w:t>
      </w:r>
      <w:r w:rsidRPr="00FC1DEA">
        <w:rPr>
          <w:szCs w:val="20"/>
        </w:rPr>
        <w:t xml:space="preserve">%, </w:t>
      </w:r>
      <w:r>
        <w:rPr>
          <w:szCs w:val="20"/>
        </w:rPr>
        <w:t xml:space="preserve">profesionālo </w:t>
      </w:r>
      <w:r w:rsidRPr="00FC1DEA">
        <w:rPr>
          <w:szCs w:val="20"/>
        </w:rPr>
        <w:t xml:space="preserve">pakalpojumu nozarē par </w:t>
      </w:r>
      <w:r>
        <w:rPr>
          <w:szCs w:val="20"/>
        </w:rPr>
        <w:t xml:space="preserve">9,1%, ieguves rūpniecībā </w:t>
      </w:r>
      <w:r w:rsidRPr="00FC1DEA">
        <w:rPr>
          <w:szCs w:val="20"/>
        </w:rPr>
        <w:t xml:space="preserve">par </w:t>
      </w:r>
      <w:r>
        <w:rPr>
          <w:szCs w:val="20"/>
        </w:rPr>
        <w:t>7,9%, nekustamā īpašuma nozarē</w:t>
      </w:r>
      <w:r w:rsidRPr="00FC1DEA">
        <w:rPr>
          <w:szCs w:val="20"/>
        </w:rPr>
        <w:t xml:space="preserve"> par </w:t>
      </w:r>
      <w:r>
        <w:rPr>
          <w:szCs w:val="20"/>
        </w:rPr>
        <w:t>6,7% un veselības un sociālās aprūpes nozarē par 4,5%.</w:t>
      </w:r>
    </w:p>
    <w:p w14:paraId="1830751A" w14:textId="628AD976" w:rsidR="00964CAC" w:rsidRDefault="00964CAC" w:rsidP="00964CAC">
      <w:pPr>
        <w:spacing w:before="60" w:after="60"/>
        <w:rPr>
          <w:szCs w:val="20"/>
        </w:rPr>
      </w:pPr>
      <w:r w:rsidRPr="0008461A">
        <w:rPr>
          <w:szCs w:val="20"/>
        </w:rPr>
        <w:t>Reģistrētā bezdarba līmenis</w:t>
      </w:r>
      <w:r>
        <w:rPr>
          <w:szCs w:val="20"/>
        </w:rPr>
        <w:t xml:space="preserve">, kas 2021. gada ziemas mēnešos bija pieaudzis līdz </w:t>
      </w:r>
      <w:r w:rsidRPr="0008461A">
        <w:rPr>
          <w:szCs w:val="20"/>
        </w:rPr>
        <w:t xml:space="preserve">8,2%, kopš marta </w:t>
      </w:r>
      <w:r>
        <w:rPr>
          <w:szCs w:val="20"/>
        </w:rPr>
        <w:t>visai stabili samazinās</w:t>
      </w:r>
      <w:r w:rsidRPr="0008461A">
        <w:rPr>
          <w:szCs w:val="20"/>
        </w:rPr>
        <w:t xml:space="preserve"> un jūlija </w:t>
      </w:r>
      <w:r>
        <w:rPr>
          <w:szCs w:val="20"/>
        </w:rPr>
        <w:t>beigās jau ir noslīdējis līdz 7,1</w:t>
      </w:r>
      <w:r w:rsidRPr="0008461A">
        <w:rPr>
          <w:szCs w:val="20"/>
        </w:rPr>
        <w:t xml:space="preserve">% no ekonomiski aktīvajiem iedzīvotājiem. Šāds bezdarba līmenis </w:t>
      </w:r>
      <w:r>
        <w:rPr>
          <w:szCs w:val="20"/>
        </w:rPr>
        <w:t>jau ir par 1,5</w:t>
      </w:r>
      <w:r w:rsidRPr="0008461A">
        <w:rPr>
          <w:szCs w:val="20"/>
        </w:rPr>
        <w:t xml:space="preserve"> procentpunktiem zemāks nekā pirms gada, bet reģistrēto bezdarbnieku skaits gada laikā sarucis par </w:t>
      </w:r>
      <w:r>
        <w:rPr>
          <w:szCs w:val="20"/>
        </w:rPr>
        <w:t>17,4</w:t>
      </w:r>
      <w:r w:rsidRPr="0008461A">
        <w:rPr>
          <w:szCs w:val="20"/>
        </w:rPr>
        <w:t>%.</w:t>
      </w:r>
      <w:r>
        <w:rPr>
          <w:szCs w:val="20"/>
        </w:rPr>
        <w:t xml:space="preserve"> Gada pirmajos mēnešos bezdarba pieaugumu būtiski ierobežoja valsts atbalsts darbu apturējušajiem vai samazinājušajiem biznesiem, un dīkstāves pabalstu un algu subsīdiju saņēmēju skaits bija sasniedzis 7% no ekonomiski aktīvajiem iedzīvotājiem. Arī beidzoties atbalsta periodam, gada otrajā pusē bezdarba līmenis nav sācis pieaug</w:t>
      </w:r>
      <w:r w:rsidR="00463080">
        <w:rPr>
          <w:szCs w:val="20"/>
        </w:rPr>
        <w:t>t</w:t>
      </w:r>
      <w:r>
        <w:rPr>
          <w:szCs w:val="20"/>
        </w:rPr>
        <w:t xml:space="preserve"> – jūlija laikā bezdarbnieku </w:t>
      </w:r>
      <w:r>
        <w:rPr>
          <w:szCs w:val="20"/>
        </w:rPr>
        <w:lastRenderedPageBreak/>
        <w:t xml:space="preserve">skaits ir samazinājies par </w:t>
      </w:r>
      <w:r>
        <w:t>2915 cilvēkiem, bet bezdarba līmenis sarucis no 7,4% jūlija sākumā līdz 7,1% jūlija beigās.</w:t>
      </w:r>
    </w:p>
    <w:p w14:paraId="16093353" w14:textId="77777777" w:rsidR="00964CAC" w:rsidRDefault="00964CAC" w:rsidP="00964CAC">
      <w:pPr>
        <w:spacing w:before="60" w:after="60"/>
        <w:rPr>
          <w:szCs w:val="20"/>
        </w:rPr>
      </w:pPr>
      <w:r>
        <w:rPr>
          <w:szCs w:val="20"/>
        </w:rPr>
        <w:t>M</w:t>
      </w:r>
      <w:r w:rsidRPr="00DF1F74">
        <w:rPr>
          <w:szCs w:val="20"/>
        </w:rPr>
        <w:t>ēneša vidējā bruto darba samaksa</w:t>
      </w:r>
      <w:r>
        <w:rPr>
          <w:szCs w:val="20"/>
        </w:rPr>
        <w:t>, n</w:t>
      </w:r>
      <w:r w:rsidRPr="00DF1F74">
        <w:rPr>
          <w:szCs w:val="20"/>
        </w:rPr>
        <w:t xml:space="preserve">eskatoties uz Covid-19 krīzi, </w:t>
      </w:r>
      <w:r>
        <w:rPr>
          <w:szCs w:val="20"/>
        </w:rPr>
        <w:t xml:space="preserve">gan 2020. gadā, gan šā gada pirmajā pusē uzrādīja visai strauju kāpumu, pagājušajā gadā, salīdzinot ar 2019. gadu palielinoties par </w:t>
      </w:r>
      <w:r w:rsidRPr="00DF1F74">
        <w:rPr>
          <w:szCs w:val="20"/>
        </w:rPr>
        <w:t xml:space="preserve">6,2% </w:t>
      </w:r>
      <w:r w:rsidRPr="00DF1F74">
        <w:rPr>
          <w:noProof/>
          <w:szCs w:val="20"/>
        </w:rPr>
        <w:t xml:space="preserve">līdz 1143 </w:t>
      </w:r>
      <w:r w:rsidRPr="0021544A">
        <w:rPr>
          <w:i/>
          <w:noProof/>
          <w:szCs w:val="20"/>
        </w:rPr>
        <w:t>euro</w:t>
      </w:r>
      <w:r>
        <w:rPr>
          <w:i/>
          <w:noProof/>
          <w:szCs w:val="20"/>
        </w:rPr>
        <w:t>.</w:t>
      </w:r>
      <w:r w:rsidRPr="00DF1F74">
        <w:rPr>
          <w:noProof/>
          <w:szCs w:val="20"/>
        </w:rPr>
        <w:t xml:space="preserve"> Tas bija tikai nedaudz lēnāks pieaugums nekā iepriekšējā gadā, kad darba samaksa bija</w:t>
      </w:r>
      <w:r w:rsidRPr="00DF1F74">
        <w:rPr>
          <w:szCs w:val="20"/>
        </w:rPr>
        <w:t xml:space="preserve"> augusi par 7,2%. Nedaudz straujāks darba samaksas pieaugums 2020.</w:t>
      </w:r>
      <w:r>
        <w:rPr>
          <w:szCs w:val="20"/>
        </w:rPr>
        <w:t> </w:t>
      </w:r>
      <w:r w:rsidRPr="00DF1F74">
        <w:rPr>
          <w:szCs w:val="20"/>
        </w:rPr>
        <w:t>gadā bija privātajā sektorā, kur mēneša vidējā bruto darba samaksa palielinājās par 6,7%, kamēr sabiedri</w:t>
      </w:r>
      <w:r>
        <w:rPr>
          <w:szCs w:val="20"/>
        </w:rPr>
        <w:t>skajā sektorā tā auga par 4,9%.</w:t>
      </w:r>
    </w:p>
    <w:p w14:paraId="7A02B890" w14:textId="7C6EA664" w:rsidR="00964CAC" w:rsidRPr="00DF1F74" w:rsidRDefault="00964CAC" w:rsidP="00964CAC">
      <w:pPr>
        <w:spacing w:before="60" w:after="60"/>
        <w:rPr>
          <w:szCs w:val="20"/>
        </w:rPr>
      </w:pPr>
      <w:r w:rsidRPr="00DF1F74">
        <w:rPr>
          <w:szCs w:val="20"/>
        </w:rPr>
        <w:t>2021.</w:t>
      </w:r>
      <w:r w:rsidR="002D7D76">
        <w:rPr>
          <w:szCs w:val="20"/>
        </w:rPr>
        <w:t> </w:t>
      </w:r>
      <w:r w:rsidRPr="00DF1F74">
        <w:rPr>
          <w:szCs w:val="20"/>
        </w:rPr>
        <w:t>gada pirmajā ceturksnī, lielai daļai zemo algu saņēmēju pārejot dīkstāvē un minimālajai</w:t>
      </w:r>
      <w:r>
        <w:rPr>
          <w:szCs w:val="20"/>
        </w:rPr>
        <w:t xml:space="preserve"> algai palielinoties līdz </w:t>
      </w:r>
      <w:r>
        <w:rPr>
          <w:noProof/>
          <w:szCs w:val="20"/>
        </w:rPr>
        <w:t xml:space="preserve">500 </w:t>
      </w:r>
      <w:r w:rsidRPr="00DF1F74">
        <w:rPr>
          <w:i/>
          <w:noProof/>
          <w:szCs w:val="20"/>
        </w:rPr>
        <w:t>euro</w:t>
      </w:r>
      <w:r w:rsidRPr="00DF1F74">
        <w:rPr>
          <w:noProof/>
          <w:szCs w:val="20"/>
        </w:rPr>
        <w:t xml:space="preserve">, darba samaksas pieaugums kļuva vēl straujāks. Vidējā alga, salīdzinot ar pagājušā gada </w:t>
      </w:r>
      <w:r>
        <w:rPr>
          <w:noProof/>
          <w:szCs w:val="20"/>
        </w:rPr>
        <w:t>pirmo</w:t>
      </w:r>
      <w:r w:rsidRPr="00DF1F74">
        <w:rPr>
          <w:noProof/>
          <w:szCs w:val="20"/>
        </w:rPr>
        <w:t xml:space="preserve"> ceturksni, pieauga par 9,5%, sasniedzot 1207 </w:t>
      </w:r>
      <w:r w:rsidRPr="00DF1F74">
        <w:rPr>
          <w:i/>
          <w:noProof/>
          <w:szCs w:val="20"/>
        </w:rPr>
        <w:t>euro</w:t>
      </w:r>
      <w:r w:rsidRPr="00DF1F74">
        <w:rPr>
          <w:noProof/>
          <w:szCs w:val="20"/>
        </w:rPr>
        <w:t xml:space="preserve">. </w:t>
      </w:r>
      <w:r>
        <w:rPr>
          <w:noProof/>
          <w:szCs w:val="20"/>
        </w:rPr>
        <w:t>D</w:t>
      </w:r>
      <w:r w:rsidRPr="00DF1F74">
        <w:rPr>
          <w:noProof/>
          <w:szCs w:val="20"/>
        </w:rPr>
        <w:t xml:space="preserve">arba samaksas </w:t>
      </w:r>
      <w:r>
        <w:rPr>
          <w:noProof/>
          <w:szCs w:val="20"/>
        </w:rPr>
        <w:t xml:space="preserve">pieaugums sabiedriskajā sektorā un privātajā sektorā bija ļoti līdzīgs, vidējai algai sabiedriskajā sektorā palielinoties par 9,7% līdz 1211 </w:t>
      </w:r>
      <w:r w:rsidRPr="00DF1F74">
        <w:rPr>
          <w:i/>
          <w:noProof/>
          <w:szCs w:val="20"/>
        </w:rPr>
        <w:t>euro</w:t>
      </w:r>
      <w:r w:rsidRPr="00DF1F74">
        <w:rPr>
          <w:noProof/>
          <w:szCs w:val="20"/>
        </w:rPr>
        <w:t>, bet privātajā sekto</w:t>
      </w:r>
      <w:r>
        <w:rPr>
          <w:noProof/>
          <w:szCs w:val="20"/>
        </w:rPr>
        <w:t xml:space="preserve">rā par 9,5% līdz 1208 </w:t>
      </w:r>
      <w:r w:rsidRPr="00DF1F74">
        <w:rPr>
          <w:i/>
          <w:noProof/>
          <w:szCs w:val="20"/>
        </w:rPr>
        <w:t>euro</w:t>
      </w:r>
      <w:r w:rsidRPr="00DF1F74">
        <w:rPr>
          <w:noProof/>
          <w:szCs w:val="20"/>
        </w:rPr>
        <w:t>. Vidējās darba samaksas pārmaiņas</w:t>
      </w:r>
      <w:r>
        <w:rPr>
          <w:noProof/>
          <w:szCs w:val="20"/>
        </w:rPr>
        <w:t xml:space="preserve"> gan pagājušajā gadā, gan šā gada pirmajā ceturksnī</w:t>
      </w:r>
      <w:r w:rsidRPr="00DF1F74">
        <w:rPr>
          <w:noProof/>
          <w:szCs w:val="20"/>
        </w:rPr>
        <w:t xml:space="preserve"> būtiski ietekmēja ne tikai darbinieku algu izmaiņas, bet arī darba tirgus strukturālās pārmaiņas – darbību uzsā</w:t>
      </w:r>
      <w:proofErr w:type="spellStart"/>
      <w:r w:rsidRPr="00DF1F74">
        <w:rPr>
          <w:szCs w:val="20"/>
        </w:rPr>
        <w:t>kušie</w:t>
      </w:r>
      <w:proofErr w:type="spellEnd"/>
      <w:r w:rsidRPr="00DF1F74">
        <w:rPr>
          <w:szCs w:val="20"/>
        </w:rPr>
        <w:t xml:space="preserve"> un pārtraukušie uzņēmumi un darbinieku skaita un slodžu izmaiņas. Algoto darbinieku skaits, pārrēķināts pilnā slodzē, </w:t>
      </w:r>
      <w:r>
        <w:rPr>
          <w:szCs w:val="20"/>
        </w:rPr>
        <w:t xml:space="preserve">2021. gada </w:t>
      </w:r>
      <w:r w:rsidRPr="00DF1F74">
        <w:rPr>
          <w:szCs w:val="20"/>
        </w:rPr>
        <w:t>pirmajā ceturksnī samazinājās par 61,3</w:t>
      </w:r>
      <w:r w:rsidR="002D7D76">
        <w:rPr>
          <w:szCs w:val="20"/>
        </w:rPr>
        <w:t> </w:t>
      </w:r>
      <w:r w:rsidRPr="00DF1F74">
        <w:rPr>
          <w:szCs w:val="20"/>
        </w:rPr>
        <w:t xml:space="preserve">tūkstošiem jeb 8,2%, ko ietekmēja darbinieku atlaišana, darba slodžu samazināšana un darbinieku skaita kritums izmaksāto dīkstāvju pabalstu dēļ. Savukārt darba samaksas fonds valstī kopumā nedaudz pieauga – par 0,6% jeb 14,3 </w:t>
      </w:r>
      <w:r w:rsidRPr="00DF1F74">
        <w:rPr>
          <w:noProof/>
          <w:szCs w:val="20"/>
        </w:rPr>
        <w:t xml:space="preserve">miljoniem </w:t>
      </w:r>
      <w:r w:rsidRPr="0021544A">
        <w:rPr>
          <w:i/>
          <w:noProof/>
          <w:szCs w:val="20"/>
        </w:rPr>
        <w:t>euro</w:t>
      </w:r>
      <w:r w:rsidRPr="00DF1F74">
        <w:rPr>
          <w:noProof/>
          <w:szCs w:val="20"/>
        </w:rPr>
        <w:t>.</w:t>
      </w:r>
    </w:p>
    <w:p w14:paraId="556F5C1B" w14:textId="77777777" w:rsidR="00964CAC" w:rsidRPr="00500AAB" w:rsidRDefault="00964CAC" w:rsidP="00A83AAD">
      <w:pPr>
        <w:rPr>
          <w:rFonts w:eastAsia="Calibri" w:cs="Times New Roman"/>
          <w:b/>
          <w:szCs w:val="20"/>
        </w:rPr>
      </w:pPr>
      <w:r w:rsidRPr="00500AAB">
        <w:rPr>
          <w:rFonts w:eastAsia="Calibri" w:cs="Times New Roman"/>
          <w:b/>
          <w:sz w:val="24"/>
          <w:szCs w:val="24"/>
        </w:rPr>
        <w:t xml:space="preserve"> </w:t>
      </w:r>
      <w:r w:rsidRPr="00500AAB">
        <w:rPr>
          <w:rFonts w:eastAsia="Calibri" w:cs="Times New Roman"/>
          <w:b/>
          <w:szCs w:val="20"/>
        </w:rPr>
        <w:t xml:space="preserve">Inflācija </w:t>
      </w:r>
    </w:p>
    <w:p w14:paraId="2C2D51F3" w14:textId="77777777" w:rsidR="00964CAC" w:rsidRDefault="00964CAC" w:rsidP="00964CAC">
      <w:pPr>
        <w:spacing w:before="60" w:after="60"/>
        <w:ind w:firstLine="709"/>
        <w:rPr>
          <w:color w:val="000000" w:themeColor="text1"/>
          <w:szCs w:val="28"/>
        </w:rPr>
      </w:pPr>
      <w:r w:rsidRPr="00AE5BBF">
        <w:rPr>
          <w:szCs w:val="28"/>
        </w:rPr>
        <w:t>2020.</w:t>
      </w:r>
      <w:r>
        <w:rPr>
          <w:szCs w:val="28"/>
        </w:rPr>
        <w:t> </w:t>
      </w:r>
      <w:r w:rsidRPr="00AE5BBF">
        <w:rPr>
          <w:szCs w:val="28"/>
        </w:rPr>
        <w:t>gadā salīdzinājumā ar iepriekšējo gadu patēriņa cenas Latvijā pieauga par 0,2%.</w:t>
      </w:r>
      <w:r>
        <w:rPr>
          <w:szCs w:val="28"/>
        </w:rPr>
        <w:t xml:space="preserve"> </w:t>
      </w:r>
      <w:r w:rsidRPr="00AE5BBF">
        <w:rPr>
          <w:szCs w:val="28"/>
        </w:rPr>
        <w:t xml:space="preserve">Pandēmija būtiski izmainīja patēriņa cenu dinamiku gan Eiropā, gan Latvijā. </w:t>
      </w:r>
      <w:r w:rsidRPr="00AE5BBF">
        <w:rPr>
          <w:color w:val="000000" w:themeColor="text1"/>
          <w:szCs w:val="28"/>
        </w:rPr>
        <w:t>Ja vēl pērn janvārī un februārī gada inflācija Latvijā pārsniedza 2%, tad 2020.</w:t>
      </w:r>
      <w:r>
        <w:rPr>
          <w:color w:val="000000" w:themeColor="text1"/>
          <w:szCs w:val="28"/>
        </w:rPr>
        <w:t> </w:t>
      </w:r>
      <w:r w:rsidRPr="00AE5BBF">
        <w:rPr>
          <w:color w:val="000000" w:themeColor="text1"/>
          <w:szCs w:val="28"/>
        </w:rPr>
        <w:t>gada maijā un jūnijā pirmo reizi kopš 2016.</w:t>
      </w:r>
      <w:r>
        <w:rPr>
          <w:color w:val="000000" w:themeColor="text1"/>
          <w:szCs w:val="28"/>
        </w:rPr>
        <w:t> </w:t>
      </w:r>
      <w:r w:rsidRPr="00AE5BBF">
        <w:rPr>
          <w:color w:val="000000" w:themeColor="text1"/>
          <w:szCs w:val="28"/>
        </w:rPr>
        <w:t xml:space="preserve">gada vidus bija fiksēta deflācija. Jūlijā </w:t>
      </w:r>
      <w:r>
        <w:rPr>
          <w:color w:val="000000" w:themeColor="text1"/>
          <w:szCs w:val="28"/>
        </w:rPr>
        <w:t xml:space="preserve">īslaicīgi </w:t>
      </w:r>
      <w:r w:rsidRPr="00AE5BBF">
        <w:rPr>
          <w:color w:val="000000" w:themeColor="text1"/>
          <w:szCs w:val="28"/>
        </w:rPr>
        <w:t xml:space="preserve">bija </w:t>
      </w:r>
      <w:r>
        <w:rPr>
          <w:color w:val="000000" w:themeColor="text1"/>
          <w:szCs w:val="28"/>
        </w:rPr>
        <w:t xml:space="preserve">novērojama </w:t>
      </w:r>
      <w:r w:rsidRPr="00AE5BBF">
        <w:rPr>
          <w:color w:val="000000" w:themeColor="text1"/>
          <w:szCs w:val="28"/>
        </w:rPr>
        <w:t xml:space="preserve">inflācija </w:t>
      </w:r>
      <w:r>
        <w:rPr>
          <w:color w:val="000000" w:themeColor="text1"/>
          <w:szCs w:val="28"/>
        </w:rPr>
        <w:t xml:space="preserve">– </w:t>
      </w:r>
      <w:r w:rsidRPr="00AE5BBF">
        <w:rPr>
          <w:color w:val="000000" w:themeColor="text1"/>
          <w:szCs w:val="28"/>
        </w:rPr>
        <w:t>patēriņa cenas pieauga par 0,5%</w:t>
      </w:r>
      <w:r>
        <w:rPr>
          <w:color w:val="000000" w:themeColor="text1"/>
          <w:szCs w:val="28"/>
        </w:rPr>
        <w:t xml:space="preserve"> </w:t>
      </w:r>
      <w:r w:rsidRPr="00AE5BBF">
        <w:rPr>
          <w:color w:val="000000" w:themeColor="text1"/>
          <w:szCs w:val="28"/>
        </w:rPr>
        <w:t xml:space="preserve">gada </w:t>
      </w:r>
      <w:r>
        <w:rPr>
          <w:color w:val="000000" w:themeColor="text1"/>
          <w:szCs w:val="28"/>
        </w:rPr>
        <w:t>izteiksmē</w:t>
      </w:r>
      <w:r w:rsidRPr="00AE5BBF">
        <w:rPr>
          <w:color w:val="000000" w:themeColor="text1"/>
          <w:szCs w:val="28"/>
        </w:rPr>
        <w:t xml:space="preserve">, ko lielā mērā </w:t>
      </w:r>
      <w:r>
        <w:rPr>
          <w:color w:val="000000" w:themeColor="text1"/>
          <w:szCs w:val="28"/>
        </w:rPr>
        <w:t>noteica</w:t>
      </w:r>
      <w:r w:rsidRPr="00AE5BBF">
        <w:rPr>
          <w:color w:val="000000" w:themeColor="text1"/>
          <w:szCs w:val="28"/>
        </w:rPr>
        <w:t xml:space="preserve"> pārtikas cenu pieaugums. Savukārt jau augustā atkal bija fiksēta deflācija, ar </w:t>
      </w:r>
      <w:r>
        <w:rPr>
          <w:color w:val="000000" w:themeColor="text1"/>
          <w:szCs w:val="28"/>
        </w:rPr>
        <w:t xml:space="preserve">paātrinājumu </w:t>
      </w:r>
      <w:r w:rsidRPr="00AE5BBF">
        <w:rPr>
          <w:color w:val="000000" w:themeColor="text1"/>
          <w:szCs w:val="28"/>
        </w:rPr>
        <w:t>turpmākajos mēnešos līdz 2020.</w:t>
      </w:r>
      <w:r>
        <w:rPr>
          <w:color w:val="000000" w:themeColor="text1"/>
          <w:szCs w:val="28"/>
        </w:rPr>
        <w:t> </w:t>
      </w:r>
      <w:r w:rsidRPr="00AE5BBF">
        <w:rPr>
          <w:color w:val="000000" w:themeColor="text1"/>
          <w:szCs w:val="28"/>
        </w:rPr>
        <w:t>gada beigām.</w:t>
      </w:r>
    </w:p>
    <w:p w14:paraId="61AD9E75" w14:textId="5622F7F2" w:rsidR="00964CAC" w:rsidRPr="00AE5BBF" w:rsidRDefault="00964CAC" w:rsidP="00964CAC">
      <w:pPr>
        <w:spacing w:before="60" w:after="60"/>
        <w:ind w:firstLine="709"/>
        <w:rPr>
          <w:szCs w:val="28"/>
        </w:rPr>
      </w:pPr>
      <w:r>
        <w:rPr>
          <w:color w:val="000000" w:themeColor="text1"/>
          <w:szCs w:val="28"/>
        </w:rPr>
        <w:t>Straujo</w:t>
      </w:r>
      <w:r w:rsidRPr="00AE5BBF">
        <w:rPr>
          <w:color w:val="000000" w:themeColor="text1"/>
          <w:szCs w:val="28"/>
        </w:rPr>
        <w:t xml:space="preserve"> patēriņa cenu kritumu samērā īsā laika periodā noteica gan </w:t>
      </w:r>
      <w:r w:rsidRPr="00AE5BBF">
        <w:rPr>
          <w:szCs w:val="28"/>
        </w:rPr>
        <w:t xml:space="preserve">ārējie, gan iekšējie faktori, tomēr abos gadījumos cenu kritums ir saistīts ar Covid-19 pandēmijas sekām. Pandēmijas dēļ visā pasaulē </w:t>
      </w:r>
      <w:r>
        <w:rPr>
          <w:szCs w:val="28"/>
        </w:rPr>
        <w:t>samazinājās</w:t>
      </w:r>
      <w:r w:rsidRPr="00AE5BBF">
        <w:rPr>
          <w:szCs w:val="28"/>
        </w:rPr>
        <w:t xml:space="preserve"> ekonomiskā aktivitāte un pieprasījum</w:t>
      </w:r>
      <w:r>
        <w:rPr>
          <w:szCs w:val="28"/>
        </w:rPr>
        <w:t>s pēc energoresursiem, tādējādi</w:t>
      </w:r>
      <w:r w:rsidRPr="00AE5BBF">
        <w:rPr>
          <w:szCs w:val="28"/>
        </w:rPr>
        <w:t xml:space="preserve"> naftas cena 2020.</w:t>
      </w:r>
      <w:r w:rsidR="00183A5E">
        <w:rPr>
          <w:szCs w:val="28"/>
        </w:rPr>
        <w:t> </w:t>
      </w:r>
      <w:r w:rsidRPr="00AE5BBF">
        <w:rPr>
          <w:szCs w:val="28"/>
        </w:rPr>
        <w:t>gad</w:t>
      </w:r>
      <w:r>
        <w:rPr>
          <w:szCs w:val="28"/>
        </w:rPr>
        <w:t>a</w:t>
      </w:r>
      <w:r w:rsidRPr="00AE5BBF">
        <w:rPr>
          <w:szCs w:val="28"/>
        </w:rPr>
        <w:t xml:space="preserve"> </w:t>
      </w:r>
      <w:r>
        <w:rPr>
          <w:szCs w:val="28"/>
        </w:rPr>
        <w:t>aprīlī piedzīvoja kritumu līdz zemākajam līmenim</w:t>
      </w:r>
      <w:r w:rsidRPr="00AE5BBF">
        <w:rPr>
          <w:szCs w:val="28"/>
        </w:rPr>
        <w:t xml:space="preserve"> pēdējo 16 gadu </w:t>
      </w:r>
      <w:r>
        <w:rPr>
          <w:szCs w:val="28"/>
        </w:rPr>
        <w:t>laikā</w:t>
      </w:r>
      <w:r w:rsidRPr="00AE5BBF">
        <w:rPr>
          <w:szCs w:val="28"/>
        </w:rPr>
        <w:t>. Tā rezultātā</w:t>
      </w:r>
      <w:r>
        <w:rPr>
          <w:szCs w:val="28"/>
        </w:rPr>
        <w:t xml:space="preserve"> Latvijā strauji samazinājā</w:t>
      </w:r>
      <w:r w:rsidRPr="00AE5BBF">
        <w:rPr>
          <w:szCs w:val="28"/>
        </w:rPr>
        <w:t>s gāzes, degvielas un siltumenerģijas cenas. Savukā</w:t>
      </w:r>
      <w:r>
        <w:rPr>
          <w:szCs w:val="28"/>
        </w:rPr>
        <w:t>rt</w:t>
      </w:r>
      <w:r w:rsidRPr="00AE5BBF">
        <w:rPr>
          <w:szCs w:val="28"/>
        </w:rPr>
        <w:t xml:space="preserve"> ārkārtējās situācijas izsludināšana gan Latvijā, gan pārējās pasaules valstīs un ieviestie pasākumiem cī</w:t>
      </w:r>
      <w:r>
        <w:rPr>
          <w:szCs w:val="28"/>
        </w:rPr>
        <w:t xml:space="preserve">ņai pret </w:t>
      </w:r>
      <w:r>
        <w:rPr>
          <w:noProof/>
          <w:szCs w:val="28"/>
        </w:rPr>
        <w:t>koron</w:t>
      </w:r>
      <w:r w:rsidR="00183A5E">
        <w:rPr>
          <w:noProof/>
          <w:szCs w:val="28"/>
        </w:rPr>
        <w:t>a</w:t>
      </w:r>
      <w:r>
        <w:rPr>
          <w:noProof/>
          <w:szCs w:val="28"/>
        </w:rPr>
        <w:t>vīrusa</w:t>
      </w:r>
      <w:r>
        <w:rPr>
          <w:szCs w:val="28"/>
        </w:rPr>
        <w:t xml:space="preserve"> izplatību</w:t>
      </w:r>
      <w:r w:rsidRPr="00AE5BBF">
        <w:rPr>
          <w:szCs w:val="28"/>
        </w:rPr>
        <w:t xml:space="preserve"> mazināja </w:t>
      </w:r>
      <w:r w:rsidRPr="00AE5BBF">
        <w:rPr>
          <w:color w:val="000000" w:themeColor="text1"/>
          <w:szCs w:val="28"/>
        </w:rPr>
        <w:t>pieprasījumu ar tūrisma nozari saistīt</w:t>
      </w:r>
      <w:r>
        <w:rPr>
          <w:color w:val="000000" w:themeColor="text1"/>
          <w:szCs w:val="28"/>
        </w:rPr>
        <w:t>aj</w:t>
      </w:r>
      <w:r w:rsidRPr="00AE5BBF">
        <w:rPr>
          <w:color w:val="000000" w:themeColor="text1"/>
          <w:szCs w:val="28"/>
        </w:rPr>
        <w:t xml:space="preserve">iem pakalpojumiem, kā piemēram, aviopārvadājumiem un izmitināšanas pakalpojumiem. </w:t>
      </w:r>
      <w:r w:rsidRPr="00AE5BBF">
        <w:rPr>
          <w:szCs w:val="28"/>
        </w:rPr>
        <w:t xml:space="preserve">Tā rezultātā saruka arī šo </w:t>
      </w:r>
      <w:r w:rsidRPr="00AE5BBF">
        <w:rPr>
          <w:szCs w:val="28"/>
        </w:rPr>
        <w:lastRenderedPageBreak/>
        <w:t>pakalpojumu cenas. Kopumā 2020.</w:t>
      </w:r>
      <w:r>
        <w:rPr>
          <w:szCs w:val="28"/>
        </w:rPr>
        <w:t> </w:t>
      </w:r>
      <w:r w:rsidRPr="00AE5BBF">
        <w:rPr>
          <w:szCs w:val="28"/>
        </w:rPr>
        <w:t>gadā preču cen</w:t>
      </w:r>
      <w:r>
        <w:rPr>
          <w:szCs w:val="28"/>
        </w:rPr>
        <w:t>a</w:t>
      </w:r>
      <w:r w:rsidRPr="00AE5BBF">
        <w:rPr>
          <w:szCs w:val="28"/>
        </w:rPr>
        <w:t xml:space="preserve">s vidēji samazinājās par 0,5%, bet pakalpojumi bija vidēji par 1,9% dārgāki nekā iepriekšējā gadā. Lai arī pakalpojumu cenas </w:t>
      </w:r>
      <w:r>
        <w:rPr>
          <w:szCs w:val="28"/>
        </w:rPr>
        <w:t>pērn</w:t>
      </w:r>
      <w:r w:rsidRPr="00AE5BBF">
        <w:rPr>
          <w:szCs w:val="28"/>
        </w:rPr>
        <w:t xml:space="preserve"> palielinājās, fiksētais kāpums bija gandrīz uz pusi mazāks nekā iepriekšējos gados.</w:t>
      </w:r>
    </w:p>
    <w:p w14:paraId="5CA4DDC5" w14:textId="7085FB11" w:rsidR="00964CAC" w:rsidRDefault="00964CAC" w:rsidP="00964CAC">
      <w:pPr>
        <w:spacing w:before="60" w:after="60"/>
        <w:ind w:firstLine="709"/>
        <w:rPr>
          <w:szCs w:val="28"/>
        </w:rPr>
      </w:pPr>
      <w:r w:rsidRPr="00AE5BBF">
        <w:rPr>
          <w:szCs w:val="28"/>
        </w:rPr>
        <w:t>2021.</w:t>
      </w:r>
      <w:r>
        <w:rPr>
          <w:szCs w:val="28"/>
        </w:rPr>
        <w:t> </w:t>
      </w:r>
      <w:r w:rsidRPr="00AE5BBF">
        <w:rPr>
          <w:szCs w:val="28"/>
        </w:rPr>
        <w:t>gad</w:t>
      </w:r>
      <w:r>
        <w:rPr>
          <w:szCs w:val="28"/>
        </w:rPr>
        <w:t>a</w:t>
      </w:r>
      <w:r w:rsidRPr="00AE5BBF">
        <w:rPr>
          <w:szCs w:val="28"/>
        </w:rPr>
        <w:t xml:space="preserve"> pirmajā pusē patēriņa cenu līmenis Latvijā bija par 1,1% augstāks nekā pērnā gada attiecīgajā periodā. Neskatoties uz to, ka inflācija </w:t>
      </w:r>
      <w:r>
        <w:rPr>
          <w:szCs w:val="28"/>
        </w:rPr>
        <w:t xml:space="preserve">gada </w:t>
      </w:r>
      <w:r w:rsidRPr="00AE5BBF">
        <w:rPr>
          <w:szCs w:val="28"/>
        </w:rPr>
        <w:t>pirmajos sešos mēnešos bija mērena</w:t>
      </w:r>
      <w:r>
        <w:rPr>
          <w:szCs w:val="28"/>
        </w:rPr>
        <w:t>,</w:t>
      </w:r>
      <w:r w:rsidRPr="00AE5BBF">
        <w:rPr>
          <w:szCs w:val="28"/>
        </w:rPr>
        <w:t xml:space="preserve"> cenu izmaiņas gad</w:t>
      </w:r>
      <w:r>
        <w:rPr>
          <w:szCs w:val="28"/>
        </w:rPr>
        <w:t>a</w:t>
      </w:r>
      <w:r w:rsidRPr="00AE5BBF">
        <w:rPr>
          <w:szCs w:val="28"/>
        </w:rPr>
        <w:t xml:space="preserve"> sākumā un </w:t>
      </w:r>
      <w:r>
        <w:rPr>
          <w:szCs w:val="28"/>
        </w:rPr>
        <w:t>vēlākajos mēnešos</w:t>
      </w:r>
      <w:r w:rsidRPr="00AE5BBF">
        <w:rPr>
          <w:szCs w:val="28"/>
        </w:rPr>
        <w:t xml:space="preserve"> būtiski atšķiras. Š</w:t>
      </w:r>
      <w:r w:rsidR="007E0E15">
        <w:rPr>
          <w:szCs w:val="28"/>
        </w:rPr>
        <w:t>ā gada</w:t>
      </w:r>
      <w:r w:rsidRPr="00AE5BBF">
        <w:rPr>
          <w:szCs w:val="28"/>
        </w:rPr>
        <w:t xml:space="preserve"> janvārī un februārī Latvijā turpinājās deflācija un kopumā </w:t>
      </w:r>
      <w:r>
        <w:rPr>
          <w:szCs w:val="28"/>
        </w:rPr>
        <w:t xml:space="preserve">bija </w:t>
      </w:r>
      <w:r w:rsidRPr="00AE5BBF">
        <w:rPr>
          <w:szCs w:val="28"/>
        </w:rPr>
        <w:t>saglabājusies iepriekšējā gada nogales tendence, kad patēriņa cenu līmenis bija krītošs. Savukārt š</w:t>
      </w:r>
      <w:r w:rsidR="007E0E15">
        <w:rPr>
          <w:szCs w:val="28"/>
        </w:rPr>
        <w:t>ā gada</w:t>
      </w:r>
      <w:r w:rsidRPr="00AE5BBF">
        <w:rPr>
          <w:szCs w:val="28"/>
        </w:rPr>
        <w:t xml:space="preserve"> martā </w:t>
      </w:r>
      <w:r>
        <w:rPr>
          <w:szCs w:val="28"/>
        </w:rPr>
        <w:t>patēriņa cenu pieaugums</w:t>
      </w:r>
      <w:r w:rsidRPr="00AE5BBF">
        <w:rPr>
          <w:szCs w:val="28"/>
        </w:rPr>
        <w:t xml:space="preserve"> pirmo reizi kopš pērnā gada augusta pārsniedza nulles atzīmi un </w:t>
      </w:r>
      <w:r>
        <w:rPr>
          <w:szCs w:val="28"/>
        </w:rPr>
        <w:t>cenas pieauga par</w:t>
      </w:r>
      <w:r w:rsidRPr="00AE5BBF">
        <w:rPr>
          <w:szCs w:val="28"/>
        </w:rPr>
        <w:t xml:space="preserve"> 0,3% gada izteiksmē.</w:t>
      </w:r>
      <w:r>
        <w:rPr>
          <w:szCs w:val="28"/>
        </w:rPr>
        <w:t xml:space="preserve"> </w:t>
      </w:r>
      <w:r w:rsidRPr="00AE5BBF">
        <w:rPr>
          <w:szCs w:val="28"/>
        </w:rPr>
        <w:t xml:space="preserve">Kopš pandēmijas sākuma </w:t>
      </w:r>
      <w:r>
        <w:rPr>
          <w:szCs w:val="28"/>
        </w:rPr>
        <w:t xml:space="preserve">bija pagājis viens gads, tādējādi, </w:t>
      </w:r>
      <w:r w:rsidRPr="00AE5BBF">
        <w:rPr>
          <w:szCs w:val="28"/>
        </w:rPr>
        <w:t xml:space="preserve">mazinoties Covid-19 krīzes negatīvajiem faktoriem un izzūdot bāzes efektiem, deflācijas periods Latvijā, ko izraisīja pandēmija, </w:t>
      </w:r>
      <w:r>
        <w:rPr>
          <w:szCs w:val="28"/>
        </w:rPr>
        <w:t>bija</w:t>
      </w:r>
      <w:r w:rsidRPr="00AE5BBF">
        <w:rPr>
          <w:szCs w:val="28"/>
        </w:rPr>
        <w:t xml:space="preserve"> beidzies. Turpmākajos mēnešos </w:t>
      </w:r>
      <w:r>
        <w:rPr>
          <w:szCs w:val="28"/>
        </w:rPr>
        <w:t xml:space="preserve">cenu pieaugums ir </w:t>
      </w:r>
      <w:r w:rsidRPr="00AE5BBF">
        <w:rPr>
          <w:szCs w:val="28"/>
        </w:rPr>
        <w:t>paātrināj</w:t>
      </w:r>
      <w:r>
        <w:rPr>
          <w:szCs w:val="28"/>
        </w:rPr>
        <w:t>ies</w:t>
      </w:r>
      <w:r w:rsidRPr="00AE5BBF">
        <w:rPr>
          <w:szCs w:val="28"/>
        </w:rPr>
        <w:t xml:space="preserve"> no 1,7% aprīlī līdz 2,7% jūnijā.</w:t>
      </w:r>
    </w:p>
    <w:p w14:paraId="3BDCC4A7" w14:textId="39940505" w:rsidR="00964CAC" w:rsidRPr="00AE5BBF" w:rsidRDefault="00964CAC" w:rsidP="00964CAC">
      <w:pPr>
        <w:spacing w:before="60" w:after="60"/>
        <w:ind w:firstLine="709"/>
        <w:rPr>
          <w:szCs w:val="28"/>
        </w:rPr>
      </w:pPr>
      <w:r w:rsidRPr="00AE5BBF">
        <w:rPr>
          <w:szCs w:val="28"/>
        </w:rPr>
        <w:t>Samērā straujo cenu pieaugumu š</w:t>
      </w:r>
      <w:r w:rsidR="007E0E15">
        <w:rPr>
          <w:szCs w:val="28"/>
        </w:rPr>
        <w:t>ā gada</w:t>
      </w:r>
      <w:r w:rsidRPr="00AE5BBF">
        <w:rPr>
          <w:szCs w:val="28"/>
        </w:rPr>
        <w:t xml:space="preserve"> otrajā ceturksnī noteica vairāki faktori. Viens no faktoriem </w:t>
      </w:r>
      <w:r>
        <w:rPr>
          <w:szCs w:val="28"/>
        </w:rPr>
        <w:t xml:space="preserve">bija </w:t>
      </w:r>
      <w:r w:rsidRPr="00AE5BBF">
        <w:rPr>
          <w:szCs w:val="28"/>
        </w:rPr>
        <w:t>bāzes efekts, jo pērn maijā un jūnijā Latvijā bija fiksēt</w:t>
      </w:r>
      <w:r>
        <w:rPr>
          <w:szCs w:val="28"/>
        </w:rPr>
        <w:t>a</w:t>
      </w:r>
      <w:r w:rsidRPr="00AE5BBF">
        <w:rPr>
          <w:szCs w:val="28"/>
        </w:rPr>
        <w:t xml:space="preserve"> deflācija attiecīgi 0,6% un 0,7% apmērā. Tomēr noteicoš</w:t>
      </w:r>
      <w:r>
        <w:rPr>
          <w:szCs w:val="28"/>
        </w:rPr>
        <w:t>ā</w:t>
      </w:r>
      <w:r w:rsidRPr="00AE5BBF">
        <w:rPr>
          <w:szCs w:val="28"/>
        </w:rPr>
        <w:t xml:space="preserve"> loma bija izejviel</w:t>
      </w:r>
      <w:r>
        <w:rPr>
          <w:szCs w:val="28"/>
        </w:rPr>
        <w:t>u cenu kāpumam, kas atspoguļojās augo</w:t>
      </w:r>
      <w:r w:rsidRPr="00AE5BBF">
        <w:rPr>
          <w:szCs w:val="28"/>
        </w:rPr>
        <w:t>šajās degvielas un pārtikas cenās. Kopumā jāsecina, ka pašreizējo patēriņa cenu dinamiku nosaka galvenokārt ārējie faktori, t.i., naftas un pārtikas cenu pieaugums pasaulē, transportēšanas izmaksu pieaugums, ko ietekmē gan augst</w:t>
      </w:r>
      <w:r>
        <w:rPr>
          <w:szCs w:val="28"/>
        </w:rPr>
        <w:t>ākas degvielas cenas, gan piegāžu</w:t>
      </w:r>
      <w:r w:rsidRPr="00AE5BBF">
        <w:rPr>
          <w:szCs w:val="28"/>
        </w:rPr>
        <w:t xml:space="preserve"> traucējumi saistībā ar ierobežojumie</w:t>
      </w:r>
      <w:r>
        <w:rPr>
          <w:szCs w:val="28"/>
        </w:rPr>
        <w:t xml:space="preserve">m visā pasaulē pandēmijas dēļ, gan </w:t>
      </w:r>
      <w:r w:rsidRPr="00AE5BBF">
        <w:rPr>
          <w:szCs w:val="28"/>
        </w:rPr>
        <w:t>arī pasaules ekonomikas atkopšanās no pandēmijas un līdz ar to augošais pieprasījums. Ja iepriekšējā gadā tieši ārējie faktori Latvijā noteica deflāciju atsevišķos mēnešos, tad šogad būs vērojama pretēja situācija</w:t>
      </w:r>
      <w:r>
        <w:rPr>
          <w:szCs w:val="28"/>
        </w:rPr>
        <w:t xml:space="preserve"> –</w:t>
      </w:r>
      <w:r w:rsidRPr="00AE5BBF">
        <w:rPr>
          <w:szCs w:val="28"/>
        </w:rPr>
        <w:t xml:space="preserve"> importētā inflācija būs ievērojama augstāka nekā pamatinflācija. Vienlaicīgi jāatzīmē, ka tādos pakalpojumu sektoros kā izmitināšana un pasažieru aviopārvadājumi pandēmijas ietekme joprojām </w:t>
      </w:r>
      <w:r>
        <w:rPr>
          <w:szCs w:val="28"/>
        </w:rPr>
        <w:t xml:space="preserve">ir </w:t>
      </w:r>
      <w:r w:rsidRPr="00AE5BBF">
        <w:rPr>
          <w:szCs w:val="28"/>
        </w:rPr>
        <w:t>jūtama un šajos sektoros cenas š</w:t>
      </w:r>
      <w:r w:rsidR="007E0E15">
        <w:rPr>
          <w:szCs w:val="28"/>
        </w:rPr>
        <w:t>ā gada</w:t>
      </w:r>
      <w:r w:rsidRPr="00AE5BBF">
        <w:rPr>
          <w:szCs w:val="28"/>
        </w:rPr>
        <w:t xml:space="preserve"> pirmajā pusē turpināja samazināties. </w:t>
      </w:r>
    </w:p>
    <w:p w14:paraId="1F711EB3" w14:textId="39E61CFD" w:rsidR="00964CAC" w:rsidRDefault="00964CAC" w:rsidP="00964CAC">
      <w:pPr>
        <w:spacing w:before="60" w:after="60"/>
        <w:ind w:firstLine="709"/>
        <w:rPr>
          <w:szCs w:val="28"/>
        </w:rPr>
      </w:pPr>
      <w:r w:rsidRPr="00AE5BBF">
        <w:rPr>
          <w:color w:val="000000" w:themeColor="text1"/>
          <w:szCs w:val="28"/>
        </w:rPr>
        <w:t>Lielāko devumu patēriņa cenu pieaugumā š</w:t>
      </w:r>
      <w:r w:rsidR="007E0E15">
        <w:rPr>
          <w:color w:val="000000" w:themeColor="text1"/>
          <w:szCs w:val="28"/>
        </w:rPr>
        <w:t>ā gada</w:t>
      </w:r>
      <w:r w:rsidRPr="00AE5BBF">
        <w:rPr>
          <w:color w:val="000000" w:themeColor="text1"/>
          <w:szCs w:val="28"/>
        </w:rPr>
        <w:t xml:space="preserve"> pirmajā pusgadā noteica degvielas cenu kāpums par 8,8% salīdzinājumā ar pagājušā gada attiecīgo periodu, tādējādi izskaidrojot gandrīz pusi jeb 0,5 procentpunktus no fiksētās inflācijas</w:t>
      </w:r>
      <w:r w:rsidRPr="00AE5BBF">
        <w:rPr>
          <w:szCs w:val="28"/>
        </w:rPr>
        <w:t>.</w:t>
      </w:r>
      <w:r>
        <w:rPr>
          <w:color w:val="000000" w:themeColor="text1"/>
          <w:szCs w:val="28"/>
        </w:rPr>
        <w:t xml:space="preserve"> Šā</w:t>
      </w:r>
      <w:r w:rsidRPr="00AE5BBF">
        <w:rPr>
          <w:color w:val="000000" w:themeColor="text1"/>
          <w:szCs w:val="28"/>
        </w:rPr>
        <w:t xml:space="preserve"> gada sākum</w:t>
      </w:r>
      <w:r>
        <w:rPr>
          <w:color w:val="000000" w:themeColor="text1"/>
          <w:szCs w:val="28"/>
        </w:rPr>
        <w:t>ā</w:t>
      </w:r>
      <w:r w:rsidRPr="00AE5BBF">
        <w:rPr>
          <w:color w:val="000000" w:themeColor="text1"/>
          <w:szCs w:val="28"/>
        </w:rPr>
        <w:t xml:space="preserve"> degvielas cenas gad</w:t>
      </w:r>
      <w:r>
        <w:rPr>
          <w:color w:val="000000" w:themeColor="text1"/>
          <w:szCs w:val="28"/>
        </w:rPr>
        <w:t>a</w:t>
      </w:r>
      <w:r w:rsidRPr="00AE5BBF">
        <w:rPr>
          <w:color w:val="000000" w:themeColor="text1"/>
          <w:szCs w:val="28"/>
        </w:rPr>
        <w:t xml:space="preserve"> izteiksmē turpināja samazināties</w:t>
      </w:r>
      <w:r>
        <w:rPr>
          <w:color w:val="000000" w:themeColor="text1"/>
          <w:szCs w:val="28"/>
        </w:rPr>
        <w:t>, bet</w:t>
      </w:r>
      <w:r w:rsidRPr="00AE5BBF">
        <w:rPr>
          <w:color w:val="000000" w:themeColor="text1"/>
          <w:szCs w:val="28"/>
        </w:rPr>
        <w:t xml:space="preserve"> mart</w:t>
      </w:r>
      <w:r>
        <w:rPr>
          <w:color w:val="000000" w:themeColor="text1"/>
          <w:szCs w:val="28"/>
        </w:rPr>
        <w:t>ā</w:t>
      </w:r>
      <w:r w:rsidRPr="00AE5BBF">
        <w:rPr>
          <w:color w:val="000000" w:themeColor="text1"/>
          <w:szCs w:val="28"/>
        </w:rPr>
        <w:t xml:space="preserve"> </w:t>
      </w:r>
      <w:r>
        <w:rPr>
          <w:color w:val="000000" w:themeColor="text1"/>
          <w:szCs w:val="28"/>
        </w:rPr>
        <w:t>sākās straujš cenu pieaugums</w:t>
      </w:r>
      <w:r w:rsidRPr="00AE5BBF">
        <w:rPr>
          <w:color w:val="000000" w:themeColor="text1"/>
          <w:szCs w:val="28"/>
        </w:rPr>
        <w:t>. Tā, piemēr</w:t>
      </w:r>
      <w:r>
        <w:rPr>
          <w:color w:val="000000" w:themeColor="text1"/>
          <w:szCs w:val="28"/>
        </w:rPr>
        <w:t>a</w:t>
      </w:r>
      <w:r w:rsidRPr="00AE5BBF">
        <w:rPr>
          <w:color w:val="000000" w:themeColor="text1"/>
          <w:szCs w:val="28"/>
        </w:rPr>
        <w:t>m, š</w:t>
      </w:r>
      <w:r w:rsidR="007E0E15">
        <w:rPr>
          <w:color w:val="000000" w:themeColor="text1"/>
          <w:szCs w:val="28"/>
        </w:rPr>
        <w:t>ā gada</w:t>
      </w:r>
      <w:r w:rsidRPr="00AE5BBF">
        <w:rPr>
          <w:color w:val="000000" w:themeColor="text1"/>
          <w:szCs w:val="28"/>
        </w:rPr>
        <w:t xml:space="preserve"> maijā degvielas cenas pieauga par 29,5%, </w:t>
      </w:r>
      <w:r>
        <w:rPr>
          <w:color w:val="000000" w:themeColor="text1"/>
          <w:szCs w:val="28"/>
        </w:rPr>
        <w:t xml:space="preserve">tas </w:t>
      </w:r>
      <w:r w:rsidRPr="00AE5BBF">
        <w:rPr>
          <w:szCs w:val="28"/>
        </w:rPr>
        <w:t xml:space="preserve">bija straujākais </w:t>
      </w:r>
      <w:r>
        <w:rPr>
          <w:szCs w:val="28"/>
        </w:rPr>
        <w:t xml:space="preserve">kāpums </w:t>
      </w:r>
      <w:r w:rsidRPr="00AE5BBF">
        <w:rPr>
          <w:szCs w:val="28"/>
        </w:rPr>
        <w:t>kopš 2010.</w:t>
      </w:r>
      <w:r>
        <w:rPr>
          <w:szCs w:val="28"/>
        </w:rPr>
        <w:t> </w:t>
      </w:r>
      <w:r w:rsidRPr="00AE5BBF">
        <w:rPr>
          <w:szCs w:val="28"/>
        </w:rPr>
        <w:t>gada sākuma</w:t>
      </w:r>
      <w:r>
        <w:rPr>
          <w:szCs w:val="28"/>
        </w:rPr>
        <w:t xml:space="preserve"> un sasniedza šā gada cenu pieauguma maksimumu. To apliecina</w:t>
      </w:r>
      <w:r w:rsidRPr="00AE5BBF">
        <w:rPr>
          <w:szCs w:val="28"/>
        </w:rPr>
        <w:t xml:space="preserve"> jūnija dati, kad degviela</w:t>
      </w:r>
      <w:r>
        <w:rPr>
          <w:szCs w:val="28"/>
        </w:rPr>
        <w:t>s cenas bija</w:t>
      </w:r>
      <w:r w:rsidRPr="00AE5BBF">
        <w:rPr>
          <w:szCs w:val="28"/>
        </w:rPr>
        <w:t xml:space="preserve"> vidēji bija par 19,9% augstāka</w:t>
      </w:r>
      <w:r>
        <w:rPr>
          <w:szCs w:val="28"/>
        </w:rPr>
        <w:t>s</w:t>
      </w:r>
      <w:r w:rsidRPr="00AE5BBF">
        <w:rPr>
          <w:szCs w:val="28"/>
        </w:rPr>
        <w:t xml:space="preserve"> nekā pirms gad</w:t>
      </w:r>
      <w:r>
        <w:rPr>
          <w:szCs w:val="28"/>
        </w:rPr>
        <w:t>a</w:t>
      </w:r>
      <w:r w:rsidRPr="00AE5BBF">
        <w:rPr>
          <w:szCs w:val="28"/>
        </w:rPr>
        <w:t xml:space="preserve">. No vienas puses, šādu pieaugumu varētu uzskatīt par ļoti strauju, tomēr dīzeļdegvielas vidējā cena </w:t>
      </w:r>
      <w:r>
        <w:rPr>
          <w:szCs w:val="28"/>
        </w:rPr>
        <w:t>Latvijā š</w:t>
      </w:r>
      <w:r w:rsidR="007E0E15">
        <w:rPr>
          <w:szCs w:val="28"/>
        </w:rPr>
        <w:t>ā gada</w:t>
      </w:r>
      <w:r>
        <w:rPr>
          <w:szCs w:val="28"/>
        </w:rPr>
        <w:t xml:space="preserve"> jūnijā bija 1,</w:t>
      </w:r>
      <w:r>
        <w:rPr>
          <w:noProof/>
          <w:szCs w:val="28"/>
        </w:rPr>
        <w:t xml:space="preserve">22 </w:t>
      </w:r>
      <w:r w:rsidRPr="00EA692B">
        <w:rPr>
          <w:i/>
          <w:noProof/>
          <w:szCs w:val="28"/>
        </w:rPr>
        <w:t>euro</w:t>
      </w:r>
      <w:r w:rsidRPr="00AE5BBF">
        <w:rPr>
          <w:noProof/>
          <w:szCs w:val="28"/>
        </w:rPr>
        <w:t xml:space="preserve"> par litru,</w:t>
      </w:r>
      <w:r w:rsidRPr="00AE5BBF">
        <w:rPr>
          <w:szCs w:val="28"/>
        </w:rPr>
        <w:t xml:space="preserve"> kas atbilst pērnā gada februāra līmenim jeb </w:t>
      </w:r>
      <w:r w:rsidR="00E92BC1" w:rsidRPr="00AE5BBF">
        <w:rPr>
          <w:szCs w:val="28"/>
        </w:rPr>
        <w:t>pirms pandēmijas</w:t>
      </w:r>
      <w:r w:rsidRPr="00AE5BBF">
        <w:rPr>
          <w:szCs w:val="28"/>
        </w:rPr>
        <w:t xml:space="preserve"> līmenim, </w:t>
      </w:r>
      <w:r>
        <w:rPr>
          <w:szCs w:val="28"/>
        </w:rPr>
        <w:t>pirms</w:t>
      </w:r>
      <w:r w:rsidRPr="00AE5BBF">
        <w:rPr>
          <w:szCs w:val="28"/>
        </w:rPr>
        <w:t xml:space="preserve"> naftas cen</w:t>
      </w:r>
      <w:r>
        <w:rPr>
          <w:szCs w:val="28"/>
        </w:rPr>
        <w:t>a</w:t>
      </w:r>
      <w:r w:rsidRPr="00AE5BBF">
        <w:rPr>
          <w:szCs w:val="28"/>
        </w:rPr>
        <w:t xml:space="preserve">s pasaules biržās sāka strauji samazināties. Tādējādi, lai arī degvielas cenas pēdējos mēnešos </w:t>
      </w:r>
      <w:r>
        <w:rPr>
          <w:szCs w:val="28"/>
        </w:rPr>
        <w:t xml:space="preserve">ir </w:t>
      </w:r>
      <w:r w:rsidRPr="00AE5BBF">
        <w:rPr>
          <w:szCs w:val="28"/>
        </w:rPr>
        <w:t xml:space="preserve">strauji palielinājušās, pašreizējais cenu līmenis atbilst </w:t>
      </w:r>
      <w:r w:rsidR="00E92BC1" w:rsidRPr="00AE5BBF">
        <w:rPr>
          <w:szCs w:val="28"/>
        </w:rPr>
        <w:t>pirms pandēmijas</w:t>
      </w:r>
      <w:r w:rsidRPr="00AE5BBF">
        <w:rPr>
          <w:szCs w:val="28"/>
        </w:rPr>
        <w:t xml:space="preserve"> līmenim.</w:t>
      </w:r>
    </w:p>
    <w:p w14:paraId="51B37F4F" w14:textId="6082142E" w:rsidR="00964CAC" w:rsidRDefault="00964CAC" w:rsidP="00964CAC">
      <w:pPr>
        <w:spacing w:before="60" w:after="60"/>
        <w:ind w:firstLine="709"/>
        <w:rPr>
          <w:szCs w:val="28"/>
        </w:rPr>
      </w:pPr>
      <w:r>
        <w:rPr>
          <w:szCs w:val="28"/>
        </w:rPr>
        <w:lastRenderedPageBreak/>
        <w:t>Arī n</w:t>
      </w:r>
      <w:r w:rsidRPr="00AE5BBF">
        <w:rPr>
          <w:szCs w:val="28"/>
        </w:rPr>
        <w:t>aftas cenu līmenis jau š</w:t>
      </w:r>
      <w:r w:rsidR="007E0E15">
        <w:rPr>
          <w:szCs w:val="28"/>
        </w:rPr>
        <w:t>ā gada</w:t>
      </w:r>
      <w:r w:rsidRPr="00AE5BBF">
        <w:rPr>
          <w:szCs w:val="28"/>
        </w:rPr>
        <w:t xml:space="preserve"> martā sasniedza </w:t>
      </w:r>
      <w:r w:rsidR="00E92BC1" w:rsidRPr="00AE5BBF">
        <w:rPr>
          <w:szCs w:val="28"/>
        </w:rPr>
        <w:t>pirms pandēmijas</w:t>
      </w:r>
      <w:r w:rsidRPr="00AE5BBF">
        <w:rPr>
          <w:szCs w:val="28"/>
        </w:rPr>
        <w:t xml:space="preserve"> līmeni, bet jūlijā </w:t>
      </w:r>
      <w:r w:rsidRPr="00AE5BBF">
        <w:rPr>
          <w:noProof/>
          <w:szCs w:val="28"/>
        </w:rPr>
        <w:t xml:space="preserve">sākumā </w:t>
      </w:r>
      <w:r w:rsidRPr="00AE5BBF">
        <w:rPr>
          <w:i/>
          <w:noProof/>
          <w:color w:val="000000" w:themeColor="text1"/>
          <w:szCs w:val="28"/>
        </w:rPr>
        <w:t>Brent</w:t>
      </w:r>
      <w:r w:rsidRPr="00AE5BBF">
        <w:rPr>
          <w:noProof/>
          <w:color w:val="000000" w:themeColor="text1"/>
          <w:szCs w:val="28"/>
        </w:rPr>
        <w:t xml:space="preserve"> ma</w:t>
      </w:r>
      <w:r w:rsidRPr="00AE5BBF">
        <w:rPr>
          <w:color w:val="000000" w:themeColor="text1"/>
          <w:szCs w:val="28"/>
        </w:rPr>
        <w:t>rkas jēlnaftas cena sasniedza augstāko cenu kopš 2018.</w:t>
      </w:r>
      <w:r>
        <w:rPr>
          <w:color w:val="000000" w:themeColor="text1"/>
          <w:szCs w:val="28"/>
        </w:rPr>
        <w:t> </w:t>
      </w:r>
      <w:r w:rsidRPr="00AE5BBF">
        <w:rPr>
          <w:color w:val="000000" w:themeColor="text1"/>
          <w:szCs w:val="28"/>
        </w:rPr>
        <w:t>gada novembra jeb 77 ASV dolārus par barelu. Naftas cenu kāpums lielā mērā bija saistīts ar OPEC+ vienošanos strauji nepalielināt naftas ieguves apjomus, kā arī pasaules ekonomikas atkopšan</w:t>
      </w:r>
      <w:r>
        <w:rPr>
          <w:color w:val="000000" w:themeColor="text1"/>
          <w:szCs w:val="28"/>
        </w:rPr>
        <w:t>o</w:t>
      </w:r>
      <w:r w:rsidRPr="00AE5BBF">
        <w:rPr>
          <w:color w:val="000000" w:themeColor="text1"/>
          <w:szCs w:val="28"/>
        </w:rPr>
        <w:t>s un augošo energoresursu patēriņu. Tomēr š</w:t>
      </w:r>
      <w:r w:rsidR="007E0E15">
        <w:rPr>
          <w:color w:val="000000" w:themeColor="text1"/>
          <w:szCs w:val="28"/>
        </w:rPr>
        <w:t>ā gada</w:t>
      </w:r>
      <w:r w:rsidRPr="00AE5BBF">
        <w:rPr>
          <w:color w:val="000000" w:themeColor="text1"/>
          <w:szCs w:val="28"/>
        </w:rPr>
        <w:t xml:space="preserve"> jūlijā naftas ražotājvalstis nespēja vienoties par naftas ieguves apjomiem, kā rezultātā naftas cenas </w:t>
      </w:r>
      <w:r>
        <w:rPr>
          <w:color w:val="000000" w:themeColor="text1"/>
          <w:szCs w:val="28"/>
        </w:rPr>
        <w:t xml:space="preserve">īslaicīgi </w:t>
      </w:r>
      <w:r w:rsidRPr="00AE5BBF">
        <w:rPr>
          <w:color w:val="000000" w:themeColor="text1"/>
          <w:szCs w:val="28"/>
        </w:rPr>
        <w:t xml:space="preserve">samazinājās līdz 68,6 ASV dolāriem par barelu, bet </w:t>
      </w:r>
      <w:r>
        <w:rPr>
          <w:color w:val="000000" w:themeColor="text1"/>
          <w:szCs w:val="28"/>
        </w:rPr>
        <w:t xml:space="preserve">jau </w:t>
      </w:r>
      <w:r w:rsidRPr="00AE5BBF">
        <w:rPr>
          <w:color w:val="000000" w:themeColor="text1"/>
          <w:szCs w:val="28"/>
        </w:rPr>
        <w:t>jūlij</w:t>
      </w:r>
      <w:r>
        <w:rPr>
          <w:color w:val="000000" w:themeColor="text1"/>
          <w:szCs w:val="28"/>
        </w:rPr>
        <w:t>a</w:t>
      </w:r>
      <w:r w:rsidRPr="00AE5BBF">
        <w:rPr>
          <w:color w:val="000000" w:themeColor="text1"/>
          <w:szCs w:val="28"/>
        </w:rPr>
        <w:t xml:space="preserve"> beigā</w:t>
      </w:r>
      <w:r>
        <w:rPr>
          <w:color w:val="000000" w:themeColor="text1"/>
          <w:szCs w:val="28"/>
        </w:rPr>
        <w:t>s</w:t>
      </w:r>
      <w:r w:rsidRPr="00AE5BBF">
        <w:rPr>
          <w:color w:val="000000" w:themeColor="text1"/>
          <w:szCs w:val="28"/>
        </w:rPr>
        <w:t xml:space="preserve"> naftas cena atguva zaudēto vērtību. Straujš naftas cenu pieaugums tuvākajos mēnešos nav sagaidāms un vidējā cena svārstīsies ap 70 ASV dolāriem par barelu. Sagaidāms, ka degvielas cenu pieaugums arī turpmākajos mēnešos gada izteiksmē būs augsts un saglabāsies kā galvenais inflāciju ietekmējošais faktors, tomēr pieauguma temps pakāpeniski mazināsies.</w:t>
      </w:r>
    </w:p>
    <w:p w14:paraId="6E27E212" w14:textId="1307429E" w:rsidR="00964CAC" w:rsidRDefault="00964CAC" w:rsidP="00964CAC">
      <w:pPr>
        <w:spacing w:before="60" w:after="60"/>
        <w:ind w:firstLine="709"/>
        <w:rPr>
          <w:rFonts w:eastAsia="Calibri"/>
          <w:color w:val="000000"/>
          <w:szCs w:val="28"/>
        </w:rPr>
      </w:pPr>
      <w:r w:rsidRPr="00AE5BBF">
        <w:rPr>
          <w:rFonts w:eastAsia="Calibri"/>
          <w:color w:val="000000"/>
          <w:szCs w:val="28"/>
        </w:rPr>
        <w:t>Lai arī energoresursu cena</w:t>
      </w:r>
      <w:r>
        <w:rPr>
          <w:rFonts w:eastAsia="Calibri"/>
          <w:color w:val="000000"/>
          <w:szCs w:val="28"/>
        </w:rPr>
        <w:t>s</w:t>
      </w:r>
      <w:r w:rsidRPr="00AE5BBF">
        <w:rPr>
          <w:rFonts w:eastAsia="Calibri"/>
          <w:color w:val="000000"/>
          <w:szCs w:val="28"/>
        </w:rPr>
        <w:t xml:space="preserve"> pasaulē pieaug, gāzes un siltumenerģijas cena</w:t>
      </w:r>
      <w:r>
        <w:rPr>
          <w:rFonts w:eastAsia="Calibri"/>
          <w:color w:val="000000"/>
          <w:szCs w:val="28"/>
        </w:rPr>
        <w:t>s</w:t>
      </w:r>
      <w:r w:rsidRPr="00AE5BBF">
        <w:rPr>
          <w:rFonts w:eastAsia="Calibri"/>
          <w:color w:val="000000"/>
          <w:szCs w:val="28"/>
        </w:rPr>
        <w:t xml:space="preserve"> Latvijā joprojām </w:t>
      </w:r>
      <w:r>
        <w:rPr>
          <w:rFonts w:eastAsia="Calibri"/>
          <w:color w:val="000000"/>
          <w:szCs w:val="28"/>
        </w:rPr>
        <w:t>samazinās</w:t>
      </w:r>
      <w:r w:rsidRPr="00AE5BBF">
        <w:rPr>
          <w:rFonts w:eastAsia="Calibri"/>
          <w:color w:val="000000"/>
          <w:szCs w:val="28"/>
        </w:rPr>
        <w:t>, kas ir skaidrojams ar šo pakalpojumu tarifu noteikšanas metodoloģiju. Gāzes tarifi tiek pārskatīti tikai divas reizes gadā – janvārī un jūlijā, līdz ar to energoresursu cenu izmaiņas pasaulē atspoguļojas Latvijas datos</w:t>
      </w:r>
      <w:r w:rsidRPr="0045277F">
        <w:rPr>
          <w:rFonts w:eastAsia="Calibri"/>
          <w:color w:val="000000"/>
          <w:szCs w:val="28"/>
        </w:rPr>
        <w:t xml:space="preserve"> </w:t>
      </w:r>
      <w:r w:rsidRPr="00AE5BBF">
        <w:rPr>
          <w:rFonts w:eastAsia="Calibri"/>
          <w:color w:val="000000"/>
          <w:szCs w:val="28"/>
        </w:rPr>
        <w:t>ar novēlojumu. Arī siltumenerģijas tarifi netiek bieži pārskatīti. Š</w:t>
      </w:r>
      <w:r w:rsidR="00613CB5">
        <w:rPr>
          <w:rFonts w:eastAsia="Calibri"/>
          <w:color w:val="000000"/>
          <w:szCs w:val="28"/>
        </w:rPr>
        <w:t>ā gada</w:t>
      </w:r>
      <w:r w:rsidRPr="00AE5BBF">
        <w:rPr>
          <w:rFonts w:eastAsia="Calibri"/>
          <w:color w:val="000000"/>
          <w:szCs w:val="28"/>
        </w:rPr>
        <w:t xml:space="preserve"> pirmajā pusgadā gāzes vidēj</w:t>
      </w:r>
      <w:r>
        <w:rPr>
          <w:rFonts w:eastAsia="Calibri"/>
          <w:color w:val="000000"/>
          <w:szCs w:val="28"/>
        </w:rPr>
        <w:t>ā</w:t>
      </w:r>
      <w:r w:rsidRPr="00AE5BBF">
        <w:rPr>
          <w:rFonts w:eastAsia="Calibri"/>
          <w:color w:val="000000"/>
          <w:szCs w:val="28"/>
        </w:rPr>
        <w:t xml:space="preserve"> cena bija par 2,6% zemāka nekā pērnā gad</w:t>
      </w:r>
      <w:r>
        <w:rPr>
          <w:rFonts w:eastAsia="Calibri"/>
          <w:color w:val="000000"/>
          <w:szCs w:val="28"/>
        </w:rPr>
        <w:t>a</w:t>
      </w:r>
      <w:r w:rsidRPr="00AE5BBF">
        <w:rPr>
          <w:rFonts w:eastAsia="Calibri"/>
          <w:color w:val="000000"/>
          <w:szCs w:val="28"/>
        </w:rPr>
        <w:t xml:space="preserve"> attiecīgajā periodā, bet siltumenerģija bija 6,4% lētāka. Tomēr jau jūlijā būtiski palielinājās gāzes tarifi, ko ietekmēja dabasgāzes cenas pieaugums pasaules biržās, kā arī ar sadales sistēmas operatora AS “</w:t>
      </w:r>
      <w:proofErr w:type="spellStart"/>
      <w:r w:rsidRPr="004B6B5C">
        <w:rPr>
          <w:rFonts w:eastAsia="Calibri"/>
          <w:noProof/>
          <w:color w:val="000000"/>
          <w:szCs w:val="28"/>
        </w:rPr>
        <w:t>Gaso</w:t>
      </w:r>
      <w:proofErr w:type="spellEnd"/>
      <w:r w:rsidRPr="00AE5BBF">
        <w:rPr>
          <w:rFonts w:eastAsia="Calibri"/>
          <w:noProof/>
          <w:color w:val="000000"/>
          <w:szCs w:val="28"/>
        </w:rPr>
        <w:t>”</w:t>
      </w:r>
      <w:r w:rsidRPr="00AE5BBF">
        <w:rPr>
          <w:rFonts w:eastAsia="Calibri"/>
          <w:color w:val="000000"/>
          <w:szCs w:val="28"/>
        </w:rPr>
        <w:t xml:space="preserve"> pakalpojumu tarifa kāpum</w:t>
      </w:r>
      <w:r>
        <w:rPr>
          <w:rFonts w:eastAsia="Calibri"/>
          <w:color w:val="000000"/>
          <w:szCs w:val="28"/>
        </w:rPr>
        <w:t>s. Savukārt</w:t>
      </w:r>
      <w:r w:rsidRPr="00AE5BBF">
        <w:rPr>
          <w:rFonts w:eastAsia="Calibri"/>
          <w:color w:val="000000"/>
          <w:szCs w:val="28"/>
        </w:rPr>
        <w:t xml:space="preserve"> no august</w:t>
      </w:r>
      <w:r>
        <w:rPr>
          <w:rFonts w:eastAsia="Calibri"/>
          <w:color w:val="000000"/>
          <w:szCs w:val="28"/>
        </w:rPr>
        <w:t>a</w:t>
      </w:r>
      <w:r w:rsidRPr="00AE5BBF">
        <w:rPr>
          <w:rFonts w:eastAsia="Calibri"/>
          <w:color w:val="000000"/>
          <w:szCs w:val="28"/>
        </w:rPr>
        <w:t xml:space="preserve"> siltumenerģijas tarifus palielinās AS “Rīgas siltums”, kas ir lielākais siltum</w:t>
      </w:r>
      <w:r>
        <w:rPr>
          <w:rFonts w:eastAsia="Calibri"/>
          <w:color w:val="000000"/>
          <w:szCs w:val="28"/>
        </w:rPr>
        <w:t>enerģijas piegādātais Latvijā.</w:t>
      </w:r>
    </w:p>
    <w:p w14:paraId="0B18CDB8" w14:textId="46DE77AC" w:rsidR="00964CAC" w:rsidRDefault="00964CAC" w:rsidP="00964CAC">
      <w:pPr>
        <w:spacing w:before="60" w:after="60"/>
        <w:ind w:firstLine="709"/>
        <w:rPr>
          <w:rFonts w:eastAsia="Calibri"/>
          <w:color w:val="000000"/>
          <w:szCs w:val="28"/>
        </w:rPr>
      </w:pPr>
      <w:r w:rsidRPr="00AE5BBF">
        <w:rPr>
          <w:rFonts w:eastAsia="Calibri"/>
          <w:color w:val="000000"/>
          <w:szCs w:val="28"/>
        </w:rPr>
        <w:t>Pārtikas cenas Latvijā š</w:t>
      </w:r>
      <w:r w:rsidR="00354D1A">
        <w:rPr>
          <w:rFonts w:eastAsia="Calibri"/>
          <w:color w:val="000000"/>
          <w:szCs w:val="28"/>
        </w:rPr>
        <w:t>ā gada</w:t>
      </w:r>
      <w:r w:rsidRPr="00AE5BBF">
        <w:rPr>
          <w:rFonts w:eastAsia="Calibri"/>
          <w:color w:val="000000"/>
          <w:szCs w:val="28"/>
        </w:rPr>
        <w:t xml:space="preserve"> pirmajā pusē palielinājās par 0,5% salīdzinājumā ar pērnā gada attiecīgo periodu. Lai arī pārtikas cenu pieaugums bija nebūtisks un tā devums </w:t>
      </w:r>
      <w:r>
        <w:rPr>
          <w:rFonts w:eastAsia="Calibri"/>
          <w:color w:val="000000"/>
          <w:szCs w:val="28"/>
        </w:rPr>
        <w:t>kopējā</w:t>
      </w:r>
      <w:r w:rsidRPr="00AE5BBF">
        <w:rPr>
          <w:rFonts w:eastAsia="Calibri"/>
          <w:color w:val="000000"/>
          <w:szCs w:val="28"/>
        </w:rPr>
        <w:t xml:space="preserve"> inflācijā bija vien 0,1 procentpunkts, tomēr tieši pārtikas cen</w:t>
      </w:r>
      <w:r>
        <w:rPr>
          <w:rFonts w:eastAsia="Calibri"/>
          <w:color w:val="000000"/>
          <w:szCs w:val="28"/>
        </w:rPr>
        <w:t>u</w:t>
      </w:r>
      <w:r w:rsidRPr="00AE5BBF">
        <w:rPr>
          <w:rFonts w:eastAsia="Calibri"/>
          <w:color w:val="000000"/>
          <w:szCs w:val="28"/>
        </w:rPr>
        <w:t xml:space="preserve"> izmaiņas pasaulē ir viens no galvenajiem pētniecības objektiem ekonomistu lokā. ANO Pārtikas un lauksaimniecības dati par neapstrādāt</w:t>
      </w:r>
      <w:r>
        <w:rPr>
          <w:rFonts w:eastAsia="Calibri"/>
          <w:color w:val="000000"/>
          <w:szCs w:val="28"/>
        </w:rPr>
        <w:t>ās</w:t>
      </w:r>
      <w:r w:rsidRPr="00AE5BBF">
        <w:rPr>
          <w:rFonts w:eastAsia="Calibri"/>
          <w:color w:val="000000"/>
          <w:szCs w:val="28"/>
        </w:rPr>
        <w:t xml:space="preserve"> pārtikas cen</w:t>
      </w:r>
      <w:r>
        <w:rPr>
          <w:rFonts w:eastAsia="Calibri"/>
          <w:color w:val="000000"/>
          <w:szCs w:val="28"/>
        </w:rPr>
        <w:t>ām</w:t>
      </w:r>
      <w:r w:rsidRPr="00AE5BBF">
        <w:rPr>
          <w:rFonts w:eastAsia="Calibri"/>
          <w:color w:val="000000"/>
          <w:szCs w:val="28"/>
        </w:rPr>
        <w:t xml:space="preserve"> pasaulē liecina, ka pārtikas cenu indekss ir nepārtraukti audzis kopš 2020.</w:t>
      </w:r>
      <w:r w:rsidR="00354D1A">
        <w:rPr>
          <w:rFonts w:eastAsia="Calibri"/>
          <w:color w:val="000000"/>
          <w:szCs w:val="28"/>
        </w:rPr>
        <w:t> </w:t>
      </w:r>
      <w:r w:rsidRPr="00AE5BBF">
        <w:rPr>
          <w:rFonts w:eastAsia="Calibri"/>
          <w:color w:val="000000"/>
          <w:szCs w:val="28"/>
        </w:rPr>
        <w:t>gada vidus, sasniedzot augtāko līmeni kopš 2011.</w:t>
      </w:r>
      <w:r w:rsidR="00354D1A">
        <w:rPr>
          <w:rFonts w:eastAsia="Calibri"/>
          <w:color w:val="000000"/>
          <w:szCs w:val="28"/>
        </w:rPr>
        <w:t> </w:t>
      </w:r>
      <w:r w:rsidRPr="00AE5BBF">
        <w:rPr>
          <w:rFonts w:eastAsia="Calibri"/>
          <w:color w:val="000000"/>
          <w:szCs w:val="28"/>
        </w:rPr>
        <w:t xml:space="preserve">gada beigām. Cenu kāpums ir vērojams visām galvenajam pārtikas grupām, </w:t>
      </w:r>
      <w:r>
        <w:rPr>
          <w:rFonts w:eastAsia="Calibri"/>
          <w:color w:val="000000"/>
          <w:szCs w:val="28"/>
        </w:rPr>
        <w:t>tajā skaitā</w:t>
      </w:r>
      <w:r w:rsidRPr="00AE5BBF">
        <w:rPr>
          <w:rFonts w:eastAsia="Calibri"/>
          <w:color w:val="000000"/>
          <w:szCs w:val="28"/>
        </w:rPr>
        <w:t xml:space="preserve"> graudaugiem, eļļām, cukuram, pienam.</w:t>
      </w:r>
    </w:p>
    <w:p w14:paraId="5198C503" w14:textId="77777777" w:rsidR="00964CAC" w:rsidRDefault="00964CAC" w:rsidP="00964CAC">
      <w:pPr>
        <w:spacing w:before="60" w:after="60"/>
        <w:ind w:firstLine="709"/>
        <w:rPr>
          <w:rFonts w:eastAsia="Calibri"/>
          <w:color w:val="000000"/>
          <w:szCs w:val="28"/>
        </w:rPr>
      </w:pPr>
      <w:r>
        <w:rPr>
          <w:rFonts w:eastAsia="Calibri"/>
          <w:color w:val="000000"/>
          <w:szCs w:val="28"/>
        </w:rPr>
        <w:t>Neapstrādātās pārtikas cenu kāpumu noteicošie</w:t>
      </w:r>
      <w:r w:rsidRPr="00AE5BBF">
        <w:rPr>
          <w:rFonts w:eastAsia="Calibri"/>
          <w:color w:val="000000"/>
          <w:szCs w:val="28"/>
        </w:rPr>
        <w:t xml:space="preserve"> faktori ir dažādi un </w:t>
      </w:r>
      <w:r>
        <w:rPr>
          <w:rFonts w:eastAsia="Calibri"/>
          <w:color w:val="000000"/>
          <w:szCs w:val="28"/>
        </w:rPr>
        <w:t xml:space="preserve">ir </w:t>
      </w:r>
      <w:r w:rsidRPr="00AE5BBF">
        <w:rPr>
          <w:rFonts w:eastAsia="Calibri"/>
          <w:color w:val="000000"/>
          <w:szCs w:val="28"/>
        </w:rPr>
        <w:t>sai</w:t>
      </w:r>
      <w:r>
        <w:rPr>
          <w:rFonts w:eastAsia="Calibri"/>
          <w:color w:val="000000"/>
          <w:szCs w:val="28"/>
        </w:rPr>
        <w:t>s</w:t>
      </w:r>
      <w:r w:rsidRPr="00AE5BBF">
        <w:rPr>
          <w:rFonts w:eastAsia="Calibri"/>
          <w:color w:val="000000"/>
          <w:szCs w:val="28"/>
        </w:rPr>
        <w:t xml:space="preserve">tīti ar sliktajiem laika apstākļiem </w:t>
      </w:r>
      <w:r>
        <w:rPr>
          <w:rFonts w:eastAsia="Calibri"/>
          <w:color w:val="000000"/>
          <w:szCs w:val="28"/>
        </w:rPr>
        <w:t xml:space="preserve">un attiecīgi ar slikto ražu, </w:t>
      </w:r>
      <w:r w:rsidRPr="00AE5BBF">
        <w:rPr>
          <w:rFonts w:eastAsia="Calibri"/>
          <w:color w:val="000000"/>
          <w:szCs w:val="28"/>
        </w:rPr>
        <w:t>pieprasījuma pie</w:t>
      </w:r>
      <w:r>
        <w:rPr>
          <w:rFonts w:eastAsia="Calibri"/>
          <w:color w:val="000000"/>
          <w:szCs w:val="28"/>
        </w:rPr>
        <w:t>au</w:t>
      </w:r>
      <w:r w:rsidRPr="00AE5BBF">
        <w:rPr>
          <w:rFonts w:eastAsia="Calibri"/>
          <w:color w:val="000000"/>
          <w:szCs w:val="28"/>
        </w:rPr>
        <w:t>gumu, kas būtiski apsteidz pārtikas piedāvājumu, naftas cenu kāpumu, kas palielina transportēšanas izmaksas</w:t>
      </w:r>
      <w:r>
        <w:rPr>
          <w:rFonts w:eastAsia="Calibri"/>
          <w:color w:val="000000"/>
          <w:szCs w:val="28"/>
        </w:rPr>
        <w:t xml:space="preserve">, </w:t>
      </w:r>
      <w:r w:rsidRPr="00AE5BBF">
        <w:rPr>
          <w:rFonts w:eastAsia="Calibri"/>
          <w:color w:val="000000"/>
          <w:szCs w:val="28"/>
        </w:rPr>
        <w:t>un piegāžu traucējumiem. Attiecībā u</w:t>
      </w:r>
      <w:r>
        <w:rPr>
          <w:rFonts w:eastAsia="Calibri"/>
          <w:color w:val="000000"/>
          <w:szCs w:val="28"/>
        </w:rPr>
        <w:t>z</w:t>
      </w:r>
      <w:r w:rsidRPr="00AE5BBF">
        <w:rPr>
          <w:rFonts w:eastAsia="Calibri"/>
          <w:color w:val="000000"/>
          <w:szCs w:val="28"/>
        </w:rPr>
        <w:t xml:space="preserve"> pieprasījumu </w:t>
      </w:r>
      <w:r>
        <w:rPr>
          <w:rFonts w:eastAsia="Calibri"/>
          <w:color w:val="000000"/>
          <w:szCs w:val="28"/>
        </w:rPr>
        <w:t>jāatzīmē</w:t>
      </w:r>
      <w:r w:rsidRPr="00AE5BBF">
        <w:rPr>
          <w:rFonts w:eastAsia="Calibri"/>
          <w:color w:val="000000"/>
          <w:szCs w:val="28"/>
        </w:rPr>
        <w:t>, ka tajās valstīs, kur vakcinēšanas process notiek diezgan raiti, pulcēšanas ierobežojumi pakāpeniski tiek atviegloti, līdz ar to atkal var strādāt restorāni un kafejnīcas, palielin</w:t>
      </w:r>
      <w:r>
        <w:rPr>
          <w:rFonts w:eastAsia="Calibri"/>
          <w:color w:val="000000"/>
          <w:szCs w:val="28"/>
        </w:rPr>
        <w:t>ot</w:t>
      </w:r>
      <w:r w:rsidRPr="00AE5BBF">
        <w:rPr>
          <w:rFonts w:eastAsia="Calibri"/>
          <w:color w:val="000000"/>
          <w:szCs w:val="28"/>
        </w:rPr>
        <w:t xml:space="preserve"> pieprasījumu pēc pārtikas.</w:t>
      </w:r>
    </w:p>
    <w:p w14:paraId="6CCAF4A1" w14:textId="24B1527C" w:rsidR="00964CAC" w:rsidRDefault="00964CAC" w:rsidP="00964CAC">
      <w:pPr>
        <w:spacing w:before="60" w:after="60"/>
        <w:ind w:firstLine="709"/>
        <w:rPr>
          <w:szCs w:val="28"/>
        </w:rPr>
      </w:pPr>
      <w:r>
        <w:rPr>
          <w:rFonts w:eastAsia="Calibri"/>
          <w:color w:val="000000"/>
          <w:szCs w:val="28"/>
        </w:rPr>
        <w:t>Līdz šim pārtikas cenas</w:t>
      </w:r>
      <w:r w:rsidRPr="00AE5BBF">
        <w:rPr>
          <w:rFonts w:eastAsia="Calibri"/>
          <w:color w:val="000000"/>
          <w:szCs w:val="28"/>
        </w:rPr>
        <w:t xml:space="preserve"> Eiropā samazinājās, ko ietekmēja sīv</w:t>
      </w:r>
      <w:r>
        <w:rPr>
          <w:rFonts w:eastAsia="Calibri"/>
          <w:color w:val="000000"/>
          <w:szCs w:val="28"/>
        </w:rPr>
        <w:t>ā</w:t>
      </w:r>
      <w:r w:rsidRPr="00AE5BBF">
        <w:rPr>
          <w:rFonts w:eastAsia="Calibri"/>
          <w:color w:val="000000"/>
          <w:szCs w:val="28"/>
        </w:rPr>
        <w:t xml:space="preserve"> </w:t>
      </w:r>
      <w:r>
        <w:rPr>
          <w:rFonts w:eastAsia="Calibri"/>
          <w:color w:val="000000"/>
          <w:szCs w:val="28"/>
        </w:rPr>
        <w:t>tirgotāju konkurence</w:t>
      </w:r>
      <w:r w:rsidRPr="00AE5BBF">
        <w:rPr>
          <w:rFonts w:eastAsia="Calibri"/>
          <w:color w:val="000000"/>
          <w:szCs w:val="28"/>
        </w:rPr>
        <w:t>. Atbilstoši aktuālākajiem ANO Pārtikas un lauksaimniecības datiem, neapstrādā</w:t>
      </w:r>
      <w:r>
        <w:rPr>
          <w:rFonts w:eastAsia="Calibri"/>
          <w:color w:val="000000"/>
          <w:szCs w:val="28"/>
        </w:rPr>
        <w:t>tās</w:t>
      </w:r>
      <w:r w:rsidRPr="00AE5BBF">
        <w:rPr>
          <w:rFonts w:eastAsia="Calibri"/>
          <w:color w:val="000000"/>
          <w:szCs w:val="28"/>
        </w:rPr>
        <w:t xml:space="preserve"> pārtikas cenu indekss pasaul</w:t>
      </w:r>
      <w:r>
        <w:rPr>
          <w:rFonts w:eastAsia="Calibri"/>
          <w:color w:val="000000"/>
          <w:szCs w:val="28"/>
        </w:rPr>
        <w:t>ē</w:t>
      </w:r>
      <w:r w:rsidRPr="00AE5BBF">
        <w:rPr>
          <w:rFonts w:eastAsia="Calibri"/>
          <w:color w:val="000000"/>
          <w:szCs w:val="28"/>
        </w:rPr>
        <w:t xml:space="preserve"> š</w:t>
      </w:r>
      <w:r w:rsidR="00354D1A">
        <w:rPr>
          <w:rFonts w:eastAsia="Calibri"/>
          <w:color w:val="000000"/>
          <w:szCs w:val="28"/>
        </w:rPr>
        <w:t>ā gada</w:t>
      </w:r>
      <w:r w:rsidRPr="00AE5BBF">
        <w:rPr>
          <w:rFonts w:eastAsia="Calibri"/>
          <w:color w:val="000000"/>
          <w:szCs w:val="28"/>
        </w:rPr>
        <w:t xml:space="preserve"> jūnijā uzr</w:t>
      </w:r>
      <w:r>
        <w:rPr>
          <w:rFonts w:eastAsia="Calibri"/>
          <w:color w:val="000000"/>
          <w:szCs w:val="28"/>
        </w:rPr>
        <w:t>ā</w:t>
      </w:r>
      <w:r w:rsidRPr="00AE5BBF">
        <w:rPr>
          <w:rFonts w:eastAsia="Calibri"/>
          <w:color w:val="000000"/>
          <w:szCs w:val="28"/>
        </w:rPr>
        <w:t>dīja kritumu</w:t>
      </w:r>
      <w:r>
        <w:rPr>
          <w:rFonts w:eastAsia="Calibri"/>
          <w:color w:val="000000"/>
          <w:szCs w:val="28"/>
        </w:rPr>
        <w:t xml:space="preserve"> pirmo reizi pēdējo 13</w:t>
      </w:r>
      <w:r w:rsidR="00053507">
        <w:rPr>
          <w:rFonts w:eastAsia="Calibri"/>
          <w:color w:val="000000"/>
          <w:szCs w:val="28"/>
        </w:rPr>
        <w:t> </w:t>
      </w:r>
      <w:r>
        <w:rPr>
          <w:rFonts w:eastAsia="Calibri"/>
          <w:color w:val="000000"/>
          <w:szCs w:val="28"/>
        </w:rPr>
        <w:t>mēnešu laikā</w:t>
      </w:r>
      <w:r w:rsidRPr="00AE5BBF">
        <w:rPr>
          <w:rFonts w:eastAsia="Calibri"/>
          <w:color w:val="000000"/>
          <w:szCs w:val="28"/>
        </w:rPr>
        <w:t>, kas varētu liecināt, ka pārtikas cenas pasaul</w:t>
      </w:r>
      <w:r>
        <w:rPr>
          <w:rFonts w:eastAsia="Calibri"/>
          <w:color w:val="000000"/>
          <w:szCs w:val="28"/>
        </w:rPr>
        <w:t>ē</w:t>
      </w:r>
      <w:r w:rsidRPr="00AE5BBF">
        <w:rPr>
          <w:rFonts w:eastAsia="Calibri"/>
          <w:color w:val="000000"/>
          <w:szCs w:val="28"/>
        </w:rPr>
        <w:t xml:space="preserve"> </w:t>
      </w:r>
      <w:r w:rsidRPr="00AE5BBF">
        <w:rPr>
          <w:rFonts w:eastAsia="Calibri"/>
          <w:color w:val="000000"/>
          <w:szCs w:val="28"/>
        </w:rPr>
        <w:lastRenderedPageBreak/>
        <w:t>stabilizējas. Turpmāko pārtikas cenu dinamiku ietekm</w:t>
      </w:r>
      <w:r>
        <w:rPr>
          <w:rFonts w:eastAsia="Calibri"/>
          <w:color w:val="000000"/>
          <w:szCs w:val="28"/>
        </w:rPr>
        <w:t>ēs</w:t>
      </w:r>
      <w:r w:rsidRPr="00AE5BBF">
        <w:rPr>
          <w:rFonts w:eastAsia="Calibri"/>
          <w:color w:val="000000"/>
          <w:szCs w:val="28"/>
        </w:rPr>
        <w:t xml:space="preserve"> pasaules ekonomikas aktivitāte, rudenī gaidāmā raž</w:t>
      </w:r>
      <w:r>
        <w:rPr>
          <w:rFonts w:eastAsia="Calibri"/>
          <w:color w:val="000000"/>
          <w:szCs w:val="28"/>
        </w:rPr>
        <w:t>a</w:t>
      </w:r>
      <w:r w:rsidRPr="00AE5BBF">
        <w:rPr>
          <w:rFonts w:eastAsia="Calibri"/>
          <w:color w:val="000000"/>
          <w:szCs w:val="28"/>
        </w:rPr>
        <w:t xml:space="preserve"> </w:t>
      </w:r>
      <w:r>
        <w:rPr>
          <w:rFonts w:eastAsia="Calibri"/>
          <w:color w:val="000000"/>
          <w:szCs w:val="28"/>
        </w:rPr>
        <w:t>z</w:t>
      </w:r>
      <w:r w:rsidRPr="00AE5BBF">
        <w:rPr>
          <w:rFonts w:eastAsia="Calibri"/>
          <w:color w:val="000000"/>
          <w:szCs w:val="28"/>
        </w:rPr>
        <w:t>iemeļu puslodē, kā arī situācija ar pandēmiju. K</w:t>
      </w:r>
      <w:r>
        <w:rPr>
          <w:rFonts w:eastAsia="Calibri"/>
          <w:color w:val="000000"/>
          <w:szCs w:val="28"/>
        </w:rPr>
        <w:t>ā</w:t>
      </w:r>
      <w:r w:rsidRPr="00AE5BBF">
        <w:rPr>
          <w:rFonts w:eastAsia="Calibri"/>
          <w:color w:val="000000"/>
          <w:szCs w:val="28"/>
        </w:rPr>
        <w:t xml:space="preserve"> jau bija atzīmēts, pārtikas cenas Latvijā kopš gada sākuma palielinājās minimāli. Tomēr sagaidāms, ka gad</w:t>
      </w:r>
      <w:r>
        <w:rPr>
          <w:rFonts w:eastAsia="Calibri"/>
          <w:color w:val="000000"/>
          <w:szCs w:val="28"/>
        </w:rPr>
        <w:t>a</w:t>
      </w:r>
      <w:r w:rsidRPr="00AE5BBF">
        <w:rPr>
          <w:rFonts w:eastAsia="Calibri"/>
          <w:color w:val="000000"/>
          <w:szCs w:val="28"/>
        </w:rPr>
        <w:t xml:space="preserve"> otrajā pusē</w:t>
      </w:r>
      <w:r>
        <w:rPr>
          <w:rFonts w:eastAsia="Calibri"/>
          <w:color w:val="000000"/>
          <w:szCs w:val="28"/>
        </w:rPr>
        <w:t xml:space="preserve"> pārtikas</w:t>
      </w:r>
      <w:r w:rsidRPr="00AE5BBF">
        <w:rPr>
          <w:rFonts w:eastAsia="Calibri"/>
          <w:color w:val="000000"/>
          <w:szCs w:val="28"/>
        </w:rPr>
        <w:t xml:space="preserve"> cenās Latvijā sāks atspoguļoties </w:t>
      </w:r>
      <w:r>
        <w:rPr>
          <w:rFonts w:eastAsia="Calibri"/>
          <w:color w:val="000000"/>
          <w:szCs w:val="28"/>
        </w:rPr>
        <w:t xml:space="preserve">iepriekš gada sākumā fiksētais </w:t>
      </w:r>
      <w:r w:rsidRPr="00AE5BBF">
        <w:rPr>
          <w:rFonts w:eastAsia="Calibri"/>
          <w:color w:val="000000"/>
          <w:szCs w:val="28"/>
        </w:rPr>
        <w:t>strauj</w:t>
      </w:r>
      <w:r>
        <w:rPr>
          <w:rFonts w:eastAsia="Calibri"/>
          <w:color w:val="000000"/>
          <w:szCs w:val="28"/>
        </w:rPr>
        <w:t>ais</w:t>
      </w:r>
      <w:r w:rsidRPr="00AE5BBF">
        <w:rPr>
          <w:rFonts w:eastAsia="Calibri"/>
          <w:color w:val="000000"/>
          <w:szCs w:val="28"/>
        </w:rPr>
        <w:t xml:space="preserve"> pārtikas cenu pieaugums pasaulē.  </w:t>
      </w:r>
    </w:p>
    <w:p w14:paraId="4117BDF3" w14:textId="66639E41" w:rsidR="00964CAC" w:rsidRPr="004A73EF" w:rsidRDefault="00964CAC" w:rsidP="00964CAC">
      <w:pPr>
        <w:spacing w:before="60" w:after="60"/>
        <w:ind w:firstLine="709"/>
        <w:rPr>
          <w:szCs w:val="28"/>
        </w:rPr>
      </w:pPr>
      <w:r w:rsidRPr="00AE5BBF">
        <w:rPr>
          <w:color w:val="000000"/>
          <w:szCs w:val="28"/>
        </w:rPr>
        <w:t xml:space="preserve">Patēriņa cenu izmaiņas Latvijā </w:t>
      </w:r>
      <w:r>
        <w:rPr>
          <w:color w:val="000000"/>
          <w:szCs w:val="28"/>
        </w:rPr>
        <w:t>atbilst</w:t>
      </w:r>
      <w:r w:rsidRPr="00AE5BBF">
        <w:rPr>
          <w:color w:val="000000"/>
          <w:szCs w:val="28"/>
        </w:rPr>
        <w:t xml:space="preserve"> tendencēm </w:t>
      </w:r>
      <w:r w:rsidRPr="00AE5BBF">
        <w:rPr>
          <w:noProof/>
          <w:color w:val="000000"/>
          <w:szCs w:val="28"/>
        </w:rPr>
        <w:t>eirozonā. Š</w:t>
      </w:r>
      <w:r w:rsidR="00053507">
        <w:rPr>
          <w:noProof/>
          <w:color w:val="000000"/>
          <w:szCs w:val="28"/>
        </w:rPr>
        <w:t>ā gada</w:t>
      </w:r>
      <w:r w:rsidRPr="00AE5BBF">
        <w:rPr>
          <w:noProof/>
          <w:color w:val="000000"/>
          <w:szCs w:val="28"/>
        </w:rPr>
        <w:t xml:space="preserve"> pirmajā pusē saskaņotais patēriņa cenu indekss eirozonā ir palielinājies par 1,4% salīdzinājumā ar pērn</w:t>
      </w:r>
      <w:r>
        <w:rPr>
          <w:noProof/>
          <w:color w:val="000000"/>
          <w:szCs w:val="28"/>
        </w:rPr>
        <w:t>ā</w:t>
      </w:r>
      <w:r w:rsidRPr="00AE5BBF">
        <w:rPr>
          <w:noProof/>
          <w:color w:val="000000"/>
          <w:szCs w:val="28"/>
        </w:rPr>
        <w:t xml:space="preserve"> gada attiecīgo periodu. </w:t>
      </w:r>
      <w:r>
        <w:rPr>
          <w:noProof/>
          <w:color w:val="000000"/>
          <w:szCs w:val="28"/>
        </w:rPr>
        <w:t>Arī e</w:t>
      </w:r>
      <w:r w:rsidRPr="00AE5BBF">
        <w:rPr>
          <w:noProof/>
          <w:color w:val="000000"/>
          <w:szCs w:val="28"/>
        </w:rPr>
        <w:t>irozonas valstīs būtisku devumu inflācijā</w:t>
      </w:r>
      <w:r>
        <w:rPr>
          <w:noProof/>
          <w:color w:val="000000"/>
          <w:szCs w:val="28"/>
        </w:rPr>
        <w:t xml:space="preserve"> jeb 0,4 procentpunktus </w:t>
      </w:r>
      <w:r w:rsidRPr="00AE5BBF">
        <w:rPr>
          <w:noProof/>
          <w:color w:val="000000"/>
          <w:szCs w:val="28"/>
        </w:rPr>
        <w:t>nodrošin</w:t>
      </w:r>
      <w:r>
        <w:rPr>
          <w:noProof/>
          <w:color w:val="000000"/>
          <w:szCs w:val="28"/>
        </w:rPr>
        <w:t xml:space="preserve">āja degvielas cenu pieaugums. </w:t>
      </w:r>
      <w:r w:rsidRPr="00AE5BBF">
        <w:rPr>
          <w:noProof/>
          <w:color w:val="000000"/>
          <w:szCs w:val="28"/>
        </w:rPr>
        <w:t>Inflācijas riski pasaulē un eirozonā pašreiz ir augsti, tomēr</w:t>
      </w:r>
      <w:r w:rsidRPr="00AE5BBF">
        <w:rPr>
          <w:color w:val="000000"/>
          <w:szCs w:val="28"/>
        </w:rPr>
        <w:t xml:space="preserve"> inflācijas </w:t>
      </w:r>
      <w:r>
        <w:rPr>
          <w:color w:val="000000"/>
          <w:szCs w:val="28"/>
        </w:rPr>
        <w:t>pieaugums</w:t>
      </w:r>
      <w:r w:rsidRPr="00AE5BBF">
        <w:rPr>
          <w:color w:val="000000"/>
          <w:szCs w:val="28"/>
        </w:rPr>
        <w:t xml:space="preserve"> bija sagaidāms un kopumā ir sais</w:t>
      </w:r>
      <w:r>
        <w:rPr>
          <w:color w:val="000000"/>
          <w:szCs w:val="28"/>
        </w:rPr>
        <w:t xml:space="preserve">tīts ar pērnā gada zemo bāzi, pasaules </w:t>
      </w:r>
      <w:r w:rsidRPr="00AE5BBF">
        <w:rPr>
          <w:color w:val="000000"/>
          <w:szCs w:val="28"/>
        </w:rPr>
        <w:t>ekonomikas atkopšan</w:t>
      </w:r>
      <w:r>
        <w:rPr>
          <w:color w:val="000000"/>
          <w:szCs w:val="28"/>
        </w:rPr>
        <w:t>o</w:t>
      </w:r>
      <w:r w:rsidRPr="00AE5BBF">
        <w:rPr>
          <w:color w:val="000000"/>
          <w:szCs w:val="28"/>
        </w:rPr>
        <w:t>s</w:t>
      </w:r>
      <w:r>
        <w:rPr>
          <w:color w:val="000000"/>
          <w:szCs w:val="28"/>
        </w:rPr>
        <w:t xml:space="preserve"> pēc recesijas pērn un augošo privāto pieprasījumu. Balstoties uz aktualizētajām Finanšu ministrijas prognozēm, </w:t>
      </w:r>
      <w:r>
        <w:rPr>
          <w:szCs w:val="28"/>
        </w:rPr>
        <w:t>šā</w:t>
      </w:r>
      <w:r w:rsidRPr="006A0CDA">
        <w:rPr>
          <w:szCs w:val="28"/>
        </w:rPr>
        <w:t xml:space="preserve"> gada otrajā pusgadā vidējā inflācija paaugstināsies līdz 2,9%-3,0%.</w:t>
      </w:r>
      <w:r>
        <w:rPr>
          <w:szCs w:val="28"/>
        </w:rPr>
        <w:t xml:space="preserve"> Tādējādi </w:t>
      </w:r>
      <w:r w:rsidRPr="00425DF8">
        <w:rPr>
          <w:szCs w:val="28"/>
        </w:rPr>
        <w:t>patēriņa cenu līmenis 2021.</w:t>
      </w:r>
      <w:r w:rsidR="00053507">
        <w:rPr>
          <w:szCs w:val="28"/>
        </w:rPr>
        <w:t> </w:t>
      </w:r>
      <w:r w:rsidRPr="00425DF8">
        <w:rPr>
          <w:szCs w:val="28"/>
        </w:rPr>
        <w:t>gadā vidēji palielināsies par 2,0</w:t>
      </w:r>
      <w:r>
        <w:rPr>
          <w:szCs w:val="28"/>
        </w:rPr>
        <w:t>%.</w:t>
      </w:r>
    </w:p>
    <w:p w14:paraId="46DED7B0" w14:textId="77777777" w:rsidR="00964CAC" w:rsidRPr="00500AAB" w:rsidRDefault="00964CAC" w:rsidP="00A83AAD">
      <w:pPr>
        <w:rPr>
          <w:rFonts w:eastAsia="Calibri" w:cs="Times New Roman"/>
          <w:b/>
          <w:szCs w:val="20"/>
        </w:rPr>
      </w:pPr>
      <w:r w:rsidRPr="00500AAB">
        <w:rPr>
          <w:rFonts w:eastAsia="Calibri" w:cs="Times New Roman"/>
          <w:b/>
          <w:szCs w:val="20"/>
        </w:rPr>
        <w:t>Makroekonomiskās attīstības scenārijs</w:t>
      </w:r>
    </w:p>
    <w:p w14:paraId="6E054E8E" w14:textId="77777777" w:rsidR="00964CAC" w:rsidRDefault="00964CAC" w:rsidP="00964CAC">
      <w:pPr>
        <w:spacing w:before="60" w:after="60"/>
        <w:rPr>
          <w:szCs w:val="20"/>
        </w:rPr>
      </w:pPr>
      <w:r w:rsidRPr="00444066">
        <w:rPr>
          <w:szCs w:val="20"/>
        </w:rPr>
        <w:t>Vidēja termiņa makroekonomiskās attīstības scenārijs 202</w:t>
      </w:r>
      <w:r>
        <w:rPr>
          <w:szCs w:val="20"/>
        </w:rPr>
        <w:t>1</w:t>
      </w:r>
      <w:r w:rsidRPr="00444066">
        <w:rPr>
          <w:szCs w:val="20"/>
        </w:rPr>
        <w:t>.</w:t>
      </w:r>
      <w:r>
        <w:rPr>
          <w:szCs w:val="20"/>
        </w:rPr>
        <w:noBreakHyphen/>
      </w:r>
      <w:r w:rsidRPr="00444066">
        <w:rPr>
          <w:szCs w:val="20"/>
        </w:rPr>
        <w:t>202</w:t>
      </w:r>
      <w:r>
        <w:rPr>
          <w:szCs w:val="20"/>
        </w:rPr>
        <w:t>4</w:t>
      </w:r>
      <w:r w:rsidRPr="00444066">
        <w:rPr>
          <w:szCs w:val="20"/>
        </w:rPr>
        <w:t>.</w:t>
      </w:r>
      <w:r>
        <w:rPr>
          <w:szCs w:val="20"/>
        </w:rPr>
        <w:t> </w:t>
      </w:r>
      <w:r w:rsidRPr="00444066">
        <w:rPr>
          <w:szCs w:val="20"/>
        </w:rPr>
        <w:t>gadam izstrādāts 202</w:t>
      </w:r>
      <w:r>
        <w:rPr>
          <w:szCs w:val="20"/>
        </w:rPr>
        <w:t>1</w:t>
      </w:r>
      <w:r w:rsidRPr="00444066">
        <w:rPr>
          <w:szCs w:val="20"/>
        </w:rPr>
        <w:t>.</w:t>
      </w:r>
      <w:r>
        <w:rPr>
          <w:szCs w:val="20"/>
        </w:rPr>
        <w:t> </w:t>
      </w:r>
      <w:r w:rsidRPr="00444066">
        <w:rPr>
          <w:szCs w:val="20"/>
        </w:rPr>
        <w:t>gada jūnijā, balstoties uz 202</w:t>
      </w:r>
      <w:r>
        <w:rPr>
          <w:szCs w:val="20"/>
        </w:rPr>
        <w:t>1</w:t>
      </w:r>
      <w:r w:rsidRPr="00444066">
        <w:rPr>
          <w:szCs w:val="20"/>
        </w:rPr>
        <w:t>.</w:t>
      </w:r>
      <w:r>
        <w:rPr>
          <w:szCs w:val="20"/>
        </w:rPr>
        <w:t> </w:t>
      </w:r>
      <w:r w:rsidRPr="00444066">
        <w:rPr>
          <w:szCs w:val="20"/>
        </w:rPr>
        <w:t xml:space="preserve">gada pirmā </w:t>
      </w:r>
      <w:r>
        <w:rPr>
          <w:szCs w:val="20"/>
        </w:rPr>
        <w:t xml:space="preserve">ceturkšņa IKP datiem, kā arī līdz šā </w:t>
      </w:r>
      <w:r w:rsidRPr="00444066">
        <w:rPr>
          <w:szCs w:val="20"/>
        </w:rPr>
        <w:t>gada jūnijam pieejamo īstermiņa makroekonomisko informāciju</w:t>
      </w:r>
      <w:r>
        <w:rPr>
          <w:szCs w:val="20"/>
        </w:rPr>
        <w:t xml:space="preserve"> un</w:t>
      </w:r>
      <w:r w:rsidRPr="00444066">
        <w:rPr>
          <w:szCs w:val="20"/>
        </w:rPr>
        <w:t xml:space="preserve"> valdības apstiprināt</w:t>
      </w:r>
      <w:r>
        <w:rPr>
          <w:szCs w:val="20"/>
        </w:rPr>
        <w:t>ajiem</w:t>
      </w:r>
      <w:r w:rsidRPr="00444066">
        <w:rPr>
          <w:szCs w:val="20"/>
        </w:rPr>
        <w:t xml:space="preserve"> atbalsta pasākum</w:t>
      </w:r>
      <w:r>
        <w:rPr>
          <w:szCs w:val="20"/>
        </w:rPr>
        <w:t>iem</w:t>
      </w:r>
      <w:r w:rsidRPr="00444066">
        <w:rPr>
          <w:szCs w:val="20"/>
        </w:rPr>
        <w:t xml:space="preserve"> Covid</w:t>
      </w:r>
      <w:r>
        <w:rPr>
          <w:szCs w:val="20"/>
        </w:rPr>
        <w:noBreakHyphen/>
      </w:r>
      <w:r w:rsidRPr="00444066">
        <w:rPr>
          <w:szCs w:val="20"/>
        </w:rPr>
        <w:t>19 izraisītās krīzes seku mazināšanai tautsaimniecībā.</w:t>
      </w:r>
      <w:r>
        <w:rPr>
          <w:szCs w:val="20"/>
        </w:rPr>
        <w:t xml:space="preserve"> </w:t>
      </w:r>
      <w:r w:rsidRPr="00444066">
        <w:rPr>
          <w:szCs w:val="20"/>
        </w:rPr>
        <w:t xml:space="preserve">Izstrādājot vidēja termiņa makroekonomiskās attīstības scenāriju, FM ir konsultējusies ar </w:t>
      </w:r>
      <w:r>
        <w:rPr>
          <w:szCs w:val="20"/>
        </w:rPr>
        <w:t>SVF</w:t>
      </w:r>
      <w:r w:rsidRPr="00444066">
        <w:rPr>
          <w:szCs w:val="20"/>
        </w:rPr>
        <w:t xml:space="preserve"> un </w:t>
      </w:r>
      <w:r>
        <w:rPr>
          <w:szCs w:val="20"/>
        </w:rPr>
        <w:t>EK</w:t>
      </w:r>
      <w:r w:rsidRPr="00444066">
        <w:rPr>
          <w:szCs w:val="20"/>
        </w:rPr>
        <w:t xml:space="preserve"> ekspertiem. Makroekonomisko rādītāju prognozes ir saskaņotas ar Latvijas Banku un Ekonomikas ministriju, kā arī tās </w:t>
      </w:r>
      <w:r w:rsidRPr="00053507">
        <w:rPr>
          <w:szCs w:val="20"/>
        </w:rPr>
        <w:t>2021. gada 14. jūnijā ir apstiprinājusi Fiskālās disciplīnas padome.</w:t>
      </w:r>
    </w:p>
    <w:p w14:paraId="5CA392B3" w14:textId="6A346862" w:rsidR="00964CAC" w:rsidRDefault="00964CAC" w:rsidP="00964CAC">
      <w:pPr>
        <w:spacing w:before="60" w:after="60"/>
        <w:rPr>
          <w:szCs w:val="20"/>
        </w:rPr>
      </w:pPr>
      <w:r>
        <w:t xml:space="preserve">Makroekonomiskās attīstības scenārijs paredz, ka </w:t>
      </w:r>
      <w:r w:rsidRPr="000506D7">
        <w:t>Latvijas ekonomikas izaugsme 2021.</w:t>
      </w:r>
      <w:r w:rsidR="00053507">
        <w:t> </w:t>
      </w:r>
      <w:r w:rsidRPr="000506D7">
        <w:t>gadā sasniegs 3,7% un 2022.</w:t>
      </w:r>
      <w:r>
        <w:t> </w:t>
      </w:r>
      <w:r w:rsidRPr="000506D7">
        <w:t>gadā – 5,0%, kas ir attiecīgi par 0,7</w:t>
      </w:r>
      <w:r w:rsidR="00053507">
        <w:t> </w:t>
      </w:r>
      <w:r w:rsidRPr="000506D7">
        <w:t>procentpunktiem un 0,5</w:t>
      </w:r>
      <w:r w:rsidR="00053507">
        <w:t> </w:t>
      </w:r>
      <w:r w:rsidRPr="000506D7">
        <w:t>procentpunktiem vairāk nekā tika prognozēts šā gada februārī, sagatavojot Latvijas Stabilitātes programmu 2021.-2024.</w:t>
      </w:r>
      <w:r>
        <w:t> </w:t>
      </w:r>
      <w:r w:rsidRPr="000506D7">
        <w:t>gadam.</w:t>
      </w:r>
      <w:r w:rsidRPr="00444066">
        <w:rPr>
          <w:szCs w:val="20"/>
        </w:rPr>
        <w:t xml:space="preserve"> Savukārt 202</w:t>
      </w:r>
      <w:r>
        <w:rPr>
          <w:szCs w:val="20"/>
        </w:rPr>
        <w:t>3</w:t>
      </w:r>
      <w:r w:rsidRPr="00444066">
        <w:rPr>
          <w:szCs w:val="20"/>
        </w:rPr>
        <w:t>. un 202</w:t>
      </w:r>
      <w:r>
        <w:rPr>
          <w:szCs w:val="20"/>
        </w:rPr>
        <w:t>4</w:t>
      </w:r>
      <w:r w:rsidRPr="00444066">
        <w:rPr>
          <w:szCs w:val="20"/>
        </w:rPr>
        <w:t>.</w:t>
      </w:r>
      <w:r>
        <w:rPr>
          <w:szCs w:val="20"/>
        </w:rPr>
        <w:t> </w:t>
      </w:r>
      <w:r w:rsidRPr="00444066">
        <w:rPr>
          <w:szCs w:val="20"/>
        </w:rPr>
        <w:t xml:space="preserve">gadā IKP palielināsies </w:t>
      </w:r>
      <w:r>
        <w:rPr>
          <w:szCs w:val="20"/>
        </w:rPr>
        <w:t xml:space="preserve">attiecīgi </w:t>
      </w:r>
      <w:r w:rsidRPr="00444066">
        <w:rPr>
          <w:szCs w:val="20"/>
        </w:rPr>
        <w:t>par 3,</w:t>
      </w:r>
      <w:r>
        <w:rPr>
          <w:szCs w:val="20"/>
        </w:rPr>
        <w:t>5</w:t>
      </w:r>
      <w:r w:rsidRPr="00444066">
        <w:rPr>
          <w:szCs w:val="20"/>
        </w:rPr>
        <w:t>%</w:t>
      </w:r>
      <w:r>
        <w:rPr>
          <w:szCs w:val="20"/>
        </w:rPr>
        <w:t xml:space="preserve"> un 3,4%</w:t>
      </w:r>
      <w:r w:rsidRPr="00444066">
        <w:rPr>
          <w:szCs w:val="20"/>
        </w:rPr>
        <w:t>, kas attiecīgi ir par 0,</w:t>
      </w:r>
      <w:r>
        <w:rPr>
          <w:szCs w:val="20"/>
        </w:rPr>
        <w:t>3</w:t>
      </w:r>
      <w:r w:rsidRPr="00444066">
        <w:rPr>
          <w:szCs w:val="20"/>
        </w:rPr>
        <w:t xml:space="preserve"> un 0,7 procentpunktiem vairāk nekā iepriekšējās prognozēs.</w:t>
      </w:r>
    </w:p>
    <w:p w14:paraId="0A3FB346" w14:textId="77777777" w:rsidR="00964CAC" w:rsidRPr="00C576B0" w:rsidRDefault="00964CAC" w:rsidP="00964CAC">
      <w:pPr>
        <w:spacing w:before="60" w:after="60"/>
        <w:rPr>
          <w:szCs w:val="20"/>
        </w:rPr>
      </w:pPr>
      <w:r w:rsidRPr="000F3BBA">
        <w:t>Ekonomikas izaugsmi 2021</w:t>
      </w:r>
      <w:r>
        <w:t xml:space="preserve">. un 2022. gadā noteiks Covid-19 uzliesmojuma ierobežošana gan Latvijā, gan tās veiksmīga krīzes pārvarēšana pasaulē un galvenajās Latvijas ārējās tirdzniecības partnervalstīs, veicinot iekšējo un ārējo pieprasījumu. </w:t>
      </w:r>
      <w:r w:rsidRPr="00444066">
        <w:rPr>
          <w:szCs w:val="20"/>
        </w:rPr>
        <w:t xml:space="preserve">Šāds pieņēmums </w:t>
      </w:r>
      <w:r>
        <w:rPr>
          <w:szCs w:val="20"/>
        </w:rPr>
        <w:t xml:space="preserve">ir </w:t>
      </w:r>
      <w:r w:rsidRPr="00444066">
        <w:rPr>
          <w:szCs w:val="20"/>
        </w:rPr>
        <w:t xml:space="preserve">pamatā </w:t>
      </w:r>
      <w:r>
        <w:rPr>
          <w:szCs w:val="20"/>
        </w:rPr>
        <w:t xml:space="preserve">arī </w:t>
      </w:r>
      <w:r w:rsidRPr="00444066">
        <w:rPr>
          <w:szCs w:val="20"/>
        </w:rPr>
        <w:t xml:space="preserve">visu starptautisko institūciju makroekonomikas prognozēm, </w:t>
      </w:r>
      <w:r>
        <w:rPr>
          <w:szCs w:val="20"/>
        </w:rPr>
        <w:t>balstoties</w:t>
      </w:r>
      <w:r w:rsidRPr="00444066">
        <w:rPr>
          <w:szCs w:val="20"/>
        </w:rPr>
        <w:t xml:space="preserve"> uz Covid-19 izplatības dinamikas pēdējiem datiem.</w:t>
      </w:r>
      <w:r>
        <w:rPr>
          <w:szCs w:val="20"/>
        </w:rPr>
        <w:t xml:space="preserve"> </w:t>
      </w:r>
      <w:r>
        <w:t>Scenārijs paredz arī to, ka līdz šā gada rudenim tiek sasniegts pietiekams vakcinācijas līmenis, lai izvairītos no Covid-19 trešā viļņa, un tāpēc netiek atjaunoti ierobežojumi slimības izplatības mazināšanai. Papildus tam, ekonomiku stiprinās šogad paredzētie valsts atbalsta pasākumi un pieaugošais Eiropas Savienības finanšu līdzekļu apjoms. Scenārijs paredz, ka k</w:t>
      </w:r>
      <w:r w:rsidRPr="00444066">
        <w:rPr>
          <w:szCs w:val="20"/>
        </w:rPr>
        <w:t xml:space="preserve">rīzes smagāk skartajās nozarēs </w:t>
      </w:r>
      <w:r>
        <w:rPr>
          <w:szCs w:val="20"/>
        </w:rPr>
        <w:t>–</w:t>
      </w:r>
      <w:r w:rsidRPr="00444066">
        <w:rPr>
          <w:szCs w:val="20"/>
        </w:rPr>
        <w:t xml:space="preserve"> transportā, izmitināšanā un ēdināšanā, mākslas, izklaides un </w:t>
      </w:r>
      <w:r w:rsidRPr="00444066">
        <w:rPr>
          <w:szCs w:val="20"/>
        </w:rPr>
        <w:lastRenderedPageBreak/>
        <w:t xml:space="preserve">atpūtas nozarē, profesionālo pakalpojumu </w:t>
      </w:r>
      <w:r>
        <w:rPr>
          <w:szCs w:val="20"/>
        </w:rPr>
        <w:t>nozarē- izlaides apjomi līdz 2021. gada</w:t>
      </w:r>
      <w:r w:rsidRPr="00444066">
        <w:rPr>
          <w:szCs w:val="20"/>
        </w:rPr>
        <w:t xml:space="preserve"> beig</w:t>
      </w:r>
      <w:r>
        <w:rPr>
          <w:szCs w:val="20"/>
        </w:rPr>
        <w:t>ām vēl būtiski atpaliks no 2019. gada līmeņa</w:t>
      </w:r>
      <w:r w:rsidRPr="00444066">
        <w:rPr>
          <w:szCs w:val="20"/>
        </w:rPr>
        <w:t>.</w:t>
      </w:r>
    </w:p>
    <w:p w14:paraId="48CD3A87" w14:textId="7795684A" w:rsidR="00964CAC" w:rsidRDefault="00964CAC" w:rsidP="00964CAC">
      <w:pPr>
        <w:spacing w:before="60" w:after="60"/>
      </w:pPr>
      <w:r>
        <w:t>Latvijas ekonomikas izaugsmes galvenais virzītājspēks šogad būs privātā patēriņa pieaugums, kas pēc ierobežojumu atcelšanas šī gada otrajā ceturksnī ir strauji atjaunojies. Tāpēc gadā kopumā tas varētu palielināties par 6,3%. Ņemot vērā zemo bāzi, 2022.</w:t>
      </w:r>
      <w:r w:rsidR="00053507">
        <w:t> </w:t>
      </w:r>
      <w:r>
        <w:t xml:space="preserve">gadā privātā patēriņa pieaugums varētu sasniegt 10,4%, tomēr privātais patēriņš būtu tikai par 5,5% lielāks nekā 2019.gadā. Papildus šogad iekšzemes patēriņu balstīs </w:t>
      </w:r>
      <w:r w:rsidRPr="00FD2EAE">
        <w:t>sabiedriskā patēriņa pieaugums par 3,5%, ko nosaka Covis-19 atbalsta pasākumi.</w:t>
      </w:r>
    </w:p>
    <w:p w14:paraId="044B2C6E" w14:textId="39CEE647" w:rsidR="00964CAC" w:rsidRDefault="00964CAC" w:rsidP="00964CAC">
      <w:pPr>
        <w:spacing w:before="60" w:after="60"/>
      </w:pPr>
      <w:r>
        <w:t xml:space="preserve">Investīciju apjoms šogad varētu palielināties par 4,1%, bet 2022. gadā sasniegt jau 8,5% kāpumu, kam nozīmīgu atbalstu sniegtu ES fondu un Atveseļošanās un noturības mehānisma finansējama pieejamība, kā arī </w:t>
      </w:r>
      <w:r w:rsidRPr="00C576B0">
        <w:rPr>
          <w:i/>
          <w:noProof/>
        </w:rPr>
        <w:t>Rail</w:t>
      </w:r>
      <w:r w:rsidR="00053507">
        <w:rPr>
          <w:i/>
          <w:noProof/>
        </w:rPr>
        <w:t xml:space="preserve"> </w:t>
      </w:r>
      <w:r w:rsidRPr="00C576B0">
        <w:rPr>
          <w:i/>
          <w:noProof/>
        </w:rPr>
        <w:t>Baltica</w:t>
      </w:r>
      <w:r>
        <w:rPr>
          <w:noProof/>
        </w:rPr>
        <w:t xml:space="preserve"> </w:t>
      </w:r>
      <w:r>
        <w:t>projekta realizācija.</w:t>
      </w:r>
    </w:p>
    <w:p w14:paraId="52F43434" w14:textId="2DC98886" w:rsidR="00964CAC" w:rsidRPr="00C576B0" w:rsidRDefault="00964CAC" w:rsidP="00964CAC">
      <w:pPr>
        <w:spacing w:before="60" w:after="60"/>
      </w:pPr>
      <w:r>
        <w:t>Attiecībā uz eksporta prognozi, jau šī gada otrajā pusē izzudīs pakalpojumu eksporta negatīvais devums, ko izraisīja Covid-19 ierobežošanas ierobežojumi. Preču eksportam šādi ierobežojumi nebija ieviesti un atbilstoši Eiropas Komisijas prognozēm Latvijas ārējais pieprasījums būs spēcīgs, tādējādi 2021. un 2022.</w:t>
      </w:r>
      <w:r w:rsidR="00053507">
        <w:t> </w:t>
      </w:r>
      <w:r>
        <w:t>gadā eksporta pieaugums varētu attiecīgi sasniegt  attiecīgi 6,5% un 5,8%.</w:t>
      </w:r>
    </w:p>
    <w:p w14:paraId="7D838A3A" w14:textId="77777777" w:rsidR="00964CAC" w:rsidRPr="00500AAB" w:rsidRDefault="00964CAC" w:rsidP="00A83AAD">
      <w:pPr>
        <w:spacing w:after="60"/>
        <w:jc w:val="center"/>
        <w:rPr>
          <w:rFonts w:eastAsia="Calibri" w:cs="Times New Roman"/>
          <w:b/>
          <w:sz w:val="24"/>
          <w:szCs w:val="24"/>
        </w:rPr>
      </w:pPr>
      <w:r w:rsidRPr="00964CAC">
        <w:rPr>
          <w:rFonts w:eastAsia="Calibri" w:cs="Times New Roman"/>
          <w:b/>
          <w:sz w:val="24"/>
          <w:szCs w:val="24"/>
        </w:rPr>
        <w:t>1.</w:t>
      </w:r>
      <w:r w:rsidRPr="00E92BC1">
        <w:rPr>
          <w:rFonts w:eastAsia="Calibri" w:cs="Times New Roman"/>
          <w:b/>
          <w:sz w:val="24"/>
          <w:szCs w:val="24"/>
        </w:rPr>
        <w:t>tabula. Makroekonomiskie</w:t>
      </w:r>
      <w:r w:rsidRPr="00500AAB">
        <w:rPr>
          <w:rFonts w:eastAsia="Calibri" w:cs="Times New Roman"/>
          <w:b/>
          <w:sz w:val="24"/>
          <w:szCs w:val="24"/>
        </w:rPr>
        <w:t xml:space="preserve"> rādītāji 20</w:t>
      </w:r>
      <w:r>
        <w:rPr>
          <w:rFonts w:eastAsia="Calibri" w:cs="Times New Roman"/>
          <w:b/>
          <w:sz w:val="24"/>
          <w:szCs w:val="24"/>
        </w:rPr>
        <w:t>20</w:t>
      </w:r>
      <w:r w:rsidRPr="00500AAB">
        <w:rPr>
          <w:rFonts w:eastAsia="Calibri" w:cs="Times New Roman"/>
          <w:b/>
          <w:sz w:val="24"/>
          <w:szCs w:val="24"/>
        </w:rPr>
        <w:t>. – 202</w:t>
      </w:r>
      <w:r>
        <w:rPr>
          <w:rFonts w:eastAsia="Calibri" w:cs="Times New Roman"/>
          <w:b/>
          <w:sz w:val="24"/>
          <w:szCs w:val="24"/>
        </w:rPr>
        <w:t>4</w:t>
      </w:r>
      <w:r w:rsidRPr="00500AAB">
        <w:rPr>
          <w:rFonts w:eastAsia="Calibri" w:cs="Times New Roman"/>
          <w:b/>
          <w:sz w:val="24"/>
          <w:szCs w:val="24"/>
        </w:rPr>
        <w:t>.gadā</w:t>
      </w:r>
      <w:r>
        <w:rPr>
          <w:rFonts w:eastAsia="Calibri" w:cs="Times New Roman"/>
          <w:b/>
          <w:sz w:val="24"/>
          <w:szCs w:val="24"/>
        </w:rPr>
        <w:t xml:space="preserve"> </w:t>
      </w:r>
    </w:p>
    <w:tbl>
      <w:tblPr>
        <w:tblW w:w="8500" w:type="dxa"/>
        <w:jc w:val="center"/>
        <w:tblLayout w:type="fixed"/>
        <w:tblLook w:val="04A0" w:firstRow="1" w:lastRow="0" w:firstColumn="1" w:lastColumn="0" w:noHBand="0" w:noVBand="1"/>
      </w:tblPr>
      <w:tblGrid>
        <w:gridCol w:w="3823"/>
        <w:gridCol w:w="850"/>
        <w:gridCol w:w="1020"/>
        <w:gridCol w:w="936"/>
        <w:gridCol w:w="935"/>
        <w:gridCol w:w="936"/>
      </w:tblGrid>
      <w:tr w:rsidR="00964CAC" w:rsidRPr="00500AAB" w14:paraId="7B722204" w14:textId="77777777" w:rsidTr="00053507">
        <w:trPr>
          <w:trHeight w:val="2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ABD05" w14:textId="77777777" w:rsidR="00964CAC" w:rsidRPr="00851539" w:rsidRDefault="00964CAC" w:rsidP="00053507">
            <w:pPr>
              <w:spacing w:before="0" w:after="0"/>
              <w:ind w:firstLine="0"/>
              <w:jc w:val="left"/>
              <w:rPr>
                <w:rFonts w:eastAsia="Times New Roman" w:cs="Times New Roman"/>
                <w:b/>
                <w:sz w:val="20"/>
                <w:szCs w:val="20"/>
                <w:lang w:eastAsia="lv-LV"/>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6123CA9" w14:textId="77777777" w:rsidR="00964CAC" w:rsidRPr="00851539" w:rsidRDefault="00964CAC" w:rsidP="00053507">
            <w:pPr>
              <w:spacing w:before="0" w:after="0"/>
              <w:ind w:firstLine="0"/>
              <w:jc w:val="center"/>
              <w:rPr>
                <w:rFonts w:eastAsia="Times New Roman" w:cs="Times New Roman"/>
                <w:b/>
                <w:sz w:val="20"/>
                <w:szCs w:val="20"/>
                <w:lang w:eastAsia="lv-LV"/>
              </w:rPr>
            </w:pPr>
            <w:r w:rsidRPr="00851539">
              <w:rPr>
                <w:rFonts w:eastAsia="Times New Roman" w:cs="Times New Roman"/>
                <w:b/>
                <w:sz w:val="20"/>
                <w:szCs w:val="20"/>
                <w:lang w:eastAsia="lv-LV"/>
              </w:rPr>
              <w:t>2020</w:t>
            </w:r>
          </w:p>
        </w:tc>
        <w:tc>
          <w:tcPr>
            <w:tcW w:w="1020" w:type="dxa"/>
            <w:tcBorders>
              <w:top w:val="single" w:sz="4" w:space="0" w:color="auto"/>
              <w:left w:val="nil"/>
              <w:bottom w:val="single" w:sz="4" w:space="0" w:color="auto"/>
              <w:right w:val="single" w:sz="4" w:space="0" w:color="auto"/>
            </w:tcBorders>
            <w:shd w:val="clear" w:color="auto" w:fill="EAF1DD"/>
            <w:noWrap/>
            <w:vAlign w:val="center"/>
          </w:tcPr>
          <w:p w14:paraId="44AE030D" w14:textId="77777777" w:rsidR="00964CAC" w:rsidRPr="00851539" w:rsidRDefault="00964CAC" w:rsidP="00053507">
            <w:pPr>
              <w:spacing w:before="0" w:after="0"/>
              <w:ind w:firstLine="0"/>
              <w:jc w:val="center"/>
              <w:rPr>
                <w:rFonts w:eastAsia="Times New Roman" w:cs="Times New Roman"/>
                <w:b/>
                <w:sz w:val="20"/>
                <w:szCs w:val="20"/>
                <w:lang w:eastAsia="lv-LV"/>
              </w:rPr>
            </w:pPr>
            <w:r w:rsidRPr="00851539">
              <w:rPr>
                <w:rFonts w:eastAsia="Times New Roman" w:cs="Times New Roman"/>
                <w:b/>
                <w:sz w:val="20"/>
                <w:szCs w:val="20"/>
                <w:lang w:eastAsia="lv-LV"/>
              </w:rPr>
              <w:t>2021</w:t>
            </w:r>
          </w:p>
        </w:tc>
        <w:tc>
          <w:tcPr>
            <w:tcW w:w="936" w:type="dxa"/>
            <w:tcBorders>
              <w:top w:val="single" w:sz="4" w:space="0" w:color="auto"/>
              <w:left w:val="nil"/>
              <w:bottom w:val="single" w:sz="4" w:space="0" w:color="auto"/>
              <w:right w:val="single" w:sz="4" w:space="0" w:color="auto"/>
            </w:tcBorders>
            <w:shd w:val="clear" w:color="auto" w:fill="EAF1DD"/>
            <w:noWrap/>
            <w:vAlign w:val="center"/>
          </w:tcPr>
          <w:p w14:paraId="62B7D386" w14:textId="77777777" w:rsidR="00964CAC" w:rsidRPr="00851539" w:rsidRDefault="00964CAC" w:rsidP="00053507">
            <w:pPr>
              <w:spacing w:before="0" w:after="0"/>
              <w:ind w:firstLine="0"/>
              <w:jc w:val="center"/>
              <w:rPr>
                <w:rFonts w:eastAsia="Times New Roman" w:cs="Times New Roman"/>
                <w:b/>
                <w:sz w:val="20"/>
                <w:szCs w:val="20"/>
                <w:lang w:eastAsia="lv-LV"/>
              </w:rPr>
            </w:pPr>
            <w:r w:rsidRPr="00851539">
              <w:rPr>
                <w:rFonts w:eastAsia="Times New Roman" w:cs="Times New Roman"/>
                <w:b/>
                <w:sz w:val="20"/>
                <w:szCs w:val="20"/>
                <w:lang w:eastAsia="lv-LV"/>
              </w:rPr>
              <w:t>2022</w:t>
            </w:r>
          </w:p>
        </w:tc>
        <w:tc>
          <w:tcPr>
            <w:tcW w:w="935" w:type="dxa"/>
            <w:tcBorders>
              <w:top w:val="single" w:sz="4" w:space="0" w:color="auto"/>
              <w:left w:val="nil"/>
              <w:bottom w:val="single" w:sz="4" w:space="0" w:color="auto"/>
              <w:right w:val="single" w:sz="4" w:space="0" w:color="auto"/>
            </w:tcBorders>
            <w:shd w:val="clear" w:color="auto" w:fill="EAF1DD"/>
            <w:noWrap/>
            <w:vAlign w:val="center"/>
          </w:tcPr>
          <w:p w14:paraId="413AB8A9" w14:textId="77777777" w:rsidR="00964CAC" w:rsidRPr="00851539" w:rsidRDefault="00964CAC" w:rsidP="00053507">
            <w:pPr>
              <w:spacing w:before="0" w:after="0"/>
              <w:ind w:firstLine="0"/>
              <w:jc w:val="center"/>
              <w:rPr>
                <w:rFonts w:eastAsia="Times New Roman" w:cs="Times New Roman"/>
                <w:b/>
                <w:sz w:val="20"/>
                <w:szCs w:val="20"/>
                <w:lang w:eastAsia="lv-LV"/>
              </w:rPr>
            </w:pPr>
            <w:r w:rsidRPr="00851539">
              <w:rPr>
                <w:rFonts w:eastAsia="Times New Roman" w:cs="Times New Roman"/>
                <w:b/>
                <w:sz w:val="20"/>
                <w:szCs w:val="20"/>
                <w:lang w:eastAsia="lv-LV"/>
              </w:rPr>
              <w:t>2023</w:t>
            </w:r>
          </w:p>
        </w:tc>
        <w:tc>
          <w:tcPr>
            <w:tcW w:w="936" w:type="dxa"/>
            <w:tcBorders>
              <w:top w:val="single" w:sz="4" w:space="0" w:color="auto"/>
              <w:left w:val="nil"/>
              <w:bottom w:val="single" w:sz="4" w:space="0" w:color="auto"/>
              <w:right w:val="single" w:sz="4" w:space="0" w:color="auto"/>
            </w:tcBorders>
            <w:shd w:val="clear" w:color="auto" w:fill="EAF1DD"/>
            <w:noWrap/>
            <w:vAlign w:val="center"/>
          </w:tcPr>
          <w:p w14:paraId="04CB0457" w14:textId="77777777" w:rsidR="00964CAC" w:rsidRPr="00851539" w:rsidRDefault="00964CAC" w:rsidP="00053507">
            <w:pPr>
              <w:spacing w:before="0" w:after="0"/>
              <w:ind w:firstLine="0"/>
              <w:jc w:val="center"/>
              <w:rPr>
                <w:rFonts w:eastAsia="Times New Roman" w:cs="Times New Roman"/>
                <w:b/>
                <w:sz w:val="20"/>
                <w:szCs w:val="20"/>
                <w:lang w:eastAsia="lv-LV"/>
              </w:rPr>
            </w:pPr>
            <w:r w:rsidRPr="00851539">
              <w:rPr>
                <w:rFonts w:eastAsia="Times New Roman" w:cs="Times New Roman"/>
                <w:b/>
                <w:sz w:val="20"/>
                <w:szCs w:val="20"/>
                <w:lang w:eastAsia="lv-LV"/>
              </w:rPr>
              <w:t>2024</w:t>
            </w:r>
          </w:p>
        </w:tc>
      </w:tr>
      <w:tr w:rsidR="00964CAC" w:rsidRPr="00500AAB" w14:paraId="396B2491" w14:textId="77777777" w:rsidTr="00053507">
        <w:trPr>
          <w:trHeight w:val="2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FFE4B" w14:textId="77777777" w:rsidR="00964CAC" w:rsidRPr="00851539" w:rsidRDefault="00964CAC" w:rsidP="00053507">
            <w:pPr>
              <w:spacing w:before="0" w:after="0"/>
              <w:ind w:firstLine="0"/>
              <w:jc w:val="left"/>
              <w:rPr>
                <w:rFonts w:eastAsia="Times New Roman" w:cs="Times New Roman"/>
                <w:sz w:val="20"/>
                <w:szCs w:val="20"/>
                <w:lang w:eastAsia="lv-LV"/>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31B736B" w14:textId="0BB066BC" w:rsidR="00964CAC" w:rsidRPr="00851539" w:rsidRDefault="004F5DAB" w:rsidP="00053507">
            <w:pPr>
              <w:spacing w:before="0" w:after="0"/>
              <w:ind w:firstLine="0"/>
              <w:jc w:val="center"/>
              <w:rPr>
                <w:rFonts w:eastAsia="Times New Roman" w:cs="Times New Roman"/>
                <w:sz w:val="20"/>
                <w:szCs w:val="20"/>
                <w:lang w:eastAsia="lv-LV"/>
              </w:rPr>
            </w:pPr>
            <w:r>
              <w:rPr>
                <w:rFonts w:eastAsia="Times New Roman" w:cs="Times New Roman"/>
                <w:sz w:val="20"/>
                <w:szCs w:val="20"/>
                <w:lang w:eastAsia="lv-LV"/>
              </w:rPr>
              <w:t>F</w:t>
            </w:r>
            <w:r w:rsidR="00964CAC" w:rsidRPr="00851539">
              <w:rPr>
                <w:rFonts w:eastAsia="Times New Roman" w:cs="Times New Roman"/>
                <w:sz w:val="20"/>
                <w:szCs w:val="20"/>
                <w:lang w:eastAsia="lv-LV"/>
              </w:rPr>
              <w:t>akts</w:t>
            </w:r>
          </w:p>
        </w:tc>
        <w:tc>
          <w:tcPr>
            <w:tcW w:w="3827" w:type="dxa"/>
            <w:gridSpan w:val="4"/>
            <w:tcBorders>
              <w:top w:val="single" w:sz="4" w:space="0" w:color="auto"/>
              <w:left w:val="nil"/>
              <w:bottom w:val="single" w:sz="4" w:space="0" w:color="auto"/>
              <w:right w:val="single" w:sz="4" w:space="0" w:color="auto"/>
            </w:tcBorders>
            <w:shd w:val="clear" w:color="auto" w:fill="EAF1DD"/>
            <w:noWrap/>
            <w:vAlign w:val="center"/>
          </w:tcPr>
          <w:p w14:paraId="4F278020" w14:textId="0F52BAEE" w:rsidR="00964CAC" w:rsidRPr="00851539" w:rsidRDefault="004F5DAB" w:rsidP="00053507">
            <w:pPr>
              <w:spacing w:before="0" w:after="0"/>
              <w:ind w:firstLine="0"/>
              <w:jc w:val="center"/>
              <w:rPr>
                <w:rFonts w:eastAsia="Times New Roman" w:cs="Times New Roman"/>
                <w:sz w:val="20"/>
                <w:szCs w:val="20"/>
                <w:lang w:eastAsia="lv-LV"/>
              </w:rPr>
            </w:pPr>
            <w:r>
              <w:rPr>
                <w:rFonts w:eastAsia="Times New Roman" w:cs="Times New Roman"/>
                <w:sz w:val="20"/>
                <w:szCs w:val="20"/>
                <w:lang w:eastAsia="lv-LV"/>
              </w:rPr>
              <w:t>P</w:t>
            </w:r>
            <w:r w:rsidR="00964CAC" w:rsidRPr="00851539">
              <w:rPr>
                <w:rFonts w:eastAsia="Times New Roman" w:cs="Times New Roman"/>
                <w:sz w:val="20"/>
                <w:szCs w:val="20"/>
                <w:lang w:eastAsia="lv-LV"/>
              </w:rPr>
              <w:t>rognoze</w:t>
            </w:r>
          </w:p>
        </w:tc>
      </w:tr>
      <w:tr w:rsidR="00964CAC" w:rsidRPr="00500AAB" w14:paraId="7FF04D81" w14:textId="77777777" w:rsidTr="00053507">
        <w:trPr>
          <w:trHeight w:val="2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E66B075" w14:textId="77777777" w:rsidR="00964CAC" w:rsidRPr="00851539" w:rsidRDefault="00964CAC" w:rsidP="0007311A">
            <w:pPr>
              <w:spacing w:before="0" w:after="0"/>
              <w:ind w:firstLine="0"/>
              <w:jc w:val="left"/>
              <w:rPr>
                <w:rFonts w:eastAsia="Times New Roman" w:cs="Times New Roman"/>
                <w:b/>
                <w:noProof/>
                <w:sz w:val="20"/>
                <w:szCs w:val="20"/>
                <w:lang w:eastAsia="lv-LV"/>
              </w:rPr>
            </w:pPr>
            <w:r w:rsidRPr="00851539">
              <w:rPr>
                <w:rFonts w:eastAsia="Times New Roman" w:cs="Times New Roman"/>
                <w:b/>
                <w:noProof/>
                <w:sz w:val="20"/>
                <w:szCs w:val="20"/>
                <w:lang w:eastAsia="lv-LV"/>
              </w:rPr>
              <w:t xml:space="preserve">Iekšzemes kopprodukts (IKP), milj. </w:t>
            </w:r>
            <w:r w:rsidRPr="00851539">
              <w:rPr>
                <w:rFonts w:eastAsia="Times New Roman" w:cs="Times New Roman"/>
                <w:b/>
                <w:i/>
                <w:noProof/>
                <w:sz w:val="20"/>
                <w:szCs w:val="20"/>
                <w:lang w:eastAsia="lv-LV"/>
              </w:rPr>
              <w:t>euro</w:t>
            </w:r>
          </w:p>
        </w:tc>
        <w:tc>
          <w:tcPr>
            <w:tcW w:w="850" w:type="dxa"/>
            <w:tcBorders>
              <w:top w:val="single" w:sz="4" w:space="0" w:color="auto"/>
              <w:left w:val="nil"/>
              <w:bottom w:val="single" w:sz="4" w:space="0" w:color="auto"/>
              <w:right w:val="single" w:sz="4" w:space="0" w:color="auto"/>
            </w:tcBorders>
            <w:shd w:val="clear" w:color="auto" w:fill="auto"/>
            <w:noWrap/>
            <w:tcMar>
              <w:right w:w="170" w:type="dxa"/>
            </w:tcMar>
            <w:vAlign w:val="center"/>
          </w:tcPr>
          <w:p w14:paraId="248C53EB" w14:textId="77777777" w:rsidR="00964CAC" w:rsidRPr="00851539" w:rsidRDefault="00964CAC" w:rsidP="0007311A">
            <w:pPr>
              <w:spacing w:before="0" w:after="0"/>
              <w:ind w:firstLine="0"/>
              <w:jc w:val="right"/>
              <w:rPr>
                <w:rFonts w:eastAsia="Calibri" w:cs="Times New Roman"/>
                <w:sz w:val="20"/>
                <w:szCs w:val="20"/>
              </w:rPr>
            </w:pPr>
            <w:r w:rsidRPr="00851539">
              <w:rPr>
                <w:rFonts w:eastAsia="Calibri" w:cs="Times New Roman"/>
                <w:sz w:val="20"/>
                <w:szCs w:val="20"/>
              </w:rPr>
              <w:t>29334</w:t>
            </w:r>
          </w:p>
        </w:tc>
        <w:tc>
          <w:tcPr>
            <w:tcW w:w="1020" w:type="dxa"/>
            <w:tcBorders>
              <w:top w:val="nil"/>
              <w:left w:val="nil"/>
              <w:bottom w:val="single" w:sz="4" w:space="0" w:color="auto"/>
              <w:right w:val="single" w:sz="4" w:space="0" w:color="auto"/>
            </w:tcBorders>
            <w:shd w:val="clear" w:color="auto" w:fill="EAF1DD"/>
            <w:noWrap/>
            <w:tcMar>
              <w:right w:w="170" w:type="dxa"/>
            </w:tcMar>
            <w:vAlign w:val="center"/>
          </w:tcPr>
          <w:p w14:paraId="367C28ED" w14:textId="77777777" w:rsidR="00964CAC" w:rsidRPr="00851539" w:rsidRDefault="00964CAC" w:rsidP="0007311A">
            <w:pPr>
              <w:spacing w:before="0" w:after="0"/>
              <w:ind w:firstLine="0"/>
              <w:jc w:val="right"/>
              <w:rPr>
                <w:rFonts w:eastAsia="Calibri" w:cs="Times New Roman"/>
                <w:sz w:val="20"/>
                <w:szCs w:val="20"/>
              </w:rPr>
            </w:pPr>
            <w:r w:rsidRPr="00851539">
              <w:rPr>
                <w:rFonts w:eastAsia="Calibri" w:cs="Times New Roman"/>
                <w:sz w:val="20"/>
                <w:szCs w:val="20"/>
              </w:rPr>
              <w:t>31364</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543ADBAC" w14:textId="77777777" w:rsidR="00964CAC" w:rsidRPr="00851539" w:rsidRDefault="00964CAC" w:rsidP="0007311A">
            <w:pPr>
              <w:spacing w:before="0" w:after="0"/>
              <w:ind w:firstLine="0"/>
              <w:jc w:val="right"/>
              <w:rPr>
                <w:rFonts w:eastAsia="Calibri" w:cs="Times New Roman"/>
                <w:sz w:val="20"/>
                <w:szCs w:val="20"/>
              </w:rPr>
            </w:pPr>
            <w:r w:rsidRPr="00851539">
              <w:rPr>
                <w:rFonts w:eastAsia="Calibri" w:cs="Times New Roman"/>
                <w:sz w:val="20"/>
                <w:szCs w:val="20"/>
              </w:rPr>
              <w:t>34022</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14:paraId="710A2B93" w14:textId="77777777" w:rsidR="00964CAC" w:rsidRPr="00851539" w:rsidRDefault="00964CAC" w:rsidP="0007311A">
            <w:pPr>
              <w:spacing w:before="0" w:after="0"/>
              <w:ind w:firstLine="0"/>
              <w:jc w:val="right"/>
              <w:rPr>
                <w:rFonts w:eastAsia="Calibri" w:cs="Times New Roman"/>
                <w:sz w:val="20"/>
                <w:szCs w:val="20"/>
              </w:rPr>
            </w:pPr>
            <w:r w:rsidRPr="00851539">
              <w:rPr>
                <w:rFonts w:eastAsia="Calibri" w:cs="Times New Roman"/>
                <w:sz w:val="20"/>
                <w:szCs w:val="20"/>
              </w:rPr>
              <w:t>36115</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2E369B4B" w14:textId="77777777" w:rsidR="00964CAC" w:rsidRPr="00851539" w:rsidRDefault="00964CAC" w:rsidP="0007311A">
            <w:pPr>
              <w:spacing w:before="0" w:after="0"/>
              <w:ind w:firstLine="0"/>
              <w:jc w:val="right"/>
              <w:rPr>
                <w:rFonts w:eastAsia="Calibri" w:cs="Times New Roman"/>
                <w:sz w:val="20"/>
                <w:szCs w:val="20"/>
              </w:rPr>
            </w:pPr>
            <w:r w:rsidRPr="00851539">
              <w:rPr>
                <w:rFonts w:eastAsia="Calibri" w:cs="Times New Roman"/>
                <w:sz w:val="20"/>
                <w:szCs w:val="20"/>
              </w:rPr>
              <w:t>38033</w:t>
            </w:r>
          </w:p>
        </w:tc>
      </w:tr>
      <w:tr w:rsidR="00964CAC" w:rsidRPr="00851539" w14:paraId="7DE04E3E" w14:textId="77777777" w:rsidTr="00053507">
        <w:trPr>
          <w:trHeight w:val="2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0DA5615" w14:textId="77777777" w:rsidR="00964CAC" w:rsidRPr="00851539" w:rsidRDefault="00964CAC" w:rsidP="0007311A">
            <w:pPr>
              <w:spacing w:before="60" w:after="0"/>
              <w:ind w:firstLineChars="100" w:firstLine="200"/>
              <w:jc w:val="left"/>
              <w:rPr>
                <w:rFonts w:eastAsia="Times New Roman" w:cs="Times New Roman"/>
                <w:noProof/>
                <w:sz w:val="20"/>
                <w:szCs w:val="20"/>
                <w:lang w:eastAsia="lv-LV"/>
              </w:rPr>
            </w:pPr>
            <w:r w:rsidRPr="00851539">
              <w:rPr>
                <w:rFonts w:eastAsia="Times New Roman" w:cs="Times New Roman"/>
                <w:noProof/>
                <w:sz w:val="20"/>
                <w:szCs w:val="20"/>
                <w:lang w:eastAsia="lv-LV"/>
              </w:rPr>
              <w:t>pieaugums faktiskajās cenās, %</w:t>
            </w:r>
          </w:p>
        </w:tc>
        <w:tc>
          <w:tcPr>
            <w:tcW w:w="850" w:type="dxa"/>
            <w:tcBorders>
              <w:top w:val="nil"/>
              <w:left w:val="nil"/>
              <w:bottom w:val="single" w:sz="4" w:space="0" w:color="auto"/>
              <w:right w:val="single" w:sz="4" w:space="0" w:color="auto"/>
            </w:tcBorders>
            <w:shd w:val="clear" w:color="auto" w:fill="auto"/>
            <w:noWrap/>
            <w:tcMar>
              <w:right w:w="170" w:type="dxa"/>
            </w:tcMar>
            <w:vAlign w:val="center"/>
          </w:tcPr>
          <w:p w14:paraId="1325462A" w14:textId="77777777" w:rsidR="00964CAC" w:rsidRPr="00851539" w:rsidRDefault="00964CAC" w:rsidP="0007311A">
            <w:pPr>
              <w:spacing w:before="60" w:after="0"/>
              <w:ind w:right="26" w:firstLine="0"/>
              <w:jc w:val="right"/>
              <w:rPr>
                <w:rFonts w:eastAsia="Times New Roman" w:cs="Times New Roman"/>
                <w:noProof/>
                <w:sz w:val="20"/>
                <w:szCs w:val="20"/>
                <w:lang w:eastAsia="lv-LV"/>
              </w:rPr>
            </w:pPr>
            <w:r w:rsidRPr="00851539">
              <w:rPr>
                <w:rFonts w:eastAsia="Times New Roman" w:cs="Times New Roman"/>
                <w:noProof/>
                <w:sz w:val="20"/>
                <w:szCs w:val="20"/>
                <w:lang w:eastAsia="lv-LV"/>
              </w:rPr>
              <w:t>-3,6</w:t>
            </w:r>
          </w:p>
        </w:tc>
        <w:tc>
          <w:tcPr>
            <w:tcW w:w="1020" w:type="dxa"/>
            <w:tcBorders>
              <w:top w:val="nil"/>
              <w:left w:val="nil"/>
              <w:bottom w:val="single" w:sz="4" w:space="0" w:color="auto"/>
              <w:right w:val="single" w:sz="4" w:space="0" w:color="auto"/>
            </w:tcBorders>
            <w:shd w:val="clear" w:color="auto" w:fill="EAF1DD"/>
            <w:noWrap/>
            <w:tcMar>
              <w:right w:w="170" w:type="dxa"/>
            </w:tcMar>
            <w:vAlign w:val="center"/>
          </w:tcPr>
          <w:p w14:paraId="18016744" w14:textId="77777777" w:rsidR="00964CAC" w:rsidRPr="00851539" w:rsidRDefault="00964CAC" w:rsidP="0007311A">
            <w:pPr>
              <w:spacing w:before="60" w:after="0"/>
              <w:ind w:right="26" w:firstLine="0"/>
              <w:jc w:val="right"/>
              <w:rPr>
                <w:rFonts w:eastAsia="Times New Roman" w:cs="Times New Roman"/>
                <w:noProof/>
                <w:sz w:val="20"/>
                <w:szCs w:val="20"/>
                <w:lang w:eastAsia="lv-LV"/>
              </w:rPr>
            </w:pPr>
            <w:r w:rsidRPr="00851539">
              <w:rPr>
                <w:rFonts w:eastAsia="Times New Roman" w:cs="Times New Roman"/>
                <w:noProof/>
                <w:sz w:val="20"/>
                <w:szCs w:val="20"/>
                <w:lang w:eastAsia="lv-LV"/>
              </w:rPr>
              <w:t>6,9</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08E3636A" w14:textId="77777777" w:rsidR="00964CAC" w:rsidRPr="00851539" w:rsidRDefault="00964CAC" w:rsidP="0007311A">
            <w:pPr>
              <w:spacing w:before="60" w:after="0"/>
              <w:ind w:right="26" w:firstLine="0"/>
              <w:jc w:val="right"/>
              <w:rPr>
                <w:rFonts w:eastAsia="Times New Roman" w:cs="Times New Roman"/>
                <w:noProof/>
                <w:sz w:val="20"/>
                <w:szCs w:val="20"/>
                <w:lang w:eastAsia="lv-LV"/>
              </w:rPr>
            </w:pPr>
            <w:r w:rsidRPr="00851539">
              <w:rPr>
                <w:rFonts w:eastAsia="Times New Roman" w:cs="Times New Roman"/>
                <w:noProof/>
                <w:sz w:val="20"/>
                <w:szCs w:val="20"/>
                <w:lang w:eastAsia="lv-LV"/>
              </w:rPr>
              <w:t>8,5</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14:paraId="16698678" w14:textId="77777777" w:rsidR="00964CAC" w:rsidRPr="00851539" w:rsidRDefault="00964CAC" w:rsidP="0007311A">
            <w:pPr>
              <w:spacing w:before="60" w:after="0"/>
              <w:ind w:right="26" w:firstLine="0"/>
              <w:jc w:val="right"/>
              <w:rPr>
                <w:rFonts w:eastAsia="Times New Roman" w:cs="Times New Roman"/>
                <w:noProof/>
                <w:sz w:val="20"/>
                <w:szCs w:val="20"/>
                <w:lang w:eastAsia="lv-LV"/>
              </w:rPr>
            </w:pPr>
            <w:r w:rsidRPr="00851539">
              <w:rPr>
                <w:rFonts w:eastAsia="Times New Roman" w:cs="Times New Roman"/>
                <w:noProof/>
                <w:sz w:val="20"/>
                <w:szCs w:val="20"/>
                <w:lang w:eastAsia="lv-LV"/>
              </w:rPr>
              <w:t>6,2</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69585C78" w14:textId="77777777" w:rsidR="00964CAC" w:rsidRPr="00851539" w:rsidRDefault="00964CAC" w:rsidP="0007311A">
            <w:pPr>
              <w:spacing w:before="60" w:after="0"/>
              <w:ind w:right="26" w:firstLine="0"/>
              <w:jc w:val="right"/>
              <w:rPr>
                <w:rFonts w:eastAsia="Times New Roman" w:cs="Times New Roman"/>
                <w:noProof/>
                <w:sz w:val="20"/>
                <w:szCs w:val="20"/>
                <w:lang w:eastAsia="lv-LV"/>
              </w:rPr>
            </w:pPr>
            <w:r w:rsidRPr="00851539">
              <w:rPr>
                <w:rFonts w:eastAsia="Times New Roman" w:cs="Times New Roman"/>
                <w:noProof/>
                <w:sz w:val="20"/>
                <w:szCs w:val="20"/>
                <w:lang w:eastAsia="lv-LV"/>
              </w:rPr>
              <w:t>5,3</w:t>
            </w:r>
          </w:p>
        </w:tc>
      </w:tr>
      <w:tr w:rsidR="00964CAC" w:rsidRPr="00500AAB" w14:paraId="4BE59145" w14:textId="77777777" w:rsidTr="00053507">
        <w:trPr>
          <w:trHeight w:val="2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1269AE2" w14:textId="77777777" w:rsidR="00964CAC" w:rsidRPr="00851539" w:rsidRDefault="00964CAC" w:rsidP="0007311A">
            <w:pPr>
              <w:spacing w:before="60" w:after="0"/>
              <w:ind w:firstLineChars="100" w:firstLine="200"/>
              <w:jc w:val="left"/>
              <w:rPr>
                <w:rFonts w:eastAsia="Times New Roman" w:cs="Times New Roman"/>
                <w:noProof/>
                <w:sz w:val="20"/>
                <w:szCs w:val="20"/>
                <w:lang w:eastAsia="lv-LV"/>
              </w:rPr>
            </w:pPr>
            <w:r w:rsidRPr="00851539">
              <w:rPr>
                <w:rFonts w:eastAsia="Times New Roman" w:cs="Times New Roman"/>
                <w:noProof/>
                <w:sz w:val="20"/>
                <w:szCs w:val="20"/>
                <w:lang w:eastAsia="lv-LV"/>
              </w:rPr>
              <w:t>pieaugums salīdzināmās cenās, %</w:t>
            </w:r>
          </w:p>
        </w:tc>
        <w:tc>
          <w:tcPr>
            <w:tcW w:w="850" w:type="dxa"/>
            <w:tcBorders>
              <w:top w:val="nil"/>
              <w:left w:val="nil"/>
              <w:bottom w:val="single" w:sz="4" w:space="0" w:color="auto"/>
              <w:right w:val="single" w:sz="4" w:space="0" w:color="auto"/>
            </w:tcBorders>
            <w:shd w:val="clear" w:color="auto" w:fill="auto"/>
            <w:noWrap/>
            <w:tcMar>
              <w:right w:w="170" w:type="dxa"/>
            </w:tcMar>
            <w:vAlign w:val="center"/>
          </w:tcPr>
          <w:p w14:paraId="61109B67" w14:textId="77777777" w:rsidR="00964CAC" w:rsidRPr="00851539" w:rsidRDefault="00964CAC" w:rsidP="0007311A">
            <w:pPr>
              <w:spacing w:before="60" w:after="0"/>
              <w:ind w:right="26" w:firstLine="0"/>
              <w:jc w:val="right"/>
              <w:rPr>
                <w:rFonts w:eastAsia="Calibri" w:cs="Times New Roman"/>
                <w:sz w:val="20"/>
                <w:szCs w:val="20"/>
              </w:rPr>
            </w:pPr>
            <w:r w:rsidRPr="00851539">
              <w:rPr>
                <w:rFonts w:eastAsia="Calibri" w:cs="Times New Roman"/>
                <w:sz w:val="20"/>
                <w:szCs w:val="20"/>
              </w:rPr>
              <w:t>-3,6</w:t>
            </w:r>
          </w:p>
        </w:tc>
        <w:tc>
          <w:tcPr>
            <w:tcW w:w="1020" w:type="dxa"/>
            <w:tcBorders>
              <w:top w:val="nil"/>
              <w:left w:val="nil"/>
              <w:bottom w:val="single" w:sz="4" w:space="0" w:color="auto"/>
              <w:right w:val="single" w:sz="4" w:space="0" w:color="auto"/>
            </w:tcBorders>
            <w:shd w:val="clear" w:color="auto" w:fill="EAF1DD"/>
            <w:noWrap/>
            <w:tcMar>
              <w:right w:w="170" w:type="dxa"/>
            </w:tcMar>
            <w:vAlign w:val="center"/>
          </w:tcPr>
          <w:p w14:paraId="5526AD50" w14:textId="77777777" w:rsidR="00964CAC" w:rsidRPr="00851539" w:rsidRDefault="00964CAC" w:rsidP="0007311A">
            <w:pPr>
              <w:spacing w:before="60" w:after="0"/>
              <w:ind w:right="26" w:firstLine="0"/>
              <w:jc w:val="right"/>
              <w:rPr>
                <w:rFonts w:eastAsia="Calibri" w:cs="Times New Roman"/>
                <w:sz w:val="20"/>
                <w:szCs w:val="20"/>
              </w:rPr>
            </w:pPr>
            <w:r w:rsidRPr="00851539">
              <w:rPr>
                <w:rFonts w:eastAsia="Calibri" w:cs="Times New Roman"/>
                <w:sz w:val="20"/>
                <w:szCs w:val="20"/>
              </w:rPr>
              <w:t>3,7</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47D3A94F" w14:textId="77777777" w:rsidR="00964CAC" w:rsidRPr="00851539" w:rsidRDefault="00964CAC" w:rsidP="0007311A">
            <w:pPr>
              <w:spacing w:before="60" w:after="0"/>
              <w:ind w:right="26" w:firstLine="0"/>
              <w:jc w:val="right"/>
              <w:rPr>
                <w:rFonts w:eastAsia="Calibri" w:cs="Times New Roman"/>
                <w:sz w:val="20"/>
                <w:szCs w:val="20"/>
              </w:rPr>
            </w:pPr>
            <w:r w:rsidRPr="00851539">
              <w:rPr>
                <w:rFonts w:eastAsia="Calibri" w:cs="Times New Roman"/>
                <w:sz w:val="20"/>
                <w:szCs w:val="20"/>
              </w:rPr>
              <w:t>5,0</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14:paraId="1E130DF9" w14:textId="77777777" w:rsidR="00964CAC" w:rsidRPr="00851539" w:rsidRDefault="00964CAC" w:rsidP="0007311A">
            <w:pPr>
              <w:spacing w:before="60" w:after="0"/>
              <w:ind w:right="26" w:firstLine="0"/>
              <w:jc w:val="right"/>
              <w:rPr>
                <w:rFonts w:eastAsia="Calibri" w:cs="Times New Roman"/>
                <w:sz w:val="20"/>
                <w:szCs w:val="20"/>
              </w:rPr>
            </w:pPr>
            <w:r w:rsidRPr="00851539">
              <w:rPr>
                <w:rFonts w:eastAsia="Calibri" w:cs="Times New Roman"/>
                <w:sz w:val="20"/>
                <w:szCs w:val="20"/>
              </w:rPr>
              <w:t>3,5</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5C0BCDDD" w14:textId="77777777" w:rsidR="00964CAC" w:rsidRPr="00851539" w:rsidRDefault="00964CAC" w:rsidP="0007311A">
            <w:pPr>
              <w:spacing w:before="60" w:after="0"/>
              <w:ind w:right="26" w:firstLine="0"/>
              <w:jc w:val="right"/>
              <w:rPr>
                <w:rFonts w:eastAsia="Calibri" w:cs="Times New Roman"/>
                <w:sz w:val="20"/>
                <w:szCs w:val="20"/>
              </w:rPr>
            </w:pPr>
            <w:r w:rsidRPr="00851539">
              <w:rPr>
                <w:rFonts w:eastAsia="Calibri" w:cs="Times New Roman"/>
                <w:sz w:val="20"/>
                <w:szCs w:val="20"/>
              </w:rPr>
              <w:t>3,4</w:t>
            </w:r>
          </w:p>
        </w:tc>
      </w:tr>
      <w:tr w:rsidR="00964CAC" w:rsidRPr="00500AAB" w14:paraId="5AF01D31" w14:textId="77777777" w:rsidTr="00053507">
        <w:trPr>
          <w:trHeight w:val="2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102D2D1" w14:textId="77777777" w:rsidR="00964CAC" w:rsidRPr="00851539" w:rsidRDefault="00964CAC" w:rsidP="0007311A">
            <w:pPr>
              <w:spacing w:before="60" w:after="0"/>
              <w:ind w:firstLine="0"/>
              <w:jc w:val="left"/>
              <w:rPr>
                <w:rFonts w:eastAsia="Times New Roman" w:cs="Times New Roman"/>
                <w:b/>
                <w:noProof/>
                <w:sz w:val="20"/>
                <w:szCs w:val="20"/>
                <w:lang w:eastAsia="lv-LV"/>
              </w:rPr>
            </w:pPr>
            <w:r w:rsidRPr="00851539">
              <w:rPr>
                <w:rFonts w:eastAsia="Times New Roman" w:cs="Times New Roman"/>
                <w:b/>
                <w:noProof/>
                <w:sz w:val="20"/>
                <w:szCs w:val="20"/>
                <w:lang w:eastAsia="lv-LV"/>
              </w:rPr>
              <w:t>IKP deflators (gads pret gadu), %</w:t>
            </w:r>
          </w:p>
        </w:tc>
        <w:tc>
          <w:tcPr>
            <w:tcW w:w="850" w:type="dxa"/>
            <w:tcBorders>
              <w:top w:val="nil"/>
              <w:left w:val="nil"/>
              <w:bottom w:val="single" w:sz="4" w:space="0" w:color="auto"/>
              <w:right w:val="single" w:sz="4" w:space="0" w:color="auto"/>
            </w:tcBorders>
            <w:shd w:val="clear" w:color="auto" w:fill="auto"/>
            <w:noWrap/>
            <w:tcMar>
              <w:right w:w="170" w:type="dxa"/>
            </w:tcMar>
            <w:vAlign w:val="center"/>
          </w:tcPr>
          <w:p w14:paraId="245E7218" w14:textId="77777777" w:rsidR="00964CAC" w:rsidRPr="00851539" w:rsidRDefault="00964CAC" w:rsidP="0007311A">
            <w:pPr>
              <w:spacing w:before="60" w:after="0"/>
              <w:ind w:right="26" w:firstLine="0"/>
              <w:jc w:val="right"/>
              <w:rPr>
                <w:rFonts w:eastAsia="Calibri" w:cs="Times New Roman"/>
                <w:sz w:val="20"/>
                <w:szCs w:val="20"/>
              </w:rPr>
            </w:pPr>
            <w:r w:rsidRPr="00851539">
              <w:rPr>
                <w:rFonts w:eastAsia="Calibri" w:cs="Times New Roman"/>
                <w:sz w:val="20"/>
                <w:szCs w:val="20"/>
              </w:rPr>
              <w:t>0,1</w:t>
            </w:r>
          </w:p>
        </w:tc>
        <w:tc>
          <w:tcPr>
            <w:tcW w:w="1020" w:type="dxa"/>
            <w:tcBorders>
              <w:top w:val="nil"/>
              <w:left w:val="nil"/>
              <w:bottom w:val="single" w:sz="4" w:space="0" w:color="auto"/>
              <w:right w:val="single" w:sz="4" w:space="0" w:color="auto"/>
            </w:tcBorders>
            <w:shd w:val="clear" w:color="auto" w:fill="EAF1DD"/>
            <w:noWrap/>
            <w:tcMar>
              <w:right w:w="170" w:type="dxa"/>
            </w:tcMar>
            <w:vAlign w:val="center"/>
          </w:tcPr>
          <w:p w14:paraId="564BD836" w14:textId="77777777" w:rsidR="00964CAC" w:rsidRPr="00851539" w:rsidRDefault="00964CAC" w:rsidP="0007311A">
            <w:pPr>
              <w:spacing w:before="60" w:after="0"/>
              <w:ind w:right="26" w:firstLine="0"/>
              <w:jc w:val="right"/>
              <w:rPr>
                <w:rFonts w:eastAsia="Calibri" w:cs="Times New Roman"/>
                <w:sz w:val="20"/>
                <w:szCs w:val="20"/>
              </w:rPr>
            </w:pPr>
            <w:r w:rsidRPr="00851539">
              <w:rPr>
                <w:rFonts w:eastAsia="Calibri" w:cs="Times New Roman"/>
                <w:sz w:val="20"/>
                <w:szCs w:val="20"/>
              </w:rPr>
              <w:t>3,1</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36B2731F" w14:textId="77777777" w:rsidR="00964CAC" w:rsidRPr="00851539" w:rsidRDefault="00964CAC" w:rsidP="0007311A">
            <w:pPr>
              <w:spacing w:before="60" w:after="0"/>
              <w:ind w:right="26" w:firstLine="0"/>
              <w:jc w:val="right"/>
              <w:rPr>
                <w:rFonts w:eastAsia="Calibri" w:cs="Times New Roman"/>
                <w:sz w:val="20"/>
                <w:szCs w:val="20"/>
              </w:rPr>
            </w:pPr>
            <w:r w:rsidRPr="00851539">
              <w:rPr>
                <w:rFonts w:eastAsia="Calibri" w:cs="Times New Roman"/>
                <w:sz w:val="20"/>
                <w:szCs w:val="20"/>
              </w:rPr>
              <w:t>3,3</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14:paraId="76F74E7D" w14:textId="77777777" w:rsidR="00964CAC" w:rsidRPr="00851539" w:rsidRDefault="00964CAC" w:rsidP="0007311A">
            <w:pPr>
              <w:spacing w:before="60" w:after="0"/>
              <w:ind w:right="26" w:firstLine="0"/>
              <w:jc w:val="right"/>
              <w:rPr>
                <w:rFonts w:eastAsia="Calibri" w:cs="Times New Roman"/>
                <w:sz w:val="20"/>
                <w:szCs w:val="20"/>
              </w:rPr>
            </w:pPr>
            <w:r w:rsidRPr="00851539">
              <w:rPr>
                <w:rFonts w:eastAsia="Calibri" w:cs="Times New Roman"/>
                <w:sz w:val="20"/>
                <w:szCs w:val="20"/>
              </w:rPr>
              <w:t>2,6</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088B16A3" w14:textId="77777777" w:rsidR="00964CAC" w:rsidRPr="00851539" w:rsidRDefault="00964CAC" w:rsidP="0007311A">
            <w:pPr>
              <w:spacing w:before="60" w:after="0"/>
              <w:ind w:right="26" w:firstLine="0"/>
              <w:jc w:val="right"/>
              <w:rPr>
                <w:rFonts w:eastAsia="Calibri" w:cs="Times New Roman"/>
                <w:sz w:val="20"/>
                <w:szCs w:val="20"/>
              </w:rPr>
            </w:pPr>
            <w:r w:rsidRPr="00851539">
              <w:rPr>
                <w:rFonts w:eastAsia="Calibri" w:cs="Times New Roman"/>
                <w:sz w:val="20"/>
                <w:szCs w:val="20"/>
              </w:rPr>
              <w:t>1,9</w:t>
            </w:r>
          </w:p>
        </w:tc>
      </w:tr>
      <w:tr w:rsidR="00964CAC" w:rsidRPr="00500AAB" w14:paraId="3D61CE77" w14:textId="77777777" w:rsidTr="00053507">
        <w:trPr>
          <w:trHeight w:val="2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89CC08F" w14:textId="77777777" w:rsidR="00964CAC" w:rsidRPr="00851539" w:rsidRDefault="00964CAC" w:rsidP="0007311A">
            <w:pPr>
              <w:spacing w:before="60" w:after="0"/>
              <w:ind w:firstLine="0"/>
              <w:jc w:val="left"/>
              <w:rPr>
                <w:rFonts w:eastAsia="Times New Roman" w:cs="Times New Roman"/>
                <w:b/>
                <w:noProof/>
                <w:sz w:val="20"/>
                <w:szCs w:val="20"/>
                <w:lang w:eastAsia="lv-LV"/>
              </w:rPr>
            </w:pPr>
            <w:r w:rsidRPr="00851539">
              <w:rPr>
                <w:rFonts w:eastAsia="Times New Roman" w:cs="Times New Roman"/>
                <w:b/>
                <w:noProof/>
                <w:sz w:val="20"/>
                <w:szCs w:val="20"/>
                <w:lang w:eastAsia="lv-LV"/>
              </w:rPr>
              <w:t>PCI (gads pret gadu), %</w:t>
            </w:r>
          </w:p>
        </w:tc>
        <w:tc>
          <w:tcPr>
            <w:tcW w:w="850" w:type="dxa"/>
            <w:tcBorders>
              <w:top w:val="nil"/>
              <w:left w:val="nil"/>
              <w:bottom w:val="single" w:sz="4" w:space="0" w:color="auto"/>
              <w:right w:val="single" w:sz="4" w:space="0" w:color="auto"/>
            </w:tcBorders>
            <w:shd w:val="clear" w:color="auto" w:fill="auto"/>
            <w:noWrap/>
            <w:tcMar>
              <w:right w:w="170" w:type="dxa"/>
            </w:tcMar>
            <w:vAlign w:val="center"/>
          </w:tcPr>
          <w:p w14:paraId="40940D09" w14:textId="77777777" w:rsidR="00964CAC" w:rsidRPr="00851539" w:rsidRDefault="00964CAC" w:rsidP="0007311A">
            <w:pPr>
              <w:spacing w:before="60" w:after="0"/>
              <w:ind w:right="26" w:firstLineChars="100" w:firstLine="200"/>
              <w:jc w:val="right"/>
              <w:rPr>
                <w:rFonts w:cs="Times New Roman"/>
                <w:color w:val="000000"/>
                <w:sz w:val="20"/>
                <w:szCs w:val="20"/>
              </w:rPr>
            </w:pPr>
            <w:r w:rsidRPr="00851539">
              <w:rPr>
                <w:rFonts w:cs="Times New Roman"/>
                <w:color w:val="000000"/>
                <w:sz w:val="20"/>
                <w:szCs w:val="20"/>
              </w:rPr>
              <w:t>0,2</w:t>
            </w:r>
          </w:p>
        </w:tc>
        <w:tc>
          <w:tcPr>
            <w:tcW w:w="1020" w:type="dxa"/>
            <w:tcBorders>
              <w:top w:val="nil"/>
              <w:left w:val="nil"/>
              <w:bottom w:val="single" w:sz="4" w:space="0" w:color="auto"/>
              <w:right w:val="single" w:sz="4" w:space="0" w:color="auto"/>
            </w:tcBorders>
            <w:shd w:val="clear" w:color="auto" w:fill="EAF1DD"/>
            <w:noWrap/>
            <w:tcMar>
              <w:right w:w="170" w:type="dxa"/>
            </w:tcMar>
            <w:vAlign w:val="center"/>
          </w:tcPr>
          <w:p w14:paraId="0AC4D901" w14:textId="77777777" w:rsidR="00964CAC" w:rsidRPr="00851539" w:rsidRDefault="00964CAC" w:rsidP="0007311A">
            <w:pPr>
              <w:spacing w:before="60" w:after="0"/>
              <w:ind w:right="26" w:firstLineChars="100" w:firstLine="200"/>
              <w:jc w:val="right"/>
              <w:rPr>
                <w:rFonts w:cs="Times New Roman"/>
                <w:color w:val="000000"/>
                <w:sz w:val="20"/>
                <w:szCs w:val="20"/>
              </w:rPr>
            </w:pPr>
            <w:r w:rsidRPr="00851539">
              <w:rPr>
                <w:rFonts w:cs="Times New Roman"/>
                <w:color w:val="000000"/>
                <w:sz w:val="20"/>
                <w:szCs w:val="20"/>
              </w:rPr>
              <w:t>2,0</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3CC5C0D3" w14:textId="77777777" w:rsidR="00964CAC" w:rsidRPr="00851539" w:rsidRDefault="00964CAC" w:rsidP="0007311A">
            <w:pPr>
              <w:spacing w:before="60" w:after="0"/>
              <w:ind w:right="26" w:firstLineChars="100" w:firstLine="200"/>
              <w:jc w:val="right"/>
              <w:rPr>
                <w:rFonts w:cs="Times New Roman"/>
                <w:color w:val="000000"/>
                <w:sz w:val="20"/>
                <w:szCs w:val="20"/>
              </w:rPr>
            </w:pPr>
            <w:r w:rsidRPr="00851539">
              <w:rPr>
                <w:rFonts w:cs="Times New Roman"/>
                <w:color w:val="000000"/>
                <w:sz w:val="20"/>
                <w:szCs w:val="20"/>
              </w:rPr>
              <w:t>2,4</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14:paraId="098320BE" w14:textId="77777777" w:rsidR="00964CAC" w:rsidRPr="00851539" w:rsidRDefault="00964CAC" w:rsidP="0007311A">
            <w:pPr>
              <w:spacing w:before="60" w:after="0"/>
              <w:ind w:right="26" w:firstLineChars="100" w:firstLine="200"/>
              <w:jc w:val="right"/>
              <w:rPr>
                <w:rFonts w:cs="Times New Roman"/>
                <w:color w:val="000000"/>
                <w:sz w:val="20"/>
                <w:szCs w:val="20"/>
              </w:rPr>
            </w:pPr>
            <w:r w:rsidRPr="00851539">
              <w:rPr>
                <w:rFonts w:cs="Times New Roman"/>
                <w:color w:val="000000"/>
                <w:sz w:val="20"/>
                <w:szCs w:val="20"/>
              </w:rPr>
              <w:t>2,2</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068BD472" w14:textId="77777777" w:rsidR="00964CAC" w:rsidRPr="00851539" w:rsidRDefault="00964CAC" w:rsidP="0007311A">
            <w:pPr>
              <w:spacing w:before="60" w:after="0"/>
              <w:ind w:right="26" w:firstLineChars="100" w:firstLine="200"/>
              <w:jc w:val="right"/>
              <w:rPr>
                <w:rFonts w:cs="Times New Roman"/>
                <w:color w:val="000000"/>
                <w:sz w:val="20"/>
                <w:szCs w:val="20"/>
              </w:rPr>
            </w:pPr>
            <w:r w:rsidRPr="00851539">
              <w:rPr>
                <w:rFonts w:cs="Times New Roman"/>
                <w:color w:val="000000"/>
                <w:sz w:val="20"/>
                <w:szCs w:val="20"/>
              </w:rPr>
              <w:t>2,0</w:t>
            </w:r>
          </w:p>
        </w:tc>
      </w:tr>
      <w:tr w:rsidR="00964CAC" w:rsidRPr="00500AAB" w14:paraId="3CBB363C" w14:textId="77777777" w:rsidTr="00053507">
        <w:trPr>
          <w:trHeight w:val="2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C3A75C8" w14:textId="77777777" w:rsidR="00964CAC" w:rsidRPr="00851539" w:rsidRDefault="00964CAC" w:rsidP="0007311A">
            <w:pPr>
              <w:spacing w:before="60" w:after="0"/>
              <w:ind w:firstLine="0"/>
              <w:jc w:val="left"/>
              <w:rPr>
                <w:rFonts w:eastAsia="Times New Roman" w:cs="Times New Roman"/>
                <w:b/>
                <w:noProof/>
                <w:sz w:val="20"/>
                <w:szCs w:val="20"/>
                <w:lang w:eastAsia="lv-LV"/>
              </w:rPr>
            </w:pPr>
            <w:r w:rsidRPr="00851539">
              <w:rPr>
                <w:rFonts w:eastAsia="Times New Roman" w:cs="Times New Roman"/>
                <w:b/>
                <w:noProof/>
                <w:sz w:val="20"/>
                <w:szCs w:val="20"/>
                <w:lang w:eastAsia="lv-LV"/>
              </w:rPr>
              <w:t xml:space="preserve">Tautsaimniecībā nodarbināto mēn. vid. bruto darba samaksa, </w:t>
            </w:r>
            <w:r w:rsidRPr="00851539">
              <w:rPr>
                <w:rFonts w:eastAsia="Times New Roman" w:cs="Times New Roman"/>
                <w:b/>
                <w:i/>
                <w:noProof/>
                <w:sz w:val="20"/>
                <w:szCs w:val="20"/>
                <w:lang w:eastAsia="lv-LV"/>
              </w:rPr>
              <w:t>euro</w:t>
            </w:r>
          </w:p>
        </w:tc>
        <w:tc>
          <w:tcPr>
            <w:tcW w:w="850" w:type="dxa"/>
            <w:tcBorders>
              <w:top w:val="nil"/>
              <w:left w:val="nil"/>
              <w:bottom w:val="single" w:sz="4" w:space="0" w:color="auto"/>
              <w:right w:val="single" w:sz="4" w:space="0" w:color="auto"/>
            </w:tcBorders>
            <w:shd w:val="clear" w:color="auto" w:fill="auto"/>
            <w:noWrap/>
            <w:tcMar>
              <w:right w:w="170" w:type="dxa"/>
            </w:tcMar>
            <w:vAlign w:val="center"/>
          </w:tcPr>
          <w:p w14:paraId="19C56F99"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1143</w:t>
            </w:r>
          </w:p>
        </w:tc>
        <w:tc>
          <w:tcPr>
            <w:tcW w:w="1020" w:type="dxa"/>
            <w:tcBorders>
              <w:top w:val="nil"/>
              <w:left w:val="nil"/>
              <w:bottom w:val="single" w:sz="4" w:space="0" w:color="auto"/>
              <w:right w:val="single" w:sz="4" w:space="0" w:color="auto"/>
            </w:tcBorders>
            <w:shd w:val="clear" w:color="auto" w:fill="EAF1DD"/>
            <w:noWrap/>
            <w:tcMar>
              <w:right w:w="170" w:type="dxa"/>
            </w:tcMar>
            <w:vAlign w:val="center"/>
          </w:tcPr>
          <w:p w14:paraId="4656F076"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1234</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1053BB55"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1309</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14:paraId="774664E5"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1380</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6299AE29"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1454</w:t>
            </w:r>
          </w:p>
        </w:tc>
      </w:tr>
      <w:tr w:rsidR="00964CAC" w:rsidRPr="00500AAB" w14:paraId="786BDEA8" w14:textId="77777777" w:rsidTr="00053507">
        <w:trPr>
          <w:trHeight w:val="2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51C5F61" w14:textId="77777777" w:rsidR="00964CAC" w:rsidRPr="00851539" w:rsidRDefault="00964CAC" w:rsidP="0007311A">
            <w:pPr>
              <w:spacing w:before="60" w:after="0"/>
              <w:ind w:firstLineChars="100" w:firstLine="200"/>
              <w:jc w:val="left"/>
              <w:rPr>
                <w:rFonts w:eastAsia="Times New Roman" w:cs="Times New Roman"/>
                <w:noProof/>
                <w:sz w:val="20"/>
                <w:szCs w:val="20"/>
                <w:lang w:eastAsia="lv-LV"/>
              </w:rPr>
            </w:pPr>
            <w:r w:rsidRPr="00851539">
              <w:rPr>
                <w:rFonts w:eastAsia="Times New Roman" w:cs="Times New Roman"/>
                <w:noProof/>
                <w:sz w:val="20"/>
                <w:szCs w:val="20"/>
                <w:lang w:eastAsia="lv-LV"/>
              </w:rPr>
              <w:t>pieaugums faktiskajās cenās, %</w:t>
            </w:r>
          </w:p>
        </w:tc>
        <w:tc>
          <w:tcPr>
            <w:tcW w:w="850" w:type="dxa"/>
            <w:tcBorders>
              <w:top w:val="nil"/>
              <w:left w:val="nil"/>
              <w:bottom w:val="single" w:sz="4" w:space="0" w:color="auto"/>
              <w:right w:val="single" w:sz="4" w:space="0" w:color="auto"/>
            </w:tcBorders>
            <w:shd w:val="clear" w:color="auto" w:fill="auto"/>
            <w:noWrap/>
            <w:tcMar>
              <w:right w:w="170" w:type="dxa"/>
            </w:tcMar>
            <w:vAlign w:val="center"/>
          </w:tcPr>
          <w:p w14:paraId="5C84064C"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6,2</w:t>
            </w:r>
          </w:p>
        </w:tc>
        <w:tc>
          <w:tcPr>
            <w:tcW w:w="1020" w:type="dxa"/>
            <w:tcBorders>
              <w:top w:val="nil"/>
              <w:left w:val="nil"/>
              <w:bottom w:val="single" w:sz="4" w:space="0" w:color="auto"/>
              <w:right w:val="single" w:sz="4" w:space="0" w:color="auto"/>
            </w:tcBorders>
            <w:shd w:val="clear" w:color="auto" w:fill="EAF1DD"/>
            <w:noWrap/>
            <w:tcMar>
              <w:right w:w="170" w:type="dxa"/>
            </w:tcMar>
            <w:vAlign w:val="center"/>
          </w:tcPr>
          <w:p w14:paraId="4FF26767"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8,0</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2175B36F"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6,0</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14:paraId="3B717B12"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5,5</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0B8B41E6"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5,3</w:t>
            </w:r>
          </w:p>
        </w:tc>
      </w:tr>
      <w:tr w:rsidR="00964CAC" w:rsidRPr="00500AAB" w14:paraId="5C98AD3E" w14:textId="77777777" w:rsidTr="00053507">
        <w:trPr>
          <w:trHeight w:val="2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D49C585" w14:textId="77777777" w:rsidR="00964CAC" w:rsidRPr="00851539" w:rsidRDefault="00964CAC" w:rsidP="0007311A">
            <w:pPr>
              <w:spacing w:before="60" w:after="0"/>
              <w:ind w:firstLineChars="100" w:firstLine="200"/>
              <w:jc w:val="left"/>
              <w:rPr>
                <w:rFonts w:eastAsia="Times New Roman" w:cs="Times New Roman"/>
                <w:noProof/>
                <w:sz w:val="20"/>
                <w:szCs w:val="20"/>
                <w:lang w:eastAsia="lv-LV"/>
              </w:rPr>
            </w:pPr>
            <w:r w:rsidRPr="00851539">
              <w:rPr>
                <w:rFonts w:eastAsia="Times New Roman" w:cs="Times New Roman"/>
                <w:noProof/>
                <w:sz w:val="20"/>
                <w:szCs w:val="20"/>
                <w:lang w:eastAsia="lv-LV"/>
              </w:rPr>
              <w:t>pieaugums salīdzināmās cenās, %</w:t>
            </w:r>
          </w:p>
        </w:tc>
        <w:tc>
          <w:tcPr>
            <w:tcW w:w="850" w:type="dxa"/>
            <w:tcBorders>
              <w:top w:val="nil"/>
              <w:left w:val="nil"/>
              <w:bottom w:val="single" w:sz="4" w:space="0" w:color="auto"/>
              <w:right w:val="single" w:sz="4" w:space="0" w:color="auto"/>
            </w:tcBorders>
            <w:shd w:val="clear" w:color="auto" w:fill="auto"/>
            <w:noWrap/>
            <w:tcMar>
              <w:right w:w="170" w:type="dxa"/>
            </w:tcMar>
            <w:vAlign w:val="center"/>
          </w:tcPr>
          <w:p w14:paraId="722B6E22"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6,0</w:t>
            </w:r>
          </w:p>
        </w:tc>
        <w:tc>
          <w:tcPr>
            <w:tcW w:w="1020" w:type="dxa"/>
            <w:tcBorders>
              <w:top w:val="nil"/>
              <w:left w:val="nil"/>
              <w:bottom w:val="single" w:sz="4" w:space="0" w:color="auto"/>
              <w:right w:val="single" w:sz="4" w:space="0" w:color="auto"/>
            </w:tcBorders>
            <w:shd w:val="clear" w:color="auto" w:fill="EAF1DD"/>
            <w:noWrap/>
            <w:tcMar>
              <w:right w:w="170" w:type="dxa"/>
            </w:tcMar>
            <w:vAlign w:val="center"/>
          </w:tcPr>
          <w:p w14:paraId="072D00FF"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5,9</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648BE6D0"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3,5</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14:paraId="6622B1E5"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3,2</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5C0F9374"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3,2</w:t>
            </w:r>
          </w:p>
        </w:tc>
      </w:tr>
      <w:tr w:rsidR="00964CAC" w:rsidRPr="00500AAB" w14:paraId="68A48B9C" w14:textId="77777777" w:rsidTr="00053507">
        <w:trPr>
          <w:trHeight w:val="2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83B1723" w14:textId="77777777" w:rsidR="00964CAC" w:rsidRPr="00851539" w:rsidRDefault="00964CAC" w:rsidP="0007311A">
            <w:pPr>
              <w:spacing w:before="60" w:after="0"/>
              <w:ind w:firstLine="0"/>
              <w:jc w:val="left"/>
              <w:rPr>
                <w:rFonts w:eastAsia="Times New Roman" w:cs="Times New Roman"/>
                <w:b/>
                <w:noProof/>
                <w:sz w:val="20"/>
                <w:szCs w:val="20"/>
                <w:lang w:eastAsia="lv-LV"/>
              </w:rPr>
            </w:pPr>
            <w:r w:rsidRPr="00851539">
              <w:rPr>
                <w:rFonts w:eastAsia="Times New Roman" w:cs="Times New Roman"/>
                <w:b/>
                <w:noProof/>
                <w:sz w:val="20"/>
                <w:szCs w:val="20"/>
                <w:lang w:eastAsia="lv-LV"/>
              </w:rPr>
              <w:t>Nodarbinātība, tūkst. iedzīvotāju (atbilstoši darbaspēka apsekojumiem)</w:t>
            </w:r>
          </w:p>
        </w:tc>
        <w:tc>
          <w:tcPr>
            <w:tcW w:w="850" w:type="dxa"/>
            <w:tcBorders>
              <w:top w:val="nil"/>
              <w:left w:val="nil"/>
              <w:bottom w:val="single" w:sz="4" w:space="0" w:color="auto"/>
              <w:right w:val="single" w:sz="4" w:space="0" w:color="auto"/>
            </w:tcBorders>
            <w:shd w:val="clear" w:color="auto" w:fill="auto"/>
            <w:noWrap/>
            <w:tcMar>
              <w:right w:w="170" w:type="dxa"/>
            </w:tcMar>
            <w:vAlign w:val="center"/>
          </w:tcPr>
          <w:p w14:paraId="3DF37DF8"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893</w:t>
            </w:r>
          </w:p>
        </w:tc>
        <w:tc>
          <w:tcPr>
            <w:tcW w:w="1020" w:type="dxa"/>
            <w:tcBorders>
              <w:top w:val="nil"/>
              <w:left w:val="nil"/>
              <w:bottom w:val="single" w:sz="4" w:space="0" w:color="auto"/>
              <w:right w:val="single" w:sz="4" w:space="0" w:color="auto"/>
            </w:tcBorders>
            <w:shd w:val="clear" w:color="auto" w:fill="EAF1DD"/>
            <w:noWrap/>
            <w:tcMar>
              <w:right w:w="170" w:type="dxa"/>
            </w:tcMar>
            <w:vAlign w:val="center"/>
          </w:tcPr>
          <w:p w14:paraId="41346E48"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883</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13779C2C"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899</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14:paraId="6EAEF98E"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902</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49A8B7EB"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902</w:t>
            </w:r>
          </w:p>
        </w:tc>
      </w:tr>
      <w:tr w:rsidR="00964CAC" w:rsidRPr="00500AAB" w14:paraId="0D7D5A58" w14:textId="77777777" w:rsidTr="00053507">
        <w:trPr>
          <w:trHeight w:val="2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B8CC654" w14:textId="77777777" w:rsidR="00964CAC" w:rsidRPr="00851539" w:rsidRDefault="00964CAC" w:rsidP="0007311A">
            <w:pPr>
              <w:spacing w:before="60" w:after="0"/>
              <w:ind w:firstLineChars="100" w:firstLine="200"/>
              <w:jc w:val="left"/>
              <w:rPr>
                <w:rFonts w:eastAsia="Times New Roman" w:cs="Times New Roman"/>
                <w:noProof/>
                <w:sz w:val="20"/>
                <w:szCs w:val="20"/>
                <w:lang w:eastAsia="lv-LV"/>
              </w:rPr>
            </w:pPr>
            <w:r w:rsidRPr="00851539">
              <w:rPr>
                <w:rFonts w:eastAsia="Times New Roman" w:cs="Times New Roman"/>
                <w:noProof/>
                <w:sz w:val="20"/>
                <w:szCs w:val="20"/>
                <w:lang w:eastAsia="lv-LV"/>
              </w:rPr>
              <w:t>pieaugums, %</w:t>
            </w:r>
          </w:p>
        </w:tc>
        <w:tc>
          <w:tcPr>
            <w:tcW w:w="850" w:type="dxa"/>
            <w:tcBorders>
              <w:top w:val="nil"/>
              <w:left w:val="nil"/>
              <w:bottom w:val="single" w:sz="4" w:space="0" w:color="auto"/>
              <w:right w:val="single" w:sz="4" w:space="0" w:color="auto"/>
            </w:tcBorders>
            <w:shd w:val="clear" w:color="auto" w:fill="auto"/>
            <w:noWrap/>
            <w:tcMar>
              <w:right w:w="170" w:type="dxa"/>
            </w:tcMar>
            <w:vAlign w:val="center"/>
          </w:tcPr>
          <w:p w14:paraId="32A13226"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-1,9</w:t>
            </w:r>
          </w:p>
        </w:tc>
        <w:tc>
          <w:tcPr>
            <w:tcW w:w="1020" w:type="dxa"/>
            <w:tcBorders>
              <w:top w:val="nil"/>
              <w:left w:val="nil"/>
              <w:bottom w:val="single" w:sz="4" w:space="0" w:color="auto"/>
              <w:right w:val="single" w:sz="4" w:space="0" w:color="auto"/>
            </w:tcBorders>
            <w:shd w:val="clear" w:color="auto" w:fill="EAF1DD"/>
            <w:noWrap/>
            <w:tcMar>
              <w:right w:w="170" w:type="dxa"/>
            </w:tcMar>
            <w:vAlign w:val="center"/>
          </w:tcPr>
          <w:p w14:paraId="6D0DA708"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-1,1</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3FCDC5D5"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1,8</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14:paraId="542B53D2"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0,3</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14:paraId="1D3B7828"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0,0</w:t>
            </w:r>
          </w:p>
        </w:tc>
      </w:tr>
      <w:tr w:rsidR="00964CAC" w:rsidRPr="00500AAB" w14:paraId="5D671ECE" w14:textId="77777777" w:rsidTr="00053507">
        <w:trPr>
          <w:trHeight w:val="2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FA435" w14:textId="77777777" w:rsidR="00964CAC" w:rsidRPr="00851539" w:rsidRDefault="00964CAC" w:rsidP="0007311A">
            <w:pPr>
              <w:spacing w:before="60" w:after="0"/>
              <w:ind w:firstLine="0"/>
              <w:jc w:val="left"/>
              <w:rPr>
                <w:rFonts w:eastAsia="Times New Roman" w:cs="Times New Roman"/>
                <w:b/>
                <w:noProof/>
                <w:sz w:val="20"/>
                <w:szCs w:val="20"/>
                <w:lang w:eastAsia="lv-LV"/>
              </w:rPr>
            </w:pPr>
            <w:r w:rsidRPr="00851539">
              <w:rPr>
                <w:rFonts w:eastAsia="Times New Roman" w:cs="Times New Roman"/>
                <w:b/>
                <w:noProof/>
                <w:sz w:val="20"/>
                <w:szCs w:val="20"/>
                <w:lang w:eastAsia="lv-LV"/>
              </w:rPr>
              <w:t>Bezdarba līmenis (gada vidējais),</w:t>
            </w:r>
            <w:r w:rsidRPr="00851539">
              <w:rPr>
                <w:rFonts w:eastAsia="Times New Roman" w:cs="Times New Roman"/>
                <w:b/>
                <w:noProof/>
                <w:sz w:val="20"/>
                <w:szCs w:val="20"/>
                <w:lang w:eastAsia="lv-LV"/>
              </w:rPr>
              <w:br/>
              <w:t>% no ekon. aktīviem iedzīv.</w:t>
            </w:r>
          </w:p>
        </w:tc>
        <w:tc>
          <w:tcPr>
            <w:tcW w:w="850" w:type="dxa"/>
            <w:tcBorders>
              <w:top w:val="single" w:sz="4" w:space="0" w:color="auto"/>
              <w:left w:val="nil"/>
              <w:bottom w:val="single" w:sz="4" w:space="0" w:color="auto"/>
              <w:right w:val="single" w:sz="4" w:space="0" w:color="auto"/>
            </w:tcBorders>
            <w:shd w:val="clear" w:color="auto" w:fill="auto"/>
            <w:noWrap/>
            <w:tcMar>
              <w:right w:w="170" w:type="dxa"/>
            </w:tcMar>
            <w:vAlign w:val="center"/>
          </w:tcPr>
          <w:p w14:paraId="164B4E9D"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8,1</w:t>
            </w:r>
          </w:p>
        </w:tc>
        <w:tc>
          <w:tcPr>
            <w:tcW w:w="1020" w:type="dxa"/>
            <w:tcBorders>
              <w:top w:val="single" w:sz="4" w:space="0" w:color="auto"/>
              <w:left w:val="nil"/>
              <w:bottom w:val="single" w:sz="4" w:space="0" w:color="auto"/>
              <w:right w:val="single" w:sz="4" w:space="0" w:color="auto"/>
            </w:tcBorders>
            <w:shd w:val="clear" w:color="auto" w:fill="EAF1DD"/>
            <w:noWrap/>
            <w:tcMar>
              <w:right w:w="170" w:type="dxa"/>
            </w:tcMar>
            <w:vAlign w:val="center"/>
          </w:tcPr>
          <w:p w14:paraId="621389D7"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7,9</w:t>
            </w:r>
          </w:p>
        </w:tc>
        <w:tc>
          <w:tcPr>
            <w:tcW w:w="936" w:type="dxa"/>
            <w:tcBorders>
              <w:top w:val="single" w:sz="4" w:space="0" w:color="auto"/>
              <w:left w:val="nil"/>
              <w:bottom w:val="single" w:sz="4" w:space="0" w:color="auto"/>
              <w:right w:val="single" w:sz="4" w:space="0" w:color="auto"/>
            </w:tcBorders>
            <w:shd w:val="clear" w:color="auto" w:fill="EAF1DD"/>
            <w:noWrap/>
            <w:tcMar>
              <w:right w:w="170" w:type="dxa"/>
            </w:tcMar>
            <w:vAlign w:val="center"/>
          </w:tcPr>
          <w:p w14:paraId="229BEEC6"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7,0</w:t>
            </w:r>
          </w:p>
        </w:tc>
        <w:tc>
          <w:tcPr>
            <w:tcW w:w="935" w:type="dxa"/>
            <w:tcBorders>
              <w:top w:val="single" w:sz="4" w:space="0" w:color="auto"/>
              <w:left w:val="nil"/>
              <w:bottom w:val="single" w:sz="4" w:space="0" w:color="auto"/>
              <w:right w:val="single" w:sz="4" w:space="0" w:color="auto"/>
            </w:tcBorders>
            <w:shd w:val="clear" w:color="auto" w:fill="EAF1DD"/>
            <w:noWrap/>
            <w:tcMar>
              <w:right w:w="170" w:type="dxa"/>
            </w:tcMar>
            <w:vAlign w:val="center"/>
          </w:tcPr>
          <w:p w14:paraId="5323EA76"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6,3</w:t>
            </w:r>
          </w:p>
        </w:tc>
        <w:tc>
          <w:tcPr>
            <w:tcW w:w="936" w:type="dxa"/>
            <w:tcBorders>
              <w:top w:val="single" w:sz="4" w:space="0" w:color="auto"/>
              <w:left w:val="nil"/>
              <w:bottom w:val="single" w:sz="4" w:space="0" w:color="auto"/>
              <w:right w:val="single" w:sz="4" w:space="0" w:color="auto"/>
            </w:tcBorders>
            <w:shd w:val="clear" w:color="auto" w:fill="EAF1DD"/>
            <w:noWrap/>
            <w:tcMar>
              <w:right w:w="170" w:type="dxa"/>
            </w:tcMar>
            <w:vAlign w:val="center"/>
          </w:tcPr>
          <w:p w14:paraId="23E6841D" w14:textId="77777777" w:rsidR="00964CAC" w:rsidRPr="00851539" w:rsidRDefault="00964CAC" w:rsidP="0007311A">
            <w:pPr>
              <w:spacing w:before="60" w:after="0"/>
              <w:ind w:firstLine="0"/>
              <w:jc w:val="right"/>
              <w:rPr>
                <w:rFonts w:eastAsia="Calibri" w:cs="Times New Roman"/>
                <w:sz w:val="20"/>
                <w:szCs w:val="20"/>
              </w:rPr>
            </w:pPr>
            <w:r w:rsidRPr="00851539">
              <w:rPr>
                <w:rFonts w:eastAsia="Calibri" w:cs="Times New Roman"/>
                <w:sz w:val="20"/>
                <w:szCs w:val="20"/>
              </w:rPr>
              <w:t>5,9</w:t>
            </w:r>
          </w:p>
        </w:tc>
      </w:tr>
    </w:tbl>
    <w:p w14:paraId="52FEC74B" w14:textId="77777777" w:rsidR="00964CAC" w:rsidRDefault="00964CAC" w:rsidP="00A83AAD">
      <w:pPr>
        <w:spacing w:before="60" w:after="60"/>
      </w:pPr>
      <w:r>
        <w:t>Inflācijas prognoze 2021. gadam ir paaugstināta par 0,6 procentpunktiem līdz 2,0% un 2022. gadam par 0,4 procentpunktiem līdz 2,4%. Straujāku patēriņa cenu pieaugumu Latvijā nosaka gan izejvielu preču cenu, tostarp naftas un pārtikas izejvielu cenu kāpums pasaulē, gan arī ekonomiskās izaugsmes paātrināšanās Latvijā un pakalpojumu cenu pieaugums.</w:t>
      </w:r>
    </w:p>
    <w:p w14:paraId="13305700" w14:textId="5E4EF04F" w:rsidR="00964CAC" w:rsidRDefault="00964CAC" w:rsidP="00A83AAD">
      <w:pPr>
        <w:spacing w:before="60" w:after="60"/>
      </w:pPr>
      <w:r>
        <w:t>Līdz ar straujāku ekonomikas izaugsmi bezdarba līmenis Latvijā 2021.</w:t>
      </w:r>
      <w:r w:rsidR="00053507">
        <w:t> </w:t>
      </w:r>
      <w:r>
        <w:t>gadā varētu pazemināties līdz 7,9%, kas ir par 0,4 procentpunktiem mazāk nekā tika prognozēts šā gada februārī. 2022.</w:t>
      </w:r>
      <w:r w:rsidR="00053507">
        <w:t> </w:t>
      </w:r>
      <w:r>
        <w:t xml:space="preserve">gadā, turpinoties straujai ekonomikas attīstībai un samazinoties darbspējas vecuma iedzīvotāju skaitam, bezdarba līmenis varētu pazemināties līdz 7,0%. Mēneša vidējās bruto darba samaksas pieaugums šogad </w:t>
      </w:r>
      <w:r>
        <w:rPr>
          <w:noProof/>
        </w:rPr>
        <w:t xml:space="preserve">prognozēts 8,0% apmērā, vidējai darba samaksai paaugstinoties </w:t>
      </w:r>
      <w:r>
        <w:rPr>
          <w:noProof/>
        </w:rPr>
        <w:lastRenderedPageBreak/>
        <w:t>līdz 1234</w:t>
      </w:r>
      <w:r w:rsidRPr="00A3263C">
        <w:rPr>
          <w:i/>
          <w:noProof/>
        </w:rPr>
        <w:t xml:space="preserve"> euro</w:t>
      </w:r>
      <w:r>
        <w:rPr>
          <w:noProof/>
        </w:rPr>
        <w:t xml:space="preserve">. </w:t>
      </w:r>
      <w:r>
        <w:t>Nākamajā gadā algu pieaugums veidos 6,0%, vidējā termiņā pietuvojoties produktivitātes pieaugumam tautsaimniecībā.</w:t>
      </w:r>
    </w:p>
    <w:p w14:paraId="40864ACE" w14:textId="7740B588" w:rsidR="00964CAC" w:rsidRPr="00851539" w:rsidRDefault="00964CAC" w:rsidP="00A83AAD">
      <w:pPr>
        <w:spacing w:before="60" w:after="60"/>
        <w:rPr>
          <w:szCs w:val="20"/>
        </w:rPr>
      </w:pPr>
      <w:r>
        <w:t>Lai arī i</w:t>
      </w:r>
      <w:r w:rsidRPr="00444066">
        <w:rPr>
          <w:szCs w:val="20"/>
        </w:rPr>
        <w:t>zstrādājot makroekonomisko rādītāju prognozes, Finanšu ministrija balstījās uz konservatīviem pieņēmumiem,</w:t>
      </w:r>
      <w:r>
        <w:rPr>
          <w:szCs w:val="20"/>
        </w:rPr>
        <w:t xml:space="preserve"> j</w:t>
      </w:r>
      <w:r w:rsidRPr="00444066">
        <w:rPr>
          <w:szCs w:val="20"/>
        </w:rPr>
        <w:t>āatzīmē, ka</w:t>
      </w:r>
      <w:r>
        <w:rPr>
          <w:szCs w:val="20"/>
        </w:rPr>
        <w:t xml:space="preserve"> nenoteiktība ap Covid-19 izplatību saglabājas augsta un </w:t>
      </w:r>
      <w:r w:rsidRPr="00444066">
        <w:rPr>
          <w:szCs w:val="20"/>
        </w:rPr>
        <w:t xml:space="preserve">ekonomikas izaugsme var izrādīties </w:t>
      </w:r>
      <w:r>
        <w:rPr>
          <w:szCs w:val="20"/>
        </w:rPr>
        <w:t xml:space="preserve">gan straujāka, gan </w:t>
      </w:r>
      <w:r w:rsidRPr="00444066">
        <w:rPr>
          <w:szCs w:val="20"/>
        </w:rPr>
        <w:t xml:space="preserve">lēnāka, nekā paredz </w:t>
      </w:r>
      <w:r>
        <w:rPr>
          <w:szCs w:val="20"/>
        </w:rPr>
        <w:t>bāzes scenārija</w:t>
      </w:r>
      <w:r w:rsidRPr="00444066">
        <w:rPr>
          <w:szCs w:val="20"/>
        </w:rPr>
        <w:t xml:space="preserve"> prognoze.</w:t>
      </w:r>
      <w:r>
        <w:rPr>
          <w:szCs w:val="20"/>
        </w:rPr>
        <w:t xml:space="preserve"> Būtiskākais </w:t>
      </w:r>
      <w:r w:rsidRPr="00444066">
        <w:rPr>
          <w:szCs w:val="20"/>
        </w:rPr>
        <w:t xml:space="preserve">negatīvais risks ir Covid-19 </w:t>
      </w:r>
      <w:r>
        <w:rPr>
          <w:szCs w:val="20"/>
        </w:rPr>
        <w:t xml:space="preserve">nākamais </w:t>
      </w:r>
      <w:r w:rsidRPr="00444066">
        <w:rPr>
          <w:szCs w:val="20"/>
        </w:rPr>
        <w:t>uzliesmojums Eiropā un Latvijā</w:t>
      </w:r>
      <w:r>
        <w:rPr>
          <w:szCs w:val="20"/>
        </w:rPr>
        <w:t xml:space="preserve">, ko varētu izraisīt jaunais Indijas jeb </w:t>
      </w:r>
      <w:r w:rsidRPr="008D5DF0">
        <w:rPr>
          <w:i/>
          <w:szCs w:val="20"/>
        </w:rPr>
        <w:t>delta</w:t>
      </w:r>
      <w:r>
        <w:rPr>
          <w:szCs w:val="20"/>
        </w:rPr>
        <w:t xml:space="preserve"> vīrusa paveids. Pieaugot mirstībai, t</w:t>
      </w:r>
      <w:r w:rsidRPr="00444066">
        <w:rPr>
          <w:szCs w:val="20"/>
        </w:rPr>
        <w:t>as var radīt nepieciešamību pēc jauniem, vēl spēcīgākiem ierobežojošajiem pasākumiem.</w:t>
      </w:r>
      <w:r>
        <w:rPr>
          <w:szCs w:val="20"/>
        </w:rPr>
        <w:t xml:space="preserve"> Vienlaikus ekonomiskās stimulēšanas ietekmē k</w:t>
      </w:r>
      <w:r w:rsidRPr="005C5AA8">
        <w:rPr>
          <w:szCs w:val="20"/>
        </w:rPr>
        <w:t>apacitātes trūkums būvniecības nozarē</w:t>
      </w:r>
      <w:r>
        <w:rPr>
          <w:szCs w:val="20"/>
        </w:rPr>
        <w:t xml:space="preserve"> var</w:t>
      </w:r>
      <w:r w:rsidRPr="005C5AA8">
        <w:rPr>
          <w:szCs w:val="20"/>
        </w:rPr>
        <w:t xml:space="preserve"> izrais</w:t>
      </w:r>
      <w:r>
        <w:rPr>
          <w:szCs w:val="20"/>
        </w:rPr>
        <w:t>īt</w:t>
      </w:r>
      <w:r w:rsidRPr="005C5AA8">
        <w:rPr>
          <w:szCs w:val="20"/>
        </w:rPr>
        <w:t xml:space="preserve"> strauju cenu kāpumu</w:t>
      </w:r>
      <w:r>
        <w:rPr>
          <w:szCs w:val="20"/>
        </w:rPr>
        <w:t>, nenodrošinot investīciju gaidīto pozitīvo devumu ekonomikas izaugsmē. Lai arī neliels, tomēr pastāv</w:t>
      </w:r>
      <w:r w:rsidRPr="003D035B">
        <w:rPr>
          <w:szCs w:val="20"/>
        </w:rPr>
        <w:t xml:space="preserve"> </w:t>
      </w:r>
      <w:r>
        <w:rPr>
          <w:szCs w:val="20"/>
        </w:rPr>
        <w:t xml:space="preserve">risks, kas saistīts ar politisko nestabilitāti dažās kaimiņvalstīs, un var straujāk mazināt jau tā zemos kravu tranzīta apjomus. </w:t>
      </w:r>
      <w:r w:rsidRPr="00444066">
        <w:rPr>
          <w:szCs w:val="20"/>
        </w:rPr>
        <w:t>Vienlaikus pašlaik pastāv arī pozitīvie riski, kas var nodrošināt straujāku ekonomiskās izaugsmes atjaunošanos</w:t>
      </w:r>
      <w:r>
        <w:rPr>
          <w:szCs w:val="20"/>
        </w:rPr>
        <w:t xml:space="preserve"> Latvijā</w:t>
      </w:r>
      <w:r w:rsidRPr="00444066">
        <w:rPr>
          <w:szCs w:val="20"/>
        </w:rPr>
        <w:t xml:space="preserve">, </w:t>
      </w:r>
      <w:r>
        <w:t xml:space="preserve"> ja e</w:t>
      </w:r>
      <w:r w:rsidRPr="005C5AA8">
        <w:rPr>
          <w:szCs w:val="20"/>
        </w:rPr>
        <w:t>konomikas izaugsme pasaulē un Latvijas tirdzniecības partnervalstīs atjaunojas straujāk nekā prognozēts</w:t>
      </w:r>
      <w:r>
        <w:rPr>
          <w:szCs w:val="20"/>
        </w:rPr>
        <w:t>. Tāpat iespējams arī s</w:t>
      </w:r>
      <w:r w:rsidRPr="005C5AA8">
        <w:rPr>
          <w:szCs w:val="20"/>
        </w:rPr>
        <w:t>traujāks privātā patēriņa kāpums</w:t>
      </w:r>
      <w:r>
        <w:rPr>
          <w:szCs w:val="20"/>
        </w:rPr>
        <w:t xml:space="preserve"> Latvijā</w:t>
      </w:r>
      <w:r w:rsidRPr="005C5AA8">
        <w:rPr>
          <w:szCs w:val="20"/>
        </w:rPr>
        <w:t xml:space="preserve">, </w:t>
      </w:r>
      <w:r>
        <w:rPr>
          <w:szCs w:val="20"/>
        </w:rPr>
        <w:t xml:space="preserve">ko var nodrošināt </w:t>
      </w:r>
      <w:r w:rsidRPr="005C5AA8">
        <w:rPr>
          <w:szCs w:val="20"/>
        </w:rPr>
        <w:t>mājsaimniecību uzkrājumu pieaugums</w:t>
      </w:r>
      <w:r>
        <w:rPr>
          <w:szCs w:val="20"/>
        </w:rPr>
        <w:t xml:space="preserve"> pēdējos gados.</w:t>
      </w:r>
    </w:p>
    <w:p w14:paraId="09F134C3" w14:textId="2CB03611" w:rsidR="0037413E" w:rsidRPr="00964CAC" w:rsidRDefault="00964CAC" w:rsidP="00964CAC">
      <w:pPr>
        <w:spacing w:before="60" w:after="60"/>
        <w:rPr>
          <w:szCs w:val="20"/>
        </w:rPr>
      </w:pPr>
      <w:r>
        <w:rPr>
          <w:szCs w:val="20"/>
        </w:rPr>
        <w:br w:type="page"/>
      </w:r>
    </w:p>
    <w:p w14:paraId="3F0DC5CC" w14:textId="0E608314" w:rsidR="007933A0" w:rsidRPr="000A6ED3" w:rsidRDefault="00377CA0" w:rsidP="00A83AAD">
      <w:pPr>
        <w:pStyle w:val="Heading1"/>
        <w:ind w:left="360"/>
      </w:pPr>
      <w:bookmarkStart w:id="1" w:name="_Toc403038743"/>
      <w:bookmarkStart w:id="2" w:name="_Toc80081210"/>
      <w:r w:rsidRPr="000A6ED3">
        <w:lastRenderedPageBreak/>
        <w:t xml:space="preserve">Kopbudžeta nodokļu un </w:t>
      </w:r>
      <w:r w:rsidRPr="000A6ED3">
        <w:rPr>
          <w:noProof/>
        </w:rPr>
        <w:t>valsts pamatbudžeta nenodokļu</w:t>
      </w:r>
      <w:r w:rsidRPr="000A6ED3">
        <w:t xml:space="preserve"> </w:t>
      </w:r>
      <w:r w:rsidR="000A6ED3" w:rsidRPr="000A6ED3">
        <w:rPr>
          <w:noProof/>
        </w:rPr>
        <w:t>ieņēmumu prognoze 2022.-2024</w:t>
      </w:r>
      <w:r w:rsidRPr="000A6ED3">
        <w:rPr>
          <w:noProof/>
        </w:rPr>
        <w:t>.gadam</w:t>
      </w:r>
      <w:bookmarkEnd w:id="1"/>
      <w:bookmarkEnd w:id="2"/>
    </w:p>
    <w:p w14:paraId="0E63B0F7" w14:textId="367E75E9" w:rsidR="000A6ED3" w:rsidRPr="00C303DB" w:rsidRDefault="000A6ED3" w:rsidP="00A83AAD">
      <w:pPr>
        <w:spacing w:before="60" w:after="60"/>
        <w:rPr>
          <w:lang w:eastAsia="lv-LV"/>
        </w:rPr>
      </w:pPr>
      <w:bookmarkStart w:id="3" w:name="_Toc403038744"/>
      <w:r w:rsidRPr="00C303DB">
        <w:rPr>
          <w:lang w:eastAsia="lv-LV"/>
        </w:rPr>
        <w:t xml:space="preserve">Nodokļu ieņēmumu prognozes ir sagatavotas, pamatojoties uz vidēja termiņa makroekonomisko rādītāju prognozēm, </w:t>
      </w:r>
      <w:r>
        <w:rPr>
          <w:lang w:eastAsia="lv-LV"/>
        </w:rPr>
        <w:t xml:space="preserve">kā arī, </w:t>
      </w:r>
      <w:r w:rsidRPr="00C303DB">
        <w:rPr>
          <w:lang w:eastAsia="lv-LV"/>
        </w:rPr>
        <w:t>ņemot vērā 2021.</w:t>
      </w:r>
      <w:r w:rsidR="00452536">
        <w:rPr>
          <w:lang w:eastAsia="lv-LV"/>
        </w:rPr>
        <w:t> </w:t>
      </w:r>
      <w:r w:rsidRPr="00C303DB">
        <w:rPr>
          <w:lang w:eastAsia="lv-LV"/>
        </w:rPr>
        <w:t>gada pirmā pusgada faktisko izpildi</w:t>
      </w:r>
      <w:r>
        <w:rPr>
          <w:lang w:eastAsia="lv-LV"/>
        </w:rPr>
        <w:t>,</w:t>
      </w:r>
      <w:r w:rsidRPr="00C303DB">
        <w:rPr>
          <w:lang w:eastAsia="lv-LV"/>
        </w:rPr>
        <w:t xml:space="preserve"> iepriekš pieņemtās izmaiņas likumdošanā un Covid-19 krīzes laikā pieņemtos nodokļu atbalsta pasākumus</w:t>
      </w:r>
      <w:r w:rsidRPr="00C303DB">
        <w:rPr>
          <w:noProof/>
          <w:lang w:eastAsia="lv-LV"/>
        </w:rPr>
        <w:t>.</w:t>
      </w:r>
    </w:p>
    <w:p w14:paraId="2188B79E" w14:textId="790F9A0C" w:rsidR="000A6ED3" w:rsidRPr="00C303DB" w:rsidRDefault="000A6ED3" w:rsidP="00A83AAD">
      <w:pPr>
        <w:spacing w:before="60" w:after="60"/>
        <w:ind w:firstLine="567"/>
        <w:rPr>
          <w:rFonts w:eastAsia="Calibri" w:cs="Times New Roman"/>
          <w:noProof/>
          <w:szCs w:val="28"/>
          <w:lang w:eastAsia="lv-LV"/>
        </w:rPr>
      </w:pPr>
      <w:r w:rsidRPr="00E0523F">
        <w:rPr>
          <w:rFonts w:eastAsia="Calibri" w:cs="Times New Roman"/>
          <w:szCs w:val="28"/>
          <w:lang w:eastAsia="lv-LV"/>
        </w:rPr>
        <w:t>2021.</w:t>
      </w:r>
      <w:r w:rsidR="00452536">
        <w:rPr>
          <w:rFonts w:eastAsia="Calibri" w:cs="Times New Roman"/>
          <w:szCs w:val="28"/>
          <w:lang w:eastAsia="lv-LV"/>
        </w:rPr>
        <w:t> </w:t>
      </w:r>
      <w:r w:rsidRPr="00E0523F">
        <w:rPr>
          <w:rFonts w:eastAsia="Calibri" w:cs="Times New Roman"/>
          <w:szCs w:val="28"/>
          <w:lang w:eastAsia="lv-LV"/>
        </w:rPr>
        <w:t xml:space="preserve">gada pirmajā pusgadā </w:t>
      </w:r>
      <w:r w:rsidRPr="00E0523F">
        <w:rPr>
          <w:rFonts w:eastAsia="Calibri" w:cs="Times New Roman"/>
          <w:b/>
          <w:szCs w:val="28"/>
          <w:lang w:eastAsia="lv-LV"/>
        </w:rPr>
        <w:t>kopbudžeta nodokļu ieņēmumi</w:t>
      </w:r>
      <w:r w:rsidRPr="00E0523F">
        <w:rPr>
          <w:rStyle w:val="FootnoteReference"/>
          <w:rFonts w:eastAsia="Calibri" w:cs="Times New Roman"/>
          <w:sz w:val="24"/>
          <w:szCs w:val="24"/>
          <w:lang w:eastAsia="lv-LV"/>
        </w:rPr>
        <w:footnoteReference w:id="1"/>
      </w:r>
      <w:r w:rsidRPr="00E0523F">
        <w:rPr>
          <w:rFonts w:eastAsia="Calibri" w:cs="Times New Roman"/>
          <w:szCs w:val="28"/>
          <w:lang w:eastAsia="lv-LV"/>
        </w:rPr>
        <w:t xml:space="preserve"> </w:t>
      </w:r>
      <w:r>
        <w:rPr>
          <w:rFonts w:eastAsia="Calibri" w:cs="Times New Roman"/>
          <w:szCs w:val="28"/>
          <w:lang w:eastAsia="lv-LV"/>
        </w:rPr>
        <w:t>bija</w:t>
      </w:r>
      <w:r w:rsidRPr="00E0523F">
        <w:rPr>
          <w:rFonts w:eastAsia="Calibri" w:cs="Times New Roman"/>
          <w:szCs w:val="28"/>
          <w:lang w:eastAsia="lv-LV"/>
        </w:rPr>
        <w:t xml:space="preserve"> 4 374,7 </w:t>
      </w:r>
      <w:r w:rsidRPr="00E0523F">
        <w:rPr>
          <w:rFonts w:eastAsia="Calibri" w:cs="Times New Roman"/>
          <w:noProof/>
          <w:szCs w:val="28"/>
          <w:lang w:eastAsia="lv-LV"/>
        </w:rPr>
        <w:t>milj. </w:t>
      </w:r>
      <w:proofErr w:type="spellStart"/>
      <w:r w:rsidRPr="00E0523F">
        <w:rPr>
          <w:rFonts w:eastAsia="Calibri" w:cs="Times New Roman"/>
          <w:i/>
          <w:noProof/>
          <w:szCs w:val="28"/>
          <w:lang w:eastAsia="lv-LV"/>
        </w:rPr>
        <w:t>euro</w:t>
      </w:r>
      <w:proofErr w:type="spellEnd"/>
      <w:r w:rsidRPr="00E0523F">
        <w:rPr>
          <w:rFonts w:eastAsia="Calibri" w:cs="Times New Roman"/>
          <w:noProof/>
          <w:szCs w:val="28"/>
          <w:lang w:eastAsia="lv-LV"/>
        </w:rPr>
        <w:t>, tajā skaitā, valsts budžetā 3 612,5 milj. </w:t>
      </w:r>
      <w:r w:rsidRPr="00E0523F">
        <w:rPr>
          <w:rFonts w:eastAsia="Calibri" w:cs="Times New Roman"/>
          <w:i/>
          <w:noProof/>
          <w:szCs w:val="28"/>
          <w:lang w:eastAsia="lv-LV"/>
        </w:rPr>
        <w:t>euro</w:t>
      </w:r>
      <w:r w:rsidRPr="00E0523F">
        <w:rPr>
          <w:rFonts w:eastAsia="Calibri" w:cs="Times New Roman"/>
          <w:noProof/>
          <w:szCs w:val="28"/>
          <w:lang w:eastAsia="lv-LV"/>
        </w:rPr>
        <w:t xml:space="preserve"> un pašvaldību budžetā 762,1 milj. </w:t>
      </w:r>
      <w:r w:rsidRPr="00E0523F">
        <w:rPr>
          <w:rFonts w:eastAsia="Calibri" w:cs="Times New Roman"/>
          <w:i/>
          <w:noProof/>
          <w:szCs w:val="28"/>
          <w:lang w:eastAsia="lv-LV"/>
        </w:rPr>
        <w:t>euro</w:t>
      </w:r>
      <w:r w:rsidRPr="00E0523F">
        <w:rPr>
          <w:rFonts w:eastAsia="Calibri" w:cs="Times New Roman"/>
          <w:noProof/>
          <w:szCs w:val="28"/>
          <w:lang w:eastAsia="lv-LV"/>
        </w:rPr>
        <w:t>. Salīdzinot ar pērnā gada attiecīgo periodu kopbudžeta nodokļu ieņēmumi tika iekasēti par 203,5 milj. </w:t>
      </w:r>
      <w:r w:rsidRPr="00E0523F">
        <w:rPr>
          <w:rFonts w:eastAsia="Calibri" w:cs="Times New Roman"/>
          <w:i/>
          <w:noProof/>
          <w:szCs w:val="28"/>
          <w:lang w:eastAsia="lv-LV"/>
        </w:rPr>
        <w:t>euro</w:t>
      </w:r>
      <w:r w:rsidRPr="00E0523F">
        <w:rPr>
          <w:rFonts w:eastAsia="Calibri" w:cs="Times New Roman"/>
          <w:noProof/>
          <w:szCs w:val="28"/>
          <w:lang w:eastAsia="lv-LV"/>
        </w:rPr>
        <w:t xml:space="preserve"> jeb 4,9% vairāk nekā 2020.</w:t>
      </w:r>
      <w:r w:rsidR="00452536">
        <w:rPr>
          <w:rFonts w:eastAsia="Calibri" w:cs="Times New Roman"/>
          <w:noProof/>
          <w:szCs w:val="28"/>
          <w:lang w:eastAsia="lv-LV"/>
        </w:rPr>
        <w:t> </w:t>
      </w:r>
      <w:r w:rsidRPr="00E0523F">
        <w:rPr>
          <w:rFonts w:eastAsia="Calibri" w:cs="Times New Roman"/>
          <w:noProof/>
          <w:szCs w:val="28"/>
          <w:lang w:eastAsia="lv-LV"/>
        </w:rPr>
        <w:t>gada pirmajā pusgadā</w:t>
      </w:r>
      <w:r w:rsidRPr="00E0523F">
        <w:rPr>
          <w:noProof/>
          <w:lang w:eastAsia="lv-LV"/>
        </w:rPr>
        <w:t>, bet</w:t>
      </w:r>
      <w:r w:rsidR="00452536">
        <w:rPr>
          <w:noProof/>
          <w:lang w:eastAsia="lv-LV"/>
        </w:rPr>
        <w:t>,</w:t>
      </w:r>
      <w:r w:rsidRPr="00E0523F">
        <w:rPr>
          <w:noProof/>
          <w:lang w:eastAsia="lv-LV"/>
        </w:rPr>
        <w:t xml:space="preserve"> salīdzinot ar likumā “Par valsts budžetu 2021.</w:t>
      </w:r>
      <w:r w:rsidR="00452536">
        <w:rPr>
          <w:noProof/>
          <w:lang w:eastAsia="lv-LV"/>
        </w:rPr>
        <w:t> </w:t>
      </w:r>
      <w:r w:rsidRPr="00E0523F">
        <w:rPr>
          <w:noProof/>
          <w:lang w:eastAsia="lv-LV"/>
        </w:rPr>
        <w:t xml:space="preserve">gadam” noteikto plānu – par </w:t>
      </w:r>
      <w:r w:rsidRPr="00E0523F">
        <w:rPr>
          <w:rFonts w:eastAsia="Calibri" w:cs="Times New Roman"/>
          <w:noProof/>
          <w:szCs w:val="28"/>
          <w:lang w:eastAsia="lv-LV"/>
        </w:rPr>
        <w:t>12,8 </w:t>
      </w:r>
      <w:r w:rsidRPr="00E0523F">
        <w:rPr>
          <w:noProof/>
          <w:lang w:eastAsia="lv-LV"/>
        </w:rPr>
        <w:t>milj. </w:t>
      </w:r>
      <w:r w:rsidRPr="00E0523F">
        <w:rPr>
          <w:i/>
          <w:noProof/>
          <w:lang w:eastAsia="lv-LV"/>
        </w:rPr>
        <w:t>euro</w:t>
      </w:r>
      <w:r w:rsidRPr="00E0523F">
        <w:rPr>
          <w:noProof/>
          <w:lang w:eastAsia="lv-LV"/>
        </w:rPr>
        <w:t xml:space="preserve"> jeb 0</w:t>
      </w:r>
      <w:r w:rsidR="00452536">
        <w:rPr>
          <w:noProof/>
          <w:lang w:eastAsia="lv-LV"/>
        </w:rPr>
        <w:t>,</w:t>
      </w:r>
      <w:r w:rsidRPr="00E0523F">
        <w:rPr>
          <w:noProof/>
          <w:lang w:eastAsia="lv-LV"/>
        </w:rPr>
        <w:t>3% mazāk.</w:t>
      </w:r>
      <w:r w:rsidRPr="00E0523F">
        <w:rPr>
          <w:rFonts w:eastAsia="Calibri" w:cs="Times New Roman"/>
          <w:noProof/>
          <w:szCs w:val="28"/>
          <w:lang w:eastAsia="lv-LV"/>
        </w:rPr>
        <w:t xml:space="preserve"> Ekonomikai</w:t>
      </w:r>
      <w:r w:rsidRPr="00C303DB">
        <w:rPr>
          <w:rFonts w:eastAsia="Calibri" w:cs="Times New Roman"/>
          <w:noProof/>
          <w:szCs w:val="28"/>
          <w:lang w:eastAsia="lv-LV"/>
        </w:rPr>
        <w:t xml:space="preserve"> pakāpeniski atkopjoties no krīzes, attiecībā </w:t>
      </w:r>
      <w:r w:rsidRPr="00C303DB">
        <w:rPr>
          <w:noProof/>
          <w:lang w:eastAsia="lv-LV"/>
        </w:rPr>
        <w:t xml:space="preserve">pret pērnā gada pirmo pusgadu </w:t>
      </w:r>
      <w:r w:rsidRPr="00C303DB">
        <w:rPr>
          <w:rFonts w:eastAsia="Calibri" w:cs="Times New Roman"/>
          <w:noProof/>
          <w:szCs w:val="28"/>
          <w:lang w:eastAsia="lv-LV"/>
        </w:rPr>
        <w:t xml:space="preserve">nodokļu ieņēmumi palielinājušies gandrīz visās kategorijās (izņemot iedzīvotāju ienākuma nodokli un izložu un azartspēļu nodokli </w:t>
      </w:r>
      <w:r w:rsidRPr="00C303DB">
        <w:rPr>
          <w:noProof/>
          <w:lang w:eastAsia="lv-LV"/>
        </w:rPr>
        <w:t xml:space="preserve">– </w:t>
      </w:r>
      <w:r>
        <w:rPr>
          <w:noProof/>
          <w:lang w:eastAsia="lv-LV"/>
        </w:rPr>
        <w:t>ieņēmumi samazinājās</w:t>
      </w:r>
      <w:r w:rsidRPr="00C303DB">
        <w:rPr>
          <w:noProof/>
          <w:lang w:eastAsia="lv-LV"/>
        </w:rPr>
        <w:t xml:space="preserve"> attiecīgi par 95,5 </w:t>
      </w:r>
      <w:r w:rsidRPr="00C303DB">
        <w:rPr>
          <w:rFonts w:eastAsia="Calibri" w:cs="Times New Roman"/>
          <w:noProof/>
          <w:szCs w:val="28"/>
          <w:lang w:eastAsia="lv-LV"/>
        </w:rPr>
        <w:t>milj. </w:t>
      </w:r>
      <w:r w:rsidRPr="00C303DB">
        <w:rPr>
          <w:rFonts w:eastAsia="Calibri" w:cs="Times New Roman"/>
          <w:i/>
          <w:noProof/>
          <w:szCs w:val="28"/>
          <w:lang w:eastAsia="lv-LV"/>
        </w:rPr>
        <w:t>euro</w:t>
      </w:r>
      <w:r w:rsidRPr="00C303DB">
        <w:rPr>
          <w:rFonts w:eastAsia="Calibri" w:cs="Times New Roman"/>
          <w:noProof/>
          <w:szCs w:val="28"/>
          <w:lang w:eastAsia="lv-LV"/>
        </w:rPr>
        <w:t xml:space="preserve"> jeb 11,</w:t>
      </w:r>
      <w:r>
        <w:rPr>
          <w:rFonts w:eastAsia="Calibri" w:cs="Times New Roman"/>
          <w:noProof/>
          <w:szCs w:val="28"/>
          <w:lang w:eastAsia="lv-LV"/>
        </w:rPr>
        <w:t>4</w:t>
      </w:r>
      <w:r w:rsidRPr="00C303DB">
        <w:rPr>
          <w:rFonts w:eastAsia="Calibri" w:cs="Times New Roman"/>
          <w:noProof/>
          <w:szCs w:val="28"/>
          <w:lang w:eastAsia="lv-LV"/>
        </w:rPr>
        <w:t xml:space="preserve">% un </w:t>
      </w:r>
      <w:r w:rsidRPr="00C303DB">
        <w:rPr>
          <w:noProof/>
          <w:lang w:eastAsia="lv-LV"/>
        </w:rPr>
        <w:t>9,4 </w:t>
      </w:r>
      <w:r w:rsidRPr="00C303DB">
        <w:rPr>
          <w:rFonts w:eastAsia="Calibri" w:cs="Times New Roman"/>
          <w:noProof/>
          <w:szCs w:val="28"/>
          <w:lang w:eastAsia="lv-LV"/>
        </w:rPr>
        <w:t>milj. </w:t>
      </w:r>
      <w:r w:rsidRPr="00C303DB">
        <w:rPr>
          <w:rFonts w:eastAsia="Calibri" w:cs="Times New Roman"/>
          <w:i/>
          <w:noProof/>
          <w:szCs w:val="28"/>
          <w:lang w:eastAsia="lv-LV"/>
        </w:rPr>
        <w:t>euro</w:t>
      </w:r>
      <w:r w:rsidRPr="00C303DB">
        <w:rPr>
          <w:rFonts w:eastAsia="Calibri" w:cs="Times New Roman"/>
          <w:noProof/>
          <w:szCs w:val="28"/>
          <w:lang w:eastAsia="lv-LV"/>
        </w:rPr>
        <w:t xml:space="preserve"> jeb 57,3 procentiem)</w:t>
      </w:r>
      <w:r w:rsidRPr="00C303DB">
        <w:rPr>
          <w:noProof/>
          <w:lang w:eastAsia="lv-LV"/>
        </w:rPr>
        <w:t xml:space="preserve">. </w:t>
      </w:r>
      <w:r w:rsidRPr="00C303DB">
        <w:rPr>
          <w:rFonts w:eastAsia="Calibri" w:cs="Times New Roman"/>
          <w:noProof/>
          <w:szCs w:val="28"/>
          <w:lang w:eastAsia="lv-LV"/>
        </w:rPr>
        <w:t xml:space="preserve">Iedzīvotāju ienākuma nodokļa samazinājumu noteica straujais atmaksu </w:t>
      </w:r>
      <w:r>
        <w:rPr>
          <w:rFonts w:eastAsia="Calibri" w:cs="Times New Roman"/>
          <w:noProof/>
          <w:szCs w:val="28"/>
          <w:lang w:eastAsia="lv-LV"/>
        </w:rPr>
        <w:t>p</w:t>
      </w:r>
      <w:r w:rsidRPr="00C303DB">
        <w:rPr>
          <w:rFonts w:eastAsia="Calibri" w:cs="Times New Roman"/>
          <w:noProof/>
          <w:szCs w:val="28"/>
          <w:lang w:eastAsia="lv-LV"/>
        </w:rPr>
        <w:t>ieaugums šā gada martā, kā arī diferencētā neapliekamā minimuma sliekšņa un pensionāru neapliekamā minimuma palielinājums.</w:t>
      </w:r>
      <w:r w:rsidRPr="00C303DB">
        <w:rPr>
          <w:noProof/>
          <w:lang w:eastAsia="lv-LV"/>
        </w:rPr>
        <w:t xml:space="preserve"> Savukārt </w:t>
      </w:r>
      <w:r w:rsidRPr="00C303DB">
        <w:rPr>
          <w:rFonts w:eastAsia="Calibri" w:cs="Times New Roman"/>
          <w:noProof/>
          <w:szCs w:val="28"/>
          <w:lang w:eastAsia="lv-LV"/>
        </w:rPr>
        <w:t>izložu un azartspēļu nodokļa</w:t>
      </w:r>
      <w:r>
        <w:rPr>
          <w:rFonts w:eastAsia="Calibri" w:cs="Times New Roman"/>
          <w:noProof/>
          <w:szCs w:val="28"/>
          <w:lang w:eastAsia="lv-LV"/>
        </w:rPr>
        <w:t xml:space="preserve"> ieņēmumu</w:t>
      </w:r>
      <w:r w:rsidRPr="00C303DB">
        <w:rPr>
          <w:rFonts w:eastAsia="Calibri" w:cs="Times New Roman"/>
          <w:noProof/>
          <w:szCs w:val="28"/>
          <w:lang w:eastAsia="lv-LV"/>
        </w:rPr>
        <w:t xml:space="preserve"> samazinājuma iemesl</w:t>
      </w:r>
      <w:r>
        <w:rPr>
          <w:rFonts w:eastAsia="Calibri" w:cs="Times New Roman"/>
          <w:noProof/>
          <w:szCs w:val="28"/>
          <w:lang w:eastAsia="lv-LV"/>
        </w:rPr>
        <w:t>s</w:t>
      </w:r>
      <w:r w:rsidRPr="00C303DB">
        <w:rPr>
          <w:rFonts w:eastAsia="Calibri" w:cs="Times New Roman"/>
          <w:noProof/>
          <w:szCs w:val="28"/>
          <w:lang w:eastAsia="lv-LV"/>
        </w:rPr>
        <w:t xml:space="preserve"> bija </w:t>
      </w:r>
      <w:r w:rsidRPr="00C303DB">
        <w:rPr>
          <w:noProof/>
        </w:rPr>
        <w:t>Covid</w:t>
      </w:r>
      <w:r w:rsidRPr="00C303DB">
        <w:rPr>
          <w:noProof/>
        </w:rPr>
        <w:noBreakHyphen/>
        <w:t xml:space="preserve">19 ierobežojumu rezultātā izsludinātais </w:t>
      </w:r>
      <w:r w:rsidRPr="00C303DB">
        <w:rPr>
          <w:rFonts w:eastAsia="Times New Roman"/>
          <w:bCs/>
          <w:noProof/>
        </w:rPr>
        <w:t>azartspēļu organizēšanas aizliegums vis</w:t>
      </w:r>
      <w:r>
        <w:rPr>
          <w:rFonts w:eastAsia="Times New Roman"/>
          <w:bCs/>
          <w:noProof/>
        </w:rPr>
        <w:t>ā</w:t>
      </w:r>
      <w:r w:rsidRPr="00C303DB">
        <w:rPr>
          <w:rFonts w:eastAsia="Times New Roman"/>
          <w:bCs/>
          <w:noProof/>
        </w:rPr>
        <w:t>s spēļu zālēs, bingo zālēs, kazino un totalizatora likmju pieņemšanas vietās Latvijas teritorijā.</w:t>
      </w:r>
      <w:r w:rsidRPr="00C303DB">
        <w:rPr>
          <w:rFonts w:eastAsia="Calibri" w:cs="Times New Roman"/>
          <w:noProof/>
          <w:szCs w:val="28"/>
          <w:lang w:eastAsia="lv-LV"/>
        </w:rPr>
        <w:t xml:space="preserve"> </w:t>
      </w:r>
      <w:r w:rsidRPr="00C303DB">
        <w:rPr>
          <w:noProof/>
          <w:lang w:eastAsia="lv-LV"/>
        </w:rPr>
        <w:t xml:space="preserve">Lielākais nodokļu ieņēmumu palielinājums </w:t>
      </w:r>
      <w:r w:rsidRPr="00C303DB">
        <w:rPr>
          <w:rFonts w:eastAsia="Calibri" w:cs="Times New Roman"/>
          <w:noProof/>
          <w:szCs w:val="28"/>
          <w:lang w:eastAsia="lv-LV"/>
        </w:rPr>
        <w:t xml:space="preserve">attiecībā </w:t>
      </w:r>
      <w:r w:rsidRPr="00C303DB">
        <w:rPr>
          <w:noProof/>
          <w:lang w:eastAsia="lv-LV"/>
        </w:rPr>
        <w:t>pret pērnā gada pirmo pusgadu vērojams pievienotās vērtības nodoklim, uzņēmumu ienākuma nodoklim un akcīzes nodoklim – attiecīgi par 192,5 </w:t>
      </w:r>
      <w:r w:rsidRPr="00C303DB">
        <w:rPr>
          <w:rFonts w:eastAsia="Calibri" w:cs="Times New Roman"/>
          <w:noProof/>
          <w:szCs w:val="28"/>
          <w:lang w:eastAsia="lv-LV"/>
        </w:rPr>
        <w:t>milj. </w:t>
      </w:r>
      <w:r w:rsidRPr="00C303DB">
        <w:rPr>
          <w:rFonts w:eastAsia="Calibri" w:cs="Times New Roman"/>
          <w:i/>
          <w:noProof/>
          <w:szCs w:val="28"/>
          <w:lang w:eastAsia="lv-LV"/>
        </w:rPr>
        <w:t>euro</w:t>
      </w:r>
      <w:r w:rsidRPr="00C303DB">
        <w:rPr>
          <w:rFonts w:eastAsia="Calibri" w:cs="Times New Roman"/>
          <w:noProof/>
          <w:szCs w:val="28"/>
          <w:lang w:eastAsia="lv-LV"/>
        </w:rPr>
        <w:t xml:space="preserve"> jeb 17,1%, </w:t>
      </w:r>
      <w:r w:rsidRPr="00C303DB">
        <w:rPr>
          <w:noProof/>
          <w:lang w:eastAsia="lv-LV"/>
        </w:rPr>
        <w:t>60,2 </w:t>
      </w:r>
      <w:r w:rsidRPr="00C303DB">
        <w:rPr>
          <w:rFonts w:eastAsia="Calibri" w:cs="Times New Roman"/>
          <w:noProof/>
          <w:szCs w:val="28"/>
          <w:lang w:eastAsia="lv-LV"/>
        </w:rPr>
        <w:t>milj. </w:t>
      </w:r>
      <w:r w:rsidRPr="00C303DB">
        <w:rPr>
          <w:rFonts w:eastAsia="Calibri" w:cs="Times New Roman"/>
          <w:i/>
          <w:noProof/>
          <w:szCs w:val="28"/>
          <w:lang w:eastAsia="lv-LV"/>
        </w:rPr>
        <w:t>euro</w:t>
      </w:r>
      <w:r w:rsidRPr="00C303DB">
        <w:rPr>
          <w:rFonts w:eastAsia="Calibri" w:cs="Times New Roman"/>
          <w:noProof/>
          <w:szCs w:val="28"/>
          <w:lang w:eastAsia="lv-LV"/>
        </w:rPr>
        <w:t xml:space="preserve"> jeb 54,5% un </w:t>
      </w:r>
      <w:r w:rsidRPr="00C303DB">
        <w:rPr>
          <w:noProof/>
          <w:lang w:eastAsia="lv-LV"/>
        </w:rPr>
        <w:t>23,5 </w:t>
      </w:r>
      <w:r w:rsidRPr="00C303DB">
        <w:rPr>
          <w:rFonts w:eastAsia="Calibri" w:cs="Times New Roman"/>
          <w:noProof/>
          <w:szCs w:val="28"/>
          <w:lang w:eastAsia="lv-LV"/>
        </w:rPr>
        <w:t>milj. </w:t>
      </w:r>
      <w:r w:rsidRPr="00C303DB">
        <w:rPr>
          <w:rFonts w:eastAsia="Calibri" w:cs="Times New Roman"/>
          <w:i/>
          <w:noProof/>
          <w:szCs w:val="28"/>
          <w:lang w:eastAsia="lv-LV"/>
        </w:rPr>
        <w:t>euro</w:t>
      </w:r>
      <w:r w:rsidRPr="00C303DB">
        <w:rPr>
          <w:rFonts w:eastAsia="Calibri" w:cs="Times New Roman"/>
          <w:noProof/>
          <w:szCs w:val="28"/>
          <w:lang w:eastAsia="lv-LV"/>
        </w:rPr>
        <w:t xml:space="preserve"> jeb 4,8 procentiem.</w:t>
      </w:r>
    </w:p>
    <w:p w14:paraId="14F8F19B" w14:textId="5429E48C" w:rsidR="000A6ED3" w:rsidRDefault="000A6ED3" w:rsidP="00A83AAD">
      <w:pPr>
        <w:spacing w:before="60" w:after="60"/>
        <w:rPr>
          <w:noProof/>
          <w:lang w:eastAsia="lv-LV"/>
        </w:rPr>
      </w:pPr>
      <w:r w:rsidRPr="00C303DB">
        <w:rPr>
          <w:noProof/>
          <w:lang w:eastAsia="lv-LV"/>
        </w:rPr>
        <w:t xml:space="preserve">Ņemot vērā iepriekš minētās tendences, </w:t>
      </w:r>
      <w:r>
        <w:rPr>
          <w:noProof/>
          <w:lang w:eastAsia="lv-LV"/>
        </w:rPr>
        <w:t>salīdzinājumā</w:t>
      </w:r>
      <w:r w:rsidRPr="00C303DB">
        <w:rPr>
          <w:noProof/>
          <w:lang w:eastAsia="lv-LV"/>
        </w:rPr>
        <w:t xml:space="preserve"> </w:t>
      </w:r>
      <w:r>
        <w:rPr>
          <w:noProof/>
          <w:lang w:eastAsia="lv-LV"/>
        </w:rPr>
        <w:t>ar</w:t>
      </w:r>
      <w:r w:rsidRPr="00C303DB">
        <w:rPr>
          <w:noProof/>
          <w:lang w:eastAsia="lv-LV"/>
        </w:rPr>
        <w:t xml:space="preserve"> </w:t>
      </w:r>
      <w:r w:rsidRPr="00C303DB">
        <w:rPr>
          <w:rFonts w:eastAsia="Times New Roman"/>
          <w:noProof/>
          <w:lang w:eastAsia="lv-LV"/>
        </w:rPr>
        <w:t xml:space="preserve">vidēja termiņa budžeta ietvaru </w:t>
      </w:r>
      <w:r w:rsidRPr="00C303DB">
        <w:rPr>
          <w:rFonts w:eastAsia="Calibri" w:cs="Times New Roman"/>
          <w:noProof/>
          <w:szCs w:val="28"/>
          <w:lang w:eastAsia="lv-LV"/>
        </w:rPr>
        <w:t>kopbudžeta nodokļu ieņēmum</w:t>
      </w:r>
      <w:r>
        <w:rPr>
          <w:rFonts w:eastAsia="Calibri" w:cs="Times New Roman"/>
          <w:noProof/>
          <w:szCs w:val="28"/>
          <w:lang w:eastAsia="lv-LV"/>
        </w:rPr>
        <w:t>u</w:t>
      </w:r>
      <w:r w:rsidRPr="00C303DB">
        <w:rPr>
          <w:rFonts w:eastAsia="Times New Roman"/>
          <w:noProof/>
          <w:lang w:eastAsia="lv-LV"/>
        </w:rPr>
        <w:t xml:space="preserve"> prognozes ir palielinātas – 2022.</w:t>
      </w:r>
      <w:r w:rsidR="000840BA">
        <w:rPr>
          <w:rFonts w:eastAsia="Times New Roman"/>
          <w:noProof/>
          <w:lang w:eastAsia="lv-LV"/>
        </w:rPr>
        <w:t> </w:t>
      </w:r>
      <w:r w:rsidRPr="00C303DB">
        <w:rPr>
          <w:rFonts w:eastAsia="Times New Roman"/>
          <w:noProof/>
          <w:lang w:eastAsia="lv-LV"/>
        </w:rPr>
        <w:t>gadā un 2023.</w:t>
      </w:r>
      <w:r w:rsidR="000840BA">
        <w:rPr>
          <w:rFonts w:eastAsia="Times New Roman"/>
          <w:noProof/>
          <w:lang w:eastAsia="lv-LV"/>
        </w:rPr>
        <w:t> </w:t>
      </w:r>
      <w:r w:rsidRPr="00C303DB">
        <w:rPr>
          <w:rFonts w:eastAsia="Times New Roman"/>
          <w:noProof/>
          <w:lang w:eastAsia="lv-LV"/>
        </w:rPr>
        <w:t>gadā attiecīgi par 2,4% un 3,3</w:t>
      </w:r>
      <w:r w:rsidR="000840BA">
        <w:rPr>
          <w:rFonts w:eastAsia="Times New Roman"/>
          <w:noProof/>
          <w:lang w:eastAsia="lv-LV"/>
        </w:rPr>
        <w:t> </w:t>
      </w:r>
      <w:r w:rsidRPr="00C303DB">
        <w:rPr>
          <w:rFonts w:eastAsia="Times New Roman"/>
          <w:noProof/>
          <w:lang w:eastAsia="lv-LV"/>
        </w:rPr>
        <w:t xml:space="preserve">procentiem. </w:t>
      </w:r>
      <w:r w:rsidRPr="00C303DB">
        <w:rPr>
          <w:noProof/>
          <w:lang w:eastAsia="lv-LV"/>
        </w:rPr>
        <w:t>2022.</w:t>
      </w:r>
      <w:r w:rsidR="000840BA">
        <w:rPr>
          <w:noProof/>
          <w:lang w:eastAsia="lv-LV"/>
        </w:rPr>
        <w:t> </w:t>
      </w:r>
      <w:r w:rsidRPr="00C303DB">
        <w:rPr>
          <w:noProof/>
          <w:lang w:eastAsia="lv-LV"/>
        </w:rPr>
        <w:t xml:space="preserve">gadā kopbudžeta nodokļu ieņēmumi tiek prognozēti </w:t>
      </w:r>
      <w:r w:rsidRPr="00C303DB">
        <w:rPr>
          <w:rFonts w:eastAsia="Calibri" w:cs="Times New Roman"/>
          <w:noProof/>
          <w:szCs w:val="28"/>
          <w:lang w:eastAsia="lv-LV"/>
        </w:rPr>
        <w:t>10 225,5 milj. </w:t>
      </w:r>
      <w:r w:rsidRPr="00C303DB">
        <w:rPr>
          <w:rFonts w:eastAsia="Calibri" w:cs="Times New Roman"/>
          <w:i/>
          <w:noProof/>
          <w:szCs w:val="28"/>
          <w:lang w:eastAsia="lv-LV"/>
        </w:rPr>
        <w:t>euro</w:t>
      </w:r>
      <w:r w:rsidRPr="00C303DB">
        <w:rPr>
          <w:noProof/>
          <w:lang w:eastAsia="lv-LV"/>
        </w:rPr>
        <w:t xml:space="preserve"> apmērā jeb ar 9,6% pieaugumu salīdzinājumā ar 2021.</w:t>
      </w:r>
      <w:r w:rsidR="000840BA">
        <w:rPr>
          <w:noProof/>
          <w:lang w:eastAsia="lv-LV"/>
        </w:rPr>
        <w:t> </w:t>
      </w:r>
      <w:r w:rsidRPr="00C303DB">
        <w:rPr>
          <w:noProof/>
          <w:lang w:eastAsia="lv-LV"/>
        </w:rPr>
        <w:t>gadu, savukārt 2023.</w:t>
      </w:r>
      <w:r w:rsidR="000840BA">
        <w:rPr>
          <w:noProof/>
          <w:lang w:eastAsia="lv-LV"/>
        </w:rPr>
        <w:t> </w:t>
      </w:r>
      <w:r w:rsidRPr="00C303DB">
        <w:rPr>
          <w:noProof/>
          <w:lang w:eastAsia="lv-LV"/>
        </w:rPr>
        <w:t>gadā ar 6,2% un 2024.</w:t>
      </w:r>
      <w:r w:rsidR="000840BA">
        <w:rPr>
          <w:noProof/>
          <w:lang w:eastAsia="lv-LV"/>
        </w:rPr>
        <w:t> </w:t>
      </w:r>
      <w:r w:rsidRPr="00C303DB">
        <w:rPr>
          <w:noProof/>
          <w:lang w:eastAsia="lv-LV"/>
        </w:rPr>
        <w:t>gadā ar 5,</w:t>
      </w:r>
      <w:r>
        <w:rPr>
          <w:noProof/>
          <w:lang w:eastAsia="lv-LV"/>
        </w:rPr>
        <w:t>0</w:t>
      </w:r>
      <w:r w:rsidRPr="00C303DB">
        <w:rPr>
          <w:noProof/>
          <w:lang w:eastAsia="lv-LV"/>
        </w:rPr>
        <w:t>% pieaugumu, salīdzinot ar iepriekšējo gadu. Nodokļu ieņēmumu pieauguma apmērs vidējā termiņā nedaudz samazinās, ko galvenokārt ietekmē makroekonomisko rādītāju pieauguma tempi, kā arī iepriekš pieņemtās izmaiņas likumdošanā</w:t>
      </w:r>
      <w:r>
        <w:rPr>
          <w:noProof/>
          <w:lang w:eastAsia="lv-LV"/>
        </w:rPr>
        <w:t xml:space="preserve"> un</w:t>
      </w:r>
      <w:r w:rsidRPr="00D452DA">
        <w:rPr>
          <w:rFonts w:eastAsia="Calibri" w:cs="Times New Roman"/>
          <w:noProof/>
          <w:szCs w:val="28"/>
          <w:lang w:eastAsia="lv-LV"/>
        </w:rPr>
        <w:t xml:space="preserve"> </w:t>
      </w:r>
      <w:r w:rsidRPr="00D452DA">
        <w:rPr>
          <w:noProof/>
          <w:lang w:eastAsia="lv-LV"/>
        </w:rPr>
        <w:t>Covid</w:t>
      </w:r>
      <w:r>
        <w:rPr>
          <w:noProof/>
          <w:lang w:eastAsia="lv-LV"/>
        </w:rPr>
        <w:noBreakHyphen/>
      </w:r>
      <w:r w:rsidRPr="00D452DA">
        <w:rPr>
          <w:noProof/>
          <w:lang w:eastAsia="lv-LV"/>
        </w:rPr>
        <w:t>19 krīzes laikā pieņemtie nodokļu atbalsta pasākumi</w:t>
      </w:r>
      <w:r>
        <w:rPr>
          <w:noProof/>
          <w:lang w:eastAsia="lv-LV"/>
        </w:rPr>
        <w:t xml:space="preserve"> (iedzīvotāju ienākuma nodokļa izmaiņas naudas plūsmā</w:t>
      </w:r>
      <w:r w:rsidR="000840BA">
        <w:rPr>
          <w:noProof/>
          <w:lang w:eastAsia="lv-LV"/>
        </w:rPr>
        <w:t>,</w:t>
      </w:r>
      <w:r>
        <w:rPr>
          <w:noProof/>
          <w:lang w:eastAsia="lv-LV"/>
        </w:rPr>
        <w:t xml:space="preserve"> n</w:t>
      </w:r>
      <w:r w:rsidRPr="00D452DA">
        <w:rPr>
          <w:noProof/>
          <w:lang w:eastAsia="lv-LV"/>
        </w:rPr>
        <w:t>odokļu maksājumu atlikšana krīzes skartajiem uzņēmumiem līdz trīs gadiem</w:t>
      </w:r>
      <w:r>
        <w:rPr>
          <w:noProof/>
          <w:lang w:eastAsia="lv-LV"/>
        </w:rPr>
        <w:t>)</w:t>
      </w:r>
      <w:r w:rsidRPr="00D452DA">
        <w:rPr>
          <w:noProof/>
          <w:lang w:eastAsia="lv-LV"/>
        </w:rPr>
        <w:t>.</w:t>
      </w:r>
    </w:p>
    <w:p w14:paraId="2D598C8B" w14:textId="77777777" w:rsidR="000A6ED3" w:rsidRPr="00D452DA" w:rsidRDefault="000A6ED3" w:rsidP="00A83AAD">
      <w:pPr>
        <w:spacing w:before="60" w:after="60"/>
        <w:rPr>
          <w:lang w:eastAsia="lv-LV"/>
        </w:rPr>
      </w:pPr>
      <w:r w:rsidRPr="00975A73">
        <w:rPr>
          <w:lang w:eastAsia="lv-LV"/>
        </w:rPr>
        <w:t>Kopumā tiek prognozēts, ka kopbudžeta nodokļu ieņēmumu dinamika 2022.</w:t>
      </w:r>
      <w:r w:rsidRPr="00975A73">
        <w:rPr>
          <w:lang w:eastAsia="lv-LV"/>
        </w:rPr>
        <w:noBreakHyphen/>
        <w:t xml:space="preserve">2024.gadā būs līdzīga prognozējamiem Latvijas tautsaimniecības attīstības </w:t>
      </w:r>
      <w:r w:rsidRPr="00975A73">
        <w:rPr>
          <w:lang w:eastAsia="lv-LV"/>
        </w:rPr>
        <w:lastRenderedPageBreak/>
        <w:t>tempiem. Kopbudžeta nodokļu ieņēmumu īpatsvars IKP minētajā periodā tiek prognozēts relatīvi stabilā līmenī un sastādīs ap 30 procentiem.</w:t>
      </w:r>
      <w:r>
        <w:rPr>
          <w:lang w:eastAsia="lv-LV"/>
        </w:rPr>
        <w:t xml:space="preserve"> </w:t>
      </w:r>
    </w:p>
    <w:p w14:paraId="5F71840A" w14:textId="27E83E37" w:rsidR="000A6ED3" w:rsidRPr="00D452DA" w:rsidRDefault="000A6ED3" w:rsidP="00A83AAD">
      <w:pPr>
        <w:spacing w:before="60" w:after="60"/>
        <w:rPr>
          <w:lang w:eastAsia="lv-LV"/>
        </w:rPr>
      </w:pPr>
      <w:r w:rsidRPr="00D452DA">
        <w:rPr>
          <w:lang w:eastAsia="lv-LV"/>
        </w:rPr>
        <w:t xml:space="preserve">Valsts </w:t>
      </w:r>
      <w:r w:rsidRPr="00E0523F">
        <w:rPr>
          <w:b/>
          <w:lang w:eastAsia="lv-LV"/>
        </w:rPr>
        <w:t xml:space="preserve">pamatbudžeta </w:t>
      </w:r>
      <w:r w:rsidRPr="00A84F43">
        <w:rPr>
          <w:b/>
          <w:noProof/>
          <w:lang w:eastAsia="lv-LV"/>
        </w:rPr>
        <w:t>nenodokļu</w:t>
      </w:r>
      <w:r w:rsidRPr="00D452DA">
        <w:rPr>
          <w:b/>
          <w:noProof/>
          <w:lang w:eastAsia="lv-LV"/>
        </w:rPr>
        <w:t xml:space="preserve"> ieņēmumi</w:t>
      </w:r>
      <w:r w:rsidRPr="00D452DA">
        <w:rPr>
          <w:noProof/>
          <w:lang w:eastAsia="lv-LV"/>
        </w:rPr>
        <w:t xml:space="preserve"> 2021.</w:t>
      </w:r>
      <w:r w:rsidR="00771EE8">
        <w:rPr>
          <w:noProof/>
          <w:lang w:eastAsia="lv-LV"/>
        </w:rPr>
        <w:t> </w:t>
      </w:r>
      <w:r w:rsidRPr="00D452DA">
        <w:rPr>
          <w:noProof/>
          <w:lang w:eastAsia="lv-LV"/>
        </w:rPr>
        <w:t>gada sešos mēnešos ir 411,2 milj. </w:t>
      </w:r>
      <w:r w:rsidRPr="00D452DA">
        <w:rPr>
          <w:i/>
          <w:noProof/>
          <w:lang w:eastAsia="lv-LV"/>
        </w:rPr>
        <w:t>euro</w:t>
      </w:r>
      <w:r w:rsidRPr="00D452DA">
        <w:rPr>
          <w:noProof/>
          <w:lang w:eastAsia="lv-LV"/>
        </w:rPr>
        <w:t>, kas ir par 14,6 milj. </w:t>
      </w:r>
      <w:r w:rsidRPr="00D452DA">
        <w:rPr>
          <w:i/>
          <w:noProof/>
          <w:lang w:eastAsia="lv-LV"/>
        </w:rPr>
        <w:t>euro</w:t>
      </w:r>
      <w:r w:rsidRPr="00D452DA">
        <w:rPr>
          <w:noProof/>
          <w:lang w:eastAsia="lv-LV"/>
        </w:rPr>
        <w:t xml:space="preserve"> jeb 3,7% vairāk nekā 2020.</w:t>
      </w:r>
      <w:r w:rsidR="00771EE8">
        <w:rPr>
          <w:noProof/>
          <w:lang w:eastAsia="lv-LV"/>
        </w:rPr>
        <w:t> </w:t>
      </w:r>
      <w:r w:rsidRPr="00D452DA">
        <w:rPr>
          <w:noProof/>
          <w:lang w:eastAsia="lv-LV"/>
        </w:rPr>
        <w:t>gada sešos mēnešos un par 97,0</w:t>
      </w:r>
      <w:r>
        <w:rPr>
          <w:noProof/>
          <w:lang w:eastAsia="lv-LV"/>
        </w:rPr>
        <w:t> </w:t>
      </w:r>
      <w:r w:rsidRPr="00D452DA">
        <w:rPr>
          <w:noProof/>
          <w:lang w:eastAsia="lv-LV"/>
        </w:rPr>
        <w:t>milj. </w:t>
      </w:r>
      <w:r w:rsidRPr="00D452DA">
        <w:rPr>
          <w:i/>
          <w:noProof/>
          <w:szCs w:val="24"/>
          <w:lang w:eastAsia="lv-LV"/>
        </w:rPr>
        <w:t>euro</w:t>
      </w:r>
      <w:r w:rsidRPr="00D452DA">
        <w:rPr>
          <w:noProof/>
          <w:lang w:eastAsia="lv-LV"/>
        </w:rPr>
        <w:t xml:space="preserve"> jeb 30,9% vairāk par </w:t>
      </w:r>
      <w:r w:rsidRPr="00D452DA">
        <w:rPr>
          <w:rFonts w:eastAsia="Calibri" w:cs="Times New Roman"/>
          <w:noProof/>
          <w:szCs w:val="28"/>
          <w:lang w:eastAsia="lv-LV"/>
        </w:rPr>
        <w:t>likumā “Par valsts budžetu 2021.</w:t>
      </w:r>
      <w:r w:rsidR="00771EE8">
        <w:rPr>
          <w:rFonts w:eastAsia="Calibri" w:cs="Times New Roman"/>
          <w:noProof/>
          <w:szCs w:val="28"/>
          <w:lang w:eastAsia="lv-LV"/>
        </w:rPr>
        <w:t> </w:t>
      </w:r>
      <w:r w:rsidRPr="00D452DA">
        <w:rPr>
          <w:rFonts w:eastAsia="Calibri" w:cs="Times New Roman"/>
          <w:noProof/>
          <w:szCs w:val="28"/>
          <w:lang w:eastAsia="lv-LV"/>
        </w:rPr>
        <w:t>gadam” noteikto plānu</w:t>
      </w:r>
      <w:r w:rsidRPr="00D452DA">
        <w:rPr>
          <w:noProof/>
          <w:lang w:eastAsia="lv-LV"/>
        </w:rPr>
        <w:t>. 2021.</w:t>
      </w:r>
      <w:r w:rsidR="00771EE8">
        <w:rPr>
          <w:noProof/>
          <w:lang w:eastAsia="lv-LV"/>
        </w:rPr>
        <w:t> </w:t>
      </w:r>
      <w:r w:rsidRPr="00D452DA">
        <w:rPr>
          <w:noProof/>
          <w:lang w:eastAsia="lv-LV"/>
        </w:rPr>
        <w:t xml:space="preserve">gadā lielākos valsts pamatbudžeta nenodokļu ieņēmumus </w:t>
      </w:r>
      <w:r>
        <w:rPr>
          <w:noProof/>
          <w:lang w:eastAsia="lv-LV"/>
        </w:rPr>
        <w:t>veido</w:t>
      </w:r>
      <w:r w:rsidRPr="00D452DA">
        <w:rPr>
          <w:noProof/>
          <w:lang w:eastAsia="lv-LV"/>
        </w:rPr>
        <w:t xml:space="preserve"> ieņēmumi no dividendēm (maksājumi par valsts kapitāla</w:t>
      </w:r>
      <w:r w:rsidRPr="00D452DA">
        <w:rPr>
          <w:lang w:eastAsia="lv-LV"/>
        </w:rPr>
        <w:t xml:space="preserve"> izmantošanu), ieņēmumi no valsts nodevām par valsts sniegto nodrošinājumu un juridiskajiem un citiem pakalpojumiem</w:t>
      </w:r>
      <w:r>
        <w:rPr>
          <w:lang w:eastAsia="lv-LV"/>
        </w:rPr>
        <w:t xml:space="preserve">, kā arī </w:t>
      </w:r>
      <w:r w:rsidRPr="00975A73">
        <w:rPr>
          <w:noProof/>
          <w:lang w:eastAsia="lv-LV"/>
        </w:rPr>
        <w:t>pārējie nenodokļu i</w:t>
      </w:r>
      <w:r w:rsidRPr="00975A73">
        <w:rPr>
          <w:lang w:eastAsia="lv-LV"/>
        </w:rPr>
        <w:t>eņēmumi</w:t>
      </w:r>
      <w:r w:rsidRPr="00D452DA">
        <w:rPr>
          <w:lang w:eastAsia="lv-LV"/>
        </w:rPr>
        <w:t>.</w:t>
      </w:r>
    </w:p>
    <w:p w14:paraId="20E361C8" w14:textId="33A38ACE" w:rsidR="000A6ED3" w:rsidRPr="00F040EF" w:rsidRDefault="000A6ED3" w:rsidP="00A83AAD">
      <w:pPr>
        <w:spacing w:before="60" w:after="60"/>
        <w:ind w:firstLine="0"/>
        <w:rPr>
          <w:rFonts w:eastAsia="Calibri" w:cs="Times New Roman"/>
          <w:b/>
          <w:szCs w:val="28"/>
          <w:highlight w:val="yellow"/>
          <w:lang w:eastAsia="lv-LV"/>
        </w:rPr>
      </w:pPr>
      <w:r w:rsidRPr="00D452DA">
        <w:rPr>
          <w:noProof/>
          <w:lang w:eastAsia="lv-LV"/>
        </w:rPr>
        <w:t>2022.</w:t>
      </w:r>
      <w:r w:rsidR="00771EE8">
        <w:rPr>
          <w:noProof/>
          <w:lang w:eastAsia="lv-LV"/>
        </w:rPr>
        <w:t> </w:t>
      </w:r>
      <w:r w:rsidRPr="00D452DA">
        <w:rPr>
          <w:noProof/>
          <w:lang w:eastAsia="lv-LV"/>
        </w:rPr>
        <w:t>gadā valsts pamatbudžeta nenodokļu ieņēmumi tiek prognozēti ar 17,6% samazinājumu salīdzinājumā ar 2021.</w:t>
      </w:r>
      <w:r w:rsidR="00771EE8">
        <w:rPr>
          <w:noProof/>
          <w:lang w:eastAsia="lv-LV"/>
        </w:rPr>
        <w:t> </w:t>
      </w:r>
      <w:r w:rsidRPr="00D452DA">
        <w:rPr>
          <w:noProof/>
          <w:lang w:eastAsia="lv-LV"/>
        </w:rPr>
        <w:t>gadu, ko pamatā ietekmē ieņēmumu samazinājums no dividendēm. 2023.</w:t>
      </w:r>
      <w:r w:rsidR="00771EE8">
        <w:rPr>
          <w:noProof/>
          <w:lang w:eastAsia="lv-LV"/>
        </w:rPr>
        <w:t> </w:t>
      </w:r>
      <w:r w:rsidRPr="00D452DA">
        <w:rPr>
          <w:noProof/>
          <w:lang w:eastAsia="lv-LV"/>
        </w:rPr>
        <w:t>gadā nenodokļu ieņēmumi tiek prognozēti ar 2,6% samazinājumu salīdzinājumā ar iepriekšējo gadu, bet 2024.</w:t>
      </w:r>
      <w:r w:rsidR="00771EE8">
        <w:rPr>
          <w:noProof/>
          <w:lang w:eastAsia="lv-LV"/>
        </w:rPr>
        <w:t> </w:t>
      </w:r>
      <w:r w:rsidRPr="00D452DA">
        <w:rPr>
          <w:noProof/>
          <w:lang w:eastAsia="lv-LV"/>
        </w:rPr>
        <w:t>gadā ar 9,5% samazinājumu salīdzinājumā ar iepriekšējo gadu.</w:t>
      </w:r>
    </w:p>
    <w:p w14:paraId="25EF4399" w14:textId="0B0BBE52" w:rsidR="000A6ED3" w:rsidRPr="00AC55E4" w:rsidRDefault="00945DF3">
      <w:pPr>
        <w:spacing w:before="0" w:after="0"/>
        <w:ind w:firstLine="0"/>
        <w:jc w:val="left"/>
        <w:rPr>
          <w:rFonts w:eastAsiaTheme="majorEastAsia" w:cstheme="majorBidi"/>
          <w:b/>
          <w:sz w:val="32"/>
          <w:szCs w:val="32"/>
          <w:highlight w:val="yellow"/>
        </w:rPr>
      </w:pPr>
      <w:r>
        <w:rPr>
          <w:rFonts w:eastAsiaTheme="majorEastAsia" w:cstheme="majorBidi"/>
          <w:b/>
          <w:sz w:val="32"/>
          <w:szCs w:val="32"/>
          <w:highlight w:val="yellow"/>
        </w:rPr>
        <w:br w:type="page"/>
      </w:r>
    </w:p>
    <w:p w14:paraId="2FDA3F73" w14:textId="143EE343" w:rsidR="00F447DB" w:rsidRPr="00694725" w:rsidRDefault="00377CA0" w:rsidP="00A83AAD">
      <w:pPr>
        <w:pStyle w:val="Heading1"/>
        <w:ind w:left="360"/>
      </w:pPr>
      <w:bookmarkStart w:id="4" w:name="_Toc80081211"/>
      <w:r w:rsidRPr="00694725">
        <w:lastRenderedPageBreak/>
        <w:t>Vispārējās valdības budžeta bilances prognoze</w:t>
      </w:r>
      <w:r w:rsidR="001D3FB0">
        <w:br/>
      </w:r>
      <w:r w:rsidRPr="00694725">
        <w:t>pie nemainīgas valdības politikas 202</w:t>
      </w:r>
      <w:r w:rsidR="003C2413" w:rsidRPr="00694725">
        <w:t>2</w:t>
      </w:r>
      <w:r w:rsidRPr="00694725">
        <w:t>.-202</w:t>
      </w:r>
      <w:r w:rsidR="003C2413" w:rsidRPr="00694725">
        <w:t>4</w:t>
      </w:r>
      <w:r w:rsidRPr="00694725">
        <w:t>.gadam</w:t>
      </w:r>
      <w:bookmarkEnd w:id="3"/>
      <w:bookmarkEnd w:id="4"/>
    </w:p>
    <w:p w14:paraId="06718D91" w14:textId="58016D48" w:rsidR="00694725" w:rsidRDefault="00694725" w:rsidP="00A83AAD">
      <w:pPr>
        <w:spacing w:before="60" w:after="60"/>
        <w:rPr>
          <w:color w:val="000000" w:themeColor="text1"/>
          <w:szCs w:val="24"/>
        </w:rPr>
      </w:pPr>
      <w:r w:rsidRPr="00C91A49">
        <w:rPr>
          <w:color w:val="000000" w:themeColor="text1"/>
          <w:szCs w:val="24"/>
        </w:rPr>
        <w:t xml:space="preserve">Finanšu ministrija ir aktualizējusi vispārējās valdības budžeta bilances prognozi vidējam termiņam, ņemot vērā Valsts kases datus par konsolidētā kopbudžeta izpildi šā gada pirmajā pusē, aktualizētās nodokļu un </w:t>
      </w:r>
      <w:r w:rsidRPr="00C91A49">
        <w:rPr>
          <w:noProof/>
          <w:color w:val="000000" w:themeColor="text1"/>
          <w:szCs w:val="24"/>
        </w:rPr>
        <w:t>nenodokļu ieņēmumu prognozes, valsts pamatbudžeta</w:t>
      </w:r>
      <w:r w:rsidR="001A392D">
        <w:rPr>
          <w:noProof/>
          <w:color w:val="000000" w:themeColor="text1"/>
          <w:szCs w:val="24"/>
        </w:rPr>
        <w:t xml:space="preserve"> un speciālā budžeta</w:t>
      </w:r>
      <w:r w:rsidRPr="00C91A49">
        <w:rPr>
          <w:noProof/>
          <w:color w:val="000000" w:themeColor="text1"/>
          <w:szCs w:val="24"/>
        </w:rPr>
        <w:t xml:space="preserve"> bāzes izdevumus</w:t>
      </w:r>
      <w:r w:rsidRPr="00C91A49">
        <w:rPr>
          <w:color w:val="000000" w:themeColor="text1"/>
          <w:szCs w:val="24"/>
        </w:rPr>
        <w:t xml:space="preserve"> vidējam termiņam atbilstoši datiem uz 2021.</w:t>
      </w:r>
      <w:r w:rsidR="001A392D">
        <w:rPr>
          <w:color w:val="000000" w:themeColor="text1"/>
          <w:szCs w:val="24"/>
        </w:rPr>
        <w:t> </w:t>
      </w:r>
      <w:r w:rsidRPr="00C91A49">
        <w:rPr>
          <w:color w:val="000000" w:themeColor="text1"/>
          <w:szCs w:val="24"/>
        </w:rPr>
        <w:t>gada 30.</w:t>
      </w:r>
      <w:r w:rsidR="001A392D">
        <w:rPr>
          <w:color w:val="000000" w:themeColor="text1"/>
          <w:szCs w:val="24"/>
        </w:rPr>
        <w:t> </w:t>
      </w:r>
      <w:r w:rsidRPr="00C91A49">
        <w:rPr>
          <w:color w:val="000000" w:themeColor="text1"/>
          <w:szCs w:val="24"/>
        </w:rPr>
        <w:t>jūliju</w:t>
      </w:r>
      <w:r w:rsidR="001A392D">
        <w:rPr>
          <w:color w:val="000000" w:themeColor="text1"/>
          <w:szCs w:val="24"/>
        </w:rPr>
        <w:t xml:space="preserve">. </w:t>
      </w:r>
      <w:r w:rsidRPr="00C91A49">
        <w:rPr>
          <w:color w:val="000000" w:themeColor="text1"/>
          <w:szCs w:val="24"/>
        </w:rPr>
        <w:t>Tāpat izdevumos iekļauti šā gada 10.</w:t>
      </w:r>
      <w:r w:rsidR="001A392D">
        <w:rPr>
          <w:color w:val="000000" w:themeColor="text1"/>
          <w:szCs w:val="24"/>
        </w:rPr>
        <w:t> </w:t>
      </w:r>
      <w:r w:rsidRPr="00C91A49">
        <w:rPr>
          <w:color w:val="000000" w:themeColor="text1"/>
          <w:szCs w:val="24"/>
        </w:rPr>
        <w:t>augustā Ministru kabinetā atbalstītie papildus līdzekļi robežas ar Baltkrieviju stiprināšanai</w:t>
      </w:r>
      <w:r w:rsidR="001A392D">
        <w:rPr>
          <w:color w:val="000000" w:themeColor="text1"/>
          <w:szCs w:val="24"/>
        </w:rPr>
        <w:t>.</w:t>
      </w:r>
      <w:r w:rsidRPr="00C91A49">
        <w:rPr>
          <w:color w:val="000000" w:themeColor="text1"/>
          <w:szCs w:val="24"/>
        </w:rPr>
        <w:t xml:space="preserve"> </w:t>
      </w:r>
      <w:r w:rsidR="001A392D">
        <w:rPr>
          <w:color w:val="000000" w:themeColor="text1"/>
          <w:szCs w:val="24"/>
        </w:rPr>
        <w:t xml:space="preserve">Aktualizējot vispārējās valdības budžeta bilances prognozes 2021.-2024. gadam, ir iekļauta </w:t>
      </w:r>
      <w:r w:rsidR="001A392D" w:rsidRPr="00C91A49">
        <w:rPr>
          <w:color w:val="000000" w:themeColor="text1"/>
          <w:szCs w:val="24"/>
        </w:rPr>
        <w:t>līdz šā gada 10.</w:t>
      </w:r>
      <w:r w:rsidR="001A392D">
        <w:rPr>
          <w:color w:val="000000" w:themeColor="text1"/>
          <w:szCs w:val="24"/>
        </w:rPr>
        <w:t> </w:t>
      </w:r>
      <w:r w:rsidR="001A392D" w:rsidRPr="00C91A49">
        <w:rPr>
          <w:color w:val="000000" w:themeColor="text1"/>
          <w:szCs w:val="24"/>
        </w:rPr>
        <w:t xml:space="preserve">augustam Ministru kabinetā un Saeimā apstiprināto atbalsta pasākumu Covid-19 seku mazināšanai sagaidāmā </w:t>
      </w:r>
      <w:r w:rsidR="001A392D">
        <w:rPr>
          <w:color w:val="000000" w:themeColor="text1"/>
          <w:szCs w:val="24"/>
        </w:rPr>
        <w:t xml:space="preserve">fiskālā </w:t>
      </w:r>
      <w:r w:rsidR="001A392D" w:rsidRPr="00C91A49">
        <w:rPr>
          <w:color w:val="000000" w:themeColor="text1"/>
          <w:szCs w:val="24"/>
        </w:rPr>
        <w:t>ietekme</w:t>
      </w:r>
      <w:r w:rsidR="001A392D">
        <w:rPr>
          <w:color w:val="000000" w:themeColor="text1"/>
          <w:szCs w:val="24"/>
        </w:rPr>
        <w:t>.</w:t>
      </w:r>
    </w:p>
    <w:p w14:paraId="536879CC" w14:textId="134C1602" w:rsidR="00E54B33" w:rsidRDefault="00E54B33" w:rsidP="00E54B33">
      <w:pPr>
        <w:ind w:firstLine="0"/>
        <w:jc w:val="center"/>
        <w:rPr>
          <w:rFonts w:eastAsia="Times New Roman" w:cs="Times New Roman"/>
          <w:b/>
          <w:bCs/>
          <w:color w:val="000000"/>
          <w:sz w:val="24"/>
          <w:szCs w:val="28"/>
        </w:rPr>
      </w:pPr>
      <w:r w:rsidRPr="00E54B33">
        <w:rPr>
          <w:noProof/>
        </w:rPr>
        <w:drawing>
          <wp:inline distT="0" distB="0" distL="0" distR="0" wp14:anchorId="5C01587C" wp14:editId="2A5ED632">
            <wp:extent cx="5327650" cy="298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7650" cy="2984500"/>
                    </a:xfrm>
                    <a:prstGeom prst="rect">
                      <a:avLst/>
                    </a:prstGeom>
                    <a:noFill/>
                    <a:ln>
                      <a:noFill/>
                    </a:ln>
                  </pic:spPr>
                </pic:pic>
              </a:graphicData>
            </a:graphic>
          </wp:inline>
        </w:drawing>
      </w:r>
    </w:p>
    <w:p w14:paraId="6EDAB113" w14:textId="2D78F907" w:rsidR="00E54B33" w:rsidRPr="00317AFA" w:rsidRDefault="00E54B33" w:rsidP="00E54B33">
      <w:pPr>
        <w:ind w:firstLine="0"/>
        <w:jc w:val="center"/>
      </w:pPr>
      <w:r w:rsidRPr="00E54B33">
        <w:rPr>
          <w:rFonts w:eastAsia="Times New Roman" w:cs="Times New Roman"/>
          <w:b/>
          <w:bCs/>
          <w:color w:val="000000"/>
          <w:sz w:val="24"/>
          <w:szCs w:val="28"/>
        </w:rPr>
        <w:t>1.attēls</w:t>
      </w:r>
      <w:r w:rsidRPr="001504EC">
        <w:rPr>
          <w:rFonts w:eastAsia="Times New Roman" w:cs="Times New Roman"/>
          <w:b/>
          <w:bCs/>
          <w:color w:val="000000"/>
          <w:sz w:val="24"/>
          <w:szCs w:val="28"/>
        </w:rPr>
        <w:t xml:space="preserve">. </w:t>
      </w:r>
      <w:r>
        <w:rPr>
          <w:rFonts w:eastAsia="Times New Roman" w:cs="Times New Roman"/>
          <w:b/>
          <w:bCs/>
          <w:color w:val="000000"/>
          <w:sz w:val="24"/>
          <w:szCs w:val="28"/>
        </w:rPr>
        <w:t>Vispārējās valdības budžeta bilance pie nemainīgas politikas,</w:t>
      </w:r>
      <w:r>
        <w:rPr>
          <w:rFonts w:eastAsia="Times New Roman" w:cs="Times New Roman"/>
          <w:b/>
          <w:bCs/>
          <w:iCs/>
          <w:color w:val="000000"/>
          <w:sz w:val="24"/>
          <w:szCs w:val="28"/>
        </w:rPr>
        <w:t xml:space="preserve"> % no IKP</w:t>
      </w:r>
    </w:p>
    <w:p w14:paraId="1AE58D2F" w14:textId="14A1E045" w:rsidR="001A7AD7" w:rsidRDefault="00666568" w:rsidP="00A83AAD">
      <w:pPr>
        <w:spacing w:before="60" w:after="60"/>
        <w:rPr>
          <w:color w:val="000000" w:themeColor="text1"/>
          <w:szCs w:val="24"/>
        </w:rPr>
      </w:pPr>
      <w:r>
        <w:rPr>
          <w:color w:val="000000" w:themeColor="text1"/>
          <w:szCs w:val="24"/>
        </w:rPr>
        <w:t>Aktualizētais v</w:t>
      </w:r>
      <w:r w:rsidR="00694725" w:rsidRPr="002F6DC4">
        <w:rPr>
          <w:color w:val="000000" w:themeColor="text1"/>
          <w:szCs w:val="24"/>
        </w:rPr>
        <w:t>ispārējās valdības budžeta deficīt</w:t>
      </w:r>
      <w:r>
        <w:rPr>
          <w:color w:val="000000" w:themeColor="text1"/>
          <w:szCs w:val="24"/>
        </w:rPr>
        <w:t xml:space="preserve">s </w:t>
      </w:r>
      <w:r w:rsidR="00694725" w:rsidRPr="002F6DC4">
        <w:rPr>
          <w:b/>
          <w:color w:val="000000" w:themeColor="text1"/>
          <w:szCs w:val="24"/>
        </w:rPr>
        <w:t>2021. gadam</w:t>
      </w:r>
      <w:r w:rsidR="00694725" w:rsidRPr="002F6DC4">
        <w:rPr>
          <w:color w:val="000000" w:themeColor="text1"/>
          <w:szCs w:val="24"/>
        </w:rPr>
        <w:t xml:space="preserve"> </w:t>
      </w:r>
      <w:r>
        <w:rPr>
          <w:color w:val="000000" w:themeColor="text1"/>
          <w:szCs w:val="24"/>
        </w:rPr>
        <w:t xml:space="preserve">tiek saglabāts iepriekš, Stabilitātes programmā 2021.-2024. gadam, prognozētajā apjomā, t.i., </w:t>
      </w:r>
      <w:r w:rsidR="00694725" w:rsidRPr="002F6DC4">
        <w:rPr>
          <w:color w:val="000000" w:themeColor="text1"/>
          <w:szCs w:val="24"/>
        </w:rPr>
        <w:t>9,3% no IKP</w:t>
      </w:r>
      <w:r w:rsidR="005E2D6D">
        <w:rPr>
          <w:color w:val="000000" w:themeColor="text1"/>
          <w:szCs w:val="24"/>
        </w:rPr>
        <w:t xml:space="preserve"> (skat. 1. attēlu)</w:t>
      </w:r>
      <w:r>
        <w:rPr>
          <w:color w:val="000000" w:themeColor="text1"/>
          <w:szCs w:val="24"/>
        </w:rPr>
        <w:t xml:space="preserve">. Salīdzinot ar plānoto deficītu 3,9% no IKP </w:t>
      </w:r>
      <w:r w:rsidR="00694725" w:rsidRPr="002F6DC4">
        <w:rPr>
          <w:color w:val="000000" w:themeColor="text1"/>
          <w:szCs w:val="24"/>
        </w:rPr>
        <w:t>likumā “Par vidēja termiņa budžeta ietvaru 2021., 2022. un 2023. gadam”</w:t>
      </w:r>
      <w:r>
        <w:rPr>
          <w:color w:val="000000" w:themeColor="text1"/>
          <w:szCs w:val="24"/>
        </w:rPr>
        <w:t xml:space="preserve">, </w:t>
      </w:r>
      <w:r w:rsidR="007E42B5">
        <w:rPr>
          <w:color w:val="000000" w:themeColor="text1"/>
          <w:szCs w:val="24"/>
        </w:rPr>
        <w:t xml:space="preserve">šā gada </w:t>
      </w:r>
      <w:r>
        <w:rPr>
          <w:color w:val="000000" w:themeColor="text1"/>
          <w:szCs w:val="24"/>
        </w:rPr>
        <w:t>deficīt</w:t>
      </w:r>
      <w:r w:rsidR="007E42B5">
        <w:rPr>
          <w:color w:val="000000" w:themeColor="text1"/>
          <w:szCs w:val="24"/>
        </w:rPr>
        <w:t xml:space="preserve">s tiek prognozēts </w:t>
      </w:r>
      <w:r w:rsidR="007E7CBB">
        <w:rPr>
          <w:color w:val="000000" w:themeColor="text1"/>
          <w:szCs w:val="24"/>
        </w:rPr>
        <w:t>būtiski</w:t>
      </w:r>
      <w:r w:rsidR="007E42B5">
        <w:rPr>
          <w:color w:val="000000" w:themeColor="text1"/>
          <w:szCs w:val="24"/>
        </w:rPr>
        <w:t xml:space="preserve"> augstāks,</w:t>
      </w:r>
      <w:r>
        <w:rPr>
          <w:color w:val="000000" w:themeColor="text1"/>
          <w:szCs w:val="24"/>
        </w:rPr>
        <w:t xml:space="preserve"> </w:t>
      </w:r>
      <w:r w:rsidR="00694725" w:rsidRPr="002F6DC4">
        <w:rPr>
          <w:color w:val="000000" w:themeColor="text1"/>
          <w:szCs w:val="24"/>
        </w:rPr>
        <w:t>kas skaidrojams ar papildus izdevumiem atbalsta pasākumu finansēšanai, lai mazinātu Covid-19 ietekmi gan uz iedzīvotājiem, gan uzņēmumiem un nozarēm kopumā</w:t>
      </w:r>
      <w:r>
        <w:rPr>
          <w:color w:val="000000" w:themeColor="text1"/>
          <w:szCs w:val="24"/>
        </w:rPr>
        <w:t xml:space="preserve">. </w:t>
      </w:r>
      <w:r w:rsidR="007E42B5">
        <w:rPr>
          <w:color w:val="000000" w:themeColor="text1"/>
          <w:szCs w:val="24"/>
        </w:rPr>
        <w:t>Visnozīmīgāk a</w:t>
      </w:r>
      <w:r w:rsidR="00694725" w:rsidRPr="002F6DC4">
        <w:rPr>
          <w:color w:val="000000" w:themeColor="text1"/>
          <w:szCs w:val="24"/>
        </w:rPr>
        <w:t>tbalsta pasākumi ietekmē 2021.</w:t>
      </w:r>
      <w:r w:rsidR="007E42B5">
        <w:rPr>
          <w:color w:val="000000" w:themeColor="text1"/>
          <w:szCs w:val="24"/>
        </w:rPr>
        <w:t> </w:t>
      </w:r>
      <w:r w:rsidR="00694725" w:rsidRPr="002F6DC4">
        <w:rPr>
          <w:color w:val="000000" w:themeColor="text1"/>
          <w:szCs w:val="24"/>
        </w:rPr>
        <w:t xml:space="preserve">gada </w:t>
      </w:r>
      <w:r w:rsidR="007E42B5">
        <w:rPr>
          <w:color w:val="000000" w:themeColor="text1"/>
          <w:szCs w:val="24"/>
        </w:rPr>
        <w:t xml:space="preserve">vispārējās valdības budžeta bilanci, </w:t>
      </w:r>
      <w:r w:rsidR="00694725" w:rsidRPr="002F6DC4">
        <w:rPr>
          <w:color w:val="000000" w:themeColor="text1"/>
          <w:szCs w:val="24"/>
        </w:rPr>
        <w:t>taču</w:t>
      </w:r>
      <w:r w:rsidR="007E7CBB">
        <w:rPr>
          <w:color w:val="000000" w:themeColor="text1"/>
          <w:szCs w:val="24"/>
        </w:rPr>
        <w:t xml:space="preserve">, turpinoties augstas gatavības projektu, kā arī 2020. gadā pārstrukturēto ES fondu projektu realizācijai, </w:t>
      </w:r>
      <w:r w:rsidR="00E54B33">
        <w:rPr>
          <w:color w:val="000000" w:themeColor="text1"/>
          <w:szCs w:val="24"/>
        </w:rPr>
        <w:t xml:space="preserve">Covid-19 </w:t>
      </w:r>
      <w:r w:rsidR="007E7CBB">
        <w:rPr>
          <w:color w:val="000000" w:themeColor="text1"/>
          <w:szCs w:val="24"/>
        </w:rPr>
        <w:t>atbalsta ietekme ir sagaidāma arī 2022. un turpmāk</w:t>
      </w:r>
      <w:r w:rsidR="00E54B33">
        <w:rPr>
          <w:color w:val="000000" w:themeColor="text1"/>
          <w:szCs w:val="24"/>
        </w:rPr>
        <w:t>aj</w:t>
      </w:r>
      <w:r w:rsidR="007E7CBB">
        <w:rPr>
          <w:color w:val="000000" w:themeColor="text1"/>
          <w:szCs w:val="24"/>
        </w:rPr>
        <w:t>os gad</w:t>
      </w:r>
      <w:r w:rsidR="00E54B33">
        <w:rPr>
          <w:color w:val="000000" w:themeColor="text1"/>
          <w:szCs w:val="24"/>
        </w:rPr>
        <w:t xml:space="preserve">os. </w:t>
      </w:r>
    </w:p>
    <w:p w14:paraId="328692E7" w14:textId="367863A1" w:rsidR="005E2D6D" w:rsidRPr="0070382F" w:rsidRDefault="005E2D6D" w:rsidP="00A83AAD">
      <w:pPr>
        <w:spacing w:before="60" w:after="60"/>
        <w:rPr>
          <w:color w:val="000000" w:themeColor="text1"/>
          <w:szCs w:val="24"/>
        </w:rPr>
      </w:pPr>
      <w:r w:rsidRPr="0070382F">
        <w:rPr>
          <w:b/>
          <w:color w:val="000000" w:themeColor="text1"/>
          <w:szCs w:val="24"/>
        </w:rPr>
        <w:t>2022. -2024. gadā</w:t>
      </w:r>
      <w:r w:rsidRPr="0070382F">
        <w:rPr>
          <w:color w:val="000000" w:themeColor="text1"/>
          <w:szCs w:val="24"/>
        </w:rPr>
        <w:t xml:space="preserve"> vispārējās valdības budžeta deficīts pie nemainīgas valdības politikas tiek prognozēts attiecīgi 2,9% no IKP 2022. gadā, 1,2% no IKP 2023. gadā un 0,3% no IKP 2024. gadā</w:t>
      </w:r>
      <w:r>
        <w:rPr>
          <w:color w:val="000000" w:themeColor="text1"/>
          <w:szCs w:val="24"/>
        </w:rPr>
        <w:t>.</w:t>
      </w:r>
    </w:p>
    <w:p w14:paraId="21256453" w14:textId="77777777" w:rsidR="005E2D6D" w:rsidRDefault="005E2D6D" w:rsidP="00694725">
      <w:pPr>
        <w:rPr>
          <w:color w:val="000000" w:themeColor="text1"/>
          <w:szCs w:val="24"/>
        </w:rPr>
      </w:pPr>
    </w:p>
    <w:p w14:paraId="2531169C" w14:textId="324C5974" w:rsidR="00D23CB7" w:rsidRPr="00AC55E4" w:rsidRDefault="003B0442" w:rsidP="00A83AAD">
      <w:pPr>
        <w:spacing w:after="60"/>
        <w:jc w:val="center"/>
        <w:rPr>
          <w:rFonts w:eastAsia="Calibri" w:cs="Times New Roman"/>
          <w:b/>
          <w:sz w:val="24"/>
          <w:szCs w:val="24"/>
          <w:highlight w:val="yellow"/>
        </w:rPr>
      </w:pPr>
      <w:r w:rsidRPr="003B0442">
        <w:rPr>
          <w:rFonts w:eastAsia="Calibri" w:cs="Times New Roman"/>
          <w:b/>
          <w:noProof/>
          <w:sz w:val="24"/>
          <w:szCs w:val="24"/>
        </w:rPr>
        <w:lastRenderedPageBreak/>
        <w:t>2</w:t>
      </w:r>
      <w:r w:rsidR="00D23CB7" w:rsidRPr="003B0442">
        <w:rPr>
          <w:rFonts w:eastAsia="Calibri" w:cs="Times New Roman"/>
          <w:b/>
          <w:noProof/>
          <w:sz w:val="24"/>
          <w:szCs w:val="24"/>
        </w:rPr>
        <w:t>.tabula.</w:t>
      </w:r>
      <w:r w:rsidR="00D23CB7" w:rsidRPr="003B0442">
        <w:rPr>
          <w:rFonts w:eastAsia="Calibri" w:cs="Times New Roman"/>
          <w:b/>
          <w:sz w:val="24"/>
          <w:szCs w:val="24"/>
        </w:rPr>
        <w:t xml:space="preserve"> </w:t>
      </w:r>
      <w:r w:rsidR="00D23CB7" w:rsidRPr="00694725">
        <w:rPr>
          <w:rFonts w:eastAsia="Calibri" w:cs="Times New Roman"/>
          <w:b/>
          <w:sz w:val="24"/>
          <w:szCs w:val="24"/>
        </w:rPr>
        <w:t>Vispārējās valdības budžeta bilance</w:t>
      </w:r>
      <w:r w:rsidR="005E2D6D">
        <w:rPr>
          <w:rFonts w:eastAsia="Calibri" w:cs="Times New Roman"/>
          <w:b/>
          <w:sz w:val="24"/>
          <w:szCs w:val="24"/>
        </w:rPr>
        <w:t xml:space="preserve"> pa budžeta līmeņiem,</w:t>
      </w:r>
      <w:r w:rsidR="005E2D6D">
        <w:rPr>
          <w:rFonts w:eastAsia="Calibri" w:cs="Times New Roman"/>
          <w:b/>
          <w:sz w:val="24"/>
          <w:szCs w:val="24"/>
        </w:rPr>
        <w:br/>
      </w:r>
      <w:r w:rsidR="00D23CB7" w:rsidRPr="00694725">
        <w:rPr>
          <w:rFonts w:eastAsia="Calibri" w:cs="Times New Roman"/>
          <w:b/>
          <w:sz w:val="24"/>
          <w:szCs w:val="24"/>
        </w:rPr>
        <w:t xml:space="preserve">% no IKP un </w:t>
      </w:r>
      <w:r w:rsidR="00D23CB7" w:rsidRPr="00694725">
        <w:rPr>
          <w:rFonts w:eastAsia="Calibri" w:cs="Times New Roman"/>
          <w:b/>
          <w:noProof/>
          <w:sz w:val="24"/>
          <w:szCs w:val="24"/>
        </w:rPr>
        <w:t xml:space="preserve">milj. </w:t>
      </w:r>
      <w:r w:rsidR="00D23CB7" w:rsidRPr="005922DE">
        <w:rPr>
          <w:rFonts w:eastAsia="Calibri" w:cs="Times New Roman"/>
          <w:b/>
          <w:i/>
          <w:noProof/>
          <w:sz w:val="24"/>
          <w:szCs w:val="24"/>
        </w:rPr>
        <w:t>euro</w:t>
      </w:r>
    </w:p>
    <w:p w14:paraId="6A98DE34" w14:textId="1817DE96" w:rsidR="00D23CB7" w:rsidRPr="00AC55E4" w:rsidRDefault="005922DE" w:rsidP="00D23CB7">
      <w:pPr>
        <w:ind w:firstLine="0"/>
        <w:rPr>
          <w:noProof/>
          <w:color w:val="000000" w:themeColor="text1"/>
          <w:szCs w:val="24"/>
          <w:highlight w:val="yellow"/>
          <w:lang w:eastAsia="lv-LV"/>
        </w:rPr>
      </w:pPr>
      <w:r w:rsidRPr="009A2335">
        <w:rPr>
          <w:noProof/>
          <w:lang w:eastAsia="lv-LV"/>
        </w:rPr>
        <w:drawing>
          <wp:inline distT="0" distB="0" distL="0" distR="0" wp14:anchorId="66C2DB29" wp14:editId="1FFCE798">
            <wp:extent cx="5760085" cy="5168265"/>
            <wp:effectExtent l="19050" t="19050" r="12065" b="133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5168265"/>
                    </a:xfrm>
                    <a:prstGeom prst="rect">
                      <a:avLst/>
                    </a:prstGeom>
                    <a:noFill/>
                    <a:ln>
                      <a:solidFill>
                        <a:schemeClr val="tx1">
                          <a:lumMod val="95000"/>
                          <a:lumOff val="5000"/>
                        </a:schemeClr>
                      </a:solidFill>
                    </a:ln>
                  </pic:spPr>
                </pic:pic>
              </a:graphicData>
            </a:graphic>
          </wp:inline>
        </w:drawing>
      </w:r>
    </w:p>
    <w:p w14:paraId="5AD35602" w14:textId="77777777" w:rsidR="00BD57BA" w:rsidRDefault="00BD57BA" w:rsidP="00A83AAD">
      <w:pPr>
        <w:spacing w:before="60" w:after="60"/>
        <w:rPr>
          <w:color w:val="000000" w:themeColor="text1"/>
          <w:szCs w:val="24"/>
        </w:rPr>
      </w:pPr>
      <w:r>
        <w:rPr>
          <w:color w:val="000000" w:themeColor="text1"/>
          <w:szCs w:val="24"/>
        </w:rPr>
        <w:t>Atbalsta pasākumi nozīmīgi ietekmē izdevumus valsts pamatbudžetā, būtiski pasliktinot valsts pamatbudžeta bilanci (skat. 2. tabulu).</w:t>
      </w:r>
      <w:r w:rsidRPr="002F6DC4">
        <w:rPr>
          <w:color w:val="000000" w:themeColor="text1"/>
          <w:szCs w:val="24"/>
        </w:rPr>
        <w:t xml:space="preserve"> Šogad jau tikuši pieņemti lēmumi par programmas</w:t>
      </w:r>
      <w:r>
        <w:rPr>
          <w:color w:val="000000" w:themeColor="text1"/>
          <w:szCs w:val="24"/>
        </w:rPr>
        <w:t xml:space="preserve"> </w:t>
      </w:r>
      <w:r w:rsidRPr="002F6DC4">
        <w:rPr>
          <w:color w:val="000000" w:themeColor="text1"/>
          <w:szCs w:val="24"/>
        </w:rPr>
        <w:t xml:space="preserve">“Līdzekļi neparedzētiem gadījumiem” palielināšanu par 1,6 miljardiem </w:t>
      </w:r>
      <w:r w:rsidRPr="002F6DC4">
        <w:rPr>
          <w:i/>
          <w:noProof/>
          <w:color w:val="000000" w:themeColor="text1"/>
          <w:szCs w:val="24"/>
        </w:rPr>
        <w:t>euro</w:t>
      </w:r>
      <w:r w:rsidRPr="002F6DC4">
        <w:rPr>
          <w:noProof/>
          <w:color w:val="000000" w:themeColor="text1"/>
          <w:szCs w:val="24"/>
        </w:rPr>
        <w:t xml:space="preserve">, vienlaikus Ministru kabinets ir pieņēmis lēmumus par līdzekļu piešķiršanu no šīs programmas par vēl lielāku apmēru – </w:t>
      </w:r>
      <w:r>
        <w:rPr>
          <w:noProof/>
          <w:color w:val="000000" w:themeColor="text1"/>
          <w:szCs w:val="24"/>
        </w:rPr>
        <w:t>nepilniem</w:t>
      </w:r>
      <w:r w:rsidRPr="002F6DC4">
        <w:rPr>
          <w:noProof/>
          <w:color w:val="000000" w:themeColor="text1"/>
          <w:szCs w:val="24"/>
        </w:rPr>
        <w:t xml:space="preserve"> 1,9 miljardiem </w:t>
      </w:r>
      <w:r w:rsidRPr="002F6DC4">
        <w:rPr>
          <w:i/>
          <w:noProof/>
          <w:color w:val="000000" w:themeColor="text1"/>
          <w:szCs w:val="24"/>
        </w:rPr>
        <w:t>euro</w:t>
      </w:r>
      <w:r>
        <w:rPr>
          <w:noProof/>
          <w:color w:val="000000" w:themeColor="text1"/>
          <w:szCs w:val="24"/>
        </w:rPr>
        <w:t>,</w:t>
      </w:r>
      <w:r>
        <w:rPr>
          <w:color w:val="000000" w:themeColor="text1"/>
          <w:szCs w:val="24"/>
        </w:rPr>
        <w:t xml:space="preserve"> kas ir iekļauts arī vispārējās valdības budžeta bilances novērtējumā 2021. gadam</w:t>
      </w:r>
      <w:r w:rsidRPr="002F6DC4">
        <w:rPr>
          <w:color w:val="000000" w:themeColor="text1"/>
          <w:szCs w:val="24"/>
        </w:rPr>
        <w:t xml:space="preserve">. </w:t>
      </w:r>
    </w:p>
    <w:p w14:paraId="1BBEF012" w14:textId="504AEB79" w:rsidR="00A21C1E" w:rsidRPr="00A21C1E" w:rsidRDefault="005E2D6D" w:rsidP="00A83AAD">
      <w:pPr>
        <w:spacing w:before="60" w:after="60"/>
        <w:rPr>
          <w:color w:val="000000" w:themeColor="text1"/>
          <w:szCs w:val="24"/>
        </w:rPr>
      </w:pPr>
      <w:r>
        <w:rPr>
          <w:color w:val="000000" w:themeColor="text1"/>
          <w:szCs w:val="24"/>
        </w:rPr>
        <w:t>Bez Covid-19 atbalsta valsts pamatbudžeta izdevumi pamatfunkcijām šogad, salīdzinot ar 2020. gadu, palielināsies</w:t>
      </w:r>
      <w:r w:rsidR="00A21C1E">
        <w:rPr>
          <w:color w:val="000000" w:themeColor="text1"/>
          <w:szCs w:val="24"/>
        </w:rPr>
        <w:t xml:space="preserve"> kā plānots, </w:t>
      </w:r>
      <w:r w:rsidR="00C9565F">
        <w:rPr>
          <w:color w:val="000000" w:themeColor="text1"/>
          <w:szCs w:val="24"/>
        </w:rPr>
        <w:t xml:space="preserve">galvenokārt, </w:t>
      </w:r>
      <w:r w:rsidR="00C24BF5">
        <w:rPr>
          <w:color w:val="000000" w:themeColor="text1"/>
          <w:szCs w:val="24"/>
        </w:rPr>
        <w:t xml:space="preserve">ņemot vērā </w:t>
      </w:r>
      <w:r w:rsidR="00A21C1E" w:rsidRPr="00A21C1E">
        <w:rPr>
          <w:color w:val="000000" w:themeColor="text1"/>
          <w:szCs w:val="24"/>
        </w:rPr>
        <w:t>minimālo pensiju, GMI u.c. pabalstu palielināšan</w:t>
      </w:r>
      <w:r w:rsidR="00C24BF5">
        <w:rPr>
          <w:color w:val="000000" w:themeColor="text1"/>
          <w:szCs w:val="24"/>
        </w:rPr>
        <w:t>u</w:t>
      </w:r>
      <w:r w:rsidR="00A21C1E" w:rsidRPr="00A21C1E">
        <w:rPr>
          <w:color w:val="000000" w:themeColor="text1"/>
          <w:szCs w:val="24"/>
        </w:rPr>
        <w:t>, izpildot S</w:t>
      </w:r>
      <w:r w:rsidR="00C24BF5">
        <w:rPr>
          <w:color w:val="000000" w:themeColor="text1"/>
          <w:szCs w:val="24"/>
        </w:rPr>
        <w:t>atversmes tiesas</w:t>
      </w:r>
      <w:r w:rsidR="00A21C1E" w:rsidRPr="00A21C1E">
        <w:rPr>
          <w:color w:val="000000" w:themeColor="text1"/>
          <w:szCs w:val="24"/>
        </w:rPr>
        <w:t xml:space="preserve"> spriedumus</w:t>
      </w:r>
      <w:r w:rsidR="00C9565F">
        <w:rPr>
          <w:color w:val="000000" w:themeColor="text1"/>
          <w:szCs w:val="24"/>
        </w:rPr>
        <w:t>,</w:t>
      </w:r>
      <w:r w:rsidR="00C24BF5">
        <w:rPr>
          <w:color w:val="000000" w:themeColor="text1"/>
          <w:szCs w:val="24"/>
        </w:rPr>
        <w:t xml:space="preserve"> a</w:t>
      </w:r>
      <w:r w:rsidR="00A21C1E" w:rsidRPr="00A21C1E">
        <w:rPr>
          <w:color w:val="000000" w:themeColor="text1"/>
          <w:szCs w:val="24"/>
        </w:rPr>
        <w:t>tlīdzības palielināšan</w:t>
      </w:r>
      <w:r w:rsidR="00C24BF5">
        <w:rPr>
          <w:color w:val="000000" w:themeColor="text1"/>
          <w:szCs w:val="24"/>
        </w:rPr>
        <w:t>u</w:t>
      </w:r>
      <w:r w:rsidR="00A21C1E" w:rsidRPr="00A21C1E">
        <w:rPr>
          <w:color w:val="000000" w:themeColor="text1"/>
          <w:szCs w:val="24"/>
        </w:rPr>
        <w:t xml:space="preserve"> ārstniecības personām</w:t>
      </w:r>
      <w:r w:rsidR="00C9565F">
        <w:rPr>
          <w:color w:val="000000" w:themeColor="text1"/>
          <w:szCs w:val="24"/>
        </w:rPr>
        <w:t xml:space="preserve"> un</w:t>
      </w:r>
      <w:r w:rsidR="00A21C1E" w:rsidRPr="00A21C1E">
        <w:rPr>
          <w:color w:val="000000" w:themeColor="text1"/>
          <w:szCs w:val="24"/>
        </w:rPr>
        <w:t xml:space="preserve"> pedagogiem</w:t>
      </w:r>
      <w:r w:rsidR="00C9565F">
        <w:rPr>
          <w:color w:val="000000" w:themeColor="text1"/>
          <w:szCs w:val="24"/>
        </w:rPr>
        <w:t>,</w:t>
      </w:r>
      <w:r w:rsidR="00C24BF5">
        <w:rPr>
          <w:color w:val="000000" w:themeColor="text1"/>
          <w:szCs w:val="24"/>
        </w:rPr>
        <w:t xml:space="preserve"> l</w:t>
      </w:r>
      <w:r w:rsidR="00A21C1E" w:rsidRPr="00A21C1E">
        <w:rPr>
          <w:color w:val="000000" w:themeColor="text1"/>
          <w:szCs w:val="24"/>
        </w:rPr>
        <w:t>ielāk</w:t>
      </w:r>
      <w:r w:rsidR="00C24BF5">
        <w:rPr>
          <w:color w:val="000000" w:themeColor="text1"/>
          <w:szCs w:val="24"/>
        </w:rPr>
        <w:t>us</w:t>
      </w:r>
      <w:r w:rsidR="00A21C1E" w:rsidRPr="00A21C1E">
        <w:rPr>
          <w:color w:val="000000" w:themeColor="text1"/>
          <w:szCs w:val="24"/>
        </w:rPr>
        <w:t xml:space="preserve"> izdevum</w:t>
      </w:r>
      <w:r w:rsidR="00C9565F">
        <w:rPr>
          <w:color w:val="000000" w:themeColor="text1"/>
          <w:szCs w:val="24"/>
        </w:rPr>
        <w:t>us</w:t>
      </w:r>
      <w:r w:rsidR="00A21C1E" w:rsidRPr="00A21C1E">
        <w:rPr>
          <w:color w:val="000000" w:themeColor="text1"/>
          <w:szCs w:val="24"/>
        </w:rPr>
        <w:t xml:space="preserve"> aizsardzībai, lai nodrošinātu atbilstošu īpatsvaru IKP</w:t>
      </w:r>
      <w:r w:rsidR="00C9565F">
        <w:rPr>
          <w:color w:val="000000" w:themeColor="text1"/>
          <w:szCs w:val="24"/>
        </w:rPr>
        <w:t>, kā arī</w:t>
      </w:r>
      <w:r w:rsidR="00C24BF5">
        <w:rPr>
          <w:color w:val="000000" w:themeColor="text1"/>
          <w:szCs w:val="24"/>
        </w:rPr>
        <w:t xml:space="preserve"> l</w:t>
      </w:r>
      <w:r w:rsidR="00A21C1E" w:rsidRPr="00A21C1E">
        <w:rPr>
          <w:color w:val="000000" w:themeColor="text1"/>
          <w:szCs w:val="24"/>
        </w:rPr>
        <w:t>ielākas iemaksas ES budžetā.</w:t>
      </w:r>
      <w:r w:rsidR="00C9565F">
        <w:rPr>
          <w:color w:val="000000" w:themeColor="text1"/>
          <w:szCs w:val="24"/>
        </w:rPr>
        <w:t xml:space="preserve"> 2022. gadā un vidējā termiņā prognozēs ir iekļauta arī ģimenes valsts pabalsta palielināšana no 2022. gada 1. janvāra, ko Saeima atbalstīja, šā gada 6.maijā pieņemot grozījumus Valsts sociālo pabalstu likumā.</w:t>
      </w:r>
    </w:p>
    <w:p w14:paraId="2187A2A8" w14:textId="77777777" w:rsidR="006E4A17" w:rsidRDefault="006E4A17" w:rsidP="001A7AD7">
      <w:pPr>
        <w:rPr>
          <w:color w:val="000000" w:themeColor="text1"/>
          <w:szCs w:val="24"/>
        </w:rPr>
      </w:pPr>
    </w:p>
    <w:p w14:paraId="4FF2C363" w14:textId="51065A10" w:rsidR="006E4A17" w:rsidRPr="0070382F" w:rsidRDefault="006E4A17" w:rsidP="00A83AAD">
      <w:pPr>
        <w:spacing w:before="60" w:after="60"/>
        <w:rPr>
          <w:color w:val="000000" w:themeColor="text1"/>
          <w:szCs w:val="24"/>
        </w:rPr>
      </w:pPr>
      <w:r>
        <w:rPr>
          <w:color w:val="000000" w:themeColor="text1"/>
          <w:szCs w:val="24"/>
        </w:rPr>
        <w:lastRenderedPageBreak/>
        <w:t xml:space="preserve">2022.-2024. gadā valsts pamatbudžetā </w:t>
      </w:r>
      <w:r w:rsidRPr="0070382F">
        <w:rPr>
          <w:color w:val="000000" w:themeColor="text1"/>
          <w:szCs w:val="24"/>
        </w:rPr>
        <w:t xml:space="preserve">tiek prognozēti ievērojami lielāki izdevumi ārvalstu finanšu palīdzības līdzfinansēto projektu īstenošanai </w:t>
      </w:r>
      <w:r>
        <w:rPr>
          <w:color w:val="000000" w:themeColor="text1"/>
          <w:szCs w:val="24"/>
        </w:rPr>
        <w:t>salīdzinājumā ar iepriekšējiem gadiem.</w:t>
      </w:r>
      <w:r w:rsidRPr="0070382F">
        <w:rPr>
          <w:color w:val="000000" w:themeColor="text1"/>
          <w:szCs w:val="24"/>
        </w:rPr>
        <w:t xml:space="preserve"> To </w:t>
      </w:r>
      <w:r>
        <w:rPr>
          <w:color w:val="000000" w:themeColor="text1"/>
          <w:szCs w:val="24"/>
        </w:rPr>
        <w:t>sekmēs</w:t>
      </w:r>
      <w:r w:rsidRPr="0070382F">
        <w:rPr>
          <w:color w:val="000000" w:themeColor="text1"/>
          <w:szCs w:val="24"/>
        </w:rPr>
        <w:t xml:space="preserve"> finansējum</w:t>
      </w:r>
      <w:r>
        <w:rPr>
          <w:color w:val="000000" w:themeColor="text1"/>
          <w:szCs w:val="24"/>
        </w:rPr>
        <w:t xml:space="preserve">s </w:t>
      </w:r>
      <w:r w:rsidRPr="0070382F">
        <w:rPr>
          <w:color w:val="000000" w:themeColor="text1"/>
          <w:szCs w:val="24"/>
        </w:rPr>
        <w:t>2021.-2027.</w:t>
      </w:r>
      <w:r>
        <w:rPr>
          <w:color w:val="000000" w:themeColor="text1"/>
          <w:szCs w:val="24"/>
        </w:rPr>
        <w:t> </w:t>
      </w:r>
      <w:r w:rsidRPr="0070382F">
        <w:rPr>
          <w:color w:val="000000" w:themeColor="text1"/>
          <w:szCs w:val="24"/>
        </w:rPr>
        <w:t xml:space="preserve">gada plānošanas perioda ES fondu projektu īstenošanai, kā arī finansējums </w:t>
      </w:r>
      <w:r>
        <w:rPr>
          <w:color w:val="000000" w:themeColor="text1"/>
          <w:szCs w:val="24"/>
        </w:rPr>
        <w:t xml:space="preserve">jaunā - </w:t>
      </w:r>
      <w:r w:rsidRPr="0070382F">
        <w:rPr>
          <w:color w:val="000000" w:themeColor="text1"/>
          <w:szCs w:val="24"/>
        </w:rPr>
        <w:t xml:space="preserve">Atveseļošanas un noturības mehānisma projektiem. </w:t>
      </w:r>
    </w:p>
    <w:p w14:paraId="0D3B608A" w14:textId="4B4A0913" w:rsidR="00C9565F" w:rsidRPr="00C9565F" w:rsidRDefault="00BD57BA" w:rsidP="00A83AAD">
      <w:pPr>
        <w:spacing w:before="60" w:after="60"/>
        <w:rPr>
          <w:color w:val="000000" w:themeColor="text1"/>
          <w:szCs w:val="24"/>
        </w:rPr>
      </w:pPr>
      <w:r>
        <w:rPr>
          <w:color w:val="000000" w:themeColor="text1"/>
          <w:szCs w:val="24"/>
        </w:rPr>
        <w:t xml:space="preserve">Valsts speciālajā budžetā, šogad </w:t>
      </w:r>
      <w:r w:rsidRPr="00BD57BA">
        <w:rPr>
          <w:color w:val="000000" w:themeColor="text1"/>
          <w:szCs w:val="24"/>
        </w:rPr>
        <w:t>izdevum</w:t>
      </w:r>
      <w:r>
        <w:rPr>
          <w:color w:val="000000" w:themeColor="text1"/>
          <w:szCs w:val="24"/>
        </w:rPr>
        <w:t xml:space="preserve">iem </w:t>
      </w:r>
      <w:r w:rsidRPr="00BD57BA">
        <w:rPr>
          <w:color w:val="000000" w:themeColor="text1"/>
          <w:szCs w:val="24"/>
        </w:rPr>
        <w:t>pieaug</w:t>
      </w:r>
      <w:r>
        <w:rPr>
          <w:color w:val="000000" w:themeColor="text1"/>
          <w:szCs w:val="24"/>
        </w:rPr>
        <w:t>ot</w:t>
      </w:r>
      <w:r w:rsidRPr="00BD57BA">
        <w:rPr>
          <w:color w:val="000000" w:themeColor="text1"/>
          <w:szCs w:val="24"/>
        </w:rPr>
        <w:t xml:space="preserve"> straujāk nekā ieņēmumi</w:t>
      </w:r>
      <w:r>
        <w:rPr>
          <w:color w:val="000000" w:themeColor="text1"/>
          <w:szCs w:val="24"/>
        </w:rPr>
        <w:t>em</w:t>
      </w:r>
      <w:r w:rsidRPr="00BD57BA">
        <w:rPr>
          <w:color w:val="000000" w:themeColor="text1"/>
          <w:szCs w:val="24"/>
        </w:rPr>
        <w:t>,</w:t>
      </w:r>
      <w:r>
        <w:rPr>
          <w:color w:val="000000" w:themeColor="text1"/>
          <w:szCs w:val="24"/>
        </w:rPr>
        <w:t xml:space="preserve"> tiek sagaidīts deficīts. </w:t>
      </w:r>
      <w:r w:rsidR="00C9565F" w:rsidRPr="00C9565F">
        <w:rPr>
          <w:color w:val="000000" w:themeColor="text1"/>
          <w:szCs w:val="24"/>
        </w:rPr>
        <w:t xml:space="preserve">Izdevumu pieaugumu salīdzinājumā ar iepriekšējo gadu </w:t>
      </w:r>
      <w:r>
        <w:rPr>
          <w:color w:val="000000" w:themeColor="text1"/>
          <w:szCs w:val="24"/>
        </w:rPr>
        <w:t xml:space="preserve">šogad </w:t>
      </w:r>
      <w:r w:rsidR="00C9565F" w:rsidRPr="00C9565F">
        <w:rPr>
          <w:color w:val="000000" w:themeColor="text1"/>
          <w:szCs w:val="24"/>
        </w:rPr>
        <w:t>nosaka</w:t>
      </w:r>
      <w:r>
        <w:rPr>
          <w:color w:val="000000" w:themeColor="text1"/>
          <w:szCs w:val="24"/>
        </w:rPr>
        <w:t xml:space="preserve"> n</w:t>
      </w:r>
      <w:r w:rsidR="00C9565F" w:rsidRPr="00C9565F">
        <w:rPr>
          <w:color w:val="000000" w:themeColor="text1"/>
          <w:szCs w:val="24"/>
        </w:rPr>
        <w:t>ozīmīgs pieaugums izdevumiem slimības pabalstiem, ņemot vērā saņēmēju skaita pieaugumu, tai skaitā Covid</w:t>
      </w:r>
      <w:r>
        <w:rPr>
          <w:color w:val="000000" w:themeColor="text1"/>
          <w:szCs w:val="24"/>
        </w:rPr>
        <w:t>-19</w:t>
      </w:r>
      <w:r w:rsidR="00C9565F" w:rsidRPr="00C9565F">
        <w:rPr>
          <w:color w:val="000000" w:themeColor="text1"/>
          <w:szCs w:val="24"/>
        </w:rPr>
        <w:t xml:space="preserve"> dēļ</w:t>
      </w:r>
      <w:r>
        <w:rPr>
          <w:color w:val="000000" w:themeColor="text1"/>
          <w:szCs w:val="24"/>
        </w:rPr>
        <w:t>, kā arī l</w:t>
      </w:r>
      <w:r w:rsidR="00C9565F" w:rsidRPr="00C9565F">
        <w:rPr>
          <w:color w:val="000000" w:themeColor="text1"/>
          <w:szCs w:val="24"/>
        </w:rPr>
        <w:t>ielāki izdevumi pensijām, ņemot vērā plānoto indeksāciju, kā arī lielākas minimālās pensijas atbilstoši S</w:t>
      </w:r>
      <w:r>
        <w:rPr>
          <w:color w:val="000000" w:themeColor="text1"/>
          <w:szCs w:val="24"/>
        </w:rPr>
        <w:t>atversmes tiesas</w:t>
      </w:r>
      <w:r w:rsidR="00C9565F" w:rsidRPr="00C9565F">
        <w:rPr>
          <w:color w:val="000000" w:themeColor="text1"/>
          <w:szCs w:val="24"/>
        </w:rPr>
        <w:t xml:space="preserve"> lēmumam.</w:t>
      </w:r>
      <w:r w:rsidRPr="00BD57BA">
        <w:rPr>
          <w:color w:val="000000" w:themeColor="text1"/>
          <w:szCs w:val="24"/>
        </w:rPr>
        <w:t xml:space="preserve"> </w:t>
      </w:r>
      <w:r w:rsidR="00C9565F" w:rsidRPr="00C9565F">
        <w:rPr>
          <w:color w:val="000000" w:themeColor="text1"/>
          <w:szCs w:val="24"/>
        </w:rPr>
        <w:t>2022.</w:t>
      </w:r>
      <w:r>
        <w:rPr>
          <w:color w:val="000000" w:themeColor="text1"/>
          <w:szCs w:val="24"/>
        </w:rPr>
        <w:t> </w:t>
      </w:r>
      <w:r w:rsidR="00C9565F" w:rsidRPr="00C9565F">
        <w:rPr>
          <w:color w:val="000000" w:themeColor="text1"/>
          <w:szCs w:val="24"/>
        </w:rPr>
        <w:t>gadā un vidējā termiņā</w:t>
      </w:r>
      <w:r>
        <w:rPr>
          <w:color w:val="000000" w:themeColor="text1"/>
          <w:szCs w:val="24"/>
        </w:rPr>
        <w:t xml:space="preserve"> tiek prognozēti lielāki izdevumi </w:t>
      </w:r>
      <w:r w:rsidR="00C9565F" w:rsidRPr="00C9565F">
        <w:rPr>
          <w:color w:val="000000" w:themeColor="text1"/>
          <w:szCs w:val="24"/>
        </w:rPr>
        <w:t>pensijām, palielinoties vidējam apmēram, ko ietekmē darba samaksas pieaugums un inflācija. Pensiju saņēmēju skaits pensionēšanās vecuma paaugstināšanas dēļ turpina sarukt līdz pat 2025.gadam</w:t>
      </w:r>
      <w:r>
        <w:rPr>
          <w:color w:val="000000" w:themeColor="text1"/>
          <w:szCs w:val="24"/>
        </w:rPr>
        <w:t>. Tāpat, e</w:t>
      </w:r>
      <w:r w:rsidR="00C9565F" w:rsidRPr="00C9565F">
        <w:rPr>
          <w:color w:val="000000" w:themeColor="text1"/>
          <w:szCs w:val="24"/>
        </w:rPr>
        <w:t xml:space="preserve">konomikai atkopjoties, </w:t>
      </w:r>
      <w:r>
        <w:rPr>
          <w:color w:val="000000" w:themeColor="text1"/>
          <w:szCs w:val="24"/>
        </w:rPr>
        <w:t xml:space="preserve">tiek prognozēts, ka </w:t>
      </w:r>
      <w:r w:rsidR="00C9565F" w:rsidRPr="00C9565F">
        <w:rPr>
          <w:color w:val="000000" w:themeColor="text1"/>
          <w:szCs w:val="24"/>
        </w:rPr>
        <w:t>izdevumi bezdarbnieka pabalstiem vidējā termiņā samazinās</w:t>
      </w:r>
      <w:r>
        <w:rPr>
          <w:color w:val="000000" w:themeColor="text1"/>
          <w:szCs w:val="24"/>
        </w:rPr>
        <w:t xml:space="preserve">ies un </w:t>
      </w:r>
      <w:r w:rsidR="00C9565F" w:rsidRPr="00C9565F">
        <w:rPr>
          <w:color w:val="000000" w:themeColor="text1"/>
          <w:szCs w:val="24"/>
        </w:rPr>
        <w:t>izdevum</w:t>
      </w:r>
      <w:r>
        <w:rPr>
          <w:color w:val="000000" w:themeColor="text1"/>
          <w:szCs w:val="24"/>
        </w:rPr>
        <w:t>i</w:t>
      </w:r>
      <w:r w:rsidR="00C9565F" w:rsidRPr="00C9565F">
        <w:rPr>
          <w:color w:val="000000" w:themeColor="text1"/>
          <w:szCs w:val="24"/>
        </w:rPr>
        <w:t xml:space="preserve"> slimības pabalstiem</w:t>
      </w:r>
      <w:r w:rsidRPr="00BD57BA">
        <w:rPr>
          <w:color w:val="000000" w:themeColor="text1"/>
          <w:szCs w:val="24"/>
        </w:rPr>
        <w:t xml:space="preserve"> </w:t>
      </w:r>
      <w:r w:rsidR="00C9565F" w:rsidRPr="00C9565F">
        <w:rPr>
          <w:color w:val="000000" w:themeColor="text1"/>
          <w:szCs w:val="24"/>
        </w:rPr>
        <w:t>pieau</w:t>
      </w:r>
      <w:r>
        <w:rPr>
          <w:color w:val="000000" w:themeColor="text1"/>
          <w:szCs w:val="24"/>
        </w:rPr>
        <w:t>g</w:t>
      </w:r>
      <w:r w:rsidR="00C9565F" w:rsidRPr="00C9565F">
        <w:rPr>
          <w:color w:val="000000" w:themeColor="text1"/>
          <w:szCs w:val="24"/>
        </w:rPr>
        <w:t>s</w:t>
      </w:r>
      <w:r>
        <w:rPr>
          <w:color w:val="000000" w:themeColor="text1"/>
          <w:szCs w:val="24"/>
        </w:rPr>
        <w:t xml:space="preserve"> mērenāk</w:t>
      </w:r>
      <w:r w:rsidR="00C9565F" w:rsidRPr="00C9565F">
        <w:rPr>
          <w:color w:val="000000" w:themeColor="text1"/>
          <w:szCs w:val="24"/>
        </w:rPr>
        <w:t>, ik gadu nedaudz samazinoties saņēmēju skaitam.</w:t>
      </w:r>
    </w:p>
    <w:p w14:paraId="33FC7BBB" w14:textId="7123AFAD" w:rsidR="001A7AD7" w:rsidRPr="00554354" w:rsidRDefault="001A7AD7" w:rsidP="00A83AAD">
      <w:pPr>
        <w:spacing w:before="60" w:after="60"/>
        <w:rPr>
          <w:color w:val="000000" w:themeColor="text1"/>
          <w:szCs w:val="24"/>
        </w:rPr>
      </w:pPr>
      <w:r w:rsidRPr="00554354">
        <w:rPr>
          <w:color w:val="000000" w:themeColor="text1"/>
          <w:szCs w:val="24"/>
        </w:rPr>
        <w:t>Pašvaldību budžetā 2021. gadā ir sagaidāms izdevumu pieaugums, gan pamatfunkciju, gan ārvalstu finanšu palīdzības projektu finansēšanai. Tas, galvenokārt, saistīts ar sagaidāmo pieaugumu kapitālajiem izdevumiem, ņemot vērā papildus aizņēmumu limita palielināšanu, atbalstot pašvaldību investīcijas Covid-19 krīzē. Tāpat ES fondu investīcijas pašvaldību līmenī uzrāda mērenāku samazinājumu pret 2020.</w:t>
      </w:r>
      <w:r w:rsidR="00C9565F">
        <w:rPr>
          <w:color w:val="000000" w:themeColor="text1"/>
          <w:szCs w:val="24"/>
        </w:rPr>
        <w:t> </w:t>
      </w:r>
      <w:r w:rsidRPr="00554354">
        <w:rPr>
          <w:color w:val="000000" w:themeColor="text1"/>
          <w:szCs w:val="24"/>
        </w:rPr>
        <w:t xml:space="preserve">gadu kā plānots. Atbilstoši šīm izmaiņām </w:t>
      </w:r>
      <w:r>
        <w:rPr>
          <w:color w:val="000000" w:themeColor="text1"/>
          <w:szCs w:val="24"/>
        </w:rPr>
        <w:t>un 2021.</w:t>
      </w:r>
      <w:r w:rsidR="00C9565F">
        <w:rPr>
          <w:color w:val="000000" w:themeColor="text1"/>
          <w:szCs w:val="24"/>
        </w:rPr>
        <w:t> </w:t>
      </w:r>
      <w:r>
        <w:rPr>
          <w:color w:val="000000" w:themeColor="text1"/>
          <w:szCs w:val="24"/>
        </w:rPr>
        <w:t xml:space="preserve">gada pirmā pusgada pašvaldību budžeta izpildes datiem </w:t>
      </w:r>
      <w:r w:rsidRPr="00554354">
        <w:rPr>
          <w:color w:val="000000" w:themeColor="text1"/>
          <w:szCs w:val="24"/>
        </w:rPr>
        <w:t>tika koriģētas pašvaldību budžeta prognozes arī vidējā termiņā.</w:t>
      </w:r>
    </w:p>
    <w:p w14:paraId="38AAB7A1" w14:textId="77777777" w:rsidR="008852F6" w:rsidRPr="00AC55E4" w:rsidRDefault="008852F6" w:rsidP="00D23CB7">
      <w:pPr>
        <w:rPr>
          <w:color w:val="000000" w:themeColor="text1"/>
          <w:szCs w:val="24"/>
          <w:highlight w:val="yellow"/>
        </w:rPr>
      </w:pPr>
    </w:p>
    <w:p w14:paraId="39696A30" w14:textId="77777777" w:rsidR="008852F6" w:rsidRPr="00AC55E4" w:rsidRDefault="008852F6" w:rsidP="00D23CB7">
      <w:pPr>
        <w:rPr>
          <w:color w:val="000000" w:themeColor="text1"/>
          <w:szCs w:val="24"/>
          <w:highlight w:val="yellow"/>
        </w:rPr>
      </w:pPr>
    </w:p>
    <w:p w14:paraId="6E034BD8" w14:textId="77777777" w:rsidR="008852F6" w:rsidRPr="00AC55E4" w:rsidRDefault="008852F6" w:rsidP="00D23CB7">
      <w:pPr>
        <w:rPr>
          <w:color w:val="000000" w:themeColor="text1"/>
          <w:szCs w:val="24"/>
          <w:highlight w:val="yellow"/>
        </w:rPr>
      </w:pPr>
    </w:p>
    <w:p w14:paraId="6A22D018" w14:textId="105F2CEA" w:rsidR="00666568" w:rsidRDefault="00666568">
      <w:pPr>
        <w:spacing w:before="0" w:after="0"/>
        <w:ind w:firstLine="0"/>
        <w:jc w:val="left"/>
        <w:rPr>
          <w:noProof/>
          <w:color w:val="000000" w:themeColor="text1"/>
          <w:szCs w:val="24"/>
          <w:highlight w:val="yellow"/>
        </w:rPr>
      </w:pPr>
      <w:r>
        <w:rPr>
          <w:noProof/>
          <w:color w:val="000000" w:themeColor="text1"/>
          <w:szCs w:val="24"/>
          <w:highlight w:val="yellow"/>
        </w:rPr>
        <w:br w:type="page"/>
      </w:r>
    </w:p>
    <w:p w14:paraId="0243D0F2" w14:textId="670FF8B8" w:rsidR="0063475B" w:rsidRPr="00374AAF" w:rsidRDefault="0063475B" w:rsidP="00A83AAD">
      <w:pPr>
        <w:pStyle w:val="Heading1"/>
        <w:ind w:left="360"/>
      </w:pPr>
      <w:bookmarkStart w:id="5" w:name="_Toc80081212"/>
      <w:r w:rsidRPr="00374AAF">
        <w:lastRenderedPageBreak/>
        <w:t>Valdības apstiprinātie atbalsta pasākumi</w:t>
      </w:r>
      <w:r w:rsidR="006E0164">
        <w:t xml:space="preserve"> </w:t>
      </w:r>
      <w:r w:rsidRPr="00374AAF">
        <w:t>Covid-19</w:t>
      </w:r>
      <w:r w:rsidR="004D62CB" w:rsidRPr="00374AAF">
        <w:t xml:space="preserve"> infekcijas</w:t>
      </w:r>
      <w:r w:rsidRPr="00374AAF">
        <w:t xml:space="preserve"> izraisītās krīzes seku mazināšanai tautsaimniecībā</w:t>
      </w:r>
      <w:r w:rsidR="006E0164">
        <w:br/>
      </w:r>
      <w:r w:rsidRPr="00374AAF">
        <w:t>un to fiskālā ietekme</w:t>
      </w:r>
      <w:bookmarkEnd w:id="5"/>
    </w:p>
    <w:p w14:paraId="6D36F4BC" w14:textId="15EE2E55" w:rsidR="00D23CB7" w:rsidRDefault="0052013B" w:rsidP="00A83AAD">
      <w:pPr>
        <w:spacing w:before="60" w:after="60"/>
        <w:rPr>
          <w:noProof/>
          <w:color w:val="000000" w:themeColor="text1"/>
          <w:szCs w:val="24"/>
        </w:rPr>
      </w:pPr>
      <w:r>
        <w:rPr>
          <w:rFonts w:eastAsia="Times New Roman" w:cs="Times New Roman"/>
          <w:noProof/>
          <w:color w:val="000000"/>
          <w:szCs w:val="28"/>
        </w:rPr>
        <w:drawing>
          <wp:anchor distT="0" distB="0" distL="114300" distR="114300" simplePos="0" relativeHeight="251664384" behindDoc="1" locked="0" layoutInCell="1" allowOverlap="1" wp14:anchorId="744C3FE2" wp14:editId="438ED9BF">
            <wp:simplePos x="0" y="0"/>
            <wp:positionH relativeFrom="page">
              <wp:posOffset>4711700</wp:posOffset>
            </wp:positionH>
            <wp:positionV relativeFrom="paragraph">
              <wp:posOffset>1831975</wp:posOffset>
            </wp:positionV>
            <wp:extent cx="2527300" cy="2409825"/>
            <wp:effectExtent l="0" t="0" r="6350" b="9525"/>
            <wp:wrapTight wrapText="bothSides">
              <wp:wrapPolygon edited="0">
                <wp:start x="0" y="0"/>
                <wp:lineTo x="0" y="21515"/>
                <wp:lineTo x="21491" y="21515"/>
                <wp:lineTo x="21491" y="0"/>
                <wp:lineTo x="0" y="0"/>
              </wp:wrapPolygon>
            </wp:wrapTight>
            <wp:docPr id="7" name="Picture 7"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waterfall chart&#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3908" t="16318" r="22014"/>
                    <a:stretch/>
                  </pic:blipFill>
                  <pic:spPr bwMode="auto">
                    <a:xfrm>
                      <a:off x="0" y="0"/>
                      <a:ext cx="2527300" cy="2409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525D4">
        <w:rPr>
          <w:noProof/>
          <w:color w:val="000000" w:themeColor="text1"/>
          <w:szCs w:val="24"/>
          <w:lang w:eastAsia="lv-LV"/>
        </w:rPr>
        <mc:AlternateContent>
          <mc:Choice Requires="wps">
            <w:drawing>
              <wp:anchor distT="45720" distB="45720" distL="114300" distR="114300" simplePos="0" relativeHeight="251666432" behindDoc="1" locked="0" layoutInCell="1" allowOverlap="1" wp14:anchorId="616C5658" wp14:editId="5E11536E">
                <wp:simplePos x="0" y="0"/>
                <wp:positionH relativeFrom="margin">
                  <wp:posOffset>3395980</wp:posOffset>
                </wp:positionH>
                <wp:positionV relativeFrom="paragraph">
                  <wp:posOffset>4154805</wp:posOffset>
                </wp:positionV>
                <wp:extent cx="2752725" cy="525780"/>
                <wp:effectExtent l="0" t="0" r="9525" b="7620"/>
                <wp:wrapTight wrapText="bothSides">
                  <wp:wrapPolygon edited="0">
                    <wp:start x="0" y="0"/>
                    <wp:lineTo x="0" y="21130"/>
                    <wp:lineTo x="21525" y="21130"/>
                    <wp:lineTo x="21525"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25780"/>
                        </a:xfrm>
                        <a:prstGeom prst="rect">
                          <a:avLst/>
                        </a:prstGeom>
                        <a:solidFill>
                          <a:srgbClr val="FFFFFF"/>
                        </a:solidFill>
                        <a:ln w="9525">
                          <a:noFill/>
                          <a:miter lim="800000"/>
                          <a:headEnd/>
                          <a:tailEnd/>
                        </a:ln>
                      </wps:spPr>
                      <wps:txbx>
                        <w:txbxContent>
                          <w:p w14:paraId="4C68E4B7" w14:textId="77777777" w:rsidR="000E2E49" w:rsidRPr="00317AFA" w:rsidRDefault="000E2E49" w:rsidP="0052013B">
                            <w:pPr>
                              <w:ind w:firstLine="0"/>
                              <w:jc w:val="center"/>
                            </w:pPr>
                            <w:r w:rsidRPr="006E0164">
                              <w:rPr>
                                <w:rFonts w:eastAsia="Times New Roman" w:cs="Times New Roman"/>
                                <w:b/>
                                <w:bCs/>
                                <w:color w:val="000000"/>
                                <w:sz w:val="24"/>
                                <w:szCs w:val="28"/>
                              </w:rPr>
                              <w:t xml:space="preserve">3. attēls. Atbalsta ietekme uz budžeta bilanci, </w:t>
                            </w:r>
                            <w:r w:rsidRPr="006E0164">
                              <w:rPr>
                                <w:rFonts w:eastAsia="Times New Roman" w:cs="Times New Roman"/>
                                <w:b/>
                                <w:bCs/>
                                <w:noProof/>
                                <w:color w:val="000000"/>
                                <w:sz w:val="24"/>
                                <w:szCs w:val="28"/>
                              </w:rPr>
                              <w:t>milj</w:t>
                            </w:r>
                            <w:r w:rsidRPr="001504EC">
                              <w:rPr>
                                <w:rFonts w:eastAsia="Times New Roman" w:cs="Times New Roman"/>
                                <w:b/>
                                <w:bCs/>
                                <w:noProof/>
                                <w:color w:val="000000"/>
                                <w:sz w:val="24"/>
                                <w:szCs w:val="28"/>
                              </w:rPr>
                              <w:t xml:space="preserve">. </w:t>
                            </w:r>
                            <w:r w:rsidRPr="004B6E65">
                              <w:rPr>
                                <w:rFonts w:eastAsia="Times New Roman" w:cs="Times New Roman"/>
                                <w:b/>
                                <w:bCs/>
                                <w:i/>
                                <w:noProof/>
                                <w:color w:val="000000"/>
                                <w:sz w:val="24"/>
                                <w:szCs w:val="28"/>
                              </w:rPr>
                              <w:t>euro</w:t>
                            </w:r>
                            <w:r>
                              <w:rPr>
                                <w:rFonts w:eastAsia="Times New Roman" w:cs="Times New Roman"/>
                                <w:b/>
                                <w:bCs/>
                                <w:color w:val="000000"/>
                                <w:sz w:val="24"/>
                                <w:szCs w:val="28"/>
                              </w:rPr>
                              <w:t xml:space="preserve"> un % no IKP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C5658" id="_x0000_t202" coordsize="21600,21600" o:spt="202" path="m,l,21600r21600,l21600,xe">
                <v:stroke joinstyle="miter"/>
                <v:path gradientshapeok="t" o:connecttype="rect"/>
              </v:shapetype>
              <v:shape id="Text Box 2" o:spid="_x0000_s1026" type="#_x0000_t202" style="position:absolute;left:0;text-align:left;margin-left:267.4pt;margin-top:327.15pt;width:216.75pt;height:41.4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" stroked="f">
                <v:textbox>
                  <w:txbxContent>
                    <w:p w14:paraId="4C68E4B7" w14:textId="77777777" w:rsidR="000E2E49" w:rsidRPr="00317AFA" w:rsidRDefault="000E2E49" w:rsidP="0052013B">
                      <w:pPr>
                        <w:ind w:firstLine="0"/>
                        <w:jc w:val="center"/>
                      </w:pPr>
                      <w:r w:rsidRPr="006E0164">
                        <w:rPr>
                          <w:rFonts w:eastAsia="Times New Roman" w:cs="Times New Roman"/>
                          <w:b/>
                          <w:bCs/>
                          <w:color w:val="000000"/>
                          <w:sz w:val="24"/>
                          <w:szCs w:val="28"/>
                        </w:rPr>
                        <w:t xml:space="preserve">3. attēls. Atbalsta ietekme uz budžeta bilanci, </w:t>
                      </w:r>
                      <w:r w:rsidRPr="006E0164">
                        <w:rPr>
                          <w:rFonts w:eastAsia="Times New Roman" w:cs="Times New Roman"/>
                          <w:b/>
                          <w:bCs/>
                          <w:noProof/>
                          <w:color w:val="000000"/>
                          <w:sz w:val="24"/>
                          <w:szCs w:val="28"/>
                        </w:rPr>
                        <w:t>milj</w:t>
                      </w:r>
                      <w:r w:rsidRPr="001504EC">
                        <w:rPr>
                          <w:rFonts w:eastAsia="Times New Roman" w:cs="Times New Roman"/>
                          <w:b/>
                          <w:bCs/>
                          <w:noProof/>
                          <w:color w:val="000000"/>
                          <w:sz w:val="24"/>
                          <w:szCs w:val="28"/>
                        </w:rPr>
                        <w:t xml:space="preserve">. </w:t>
                      </w:r>
                      <w:r w:rsidRPr="004B6E65">
                        <w:rPr>
                          <w:rFonts w:eastAsia="Times New Roman" w:cs="Times New Roman"/>
                          <w:b/>
                          <w:bCs/>
                          <w:i/>
                          <w:noProof/>
                          <w:color w:val="000000"/>
                          <w:sz w:val="24"/>
                          <w:szCs w:val="28"/>
                        </w:rPr>
                        <w:t>euro</w:t>
                      </w:r>
                      <w:r>
                        <w:rPr>
                          <w:rFonts w:eastAsia="Times New Roman" w:cs="Times New Roman"/>
                          <w:b/>
                          <w:bCs/>
                          <w:color w:val="000000"/>
                          <w:sz w:val="24"/>
                          <w:szCs w:val="28"/>
                        </w:rPr>
                        <w:t xml:space="preserve"> un % no IKP</w:t>
                      </w:r>
                    </w:p>
                  </w:txbxContent>
                </v:textbox>
                <w10:wrap type="tight" anchorx="margin"/>
              </v:shape>
            </w:pict>
          </mc:Fallback>
        </mc:AlternateContent>
      </w:r>
      <w:r w:rsidRPr="004525D4">
        <w:rPr>
          <w:noProof/>
          <w:color w:val="000000" w:themeColor="text1"/>
          <w:szCs w:val="24"/>
          <w:lang w:eastAsia="lv-LV"/>
        </w:rPr>
        <mc:AlternateContent>
          <mc:Choice Requires="wps">
            <w:drawing>
              <wp:anchor distT="45720" distB="45720" distL="114300" distR="114300" simplePos="0" relativeHeight="251659264" behindDoc="1" locked="0" layoutInCell="1" allowOverlap="1" wp14:anchorId="1530A4A9" wp14:editId="0611D35A">
                <wp:simplePos x="0" y="0"/>
                <wp:positionH relativeFrom="column">
                  <wp:posOffset>-32385</wp:posOffset>
                </wp:positionH>
                <wp:positionV relativeFrom="paragraph">
                  <wp:posOffset>4175760</wp:posOffset>
                </wp:positionV>
                <wp:extent cx="2950210" cy="565150"/>
                <wp:effectExtent l="0" t="0" r="2540" b="6350"/>
                <wp:wrapTight wrapText="bothSides">
                  <wp:wrapPolygon edited="0">
                    <wp:start x="0" y="0"/>
                    <wp:lineTo x="0" y="21115"/>
                    <wp:lineTo x="21479" y="21115"/>
                    <wp:lineTo x="2147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210" cy="565150"/>
                        </a:xfrm>
                        <a:prstGeom prst="rect">
                          <a:avLst/>
                        </a:prstGeom>
                        <a:solidFill>
                          <a:srgbClr val="FFFFFF"/>
                        </a:solidFill>
                        <a:ln w="9525">
                          <a:noFill/>
                          <a:miter lim="800000"/>
                          <a:headEnd/>
                          <a:tailEnd/>
                        </a:ln>
                      </wps:spPr>
                      <wps:txbx>
                        <w:txbxContent>
                          <w:p w14:paraId="79D46FCB" w14:textId="093F997A" w:rsidR="000E2E49" w:rsidRPr="00317AFA" w:rsidRDefault="000E2E49" w:rsidP="004525D4">
                            <w:pPr>
                              <w:ind w:firstLine="0"/>
                              <w:jc w:val="center"/>
                            </w:pPr>
                            <w:r w:rsidRPr="006E0164">
                              <w:rPr>
                                <w:rFonts w:eastAsia="Times New Roman" w:cs="Times New Roman"/>
                                <w:b/>
                                <w:bCs/>
                                <w:color w:val="000000"/>
                                <w:sz w:val="24"/>
                                <w:szCs w:val="28"/>
                              </w:rPr>
                              <w:t>2.attēls. Kopējais atbalsts tautsaimniecībai, milj.</w:t>
                            </w:r>
                            <w:r w:rsidRPr="006E0164">
                              <w:rPr>
                                <w:rFonts w:eastAsia="Times New Roman" w:cs="Times New Roman"/>
                                <w:b/>
                                <w:bCs/>
                                <w:i/>
                                <w:iCs/>
                                <w:color w:val="000000"/>
                                <w:sz w:val="24"/>
                                <w:szCs w:val="28"/>
                              </w:rPr>
                              <w:t xml:space="preserve"> </w:t>
                            </w:r>
                            <w:r w:rsidRPr="006E0164">
                              <w:rPr>
                                <w:rFonts w:eastAsia="Times New Roman" w:cs="Times New Roman"/>
                                <w:b/>
                                <w:bCs/>
                                <w:i/>
                                <w:iCs/>
                                <w:noProof/>
                                <w:color w:val="000000"/>
                                <w:sz w:val="24"/>
                                <w:szCs w:val="28"/>
                              </w:rPr>
                              <w:t>euro</w:t>
                            </w:r>
                            <w:r w:rsidRPr="006E0164">
                              <w:rPr>
                                <w:rFonts w:eastAsia="Times New Roman" w:cs="Times New Roman"/>
                                <w:b/>
                                <w:bCs/>
                                <w:iCs/>
                                <w:noProof/>
                                <w:color w:val="000000"/>
                                <w:sz w:val="24"/>
                                <w:szCs w:val="28"/>
                              </w:rPr>
                              <w:t xml:space="preserve"> </w:t>
                            </w:r>
                            <w:r w:rsidRPr="006E0164">
                              <w:rPr>
                                <w:rFonts w:eastAsia="Times New Roman" w:cs="Times New Roman"/>
                                <w:b/>
                                <w:bCs/>
                                <w:iCs/>
                                <w:color w:val="000000"/>
                                <w:sz w:val="24"/>
                                <w:szCs w:val="28"/>
                              </w:rPr>
                              <w:t>un</w:t>
                            </w:r>
                            <w:r>
                              <w:rPr>
                                <w:rFonts w:eastAsia="Times New Roman" w:cs="Times New Roman"/>
                                <w:b/>
                                <w:bCs/>
                                <w:iCs/>
                                <w:color w:val="000000"/>
                                <w:sz w:val="24"/>
                                <w:szCs w:val="28"/>
                              </w:rPr>
                              <w:t xml:space="preserve"> % no IKP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0A4A9" id="_x0000_s1027" type="#_x0000_t202" style="position:absolute;left:0;text-align:left;margin-left:-2.55pt;margin-top:328.8pt;width:232.3pt;height:4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" stroked="f">
                <v:textbox>
                  <w:txbxContent>
                    <w:p w14:paraId="79D46FCB" w14:textId="093F997A" w:rsidR="000E2E49" w:rsidRPr="00317AFA" w:rsidRDefault="000E2E49" w:rsidP="004525D4">
                      <w:pPr>
                        <w:ind w:firstLine="0"/>
                        <w:jc w:val="center"/>
                      </w:pPr>
                      <w:r w:rsidRPr="006E0164">
                        <w:rPr>
                          <w:rFonts w:eastAsia="Times New Roman" w:cs="Times New Roman"/>
                          <w:b/>
                          <w:bCs/>
                          <w:color w:val="000000"/>
                          <w:sz w:val="24"/>
                          <w:szCs w:val="28"/>
                        </w:rPr>
                        <w:t>2.attēls. Kopējais atbalsts tautsaimniecībai, milj.</w:t>
                      </w:r>
                      <w:r w:rsidRPr="006E0164">
                        <w:rPr>
                          <w:rFonts w:eastAsia="Times New Roman" w:cs="Times New Roman"/>
                          <w:b/>
                          <w:bCs/>
                          <w:i/>
                          <w:iCs/>
                          <w:color w:val="000000"/>
                          <w:sz w:val="24"/>
                          <w:szCs w:val="28"/>
                        </w:rPr>
                        <w:t xml:space="preserve"> </w:t>
                      </w:r>
                      <w:r w:rsidRPr="006E0164">
                        <w:rPr>
                          <w:rFonts w:eastAsia="Times New Roman" w:cs="Times New Roman"/>
                          <w:b/>
                          <w:bCs/>
                          <w:i/>
                          <w:iCs/>
                          <w:noProof/>
                          <w:color w:val="000000"/>
                          <w:sz w:val="24"/>
                          <w:szCs w:val="28"/>
                        </w:rPr>
                        <w:t>euro</w:t>
                      </w:r>
                      <w:r w:rsidRPr="006E0164">
                        <w:rPr>
                          <w:rFonts w:eastAsia="Times New Roman" w:cs="Times New Roman"/>
                          <w:b/>
                          <w:bCs/>
                          <w:iCs/>
                          <w:noProof/>
                          <w:color w:val="000000"/>
                          <w:sz w:val="24"/>
                          <w:szCs w:val="28"/>
                        </w:rPr>
                        <w:t xml:space="preserve"> </w:t>
                      </w:r>
                      <w:r w:rsidRPr="006E0164">
                        <w:rPr>
                          <w:rFonts w:eastAsia="Times New Roman" w:cs="Times New Roman"/>
                          <w:b/>
                          <w:bCs/>
                          <w:iCs/>
                          <w:color w:val="000000"/>
                          <w:sz w:val="24"/>
                          <w:szCs w:val="28"/>
                        </w:rPr>
                        <w:t>un</w:t>
                      </w:r>
                      <w:r>
                        <w:rPr>
                          <w:rFonts w:eastAsia="Times New Roman" w:cs="Times New Roman"/>
                          <w:b/>
                          <w:bCs/>
                          <w:iCs/>
                          <w:color w:val="000000"/>
                          <w:sz w:val="24"/>
                          <w:szCs w:val="28"/>
                        </w:rPr>
                        <w:t xml:space="preserve"> % no IKP</w:t>
                      </w:r>
                    </w:p>
                  </w:txbxContent>
                </v:textbox>
                <w10:wrap type="tight"/>
              </v:shape>
            </w:pict>
          </mc:Fallback>
        </mc:AlternateContent>
      </w:r>
      <w:r>
        <w:rPr>
          <w:noProof/>
          <w:color w:val="000000" w:themeColor="text1"/>
          <w:szCs w:val="24"/>
        </w:rPr>
        <w:drawing>
          <wp:anchor distT="0" distB="0" distL="114300" distR="114300" simplePos="0" relativeHeight="251663360" behindDoc="1" locked="0" layoutInCell="1" allowOverlap="1" wp14:anchorId="3AB039C6" wp14:editId="2BD0B20C">
            <wp:simplePos x="0" y="0"/>
            <wp:positionH relativeFrom="margin">
              <wp:posOffset>-95250</wp:posOffset>
            </wp:positionH>
            <wp:positionV relativeFrom="paragraph">
              <wp:posOffset>1812925</wp:posOffset>
            </wp:positionV>
            <wp:extent cx="3695700" cy="2466975"/>
            <wp:effectExtent l="0" t="0" r="0" b="9525"/>
            <wp:wrapTight wrapText="bothSides">
              <wp:wrapPolygon edited="0">
                <wp:start x="0" y="0"/>
                <wp:lineTo x="0" y="21517"/>
                <wp:lineTo x="21489" y="21517"/>
                <wp:lineTo x="2148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3348" t="14333" r="11942"/>
                    <a:stretch/>
                  </pic:blipFill>
                  <pic:spPr bwMode="auto">
                    <a:xfrm>
                      <a:off x="0" y="0"/>
                      <a:ext cx="3695700" cy="2466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3CB7" w:rsidRPr="00C80A5F">
        <w:rPr>
          <w:color w:val="000000" w:themeColor="text1"/>
          <w:szCs w:val="24"/>
        </w:rPr>
        <w:t xml:space="preserve">Atbilstoši Finanšu ministrijas </w:t>
      </w:r>
      <w:r w:rsidR="00C80A5F" w:rsidRPr="00C80A5F">
        <w:rPr>
          <w:color w:val="000000" w:themeColor="text1"/>
          <w:szCs w:val="24"/>
        </w:rPr>
        <w:t>apkopotajai informācijai</w:t>
      </w:r>
      <w:r w:rsidR="00D23CB7" w:rsidRPr="00C80A5F">
        <w:rPr>
          <w:color w:val="000000" w:themeColor="text1"/>
          <w:szCs w:val="24"/>
        </w:rPr>
        <w:t xml:space="preserve"> līdz šā gada </w:t>
      </w:r>
      <w:r w:rsidR="00C80A5F" w:rsidRPr="00C80A5F">
        <w:rPr>
          <w:color w:val="000000" w:themeColor="text1"/>
          <w:szCs w:val="24"/>
        </w:rPr>
        <w:t>10</w:t>
      </w:r>
      <w:r w:rsidR="00D23CB7" w:rsidRPr="00C80A5F">
        <w:rPr>
          <w:color w:val="000000" w:themeColor="text1"/>
          <w:szCs w:val="24"/>
        </w:rPr>
        <w:t>.</w:t>
      </w:r>
      <w:r w:rsidR="006E0164">
        <w:rPr>
          <w:color w:val="000000" w:themeColor="text1"/>
          <w:szCs w:val="24"/>
        </w:rPr>
        <w:t> </w:t>
      </w:r>
      <w:r w:rsidR="00C80A5F" w:rsidRPr="00C80A5F">
        <w:rPr>
          <w:color w:val="000000" w:themeColor="text1"/>
          <w:szCs w:val="24"/>
        </w:rPr>
        <w:t>augustam</w:t>
      </w:r>
      <w:r w:rsidR="00D23CB7" w:rsidRPr="00C80A5F">
        <w:rPr>
          <w:color w:val="000000" w:themeColor="text1"/>
          <w:szCs w:val="24"/>
        </w:rPr>
        <w:t xml:space="preserve"> apstiprinātais tautsaimniecības atbalsta pasākumu apmērs </w:t>
      </w:r>
      <w:r w:rsidR="00C80A5F" w:rsidRPr="00C80A5F">
        <w:rPr>
          <w:color w:val="000000" w:themeColor="text1"/>
          <w:szCs w:val="24"/>
        </w:rPr>
        <w:t>20</w:t>
      </w:r>
      <w:r w:rsidR="00361468">
        <w:rPr>
          <w:color w:val="000000" w:themeColor="text1"/>
          <w:szCs w:val="24"/>
        </w:rPr>
        <w:t>21.</w:t>
      </w:r>
      <w:r w:rsidR="006E0164">
        <w:rPr>
          <w:color w:val="000000" w:themeColor="text1"/>
          <w:szCs w:val="24"/>
        </w:rPr>
        <w:t> </w:t>
      </w:r>
      <w:r w:rsidR="00361468" w:rsidRPr="006E0164">
        <w:rPr>
          <w:color w:val="000000" w:themeColor="text1"/>
          <w:szCs w:val="24"/>
        </w:rPr>
        <w:t xml:space="preserve">gadā veido 3,2 </w:t>
      </w:r>
      <w:r w:rsidR="00361468" w:rsidRPr="006E0164">
        <w:rPr>
          <w:noProof/>
          <w:color w:val="000000" w:themeColor="text1"/>
          <w:szCs w:val="24"/>
        </w:rPr>
        <w:t xml:space="preserve">miljardus </w:t>
      </w:r>
      <w:r w:rsidR="00361468" w:rsidRPr="006E0164">
        <w:rPr>
          <w:i/>
          <w:noProof/>
          <w:color w:val="000000" w:themeColor="text1"/>
          <w:szCs w:val="24"/>
        </w:rPr>
        <w:t>eu</w:t>
      </w:r>
      <w:r w:rsidR="00C80A5F" w:rsidRPr="006E0164">
        <w:rPr>
          <w:i/>
          <w:noProof/>
          <w:color w:val="000000" w:themeColor="text1"/>
          <w:szCs w:val="24"/>
        </w:rPr>
        <w:t>ro</w:t>
      </w:r>
      <w:r w:rsidR="00C80A5F" w:rsidRPr="006E0164">
        <w:rPr>
          <w:noProof/>
          <w:color w:val="000000" w:themeColor="text1"/>
          <w:szCs w:val="24"/>
        </w:rPr>
        <w:t xml:space="preserve"> jeb 10,2% no I</w:t>
      </w:r>
      <w:r w:rsidR="00361468" w:rsidRPr="006E0164">
        <w:rPr>
          <w:noProof/>
          <w:color w:val="000000" w:themeColor="text1"/>
          <w:szCs w:val="24"/>
        </w:rPr>
        <w:t xml:space="preserve">KP, 2022. gadā 0,5 miljardus </w:t>
      </w:r>
      <w:r w:rsidR="00361468" w:rsidRPr="006E0164">
        <w:rPr>
          <w:i/>
          <w:noProof/>
          <w:color w:val="000000" w:themeColor="text1"/>
          <w:szCs w:val="24"/>
        </w:rPr>
        <w:t>eu</w:t>
      </w:r>
      <w:r w:rsidR="00C80A5F" w:rsidRPr="006E0164">
        <w:rPr>
          <w:i/>
          <w:noProof/>
          <w:color w:val="000000" w:themeColor="text1"/>
          <w:szCs w:val="24"/>
        </w:rPr>
        <w:t>ro</w:t>
      </w:r>
      <w:r w:rsidR="00C80A5F" w:rsidRPr="006E0164">
        <w:rPr>
          <w:noProof/>
          <w:color w:val="000000" w:themeColor="text1"/>
          <w:szCs w:val="24"/>
        </w:rPr>
        <w:t xml:space="preserve"> jeb 1,3% no IKP apmē</w:t>
      </w:r>
      <w:r w:rsidR="00361468" w:rsidRPr="006E0164">
        <w:rPr>
          <w:noProof/>
          <w:color w:val="000000" w:themeColor="text1"/>
          <w:szCs w:val="24"/>
        </w:rPr>
        <w:t xml:space="preserve">rā, 2023. gadā 0,3 miljardus </w:t>
      </w:r>
      <w:r w:rsidR="00361468" w:rsidRPr="006E0164">
        <w:rPr>
          <w:i/>
          <w:noProof/>
          <w:color w:val="000000" w:themeColor="text1"/>
          <w:szCs w:val="24"/>
        </w:rPr>
        <w:t>eu</w:t>
      </w:r>
      <w:r w:rsidR="00C80A5F" w:rsidRPr="006E0164">
        <w:rPr>
          <w:i/>
          <w:noProof/>
          <w:color w:val="000000" w:themeColor="text1"/>
          <w:szCs w:val="24"/>
        </w:rPr>
        <w:t>ro</w:t>
      </w:r>
      <w:r w:rsidR="00C80A5F" w:rsidRPr="006E0164">
        <w:rPr>
          <w:noProof/>
          <w:color w:val="000000" w:themeColor="text1"/>
          <w:szCs w:val="24"/>
        </w:rPr>
        <w:t xml:space="preserve"> jeb 0,8% no IKP, 2024. gadā 0,1</w:t>
      </w:r>
      <w:r w:rsidR="00361468" w:rsidRPr="006E0164">
        <w:rPr>
          <w:noProof/>
          <w:color w:val="000000" w:themeColor="text1"/>
          <w:szCs w:val="24"/>
        </w:rPr>
        <w:t xml:space="preserve"> miljardu </w:t>
      </w:r>
      <w:r w:rsidR="00361468" w:rsidRPr="006E0164">
        <w:rPr>
          <w:i/>
          <w:noProof/>
          <w:color w:val="000000" w:themeColor="text1"/>
          <w:szCs w:val="24"/>
        </w:rPr>
        <w:t>eu</w:t>
      </w:r>
      <w:r w:rsidR="00C80A5F" w:rsidRPr="006E0164">
        <w:rPr>
          <w:i/>
          <w:noProof/>
          <w:color w:val="000000" w:themeColor="text1"/>
          <w:szCs w:val="24"/>
        </w:rPr>
        <w:t>ro</w:t>
      </w:r>
      <w:r w:rsidR="00C80A5F" w:rsidRPr="006E0164">
        <w:rPr>
          <w:noProof/>
          <w:color w:val="000000" w:themeColor="text1"/>
          <w:szCs w:val="24"/>
        </w:rPr>
        <w:t xml:space="preserve"> jeb 0,3% no IKP. Savukārt 2020. gadā faktiskais atbalsts</w:t>
      </w:r>
      <w:r w:rsidR="006E0164">
        <w:rPr>
          <w:noProof/>
          <w:color w:val="000000" w:themeColor="text1"/>
          <w:szCs w:val="24"/>
        </w:rPr>
        <w:t>,</w:t>
      </w:r>
      <w:r w:rsidR="00C80A5F" w:rsidRPr="006E0164">
        <w:rPr>
          <w:noProof/>
          <w:color w:val="000000" w:themeColor="text1"/>
          <w:szCs w:val="24"/>
        </w:rPr>
        <w:t xml:space="preserve"> </w:t>
      </w:r>
      <w:r w:rsidR="00361468" w:rsidRPr="006E0164">
        <w:rPr>
          <w:noProof/>
          <w:color w:val="000000" w:themeColor="text1"/>
          <w:szCs w:val="24"/>
        </w:rPr>
        <w:t xml:space="preserve">ņemot vērā Valsts ieņēmumu dienesta, finanšu institūcijas ALTUM u.c. institūciju sniegto informāciju </w:t>
      </w:r>
      <w:r w:rsidR="00C80A5F" w:rsidRPr="006E0164">
        <w:rPr>
          <w:noProof/>
          <w:color w:val="000000" w:themeColor="text1"/>
          <w:szCs w:val="24"/>
        </w:rPr>
        <w:t>bija 1,3</w:t>
      </w:r>
      <w:r w:rsidR="006152E0">
        <w:rPr>
          <w:noProof/>
          <w:color w:val="000000" w:themeColor="text1"/>
          <w:szCs w:val="24"/>
        </w:rPr>
        <w:t> </w:t>
      </w:r>
      <w:r w:rsidR="00C80A5F" w:rsidRPr="006E0164">
        <w:rPr>
          <w:noProof/>
          <w:color w:val="000000" w:themeColor="text1"/>
          <w:szCs w:val="24"/>
        </w:rPr>
        <w:t xml:space="preserve">miljards </w:t>
      </w:r>
      <w:r w:rsidR="00C80A5F" w:rsidRPr="006E0164">
        <w:rPr>
          <w:i/>
          <w:noProof/>
          <w:color w:val="000000" w:themeColor="text1"/>
          <w:szCs w:val="24"/>
        </w:rPr>
        <w:t>euro</w:t>
      </w:r>
      <w:r w:rsidR="00C80A5F" w:rsidRPr="006E0164">
        <w:rPr>
          <w:noProof/>
          <w:color w:val="000000" w:themeColor="text1"/>
          <w:szCs w:val="24"/>
        </w:rPr>
        <w:t xml:space="preserve"> jeb 4,</w:t>
      </w:r>
      <w:r w:rsidR="00361468" w:rsidRPr="006E0164">
        <w:rPr>
          <w:noProof/>
          <w:color w:val="000000" w:themeColor="text1"/>
          <w:szCs w:val="24"/>
        </w:rPr>
        <w:t>4</w:t>
      </w:r>
      <w:r w:rsidR="00C80A5F" w:rsidRPr="006E0164">
        <w:rPr>
          <w:noProof/>
          <w:color w:val="000000" w:themeColor="text1"/>
          <w:szCs w:val="24"/>
        </w:rPr>
        <w:t>% no IKP</w:t>
      </w:r>
      <w:r w:rsidR="006E0164">
        <w:rPr>
          <w:noProof/>
          <w:color w:val="000000" w:themeColor="text1"/>
          <w:szCs w:val="24"/>
        </w:rPr>
        <w:t xml:space="preserve"> (skat. 2. attēlu)</w:t>
      </w:r>
      <w:r w:rsidR="00361468" w:rsidRPr="006E0164">
        <w:rPr>
          <w:noProof/>
          <w:color w:val="000000" w:themeColor="text1"/>
          <w:szCs w:val="24"/>
        </w:rPr>
        <w:t>.</w:t>
      </w:r>
      <w:r w:rsidR="00C80A5F" w:rsidRPr="006E0164">
        <w:rPr>
          <w:noProof/>
          <w:color w:val="000000" w:themeColor="text1"/>
          <w:szCs w:val="24"/>
        </w:rPr>
        <w:t xml:space="preserve"> </w:t>
      </w:r>
    </w:p>
    <w:p w14:paraId="39DD4938" w14:textId="539343BF" w:rsidR="0052013B" w:rsidRPr="006E0164" w:rsidRDefault="0052013B" w:rsidP="00A83AAD">
      <w:pPr>
        <w:spacing w:before="60" w:after="60"/>
        <w:rPr>
          <w:noProof/>
          <w:color w:val="000000" w:themeColor="text1"/>
          <w:szCs w:val="24"/>
        </w:rPr>
      </w:pPr>
      <w:r w:rsidRPr="0052013B">
        <w:rPr>
          <w:color w:val="000000" w:themeColor="text1"/>
          <w:szCs w:val="24"/>
        </w:rPr>
        <w:t>Līdz šā gada 8.</w:t>
      </w:r>
      <w:r w:rsidR="006A07BE">
        <w:rPr>
          <w:color w:val="000000" w:themeColor="text1"/>
          <w:szCs w:val="24"/>
        </w:rPr>
        <w:t> </w:t>
      </w:r>
      <w:r w:rsidRPr="0052013B">
        <w:rPr>
          <w:color w:val="000000" w:themeColor="text1"/>
          <w:szCs w:val="24"/>
        </w:rPr>
        <w:t>augustam faktiski izlietotā atbalsta apmērs sasniedzis 1,56</w:t>
      </w:r>
      <w:r w:rsidR="006A07BE">
        <w:rPr>
          <w:color w:val="000000" w:themeColor="text1"/>
          <w:szCs w:val="24"/>
        </w:rPr>
        <w:t> </w:t>
      </w:r>
      <w:r w:rsidRPr="0052013B">
        <w:rPr>
          <w:color w:val="000000" w:themeColor="text1"/>
          <w:szCs w:val="24"/>
        </w:rPr>
        <w:t xml:space="preserve">miljardus </w:t>
      </w:r>
      <w:r w:rsidRPr="0052013B">
        <w:rPr>
          <w:i/>
          <w:noProof/>
          <w:color w:val="000000" w:themeColor="text1"/>
          <w:szCs w:val="24"/>
        </w:rPr>
        <w:t>euro</w:t>
      </w:r>
      <w:r w:rsidRPr="0052013B">
        <w:rPr>
          <w:noProof/>
          <w:color w:val="000000" w:themeColor="text1"/>
          <w:szCs w:val="24"/>
        </w:rPr>
        <w:t>. Martā un aprīlī veikta vienreizēju pabalstu izmaksa ģimenēm ar bērniem (375,7 tūkst. maksājumu), kā arī senioriem un personām ar invaliditāti (549,1 tūkst. maksājumu). Dīkstāves pabalstus Valsts ieņēmumu dienests 2021.</w:t>
      </w:r>
      <w:r w:rsidR="006A07BE">
        <w:rPr>
          <w:noProof/>
          <w:color w:val="000000" w:themeColor="text1"/>
          <w:szCs w:val="24"/>
        </w:rPr>
        <w:t> </w:t>
      </w:r>
      <w:r w:rsidRPr="0052013B">
        <w:rPr>
          <w:noProof/>
          <w:color w:val="000000" w:themeColor="text1"/>
          <w:szCs w:val="24"/>
        </w:rPr>
        <w:t>gadā izmaksājis 291 tūkstoti reižu jeb 76,3</w:t>
      </w:r>
      <w:r w:rsidR="006A07BE">
        <w:rPr>
          <w:noProof/>
          <w:color w:val="000000" w:themeColor="text1"/>
          <w:szCs w:val="24"/>
        </w:rPr>
        <w:t> </w:t>
      </w:r>
      <w:r w:rsidRPr="0052013B">
        <w:rPr>
          <w:noProof/>
          <w:color w:val="000000" w:themeColor="text1"/>
          <w:szCs w:val="24"/>
        </w:rPr>
        <w:t>tūkstošiem personu, bet algu subsīdijas 71,4</w:t>
      </w:r>
      <w:r w:rsidR="006A07BE">
        <w:rPr>
          <w:noProof/>
          <w:color w:val="000000" w:themeColor="text1"/>
          <w:szCs w:val="24"/>
        </w:rPr>
        <w:t> </w:t>
      </w:r>
      <w:r w:rsidRPr="0052013B">
        <w:rPr>
          <w:noProof/>
          <w:color w:val="000000" w:themeColor="text1"/>
          <w:szCs w:val="24"/>
        </w:rPr>
        <w:t>tūkstošus reižu jeb 28,2 tūkstošiem personu. Ļoti nozīmīgu apmēru izdevumos veido grantu</w:t>
      </w:r>
      <w:r w:rsidRPr="0052013B">
        <w:rPr>
          <w:color w:val="000000" w:themeColor="text1"/>
          <w:szCs w:val="24"/>
        </w:rPr>
        <w:t xml:space="preserve"> apgrozāmajiem līdzekļiem izmaksas, kas šogad izmaksātas 38,1</w:t>
      </w:r>
      <w:r w:rsidR="006A07BE">
        <w:rPr>
          <w:color w:val="000000" w:themeColor="text1"/>
          <w:szCs w:val="24"/>
        </w:rPr>
        <w:t> </w:t>
      </w:r>
      <w:r w:rsidRPr="0052013B">
        <w:rPr>
          <w:color w:val="000000" w:themeColor="text1"/>
          <w:szCs w:val="24"/>
        </w:rPr>
        <w:t>tūkstoti reižu jeb 11</w:t>
      </w:r>
      <w:r w:rsidR="006A07BE">
        <w:rPr>
          <w:color w:val="000000" w:themeColor="text1"/>
          <w:szCs w:val="24"/>
        </w:rPr>
        <w:t> </w:t>
      </w:r>
      <w:r w:rsidRPr="0052013B">
        <w:rPr>
          <w:color w:val="000000" w:themeColor="text1"/>
          <w:szCs w:val="24"/>
        </w:rPr>
        <w:t>tūkstošiem saņēmēju. Ar 30.</w:t>
      </w:r>
      <w:r w:rsidR="006A07BE">
        <w:rPr>
          <w:color w:val="000000" w:themeColor="text1"/>
          <w:szCs w:val="24"/>
        </w:rPr>
        <w:t> </w:t>
      </w:r>
      <w:r w:rsidRPr="0052013B">
        <w:rPr>
          <w:color w:val="000000" w:themeColor="text1"/>
          <w:szCs w:val="24"/>
        </w:rPr>
        <w:t>jūniju noslēdzoties dažādu pabalstu izmaksai, otrajā pusgadā sagaidāms, ka izdevumi tiks veikti galvenokārt nozaru iniciatīvu finansēšanai.</w:t>
      </w:r>
    </w:p>
    <w:p w14:paraId="054239D0" w14:textId="29806FC9" w:rsidR="0007311A" w:rsidRDefault="0007311A" w:rsidP="006A07BE">
      <w:pPr>
        <w:spacing w:before="60" w:after="60"/>
        <w:rPr>
          <w:rFonts w:eastAsia="Times New Roman" w:cs="Times New Roman"/>
          <w:color w:val="000000"/>
          <w:szCs w:val="28"/>
        </w:rPr>
      </w:pPr>
      <w:r w:rsidRPr="006A07BE">
        <w:rPr>
          <w:noProof/>
          <w:color w:val="000000" w:themeColor="text1"/>
          <w:szCs w:val="24"/>
        </w:rPr>
        <w:t xml:space="preserve">Aktualizējot vispārējās valdības budžeta bilances vidējam termiņam, tika ņemta vērā apstiprinātā atbalsta </w:t>
      </w:r>
      <w:r w:rsidR="00B63881">
        <w:rPr>
          <w:noProof/>
          <w:color w:val="000000" w:themeColor="text1"/>
          <w:szCs w:val="24"/>
        </w:rPr>
        <w:t xml:space="preserve">negatīvā </w:t>
      </w:r>
      <w:r w:rsidRPr="006A07BE">
        <w:rPr>
          <w:noProof/>
          <w:color w:val="000000" w:themeColor="text1"/>
          <w:szCs w:val="24"/>
        </w:rPr>
        <w:t xml:space="preserve">ietekme uz budžeta bilanci (skat. </w:t>
      </w:r>
      <w:r w:rsidR="006A07BE">
        <w:rPr>
          <w:noProof/>
          <w:color w:val="000000" w:themeColor="text1"/>
          <w:szCs w:val="24"/>
        </w:rPr>
        <w:t>3</w:t>
      </w:r>
      <w:r w:rsidRPr="006A07BE">
        <w:rPr>
          <w:noProof/>
          <w:color w:val="000000" w:themeColor="text1"/>
          <w:szCs w:val="24"/>
        </w:rPr>
        <w:t>.</w:t>
      </w:r>
      <w:r w:rsidR="006A07BE">
        <w:rPr>
          <w:noProof/>
          <w:color w:val="000000" w:themeColor="text1"/>
          <w:szCs w:val="24"/>
        </w:rPr>
        <w:t> </w:t>
      </w:r>
      <w:r w:rsidRPr="006A07BE">
        <w:rPr>
          <w:noProof/>
          <w:color w:val="000000" w:themeColor="text1"/>
          <w:szCs w:val="24"/>
        </w:rPr>
        <w:t>attēlu). 2020.</w:t>
      </w:r>
      <w:r w:rsidR="006A07BE">
        <w:rPr>
          <w:noProof/>
          <w:color w:val="000000" w:themeColor="text1"/>
          <w:szCs w:val="24"/>
        </w:rPr>
        <w:t> </w:t>
      </w:r>
      <w:r w:rsidRPr="006A07BE">
        <w:rPr>
          <w:noProof/>
          <w:color w:val="000000" w:themeColor="text1"/>
          <w:szCs w:val="24"/>
        </w:rPr>
        <w:t>gadā novērtētā ietekme uz vispārējās valdības budžeta bilanci veidoja 1,0</w:t>
      </w:r>
      <w:r w:rsidR="006A07BE">
        <w:rPr>
          <w:noProof/>
          <w:color w:val="000000" w:themeColor="text1"/>
          <w:szCs w:val="24"/>
        </w:rPr>
        <w:t> </w:t>
      </w:r>
      <w:r w:rsidRPr="006A07BE">
        <w:rPr>
          <w:noProof/>
          <w:color w:val="000000" w:themeColor="text1"/>
          <w:szCs w:val="24"/>
        </w:rPr>
        <w:t xml:space="preserve">miljardu </w:t>
      </w:r>
      <w:r w:rsidRPr="006A07BE">
        <w:rPr>
          <w:i/>
          <w:noProof/>
          <w:color w:val="000000" w:themeColor="text1"/>
          <w:szCs w:val="24"/>
        </w:rPr>
        <w:t>euro</w:t>
      </w:r>
      <w:r w:rsidRPr="006A07BE">
        <w:rPr>
          <w:noProof/>
          <w:color w:val="000000" w:themeColor="text1"/>
          <w:szCs w:val="24"/>
        </w:rPr>
        <w:t xml:space="preserve"> jeb 3,3% no IKP. 2021.</w:t>
      </w:r>
      <w:r w:rsidR="006A07BE">
        <w:rPr>
          <w:noProof/>
          <w:color w:val="000000" w:themeColor="text1"/>
          <w:szCs w:val="24"/>
        </w:rPr>
        <w:t> </w:t>
      </w:r>
      <w:r w:rsidRPr="006A07BE">
        <w:rPr>
          <w:noProof/>
          <w:color w:val="000000" w:themeColor="text1"/>
          <w:szCs w:val="24"/>
        </w:rPr>
        <w:t>gadā sagaidāms, ka ietekme palielināsies līdz 2,1 miljardam euro jeb 6,8% no IKP. Savukārt 2022.</w:t>
      </w:r>
      <w:r w:rsidR="006A07BE">
        <w:rPr>
          <w:noProof/>
          <w:color w:val="000000" w:themeColor="text1"/>
          <w:szCs w:val="24"/>
        </w:rPr>
        <w:t> </w:t>
      </w:r>
      <w:r w:rsidRPr="006A07BE">
        <w:rPr>
          <w:noProof/>
          <w:color w:val="000000" w:themeColor="text1"/>
          <w:szCs w:val="24"/>
        </w:rPr>
        <w:t xml:space="preserve">gadam ietekme uz bilanci tiek vērtēta būtiski zemākā apmērā – 0,2 miljardi </w:t>
      </w:r>
      <w:r w:rsidRPr="006A07BE">
        <w:rPr>
          <w:i/>
          <w:noProof/>
          <w:color w:val="000000" w:themeColor="text1"/>
          <w:szCs w:val="24"/>
        </w:rPr>
        <w:t>euro</w:t>
      </w:r>
      <w:r w:rsidRPr="006A07BE">
        <w:rPr>
          <w:noProof/>
          <w:color w:val="000000" w:themeColor="text1"/>
          <w:szCs w:val="24"/>
        </w:rPr>
        <w:t xml:space="preserve"> jeb 0,7% no IKP, galvenokārt turpinot realizēt augstas gatavības investīciju projektus, kas tiks uzsākti šogad, kā arī paredzot finansējumu Covid-19 vakcīnu iegādei.</w:t>
      </w:r>
      <w:r w:rsidR="00E218EF">
        <w:rPr>
          <w:rFonts w:eastAsia="Times New Roman" w:cs="Times New Roman"/>
          <w:noProof/>
          <w:color w:val="000000"/>
          <w:szCs w:val="28"/>
        </w:rPr>
        <w:t xml:space="preserve"> </w:t>
      </w:r>
      <w:r w:rsidRPr="006A07BE">
        <w:rPr>
          <w:rFonts w:eastAsia="Times New Roman" w:cs="Times New Roman"/>
          <w:noProof/>
          <w:color w:val="000000"/>
          <w:szCs w:val="28"/>
        </w:rPr>
        <w:lastRenderedPageBreak/>
        <w:t xml:space="preserve">Jāatzīmē, </w:t>
      </w:r>
      <w:r w:rsidRPr="00E218EF">
        <w:rPr>
          <w:rFonts w:eastAsia="Times New Roman" w:cs="Times New Roman"/>
          <w:noProof/>
          <w:color w:val="000000"/>
          <w:szCs w:val="28"/>
        </w:rPr>
        <w:t>ka 2021.</w:t>
      </w:r>
      <w:r w:rsidR="00E218EF">
        <w:rPr>
          <w:rFonts w:eastAsia="Times New Roman" w:cs="Times New Roman"/>
          <w:noProof/>
          <w:color w:val="000000"/>
          <w:szCs w:val="28"/>
        </w:rPr>
        <w:t> </w:t>
      </w:r>
      <w:r w:rsidRPr="00E218EF">
        <w:rPr>
          <w:rFonts w:eastAsia="Times New Roman" w:cs="Times New Roman"/>
          <w:noProof/>
          <w:color w:val="000000"/>
          <w:szCs w:val="28"/>
        </w:rPr>
        <w:t>gada vispārējās valdības budžeta bilances novērtējumā iekļauta tikai</w:t>
      </w:r>
      <w:r w:rsidRPr="00E218EF">
        <w:rPr>
          <w:rFonts w:eastAsia="Times New Roman" w:cs="Times New Roman"/>
          <w:color w:val="000000"/>
          <w:szCs w:val="28"/>
        </w:rPr>
        <w:t xml:space="preserve"> to atbalsta pasākumu daļa, par kuriem Ministru kabinets ir lēmis ar attiecīgiem rīkojumiem, paredzot līdzekļu piešķiršanu no budžeta programmas “Līdzekļi neparedzētiem gadījumiem”. Tāpat izvērtēts arī finanšu institūcijas ALTUM programmu sagaidāmais darbības rezultāts šogad. </w:t>
      </w:r>
    </w:p>
    <w:p w14:paraId="0692989E" w14:textId="16133241" w:rsidR="00361468" w:rsidRPr="006E0164" w:rsidRDefault="00192862" w:rsidP="00A83AAD">
      <w:pPr>
        <w:spacing w:before="60" w:after="60"/>
        <w:rPr>
          <w:color w:val="000000" w:themeColor="text1"/>
          <w:szCs w:val="24"/>
        </w:rPr>
      </w:pPr>
      <w:r w:rsidRPr="00E218EF">
        <w:rPr>
          <w:rFonts w:eastAsia="Times New Roman" w:cs="Times New Roman"/>
          <w:color w:val="000000"/>
          <w:szCs w:val="28"/>
        </w:rPr>
        <w:t>Pieņemtos atbalsta pasākumu lēmumus Covid-19 krīzes pārvarēšanai var sadalīt piecās kategorijās – atbalsts nodokļu jomā, atbalsts pabalstu jomā, atbalsts aizdevumu un garantiju jomā, atbalsts nozarēm, kā arī ES finansējuma atbalsts. Pasākumi ar lielāko fiskālo ietekmi katrā jomā ir atspoguļoti</w:t>
      </w:r>
      <w:r w:rsidRPr="00E218EF">
        <w:rPr>
          <w:color w:val="000000" w:themeColor="text1"/>
          <w:szCs w:val="24"/>
        </w:rPr>
        <w:t xml:space="preserve"> </w:t>
      </w:r>
      <w:r w:rsidR="006E0164" w:rsidRPr="00E218EF">
        <w:rPr>
          <w:color w:val="000000" w:themeColor="text1"/>
          <w:szCs w:val="24"/>
        </w:rPr>
        <w:t>3</w:t>
      </w:r>
      <w:r w:rsidRPr="00E218EF">
        <w:rPr>
          <w:color w:val="000000" w:themeColor="text1"/>
          <w:szCs w:val="24"/>
        </w:rPr>
        <w:t>. tabulā.</w:t>
      </w:r>
    </w:p>
    <w:p w14:paraId="735C9674" w14:textId="7033A6CF" w:rsidR="00D23CB7" w:rsidRDefault="006E0164" w:rsidP="00A83AAD">
      <w:pPr>
        <w:spacing w:after="60"/>
        <w:ind w:firstLine="0"/>
        <w:jc w:val="center"/>
        <w:rPr>
          <w:rFonts w:eastAsia="Calibri" w:cs="Times New Roman"/>
          <w:b/>
          <w:noProof/>
          <w:sz w:val="24"/>
          <w:szCs w:val="24"/>
        </w:rPr>
      </w:pPr>
      <w:r w:rsidRPr="006E0164">
        <w:rPr>
          <w:rFonts w:eastAsia="Calibri" w:cs="Times New Roman"/>
          <w:b/>
          <w:sz w:val="24"/>
          <w:szCs w:val="24"/>
        </w:rPr>
        <w:t>3</w:t>
      </w:r>
      <w:r w:rsidR="00D23CB7" w:rsidRPr="006E0164">
        <w:rPr>
          <w:rFonts w:eastAsia="Calibri" w:cs="Times New Roman"/>
          <w:b/>
          <w:sz w:val="24"/>
          <w:szCs w:val="24"/>
        </w:rPr>
        <w:t xml:space="preserve">.tabula. </w:t>
      </w:r>
      <w:r w:rsidR="00493AD4" w:rsidRPr="006E0164">
        <w:rPr>
          <w:rFonts w:eastAsia="Calibri" w:cs="Times New Roman"/>
          <w:b/>
          <w:noProof/>
          <w:sz w:val="24"/>
          <w:szCs w:val="24"/>
        </w:rPr>
        <w:t>Valdības apstiprinātie atbalsta pasākumi Covid-19 izraisītās</w:t>
      </w:r>
      <w:r w:rsidR="00493AD4" w:rsidRPr="00FA77C4">
        <w:rPr>
          <w:rFonts w:eastAsia="Calibri" w:cs="Times New Roman"/>
          <w:b/>
          <w:noProof/>
          <w:sz w:val="24"/>
          <w:szCs w:val="24"/>
        </w:rPr>
        <w:t xml:space="preserve"> krīzes seku mazināšanai tautsaimniecībā</w:t>
      </w:r>
      <w:r w:rsidR="00D23CB7" w:rsidRPr="00FA77C4">
        <w:rPr>
          <w:rFonts w:eastAsia="Calibri" w:cs="Times New Roman"/>
          <w:b/>
          <w:noProof/>
          <w:sz w:val="24"/>
          <w:szCs w:val="24"/>
        </w:rPr>
        <w:t xml:space="preserve"> un to fiskālā ietekme, % no IKP un milj. </w:t>
      </w:r>
      <w:r w:rsidR="00D23CB7" w:rsidRPr="00351742">
        <w:rPr>
          <w:rFonts w:eastAsia="Calibri" w:cs="Times New Roman"/>
          <w:b/>
          <w:i/>
          <w:noProof/>
          <w:sz w:val="24"/>
          <w:szCs w:val="24"/>
        </w:rPr>
        <w:t>euro</w:t>
      </w:r>
    </w:p>
    <w:tbl>
      <w:tblPr>
        <w:tblStyle w:val="TableGrid1"/>
        <w:tblW w:w="9062" w:type="dxa"/>
        <w:jc w:val="center"/>
        <w:tblLayout w:type="fixed"/>
        <w:tblLook w:val="04A0" w:firstRow="1" w:lastRow="0" w:firstColumn="1" w:lastColumn="0" w:noHBand="0" w:noVBand="1"/>
      </w:tblPr>
      <w:tblGrid>
        <w:gridCol w:w="3255"/>
        <w:gridCol w:w="850"/>
        <w:gridCol w:w="995"/>
        <w:gridCol w:w="851"/>
        <w:gridCol w:w="1135"/>
        <w:gridCol w:w="1018"/>
        <w:gridCol w:w="958"/>
      </w:tblGrid>
      <w:tr w:rsidR="00FA77C4" w:rsidRPr="00F42440" w14:paraId="39302919" w14:textId="77777777" w:rsidTr="007E641C">
        <w:trPr>
          <w:trHeight w:val="196"/>
          <w:tblHeader/>
          <w:jc w:val="center"/>
        </w:trPr>
        <w:tc>
          <w:tcPr>
            <w:tcW w:w="3255" w:type="dxa"/>
            <w:vMerge w:val="restart"/>
            <w:shd w:val="clear" w:color="auto" w:fill="9CC2E5" w:themeFill="accent1" w:themeFillTint="99"/>
            <w:noWrap/>
            <w:vAlign w:val="center"/>
            <w:hideMark/>
          </w:tcPr>
          <w:p w14:paraId="77424713" w14:textId="77777777" w:rsidR="00FA77C4" w:rsidRPr="004B6E65" w:rsidRDefault="00FA77C4" w:rsidP="004B6E65">
            <w:pPr>
              <w:spacing w:before="0" w:after="0"/>
              <w:ind w:firstLine="0"/>
              <w:jc w:val="center"/>
              <w:rPr>
                <w:rFonts w:eastAsia="Times New Roman"/>
                <w:b/>
                <w:bCs/>
                <w:color w:val="000000"/>
                <w:sz w:val="20"/>
              </w:rPr>
            </w:pPr>
            <w:r w:rsidRPr="004B6E65">
              <w:rPr>
                <w:rFonts w:eastAsia="Times New Roman"/>
                <w:b/>
                <w:bCs/>
                <w:color w:val="000000"/>
                <w:sz w:val="20"/>
              </w:rPr>
              <w:t>Pasākumi</w:t>
            </w:r>
          </w:p>
        </w:tc>
        <w:tc>
          <w:tcPr>
            <w:tcW w:w="1845" w:type="dxa"/>
            <w:gridSpan w:val="2"/>
            <w:shd w:val="clear" w:color="auto" w:fill="9CC2E5" w:themeFill="accent1" w:themeFillTint="99"/>
            <w:noWrap/>
          </w:tcPr>
          <w:p w14:paraId="44ADA0CF" w14:textId="29F4F688" w:rsidR="00FA77C4" w:rsidRPr="004B6E65" w:rsidRDefault="00351742" w:rsidP="00351742">
            <w:pPr>
              <w:spacing w:before="0" w:after="0"/>
              <w:ind w:firstLine="0"/>
              <w:jc w:val="center"/>
              <w:rPr>
                <w:rFonts w:eastAsia="Times New Roman"/>
                <w:b/>
                <w:bCs/>
                <w:color w:val="000000"/>
                <w:sz w:val="20"/>
              </w:rPr>
            </w:pPr>
            <w:r w:rsidRPr="004B6E65">
              <w:rPr>
                <w:rFonts w:eastAsia="Times New Roman"/>
                <w:b/>
                <w:bCs/>
                <w:color w:val="000000"/>
                <w:sz w:val="20"/>
              </w:rPr>
              <w:t>2020</w:t>
            </w:r>
          </w:p>
        </w:tc>
        <w:tc>
          <w:tcPr>
            <w:tcW w:w="3004" w:type="dxa"/>
            <w:gridSpan w:val="3"/>
            <w:shd w:val="clear" w:color="auto" w:fill="9CC2E5" w:themeFill="accent1" w:themeFillTint="99"/>
            <w:noWrap/>
          </w:tcPr>
          <w:p w14:paraId="53FEF73F" w14:textId="0A24A916" w:rsidR="00FA77C4" w:rsidRPr="004B6E65" w:rsidRDefault="00351742" w:rsidP="00351742">
            <w:pPr>
              <w:spacing w:before="0" w:after="0"/>
              <w:ind w:firstLine="0"/>
              <w:jc w:val="center"/>
              <w:rPr>
                <w:rFonts w:eastAsia="Times New Roman"/>
                <w:b/>
                <w:bCs/>
                <w:color w:val="000000"/>
                <w:sz w:val="20"/>
              </w:rPr>
            </w:pPr>
            <w:r w:rsidRPr="004B6E65">
              <w:rPr>
                <w:rFonts w:eastAsia="Times New Roman"/>
                <w:b/>
                <w:bCs/>
                <w:color w:val="000000"/>
                <w:sz w:val="20"/>
              </w:rPr>
              <w:t>2021</w:t>
            </w:r>
          </w:p>
        </w:tc>
        <w:tc>
          <w:tcPr>
            <w:tcW w:w="958" w:type="dxa"/>
            <w:shd w:val="clear" w:color="auto" w:fill="9CC2E5" w:themeFill="accent1" w:themeFillTint="99"/>
            <w:noWrap/>
          </w:tcPr>
          <w:p w14:paraId="776001C0" w14:textId="6486202E" w:rsidR="00FA77C4" w:rsidRPr="004B6E65" w:rsidRDefault="00351742" w:rsidP="00351742">
            <w:pPr>
              <w:spacing w:before="0" w:after="0"/>
              <w:ind w:firstLine="0"/>
              <w:jc w:val="center"/>
              <w:rPr>
                <w:rFonts w:eastAsia="Times New Roman"/>
                <w:b/>
                <w:bCs/>
                <w:color w:val="000000"/>
                <w:sz w:val="20"/>
              </w:rPr>
            </w:pPr>
            <w:r w:rsidRPr="004B6E65">
              <w:rPr>
                <w:rFonts w:eastAsia="Times New Roman"/>
                <w:b/>
                <w:bCs/>
                <w:color w:val="000000"/>
                <w:sz w:val="20"/>
              </w:rPr>
              <w:t>2022</w:t>
            </w:r>
          </w:p>
        </w:tc>
      </w:tr>
      <w:tr w:rsidR="005E05F9" w:rsidRPr="00F42440" w14:paraId="5514BF97" w14:textId="77777777" w:rsidTr="007E641C">
        <w:trPr>
          <w:trHeight w:val="448"/>
          <w:tblHeader/>
          <w:jc w:val="center"/>
        </w:trPr>
        <w:tc>
          <w:tcPr>
            <w:tcW w:w="3255" w:type="dxa"/>
            <w:vMerge/>
            <w:shd w:val="clear" w:color="auto" w:fill="9CC2E5" w:themeFill="accent1" w:themeFillTint="99"/>
            <w:hideMark/>
          </w:tcPr>
          <w:p w14:paraId="07A571C9" w14:textId="77777777" w:rsidR="005E05F9" w:rsidRPr="004B6E65" w:rsidRDefault="005E05F9" w:rsidP="005E05F9">
            <w:pPr>
              <w:spacing w:before="0" w:after="0"/>
              <w:rPr>
                <w:rFonts w:eastAsia="Times New Roman"/>
                <w:b/>
                <w:bCs/>
                <w:color w:val="000000"/>
                <w:sz w:val="20"/>
              </w:rPr>
            </w:pPr>
          </w:p>
        </w:tc>
        <w:tc>
          <w:tcPr>
            <w:tcW w:w="850" w:type="dxa"/>
            <w:shd w:val="clear" w:color="auto" w:fill="9CC2E5" w:themeFill="accent1" w:themeFillTint="99"/>
            <w:noWrap/>
            <w:vAlign w:val="center"/>
          </w:tcPr>
          <w:p w14:paraId="710AED5B" w14:textId="51F2F9AF" w:rsidR="005E05F9" w:rsidRPr="004B6E65" w:rsidRDefault="005E05F9" w:rsidP="005E05F9">
            <w:pPr>
              <w:spacing w:before="0" w:after="0"/>
              <w:ind w:firstLine="0"/>
              <w:jc w:val="center"/>
              <w:rPr>
                <w:rFonts w:eastAsia="Times New Roman"/>
                <w:b/>
                <w:bCs/>
                <w:color w:val="000000"/>
                <w:sz w:val="20"/>
              </w:rPr>
            </w:pPr>
            <w:r w:rsidRPr="004B6E65">
              <w:rPr>
                <w:rFonts w:eastAsia="Times New Roman"/>
                <w:b/>
                <w:bCs/>
                <w:color w:val="000000"/>
                <w:sz w:val="20"/>
              </w:rPr>
              <w:t>Izpilde</w:t>
            </w:r>
          </w:p>
        </w:tc>
        <w:tc>
          <w:tcPr>
            <w:tcW w:w="994" w:type="dxa"/>
            <w:shd w:val="clear" w:color="auto" w:fill="9CC2E5" w:themeFill="accent1" w:themeFillTint="99"/>
            <w:vAlign w:val="center"/>
          </w:tcPr>
          <w:p w14:paraId="4B40A4E2" w14:textId="449BA91D" w:rsidR="005E05F9" w:rsidRPr="004B6E65" w:rsidRDefault="005E05F9" w:rsidP="005E05F9">
            <w:pPr>
              <w:spacing w:before="0" w:after="0"/>
              <w:ind w:firstLine="0"/>
              <w:jc w:val="center"/>
              <w:rPr>
                <w:rFonts w:eastAsia="Times New Roman"/>
                <w:b/>
                <w:bCs/>
                <w:color w:val="000000"/>
                <w:sz w:val="20"/>
              </w:rPr>
            </w:pPr>
            <w:r w:rsidRPr="004B6E65">
              <w:rPr>
                <w:rFonts w:eastAsia="Times New Roman"/>
                <w:b/>
                <w:bCs/>
                <w:color w:val="000000"/>
                <w:sz w:val="20"/>
              </w:rPr>
              <w:t>Ietekme uz bilanci</w:t>
            </w:r>
          </w:p>
        </w:tc>
        <w:tc>
          <w:tcPr>
            <w:tcW w:w="851" w:type="dxa"/>
            <w:shd w:val="clear" w:color="auto" w:fill="9CC2E5" w:themeFill="accent1" w:themeFillTint="99"/>
            <w:vAlign w:val="center"/>
          </w:tcPr>
          <w:p w14:paraId="0A025071" w14:textId="5D3C2122" w:rsidR="005E05F9" w:rsidRPr="004B6E65" w:rsidRDefault="005E05F9" w:rsidP="005E05F9">
            <w:pPr>
              <w:spacing w:before="0" w:after="0"/>
              <w:ind w:firstLine="0"/>
              <w:jc w:val="center"/>
              <w:rPr>
                <w:rFonts w:eastAsia="Times New Roman"/>
                <w:b/>
                <w:bCs/>
                <w:color w:val="000000"/>
                <w:sz w:val="20"/>
              </w:rPr>
            </w:pPr>
            <w:r w:rsidRPr="004B6E65">
              <w:rPr>
                <w:rFonts w:eastAsia="Times New Roman"/>
                <w:b/>
                <w:bCs/>
                <w:color w:val="000000"/>
                <w:sz w:val="20"/>
              </w:rPr>
              <w:t xml:space="preserve">Plāns uz </w:t>
            </w:r>
            <w:r>
              <w:rPr>
                <w:rFonts w:eastAsia="Times New Roman"/>
                <w:b/>
                <w:bCs/>
                <w:color w:val="000000"/>
                <w:sz w:val="20"/>
              </w:rPr>
              <w:t>10.08.</w:t>
            </w:r>
          </w:p>
        </w:tc>
        <w:tc>
          <w:tcPr>
            <w:tcW w:w="1135" w:type="dxa"/>
            <w:shd w:val="clear" w:color="auto" w:fill="9CC2E5" w:themeFill="accent1" w:themeFillTint="99"/>
            <w:vAlign w:val="center"/>
          </w:tcPr>
          <w:p w14:paraId="15D4A677" w14:textId="558794E6" w:rsidR="005E05F9" w:rsidRPr="004B6E65" w:rsidRDefault="005E05F9" w:rsidP="005E05F9">
            <w:pPr>
              <w:spacing w:before="0" w:after="0"/>
              <w:ind w:firstLine="0"/>
              <w:jc w:val="center"/>
              <w:rPr>
                <w:rFonts w:eastAsia="Times New Roman"/>
                <w:b/>
                <w:bCs/>
                <w:color w:val="000000"/>
                <w:sz w:val="20"/>
              </w:rPr>
            </w:pPr>
            <w:r w:rsidRPr="004B6E65">
              <w:rPr>
                <w:rFonts w:eastAsia="Times New Roman"/>
                <w:b/>
                <w:bCs/>
                <w:color w:val="000000"/>
                <w:sz w:val="20"/>
              </w:rPr>
              <w:t xml:space="preserve">Operatīvā izpilde līdz </w:t>
            </w:r>
            <w:r>
              <w:rPr>
                <w:rFonts w:eastAsia="Times New Roman"/>
                <w:b/>
                <w:bCs/>
                <w:color w:val="000000"/>
                <w:sz w:val="20"/>
              </w:rPr>
              <w:t>08</w:t>
            </w:r>
            <w:r w:rsidRPr="004B6E65">
              <w:rPr>
                <w:rFonts w:eastAsia="Times New Roman"/>
                <w:b/>
                <w:bCs/>
                <w:color w:val="000000"/>
                <w:sz w:val="20"/>
              </w:rPr>
              <w:t>.0</w:t>
            </w:r>
            <w:r>
              <w:rPr>
                <w:rFonts w:eastAsia="Times New Roman"/>
                <w:b/>
                <w:bCs/>
                <w:color w:val="000000"/>
                <w:sz w:val="20"/>
              </w:rPr>
              <w:t>8.</w:t>
            </w:r>
          </w:p>
        </w:tc>
        <w:tc>
          <w:tcPr>
            <w:tcW w:w="1017" w:type="dxa"/>
            <w:shd w:val="clear" w:color="auto" w:fill="9CC2E5" w:themeFill="accent1" w:themeFillTint="99"/>
            <w:vAlign w:val="center"/>
          </w:tcPr>
          <w:p w14:paraId="1A02EB8A" w14:textId="2DB60D9B" w:rsidR="005E05F9" w:rsidRPr="004B6E65" w:rsidRDefault="005E05F9" w:rsidP="005E05F9">
            <w:pPr>
              <w:spacing w:before="0" w:after="0"/>
              <w:ind w:firstLine="0"/>
              <w:jc w:val="center"/>
              <w:rPr>
                <w:rFonts w:eastAsia="Times New Roman"/>
                <w:b/>
                <w:bCs/>
                <w:color w:val="000000"/>
                <w:sz w:val="20"/>
              </w:rPr>
            </w:pPr>
            <w:r w:rsidRPr="004B6E65">
              <w:rPr>
                <w:rFonts w:eastAsia="Times New Roman"/>
                <w:b/>
                <w:bCs/>
                <w:color w:val="000000"/>
                <w:sz w:val="20"/>
              </w:rPr>
              <w:t>Ietekme uz bilanci</w:t>
            </w:r>
            <w:r>
              <w:rPr>
                <w:rFonts w:eastAsia="Times New Roman"/>
                <w:b/>
                <w:bCs/>
                <w:color w:val="000000"/>
                <w:sz w:val="20"/>
              </w:rPr>
              <w:t xml:space="preserve"> (novērt.)</w:t>
            </w:r>
          </w:p>
        </w:tc>
        <w:tc>
          <w:tcPr>
            <w:tcW w:w="958" w:type="dxa"/>
            <w:shd w:val="clear" w:color="auto" w:fill="9CC2E5" w:themeFill="accent1" w:themeFillTint="99"/>
            <w:vAlign w:val="center"/>
          </w:tcPr>
          <w:p w14:paraId="7D12CB78" w14:textId="4E0E5ABD" w:rsidR="005E05F9" w:rsidRPr="004B6E65" w:rsidRDefault="005E05F9" w:rsidP="005E05F9">
            <w:pPr>
              <w:spacing w:before="0" w:after="0"/>
              <w:ind w:firstLine="0"/>
              <w:jc w:val="center"/>
              <w:rPr>
                <w:rFonts w:eastAsia="Times New Roman"/>
                <w:b/>
                <w:bCs/>
                <w:color w:val="000000"/>
                <w:sz w:val="20"/>
              </w:rPr>
            </w:pPr>
            <w:r w:rsidRPr="004B6E65">
              <w:rPr>
                <w:rFonts w:eastAsia="Times New Roman"/>
                <w:b/>
                <w:bCs/>
                <w:color w:val="000000"/>
                <w:sz w:val="20"/>
              </w:rPr>
              <w:t>Ietekme uz bilanci</w:t>
            </w:r>
            <w:r>
              <w:rPr>
                <w:rFonts w:eastAsia="Times New Roman"/>
                <w:b/>
                <w:bCs/>
                <w:color w:val="000000"/>
                <w:sz w:val="20"/>
              </w:rPr>
              <w:t xml:space="preserve"> (novērt.)</w:t>
            </w:r>
          </w:p>
        </w:tc>
      </w:tr>
      <w:tr w:rsidR="005E05F9" w:rsidRPr="00F42440" w14:paraId="632BE8BE" w14:textId="77777777" w:rsidTr="007E641C">
        <w:trPr>
          <w:trHeight w:val="196"/>
          <w:jc w:val="center"/>
        </w:trPr>
        <w:tc>
          <w:tcPr>
            <w:tcW w:w="3255" w:type="dxa"/>
            <w:shd w:val="clear" w:color="auto" w:fill="9CC2E5" w:themeFill="accent1" w:themeFillTint="99"/>
            <w:noWrap/>
            <w:hideMark/>
          </w:tcPr>
          <w:p w14:paraId="1806ED95" w14:textId="77777777" w:rsidR="005E05F9" w:rsidRPr="004B6E65" w:rsidRDefault="005E05F9" w:rsidP="005E05F9">
            <w:pPr>
              <w:spacing w:before="0" w:after="0"/>
              <w:ind w:firstLine="0"/>
              <w:rPr>
                <w:rFonts w:eastAsia="Times New Roman"/>
                <w:b/>
                <w:bCs/>
                <w:color w:val="000000"/>
                <w:sz w:val="20"/>
              </w:rPr>
            </w:pPr>
            <w:r w:rsidRPr="004B6E65">
              <w:rPr>
                <w:rFonts w:eastAsia="Times New Roman"/>
                <w:b/>
                <w:bCs/>
                <w:color w:val="000000"/>
                <w:sz w:val="20"/>
              </w:rPr>
              <w:t>ATBALSTA APJOMS</w:t>
            </w:r>
          </w:p>
        </w:tc>
        <w:tc>
          <w:tcPr>
            <w:tcW w:w="850" w:type="dxa"/>
            <w:shd w:val="clear" w:color="auto" w:fill="9CC2E5" w:themeFill="accent1" w:themeFillTint="99"/>
            <w:noWrap/>
          </w:tcPr>
          <w:p w14:paraId="5CD52BEB" w14:textId="17BBE34C" w:rsidR="005E05F9" w:rsidRPr="004B6E65" w:rsidRDefault="005E05F9" w:rsidP="005E05F9">
            <w:pPr>
              <w:spacing w:before="0" w:after="0"/>
              <w:ind w:firstLine="0"/>
              <w:jc w:val="center"/>
              <w:rPr>
                <w:rFonts w:eastAsia="Times New Roman"/>
                <w:b/>
                <w:color w:val="000000"/>
                <w:sz w:val="20"/>
              </w:rPr>
            </w:pPr>
            <w:r>
              <w:rPr>
                <w:rFonts w:eastAsia="Times New Roman"/>
                <w:b/>
                <w:color w:val="000000"/>
                <w:sz w:val="20"/>
              </w:rPr>
              <w:t>1 279,6</w:t>
            </w:r>
          </w:p>
        </w:tc>
        <w:tc>
          <w:tcPr>
            <w:tcW w:w="994" w:type="dxa"/>
            <w:shd w:val="clear" w:color="auto" w:fill="9CC2E5" w:themeFill="accent1" w:themeFillTint="99"/>
            <w:noWrap/>
          </w:tcPr>
          <w:p w14:paraId="7902B873" w14:textId="1E0B9DE6" w:rsidR="005E05F9" w:rsidRPr="004B6E65" w:rsidRDefault="005E05F9" w:rsidP="005E05F9">
            <w:pPr>
              <w:spacing w:before="0" w:after="0"/>
              <w:ind w:firstLine="0"/>
              <w:jc w:val="center"/>
              <w:rPr>
                <w:rFonts w:eastAsia="Times New Roman"/>
                <w:b/>
                <w:color w:val="000000"/>
                <w:sz w:val="20"/>
              </w:rPr>
            </w:pPr>
            <w:r>
              <w:rPr>
                <w:rFonts w:eastAsia="Times New Roman"/>
                <w:b/>
                <w:color w:val="000000"/>
                <w:sz w:val="20"/>
              </w:rPr>
              <w:t>-969,8</w:t>
            </w:r>
          </w:p>
        </w:tc>
        <w:tc>
          <w:tcPr>
            <w:tcW w:w="851" w:type="dxa"/>
            <w:shd w:val="clear" w:color="auto" w:fill="9CC2E5" w:themeFill="accent1" w:themeFillTint="99"/>
            <w:noWrap/>
          </w:tcPr>
          <w:p w14:paraId="786B0B0F" w14:textId="3EB53860" w:rsidR="005E05F9" w:rsidRPr="004B6E65" w:rsidRDefault="005E05F9" w:rsidP="005E05F9">
            <w:pPr>
              <w:spacing w:before="0" w:after="0"/>
              <w:ind w:firstLine="0"/>
              <w:jc w:val="center"/>
              <w:rPr>
                <w:rFonts w:eastAsia="Times New Roman"/>
                <w:b/>
                <w:color w:val="000000"/>
                <w:sz w:val="20"/>
              </w:rPr>
            </w:pPr>
            <w:r>
              <w:rPr>
                <w:rFonts w:eastAsia="Times New Roman"/>
                <w:b/>
                <w:color w:val="000000"/>
                <w:sz w:val="20"/>
              </w:rPr>
              <w:t>3 195,1</w:t>
            </w:r>
          </w:p>
        </w:tc>
        <w:tc>
          <w:tcPr>
            <w:tcW w:w="1135" w:type="dxa"/>
            <w:shd w:val="clear" w:color="auto" w:fill="9CC2E5" w:themeFill="accent1" w:themeFillTint="99"/>
            <w:noWrap/>
          </w:tcPr>
          <w:p w14:paraId="3D94453F" w14:textId="4940A114" w:rsidR="005E05F9" w:rsidRPr="004B6E65" w:rsidRDefault="005E05F9" w:rsidP="005E05F9">
            <w:pPr>
              <w:spacing w:before="0" w:after="0"/>
              <w:ind w:firstLine="0"/>
              <w:jc w:val="center"/>
              <w:rPr>
                <w:rFonts w:eastAsia="Times New Roman"/>
                <w:b/>
                <w:sz w:val="20"/>
              </w:rPr>
            </w:pPr>
            <w:r>
              <w:rPr>
                <w:rFonts w:eastAsia="Times New Roman"/>
                <w:b/>
                <w:sz w:val="20"/>
              </w:rPr>
              <w:t>1 555,4</w:t>
            </w:r>
          </w:p>
        </w:tc>
        <w:tc>
          <w:tcPr>
            <w:tcW w:w="1017" w:type="dxa"/>
            <w:shd w:val="clear" w:color="auto" w:fill="9CC2E5" w:themeFill="accent1" w:themeFillTint="99"/>
            <w:noWrap/>
          </w:tcPr>
          <w:p w14:paraId="7C315308" w14:textId="4F704CD0" w:rsidR="005E05F9" w:rsidRPr="004B6E65" w:rsidRDefault="005E05F9" w:rsidP="005E05F9">
            <w:pPr>
              <w:spacing w:before="0" w:after="0"/>
              <w:ind w:firstLine="0"/>
              <w:jc w:val="center"/>
              <w:rPr>
                <w:rFonts w:eastAsia="Times New Roman"/>
                <w:b/>
                <w:color w:val="000000"/>
                <w:sz w:val="20"/>
              </w:rPr>
            </w:pPr>
            <w:r w:rsidRPr="00FB465A">
              <w:rPr>
                <w:rFonts w:eastAsia="Times New Roman"/>
                <w:b/>
                <w:color w:val="000000"/>
                <w:sz w:val="20"/>
              </w:rPr>
              <w:t>-2 129,0</w:t>
            </w:r>
          </w:p>
        </w:tc>
        <w:tc>
          <w:tcPr>
            <w:tcW w:w="958" w:type="dxa"/>
            <w:shd w:val="clear" w:color="auto" w:fill="9CC2E5" w:themeFill="accent1" w:themeFillTint="99"/>
            <w:noWrap/>
          </w:tcPr>
          <w:p w14:paraId="0B4B4F3F" w14:textId="223FAB85" w:rsidR="005E05F9" w:rsidRPr="004B6E65" w:rsidRDefault="005E05F9" w:rsidP="005E05F9">
            <w:pPr>
              <w:spacing w:before="0" w:after="0"/>
              <w:ind w:firstLine="0"/>
              <w:jc w:val="center"/>
              <w:rPr>
                <w:rFonts w:eastAsia="Times New Roman"/>
                <w:b/>
                <w:color w:val="000000"/>
                <w:sz w:val="20"/>
              </w:rPr>
            </w:pPr>
            <w:r>
              <w:rPr>
                <w:rFonts w:eastAsia="Times New Roman"/>
                <w:b/>
                <w:color w:val="000000"/>
                <w:sz w:val="20"/>
              </w:rPr>
              <w:t>-232,6</w:t>
            </w:r>
          </w:p>
        </w:tc>
      </w:tr>
      <w:tr w:rsidR="005E05F9" w:rsidRPr="00F42440" w14:paraId="797A9DC5" w14:textId="77777777" w:rsidTr="007E641C">
        <w:trPr>
          <w:trHeight w:val="196"/>
          <w:jc w:val="center"/>
        </w:trPr>
        <w:tc>
          <w:tcPr>
            <w:tcW w:w="3255" w:type="dxa"/>
            <w:shd w:val="clear" w:color="auto" w:fill="9CC2E5" w:themeFill="accent1" w:themeFillTint="99"/>
            <w:noWrap/>
            <w:hideMark/>
          </w:tcPr>
          <w:p w14:paraId="268CBE75" w14:textId="77777777" w:rsidR="005E05F9" w:rsidRPr="004B6E65" w:rsidRDefault="005E05F9" w:rsidP="005E05F9">
            <w:pPr>
              <w:spacing w:before="0" w:after="0"/>
              <w:ind w:firstLine="0"/>
              <w:rPr>
                <w:rFonts w:eastAsia="Times New Roman"/>
                <w:b/>
                <w:bCs/>
                <w:color w:val="000000"/>
                <w:sz w:val="20"/>
              </w:rPr>
            </w:pPr>
            <w:r w:rsidRPr="004B6E65">
              <w:rPr>
                <w:rFonts w:eastAsia="Times New Roman"/>
                <w:b/>
                <w:bCs/>
                <w:color w:val="000000"/>
                <w:sz w:val="20"/>
              </w:rPr>
              <w:t>% no attiecīgā gada IKP</w:t>
            </w:r>
          </w:p>
        </w:tc>
        <w:tc>
          <w:tcPr>
            <w:tcW w:w="850" w:type="dxa"/>
            <w:shd w:val="clear" w:color="auto" w:fill="9CC2E5" w:themeFill="accent1" w:themeFillTint="99"/>
          </w:tcPr>
          <w:p w14:paraId="00734488" w14:textId="7FA3CCA1" w:rsidR="005E05F9" w:rsidRPr="004B6E65" w:rsidRDefault="005E05F9" w:rsidP="005E05F9">
            <w:pPr>
              <w:spacing w:before="0" w:after="0"/>
              <w:ind w:firstLine="0"/>
              <w:jc w:val="center"/>
              <w:rPr>
                <w:rFonts w:eastAsia="Times New Roman"/>
                <w:b/>
                <w:color w:val="000000"/>
                <w:sz w:val="20"/>
              </w:rPr>
            </w:pPr>
            <w:r>
              <w:rPr>
                <w:rFonts w:eastAsia="Times New Roman"/>
                <w:b/>
                <w:color w:val="000000"/>
                <w:sz w:val="20"/>
              </w:rPr>
              <w:t>4,4</w:t>
            </w:r>
          </w:p>
        </w:tc>
        <w:tc>
          <w:tcPr>
            <w:tcW w:w="994" w:type="dxa"/>
            <w:shd w:val="clear" w:color="auto" w:fill="9CC2E5" w:themeFill="accent1" w:themeFillTint="99"/>
          </w:tcPr>
          <w:p w14:paraId="6118C775" w14:textId="49EE28FC" w:rsidR="005E05F9" w:rsidRPr="004B6E65" w:rsidRDefault="005E05F9" w:rsidP="005E05F9">
            <w:pPr>
              <w:spacing w:before="0" w:after="0"/>
              <w:ind w:firstLine="0"/>
              <w:jc w:val="center"/>
              <w:rPr>
                <w:rFonts w:eastAsia="Times New Roman"/>
                <w:b/>
                <w:color w:val="000000"/>
                <w:sz w:val="20"/>
              </w:rPr>
            </w:pPr>
            <w:r>
              <w:rPr>
                <w:rFonts w:eastAsia="Times New Roman"/>
                <w:b/>
                <w:color w:val="000000"/>
                <w:sz w:val="20"/>
              </w:rPr>
              <w:t>-3,3</w:t>
            </w:r>
          </w:p>
        </w:tc>
        <w:tc>
          <w:tcPr>
            <w:tcW w:w="851" w:type="dxa"/>
            <w:shd w:val="clear" w:color="auto" w:fill="9CC2E5" w:themeFill="accent1" w:themeFillTint="99"/>
          </w:tcPr>
          <w:p w14:paraId="0EA8BA3C" w14:textId="50A725FC" w:rsidR="005E05F9" w:rsidRPr="004B6E65" w:rsidRDefault="005E05F9" w:rsidP="005E05F9">
            <w:pPr>
              <w:spacing w:before="0" w:after="0"/>
              <w:ind w:firstLine="0"/>
              <w:jc w:val="center"/>
              <w:rPr>
                <w:rFonts w:eastAsia="Times New Roman"/>
                <w:b/>
                <w:color w:val="000000"/>
                <w:sz w:val="20"/>
              </w:rPr>
            </w:pPr>
            <w:r>
              <w:rPr>
                <w:rFonts w:eastAsia="Times New Roman"/>
                <w:b/>
                <w:color w:val="000000"/>
                <w:sz w:val="20"/>
              </w:rPr>
              <w:t>10,2</w:t>
            </w:r>
          </w:p>
        </w:tc>
        <w:tc>
          <w:tcPr>
            <w:tcW w:w="1135" w:type="dxa"/>
            <w:shd w:val="clear" w:color="auto" w:fill="9CC2E5" w:themeFill="accent1" w:themeFillTint="99"/>
          </w:tcPr>
          <w:p w14:paraId="79FD4FDB" w14:textId="3769179A" w:rsidR="005E05F9" w:rsidRPr="004B6E65" w:rsidRDefault="005E05F9" w:rsidP="005E05F9">
            <w:pPr>
              <w:spacing w:before="0" w:after="0"/>
              <w:ind w:firstLine="0"/>
              <w:jc w:val="center"/>
              <w:rPr>
                <w:rFonts w:eastAsia="Times New Roman"/>
                <w:b/>
                <w:color w:val="000000"/>
                <w:sz w:val="20"/>
              </w:rPr>
            </w:pPr>
            <w:r>
              <w:rPr>
                <w:rFonts w:eastAsia="Times New Roman"/>
                <w:b/>
                <w:color w:val="000000"/>
                <w:sz w:val="20"/>
              </w:rPr>
              <w:t>5,0</w:t>
            </w:r>
          </w:p>
        </w:tc>
        <w:tc>
          <w:tcPr>
            <w:tcW w:w="1017" w:type="dxa"/>
            <w:shd w:val="clear" w:color="auto" w:fill="9CC2E5" w:themeFill="accent1" w:themeFillTint="99"/>
          </w:tcPr>
          <w:p w14:paraId="05ED9061" w14:textId="55BB4DBB" w:rsidR="005E05F9" w:rsidRPr="004B6E65" w:rsidRDefault="005E05F9" w:rsidP="005E05F9">
            <w:pPr>
              <w:spacing w:before="0" w:after="0"/>
              <w:ind w:firstLine="0"/>
              <w:jc w:val="center"/>
              <w:rPr>
                <w:rFonts w:eastAsia="Times New Roman"/>
                <w:b/>
                <w:color w:val="000000"/>
                <w:sz w:val="20"/>
              </w:rPr>
            </w:pPr>
            <w:r>
              <w:rPr>
                <w:rFonts w:eastAsia="Times New Roman"/>
                <w:b/>
                <w:color w:val="000000"/>
                <w:sz w:val="20"/>
              </w:rPr>
              <w:t>-6,8</w:t>
            </w:r>
          </w:p>
        </w:tc>
        <w:tc>
          <w:tcPr>
            <w:tcW w:w="958" w:type="dxa"/>
            <w:shd w:val="clear" w:color="auto" w:fill="9CC2E5" w:themeFill="accent1" w:themeFillTint="99"/>
          </w:tcPr>
          <w:p w14:paraId="05C88A9F" w14:textId="0DA1D029" w:rsidR="005E05F9" w:rsidRPr="004B6E65" w:rsidRDefault="005E05F9" w:rsidP="005E05F9">
            <w:pPr>
              <w:spacing w:before="0" w:after="0"/>
              <w:ind w:firstLine="0"/>
              <w:jc w:val="center"/>
              <w:rPr>
                <w:rFonts w:eastAsia="Times New Roman"/>
                <w:b/>
                <w:color w:val="000000"/>
                <w:sz w:val="20"/>
              </w:rPr>
            </w:pPr>
            <w:r>
              <w:rPr>
                <w:rFonts w:eastAsia="Times New Roman"/>
                <w:b/>
                <w:color w:val="000000"/>
                <w:sz w:val="20"/>
              </w:rPr>
              <w:t>-0,7</w:t>
            </w:r>
          </w:p>
        </w:tc>
      </w:tr>
      <w:tr w:rsidR="005E05F9" w:rsidRPr="00F42440" w14:paraId="402557C8" w14:textId="77777777" w:rsidTr="007E641C">
        <w:trPr>
          <w:trHeight w:val="196"/>
          <w:jc w:val="center"/>
        </w:trPr>
        <w:tc>
          <w:tcPr>
            <w:tcW w:w="3255" w:type="dxa"/>
            <w:shd w:val="clear" w:color="auto" w:fill="DEEAF6" w:themeFill="accent1" w:themeFillTint="33"/>
            <w:noWrap/>
            <w:hideMark/>
          </w:tcPr>
          <w:p w14:paraId="70038E9E" w14:textId="77777777" w:rsidR="005E05F9" w:rsidRPr="004B6E65" w:rsidRDefault="005E05F9" w:rsidP="007E7CBB">
            <w:pPr>
              <w:spacing w:before="0" w:after="0"/>
              <w:ind w:firstLine="0"/>
              <w:jc w:val="left"/>
              <w:rPr>
                <w:rFonts w:eastAsia="Times New Roman"/>
                <w:b/>
                <w:bCs/>
                <w:color w:val="000000"/>
                <w:sz w:val="20"/>
              </w:rPr>
            </w:pPr>
            <w:r w:rsidRPr="004B6E65">
              <w:rPr>
                <w:rFonts w:eastAsia="Times New Roman"/>
                <w:b/>
                <w:bCs/>
                <w:color w:val="000000"/>
                <w:sz w:val="20"/>
              </w:rPr>
              <w:t>I Atbalsts nodokļu jomā,</w:t>
            </w:r>
            <w:r w:rsidRPr="004B6E65">
              <w:rPr>
                <w:rFonts w:eastAsia="Times New Roman"/>
                <w:b/>
                <w:bCs/>
                <w:color w:val="000000"/>
                <w:sz w:val="20"/>
              </w:rPr>
              <w:br/>
            </w:r>
            <w:r w:rsidRPr="004B6E65">
              <w:rPr>
                <w:rFonts w:eastAsia="Times New Roman"/>
                <w:color w:val="000000"/>
                <w:sz w:val="20"/>
              </w:rPr>
              <w:t>tai skaitā</w:t>
            </w:r>
          </w:p>
        </w:tc>
        <w:tc>
          <w:tcPr>
            <w:tcW w:w="850" w:type="dxa"/>
            <w:shd w:val="clear" w:color="auto" w:fill="DEEAF6" w:themeFill="accent1" w:themeFillTint="33"/>
            <w:noWrap/>
            <w:vAlign w:val="center"/>
          </w:tcPr>
          <w:p w14:paraId="53832D92" w14:textId="13BB647A" w:rsidR="005E05F9" w:rsidRPr="004B6E65" w:rsidRDefault="005E05F9" w:rsidP="005E05F9">
            <w:pPr>
              <w:spacing w:before="0" w:after="0"/>
              <w:ind w:firstLine="0"/>
              <w:jc w:val="center"/>
              <w:rPr>
                <w:rFonts w:eastAsia="Times New Roman"/>
                <w:color w:val="000000"/>
                <w:sz w:val="20"/>
              </w:rPr>
            </w:pPr>
            <w:r w:rsidRPr="00FB465A">
              <w:rPr>
                <w:rFonts w:eastAsia="Times New Roman"/>
                <w:b/>
                <w:color w:val="000000"/>
                <w:sz w:val="20"/>
              </w:rPr>
              <w:t>251,0</w:t>
            </w:r>
          </w:p>
        </w:tc>
        <w:tc>
          <w:tcPr>
            <w:tcW w:w="994" w:type="dxa"/>
            <w:shd w:val="clear" w:color="auto" w:fill="DEEAF6" w:themeFill="accent1" w:themeFillTint="33"/>
            <w:noWrap/>
            <w:vAlign w:val="center"/>
          </w:tcPr>
          <w:p w14:paraId="6A7822B6" w14:textId="170A5CE9"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-136,2</w:t>
            </w:r>
          </w:p>
        </w:tc>
        <w:tc>
          <w:tcPr>
            <w:tcW w:w="851" w:type="dxa"/>
            <w:shd w:val="clear" w:color="auto" w:fill="DEEAF6" w:themeFill="accent1" w:themeFillTint="33"/>
            <w:noWrap/>
            <w:vAlign w:val="center"/>
          </w:tcPr>
          <w:p w14:paraId="1DD896CE" w14:textId="039B2027"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110,0</w:t>
            </w:r>
          </w:p>
        </w:tc>
        <w:tc>
          <w:tcPr>
            <w:tcW w:w="1135" w:type="dxa"/>
            <w:shd w:val="clear" w:color="auto" w:fill="DEEAF6" w:themeFill="accent1" w:themeFillTint="33"/>
            <w:noWrap/>
            <w:vAlign w:val="center"/>
          </w:tcPr>
          <w:p w14:paraId="191E2BE3" w14:textId="712D32E9"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59,9</w:t>
            </w:r>
          </w:p>
        </w:tc>
        <w:tc>
          <w:tcPr>
            <w:tcW w:w="1017" w:type="dxa"/>
            <w:shd w:val="clear" w:color="auto" w:fill="DEEAF6" w:themeFill="accent1" w:themeFillTint="33"/>
            <w:noWrap/>
            <w:vAlign w:val="center"/>
          </w:tcPr>
          <w:p w14:paraId="35866F25" w14:textId="6E06FE11"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-30,0</w:t>
            </w:r>
          </w:p>
        </w:tc>
        <w:tc>
          <w:tcPr>
            <w:tcW w:w="958" w:type="dxa"/>
            <w:shd w:val="clear" w:color="auto" w:fill="DEEAF6" w:themeFill="accent1" w:themeFillTint="33"/>
            <w:noWrap/>
            <w:vAlign w:val="center"/>
          </w:tcPr>
          <w:p w14:paraId="0162A374" w14:textId="1D4DC1E5"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36,5</w:t>
            </w:r>
          </w:p>
        </w:tc>
      </w:tr>
      <w:tr w:rsidR="005E05F9" w:rsidRPr="00F42440" w14:paraId="77388818" w14:textId="77777777" w:rsidTr="007E641C">
        <w:trPr>
          <w:trHeight w:val="196"/>
          <w:jc w:val="center"/>
        </w:trPr>
        <w:tc>
          <w:tcPr>
            <w:tcW w:w="3255" w:type="dxa"/>
            <w:hideMark/>
          </w:tcPr>
          <w:p w14:paraId="73A567CD" w14:textId="77777777" w:rsidR="005E05F9" w:rsidRPr="004B6E65" w:rsidRDefault="005E05F9" w:rsidP="007E7CBB">
            <w:pPr>
              <w:spacing w:before="0" w:after="0"/>
              <w:ind w:firstLine="0"/>
              <w:jc w:val="left"/>
              <w:rPr>
                <w:rFonts w:eastAsia="Times New Roman"/>
                <w:color w:val="000000"/>
                <w:sz w:val="20"/>
              </w:rPr>
            </w:pPr>
            <w:r w:rsidRPr="004B6E65">
              <w:rPr>
                <w:rFonts w:eastAsia="Times New Roman"/>
                <w:color w:val="000000"/>
                <w:sz w:val="20"/>
              </w:rPr>
              <w:t>Nodokļu samaksas termiņa pagarinājumi</w:t>
            </w:r>
          </w:p>
        </w:tc>
        <w:tc>
          <w:tcPr>
            <w:tcW w:w="850" w:type="dxa"/>
            <w:noWrap/>
            <w:vAlign w:val="center"/>
          </w:tcPr>
          <w:p w14:paraId="2B8C081A" w14:textId="4B144170"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162,0</w:t>
            </w:r>
          </w:p>
        </w:tc>
        <w:tc>
          <w:tcPr>
            <w:tcW w:w="994" w:type="dxa"/>
            <w:vAlign w:val="center"/>
          </w:tcPr>
          <w:p w14:paraId="361FA530" w14:textId="631F37F5" w:rsidR="005E05F9" w:rsidRPr="004B6E65" w:rsidRDefault="005E05F9" w:rsidP="005E05F9">
            <w:pPr>
              <w:spacing w:before="0" w:after="0"/>
              <w:ind w:firstLine="0"/>
              <w:jc w:val="center"/>
              <w:rPr>
                <w:rFonts w:eastAsia="Times New Roman"/>
                <w:sz w:val="20"/>
              </w:rPr>
            </w:pPr>
            <w:r>
              <w:rPr>
                <w:rFonts w:eastAsia="Times New Roman"/>
                <w:sz w:val="20"/>
              </w:rPr>
              <w:t>-47,2</w:t>
            </w:r>
          </w:p>
        </w:tc>
        <w:tc>
          <w:tcPr>
            <w:tcW w:w="851" w:type="dxa"/>
            <w:noWrap/>
            <w:vAlign w:val="center"/>
          </w:tcPr>
          <w:p w14:paraId="7710F0CF" w14:textId="3FB29CC7"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75,0</w:t>
            </w:r>
          </w:p>
        </w:tc>
        <w:tc>
          <w:tcPr>
            <w:tcW w:w="1135" w:type="dxa"/>
            <w:noWrap/>
            <w:vAlign w:val="center"/>
          </w:tcPr>
          <w:p w14:paraId="5FF33540" w14:textId="423551EA" w:rsidR="005E05F9" w:rsidRPr="004B6E65" w:rsidRDefault="005E05F9" w:rsidP="005E05F9">
            <w:pPr>
              <w:spacing w:before="0" w:after="0"/>
              <w:ind w:firstLine="0"/>
              <w:jc w:val="center"/>
              <w:rPr>
                <w:rFonts w:eastAsia="Times New Roman"/>
                <w:sz w:val="20"/>
              </w:rPr>
            </w:pPr>
            <w:r>
              <w:rPr>
                <w:rFonts w:eastAsia="Times New Roman"/>
                <w:sz w:val="20"/>
              </w:rPr>
              <w:t>59,9</w:t>
            </w:r>
          </w:p>
        </w:tc>
        <w:tc>
          <w:tcPr>
            <w:tcW w:w="1017" w:type="dxa"/>
            <w:vAlign w:val="center"/>
          </w:tcPr>
          <w:p w14:paraId="104EC26D" w14:textId="12944CC3" w:rsidR="005E05F9" w:rsidRPr="004B6E65" w:rsidRDefault="005E05F9" w:rsidP="005E05F9">
            <w:pPr>
              <w:spacing w:before="0" w:after="0"/>
              <w:ind w:firstLine="0"/>
              <w:jc w:val="center"/>
              <w:rPr>
                <w:rFonts w:eastAsia="Times New Roman"/>
                <w:sz w:val="20"/>
              </w:rPr>
            </w:pPr>
            <w:r>
              <w:rPr>
                <w:rFonts w:eastAsia="Times New Roman"/>
                <w:sz w:val="20"/>
              </w:rPr>
              <w:t>-24,0</w:t>
            </w:r>
          </w:p>
        </w:tc>
        <w:tc>
          <w:tcPr>
            <w:tcW w:w="958" w:type="dxa"/>
            <w:vAlign w:val="center"/>
          </w:tcPr>
          <w:p w14:paraId="388591D6" w14:textId="5E5184A4" w:rsidR="005E05F9" w:rsidRPr="004B6E65" w:rsidRDefault="005E05F9" w:rsidP="005E05F9">
            <w:pPr>
              <w:spacing w:before="0" w:after="0"/>
              <w:ind w:firstLine="0"/>
              <w:jc w:val="center"/>
              <w:rPr>
                <w:rFonts w:eastAsia="Times New Roman"/>
                <w:sz w:val="20"/>
              </w:rPr>
            </w:pPr>
            <w:r>
              <w:rPr>
                <w:rFonts w:eastAsia="Times New Roman"/>
                <w:sz w:val="20"/>
              </w:rPr>
              <w:t>1,5</w:t>
            </w:r>
          </w:p>
        </w:tc>
      </w:tr>
      <w:tr w:rsidR="005E05F9" w:rsidRPr="00F42440" w14:paraId="6FBBEEAF" w14:textId="77777777" w:rsidTr="007E641C">
        <w:trPr>
          <w:trHeight w:val="412"/>
          <w:jc w:val="center"/>
        </w:trPr>
        <w:tc>
          <w:tcPr>
            <w:tcW w:w="3255" w:type="dxa"/>
            <w:shd w:val="clear" w:color="auto" w:fill="DEEAF6" w:themeFill="accent1" w:themeFillTint="33"/>
            <w:noWrap/>
            <w:hideMark/>
          </w:tcPr>
          <w:p w14:paraId="4EC9FA40" w14:textId="77777777" w:rsidR="005E05F9" w:rsidRPr="004B6E65" w:rsidRDefault="005E05F9" w:rsidP="007E7CBB">
            <w:pPr>
              <w:spacing w:before="0" w:after="0"/>
              <w:ind w:firstLine="0"/>
              <w:jc w:val="left"/>
              <w:rPr>
                <w:rFonts w:eastAsia="Times New Roman"/>
                <w:b/>
                <w:bCs/>
                <w:color w:val="000000"/>
                <w:sz w:val="20"/>
              </w:rPr>
            </w:pPr>
            <w:r w:rsidRPr="004B6E65">
              <w:rPr>
                <w:rFonts w:eastAsia="Times New Roman"/>
                <w:b/>
                <w:bCs/>
                <w:color w:val="000000"/>
                <w:sz w:val="20"/>
              </w:rPr>
              <w:t xml:space="preserve">II Atbalsts pabalstu jomā, </w:t>
            </w:r>
          </w:p>
          <w:p w14:paraId="35925B11" w14:textId="77777777" w:rsidR="005E05F9" w:rsidRPr="004B6E65" w:rsidRDefault="005E05F9" w:rsidP="007E7CBB">
            <w:pPr>
              <w:spacing w:before="0" w:after="0"/>
              <w:ind w:firstLine="0"/>
              <w:jc w:val="left"/>
              <w:rPr>
                <w:rFonts w:eastAsia="Times New Roman"/>
                <w:color w:val="000000"/>
                <w:sz w:val="20"/>
              </w:rPr>
            </w:pPr>
            <w:r w:rsidRPr="004B6E65">
              <w:rPr>
                <w:rFonts w:eastAsia="Times New Roman"/>
                <w:color w:val="000000"/>
                <w:sz w:val="20"/>
              </w:rPr>
              <w:t>tai skaitā</w:t>
            </w:r>
          </w:p>
        </w:tc>
        <w:tc>
          <w:tcPr>
            <w:tcW w:w="850" w:type="dxa"/>
            <w:shd w:val="clear" w:color="auto" w:fill="DEEAF6" w:themeFill="accent1" w:themeFillTint="33"/>
            <w:noWrap/>
            <w:vAlign w:val="center"/>
          </w:tcPr>
          <w:p w14:paraId="4ABC71A5" w14:textId="785A836E" w:rsidR="005E05F9" w:rsidRPr="004B6E65" w:rsidRDefault="005E05F9" w:rsidP="005E05F9">
            <w:pPr>
              <w:spacing w:before="0" w:after="0"/>
              <w:ind w:firstLine="0"/>
              <w:jc w:val="center"/>
              <w:rPr>
                <w:rFonts w:eastAsia="Times New Roman"/>
                <w:color w:val="000000"/>
                <w:sz w:val="20"/>
              </w:rPr>
            </w:pPr>
            <w:r w:rsidRPr="00FB465A">
              <w:rPr>
                <w:rFonts w:eastAsia="Times New Roman"/>
                <w:b/>
                <w:color w:val="000000"/>
                <w:sz w:val="20"/>
              </w:rPr>
              <w:t>129,6</w:t>
            </w:r>
          </w:p>
        </w:tc>
        <w:tc>
          <w:tcPr>
            <w:tcW w:w="994" w:type="dxa"/>
            <w:shd w:val="clear" w:color="auto" w:fill="DEEAF6" w:themeFill="accent1" w:themeFillTint="33"/>
            <w:noWrap/>
            <w:vAlign w:val="center"/>
          </w:tcPr>
          <w:p w14:paraId="3A6091F2" w14:textId="43711CD4"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-129,6</w:t>
            </w:r>
          </w:p>
        </w:tc>
        <w:tc>
          <w:tcPr>
            <w:tcW w:w="851" w:type="dxa"/>
            <w:shd w:val="clear" w:color="auto" w:fill="DEEAF6" w:themeFill="accent1" w:themeFillTint="33"/>
            <w:noWrap/>
            <w:vAlign w:val="center"/>
          </w:tcPr>
          <w:p w14:paraId="25CBC3F0" w14:textId="656BD33F"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539,2</w:t>
            </w:r>
          </w:p>
        </w:tc>
        <w:tc>
          <w:tcPr>
            <w:tcW w:w="1135" w:type="dxa"/>
            <w:shd w:val="clear" w:color="auto" w:fill="DEEAF6" w:themeFill="accent1" w:themeFillTint="33"/>
            <w:noWrap/>
            <w:vAlign w:val="center"/>
          </w:tcPr>
          <w:p w14:paraId="15288B8F" w14:textId="7493F6BE" w:rsidR="005E05F9" w:rsidRPr="004B6E65" w:rsidRDefault="005E05F9" w:rsidP="005E05F9">
            <w:pPr>
              <w:spacing w:before="0" w:after="0"/>
              <w:ind w:firstLine="0"/>
              <w:jc w:val="center"/>
              <w:rPr>
                <w:rFonts w:eastAsia="Times New Roman"/>
                <w:sz w:val="20"/>
              </w:rPr>
            </w:pPr>
            <w:r>
              <w:rPr>
                <w:rFonts w:eastAsia="Times New Roman"/>
                <w:b/>
                <w:sz w:val="20"/>
              </w:rPr>
              <w:t>505,2</w:t>
            </w:r>
          </w:p>
        </w:tc>
        <w:tc>
          <w:tcPr>
            <w:tcW w:w="1017" w:type="dxa"/>
            <w:shd w:val="clear" w:color="auto" w:fill="DEEAF6" w:themeFill="accent1" w:themeFillTint="33"/>
            <w:noWrap/>
            <w:vAlign w:val="center"/>
          </w:tcPr>
          <w:p w14:paraId="4F7E975C" w14:textId="6B6DD593"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-535,8</w:t>
            </w:r>
          </w:p>
        </w:tc>
        <w:tc>
          <w:tcPr>
            <w:tcW w:w="958" w:type="dxa"/>
            <w:shd w:val="clear" w:color="auto" w:fill="DEEAF6" w:themeFill="accent1" w:themeFillTint="33"/>
            <w:noWrap/>
            <w:vAlign w:val="center"/>
          </w:tcPr>
          <w:p w14:paraId="468176EB" w14:textId="6FA760A9"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0,0</w:t>
            </w:r>
          </w:p>
        </w:tc>
      </w:tr>
      <w:tr w:rsidR="005E05F9" w:rsidRPr="00F42440" w14:paraId="4CAE8D28" w14:textId="77777777" w:rsidTr="007E641C">
        <w:trPr>
          <w:trHeight w:val="196"/>
          <w:jc w:val="center"/>
        </w:trPr>
        <w:tc>
          <w:tcPr>
            <w:tcW w:w="3255" w:type="dxa"/>
            <w:noWrap/>
            <w:hideMark/>
          </w:tcPr>
          <w:p w14:paraId="17C09D32" w14:textId="79FB7111" w:rsidR="005E05F9" w:rsidRPr="004B6E65" w:rsidRDefault="005E05F9" w:rsidP="007E7CBB">
            <w:pPr>
              <w:spacing w:before="0" w:after="0"/>
              <w:ind w:firstLine="0"/>
              <w:jc w:val="left"/>
              <w:rPr>
                <w:rFonts w:eastAsia="Times New Roman"/>
                <w:color w:val="000000"/>
                <w:sz w:val="20"/>
              </w:rPr>
            </w:pPr>
            <w:r w:rsidRPr="004B6E65">
              <w:rPr>
                <w:rFonts w:eastAsia="Times New Roman"/>
                <w:color w:val="000000"/>
                <w:sz w:val="20"/>
              </w:rPr>
              <w:t>Dīkstāves pabalsti</w:t>
            </w:r>
          </w:p>
        </w:tc>
        <w:tc>
          <w:tcPr>
            <w:tcW w:w="850" w:type="dxa"/>
            <w:noWrap/>
            <w:vAlign w:val="center"/>
          </w:tcPr>
          <w:p w14:paraId="535B571D" w14:textId="033421C5"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60,5</w:t>
            </w:r>
          </w:p>
        </w:tc>
        <w:tc>
          <w:tcPr>
            <w:tcW w:w="994" w:type="dxa"/>
            <w:vAlign w:val="center"/>
          </w:tcPr>
          <w:p w14:paraId="7229C61A" w14:textId="0200251D" w:rsidR="005E05F9" w:rsidRPr="004B6E65" w:rsidRDefault="005E05F9" w:rsidP="005E05F9">
            <w:pPr>
              <w:spacing w:before="0" w:after="0"/>
              <w:ind w:firstLine="0"/>
              <w:jc w:val="center"/>
              <w:rPr>
                <w:rFonts w:eastAsia="Times New Roman"/>
                <w:sz w:val="20"/>
              </w:rPr>
            </w:pPr>
            <w:r>
              <w:rPr>
                <w:rFonts w:eastAsia="Times New Roman"/>
                <w:sz w:val="20"/>
              </w:rPr>
              <w:t>-60,5</w:t>
            </w:r>
          </w:p>
        </w:tc>
        <w:tc>
          <w:tcPr>
            <w:tcW w:w="851" w:type="dxa"/>
            <w:noWrap/>
            <w:vAlign w:val="center"/>
          </w:tcPr>
          <w:p w14:paraId="47A1DA17" w14:textId="5A9C72E6"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97,6</w:t>
            </w:r>
          </w:p>
        </w:tc>
        <w:tc>
          <w:tcPr>
            <w:tcW w:w="1135" w:type="dxa"/>
            <w:noWrap/>
            <w:vAlign w:val="center"/>
          </w:tcPr>
          <w:p w14:paraId="27388DEE" w14:textId="3EF0B638" w:rsidR="005E05F9" w:rsidRPr="004B6E65" w:rsidRDefault="005E05F9" w:rsidP="005E05F9">
            <w:pPr>
              <w:spacing w:before="0" w:after="0"/>
              <w:ind w:firstLine="0"/>
              <w:jc w:val="center"/>
              <w:rPr>
                <w:rFonts w:eastAsia="Times New Roman"/>
                <w:sz w:val="20"/>
              </w:rPr>
            </w:pPr>
            <w:r>
              <w:rPr>
                <w:rFonts w:eastAsia="Times New Roman"/>
                <w:sz w:val="20"/>
              </w:rPr>
              <w:t>135,9</w:t>
            </w:r>
          </w:p>
        </w:tc>
        <w:tc>
          <w:tcPr>
            <w:tcW w:w="1017" w:type="dxa"/>
            <w:vAlign w:val="center"/>
          </w:tcPr>
          <w:p w14:paraId="3FA9BAAE" w14:textId="338B5E48" w:rsidR="005E05F9" w:rsidRPr="004B6E65" w:rsidRDefault="005E05F9" w:rsidP="005E05F9">
            <w:pPr>
              <w:spacing w:before="0" w:after="0"/>
              <w:ind w:firstLine="0"/>
              <w:jc w:val="center"/>
              <w:rPr>
                <w:rFonts w:eastAsia="Times New Roman"/>
                <w:sz w:val="20"/>
              </w:rPr>
            </w:pPr>
            <w:r>
              <w:rPr>
                <w:rFonts w:eastAsia="Times New Roman"/>
                <w:sz w:val="20"/>
              </w:rPr>
              <w:t>-142,6</w:t>
            </w:r>
          </w:p>
        </w:tc>
        <w:tc>
          <w:tcPr>
            <w:tcW w:w="958" w:type="dxa"/>
            <w:vAlign w:val="center"/>
          </w:tcPr>
          <w:p w14:paraId="6D6B692B" w14:textId="04ACC521" w:rsidR="005E05F9" w:rsidRPr="004B6E65" w:rsidRDefault="005E05F9" w:rsidP="005E05F9">
            <w:pPr>
              <w:spacing w:before="0" w:after="0"/>
              <w:ind w:firstLine="0"/>
              <w:jc w:val="center"/>
              <w:rPr>
                <w:rFonts w:eastAsia="Times New Roman"/>
                <w:sz w:val="20"/>
              </w:rPr>
            </w:pPr>
            <w:r>
              <w:rPr>
                <w:rFonts w:eastAsia="Times New Roman"/>
                <w:sz w:val="20"/>
              </w:rPr>
              <w:t>0,0</w:t>
            </w:r>
          </w:p>
        </w:tc>
      </w:tr>
      <w:tr w:rsidR="005E05F9" w:rsidRPr="00F42440" w14:paraId="42C4350D" w14:textId="77777777" w:rsidTr="007E641C">
        <w:trPr>
          <w:trHeight w:val="196"/>
          <w:jc w:val="center"/>
        </w:trPr>
        <w:tc>
          <w:tcPr>
            <w:tcW w:w="3255" w:type="dxa"/>
            <w:hideMark/>
          </w:tcPr>
          <w:p w14:paraId="5F6A1F28" w14:textId="77777777" w:rsidR="005E05F9" w:rsidRPr="004B6E65" w:rsidRDefault="005E05F9" w:rsidP="007E7CBB">
            <w:pPr>
              <w:spacing w:before="0" w:after="0"/>
              <w:ind w:firstLine="0"/>
              <w:jc w:val="left"/>
              <w:rPr>
                <w:rFonts w:eastAsia="Times New Roman"/>
                <w:sz w:val="20"/>
              </w:rPr>
            </w:pPr>
            <w:r w:rsidRPr="004B6E65">
              <w:rPr>
                <w:rFonts w:eastAsia="Times New Roman"/>
                <w:sz w:val="20"/>
              </w:rPr>
              <w:t>Algu subsīdijas</w:t>
            </w:r>
          </w:p>
        </w:tc>
        <w:tc>
          <w:tcPr>
            <w:tcW w:w="850" w:type="dxa"/>
            <w:noWrap/>
            <w:vAlign w:val="center"/>
          </w:tcPr>
          <w:p w14:paraId="053A2364" w14:textId="731335B6"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47,3</w:t>
            </w:r>
          </w:p>
        </w:tc>
        <w:tc>
          <w:tcPr>
            <w:tcW w:w="994" w:type="dxa"/>
            <w:vAlign w:val="center"/>
          </w:tcPr>
          <w:p w14:paraId="226C6F59" w14:textId="43008632"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-47,3</w:t>
            </w:r>
          </w:p>
        </w:tc>
        <w:tc>
          <w:tcPr>
            <w:tcW w:w="851" w:type="dxa"/>
            <w:noWrap/>
            <w:vAlign w:val="center"/>
          </w:tcPr>
          <w:p w14:paraId="34F86FC4" w14:textId="06290868"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75,7</w:t>
            </w:r>
          </w:p>
        </w:tc>
        <w:tc>
          <w:tcPr>
            <w:tcW w:w="1135" w:type="dxa"/>
            <w:noWrap/>
            <w:vAlign w:val="center"/>
          </w:tcPr>
          <w:p w14:paraId="39E48227" w14:textId="6F3421E5" w:rsidR="005E05F9" w:rsidRPr="004B6E65" w:rsidRDefault="005E05F9" w:rsidP="005E05F9">
            <w:pPr>
              <w:spacing w:before="0" w:after="0"/>
              <w:ind w:firstLine="0"/>
              <w:jc w:val="center"/>
              <w:rPr>
                <w:rFonts w:eastAsia="Times New Roman"/>
                <w:sz w:val="20"/>
              </w:rPr>
            </w:pPr>
            <w:r>
              <w:rPr>
                <w:rFonts w:eastAsia="Times New Roman"/>
                <w:sz w:val="20"/>
              </w:rPr>
              <w:t>21,0</w:t>
            </w:r>
          </w:p>
        </w:tc>
        <w:tc>
          <w:tcPr>
            <w:tcW w:w="1017" w:type="dxa"/>
            <w:vAlign w:val="center"/>
          </w:tcPr>
          <w:p w14:paraId="0E61E4BE" w14:textId="3E053D29"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-26,0</w:t>
            </w:r>
          </w:p>
        </w:tc>
        <w:tc>
          <w:tcPr>
            <w:tcW w:w="958" w:type="dxa"/>
            <w:vAlign w:val="center"/>
          </w:tcPr>
          <w:p w14:paraId="5C9106F1" w14:textId="6A08282E"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0,0</w:t>
            </w:r>
          </w:p>
        </w:tc>
      </w:tr>
      <w:tr w:rsidR="005E05F9" w:rsidRPr="00F42440" w14:paraId="01FE811E" w14:textId="77777777" w:rsidTr="007E641C">
        <w:trPr>
          <w:trHeight w:val="196"/>
          <w:jc w:val="center"/>
        </w:trPr>
        <w:tc>
          <w:tcPr>
            <w:tcW w:w="3255" w:type="dxa"/>
            <w:hideMark/>
          </w:tcPr>
          <w:p w14:paraId="7C3403F8" w14:textId="77777777" w:rsidR="005E05F9" w:rsidRPr="004B6E65" w:rsidRDefault="005E05F9" w:rsidP="007E7CBB">
            <w:pPr>
              <w:spacing w:before="0" w:after="0"/>
              <w:ind w:firstLine="0"/>
              <w:jc w:val="left"/>
              <w:rPr>
                <w:rFonts w:eastAsia="Times New Roman"/>
                <w:sz w:val="20"/>
              </w:rPr>
            </w:pPr>
            <w:r w:rsidRPr="004B6E65">
              <w:rPr>
                <w:rFonts w:eastAsia="Times New Roman"/>
                <w:sz w:val="20"/>
              </w:rPr>
              <w:t>Slimības palīdzības pabalsts un piemaksa pie tā par bērnu</w:t>
            </w:r>
          </w:p>
        </w:tc>
        <w:tc>
          <w:tcPr>
            <w:tcW w:w="850" w:type="dxa"/>
            <w:noWrap/>
            <w:vAlign w:val="center"/>
          </w:tcPr>
          <w:p w14:paraId="72892F89" w14:textId="55FA6831"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0,1</w:t>
            </w:r>
          </w:p>
        </w:tc>
        <w:tc>
          <w:tcPr>
            <w:tcW w:w="994" w:type="dxa"/>
            <w:vAlign w:val="center"/>
          </w:tcPr>
          <w:p w14:paraId="13F19116" w14:textId="027C06D5" w:rsidR="005E05F9" w:rsidRPr="004B6E65" w:rsidRDefault="005E05F9" w:rsidP="005E05F9">
            <w:pPr>
              <w:spacing w:before="0" w:after="0"/>
              <w:ind w:firstLine="0"/>
              <w:jc w:val="center"/>
              <w:rPr>
                <w:rFonts w:eastAsia="Times New Roman"/>
                <w:sz w:val="20"/>
              </w:rPr>
            </w:pPr>
            <w:r>
              <w:rPr>
                <w:rFonts w:eastAsia="Times New Roman"/>
                <w:sz w:val="20"/>
              </w:rPr>
              <w:t>-0,1</w:t>
            </w:r>
          </w:p>
        </w:tc>
        <w:tc>
          <w:tcPr>
            <w:tcW w:w="851" w:type="dxa"/>
            <w:noWrap/>
            <w:vAlign w:val="center"/>
          </w:tcPr>
          <w:p w14:paraId="3557A547" w14:textId="6B1EC37C"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14,7</w:t>
            </w:r>
          </w:p>
        </w:tc>
        <w:tc>
          <w:tcPr>
            <w:tcW w:w="1135" w:type="dxa"/>
            <w:noWrap/>
            <w:vAlign w:val="center"/>
          </w:tcPr>
          <w:p w14:paraId="7E6C55AD" w14:textId="163E6F67" w:rsidR="005E05F9" w:rsidRPr="004B6E65" w:rsidRDefault="005E05F9" w:rsidP="005E05F9">
            <w:pPr>
              <w:spacing w:before="0" w:after="0"/>
              <w:ind w:firstLine="0"/>
              <w:jc w:val="center"/>
              <w:rPr>
                <w:rFonts w:eastAsia="Times New Roman"/>
                <w:sz w:val="20"/>
              </w:rPr>
            </w:pPr>
            <w:r>
              <w:rPr>
                <w:rFonts w:eastAsia="Times New Roman"/>
                <w:sz w:val="20"/>
              </w:rPr>
              <w:t>2,9</w:t>
            </w:r>
          </w:p>
        </w:tc>
        <w:tc>
          <w:tcPr>
            <w:tcW w:w="1017" w:type="dxa"/>
            <w:vAlign w:val="center"/>
          </w:tcPr>
          <w:p w14:paraId="1D1FD997" w14:textId="7444767E" w:rsidR="005E05F9" w:rsidRPr="004B6E65" w:rsidRDefault="005E05F9" w:rsidP="005E05F9">
            <w:pPr>
              <w:spacing w:before="0" w:after="0"/>
              <w:ind w:firstLine="0"/>
              <w:jc w:val="center"/>
              <w:rPr>
                <w:rFonts w:eastAsia="Times New Roman"/>
                <w:sz w:val="20"/>
              </w:rPr>
            </w:pPr>
            <w:r>
              <w:rPr>
                <w:rFonts w:eastAsia="Times New Roman"/>
                <w:sz w:val="20"/>
              </w:rPr>
              <w:t>-14,7</w:t>
            </w:r>
          </w:p>
        </w:tc>
        <w:tc>
          <w:tcPr>
            <w:tcW w:w="958" w:type="dxa"/>
            <w:vAlign w:val="center"/>
          </w:tcPr>
          <w:p w14:paraId="69EB468D" w14:textId="0182A2D5" w:rsidR="005E05F9" w:rsidRPr="004B6E65" w:rsidRDefault="005E05F9" w:rsidP="005E05F9">
            <w:pPr>
              <w:spacing w:before="0" w:after="0"/>
              <w:ind w:firstLine="0"/>
              <w:jc w:val="center"/>
              <w:rPr>
                <w:rFonts w:eastAsia="Times New Roman"/>
                <w:sz w:val="20"/>
              </w:rPr>
            </w:pPr>
            <w:r>
              <w:rPr>
                <w:rFonts w:eastAsia="Times New Roman"/>
                <w:color w:val="000000"/>
                <w:sz w:val="20"/>
              </w:rPr>
              <w:t>0,0</w:t>
            </w:r>
          </w:p>
        </w:tc>
      </w:tr>
      <w:tr w:rsidR="005E05F9" w:rsidRPr="00F42440" w14:paraId="2D5EB8DE" w14:textId="77777777" w:rsidTr="007E641C">
        <w:trPr>
          <w:trHeight w:val="196"/>
          <w:jc w:val="center"/>
        </w:trPr>
        <w:tc>
          <w:tcPr>
            <w:tcW w:w="3255" w:type="dxa"/>
            <w:hideMark/>
          </w:tcPr>
          <w:p w14:paraId="1BAC12F9" w14:textId="77777777" w:rsidR="005E05F9" w:rsidRPr="004B6E65" w:rsidRDefault="005E05F9" w:rsidP="007E7CBB">
            <w:pPr>
              <w:spacing w:before="0" w:after="0"/>
              <w:ind w:firstLine="0"/>
              <w:jc w:val="left"/>
              <w:rPr>
                <w:rFonts w:eastAsia="Times New Roman"/>
                <w:sz w:val="20"/>
              </w:rPr>
            </w:pPr>
            <w:r w:rsidRPr="004B6E65">
              <w:rPr>
                <w:rFonts w:eastAsia="Times New Roman"/>
                <w:sz w:val="20"/>
              </w:rPr>
              <w:t>Bezdarbnieku palīdzības pabalsts</w:t>
            </w:r>
          </w:p>
        </w:tc>
        <w:tc>
          <w:tcPr>
            <w:tcW w:w="850" w:type="dxa"/>
            <w:noWrap/>
            <w:vAlign w:val="center"/>
          </w:tcPr>
          <w:p w14:paraId="3360A158" w14:textId="0BAD7DF4"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5,2</w:t>
            </w:r>
          </w:p>
        </w:tc>
        <w:tc>
          <w:tcPr>
            <w:tcW w:w="994" w:type="dxa"/>
            <w:vAlign w:val="center"/>
          </w:tcPr>
          <w:p w14:paraId="1D1A7102" w14:textId="19C5B271" w:rsidR="005E05F9" w:rsidRPr="004B6E65" w:rsidRDefault="005E05F9" w:rsidP="005E05F9">
            <w:pPr>
              <w:spacing w:before="0" w:after="0"/>
              <w:ind w:firstLine="0"/>
              <w:jc w:val="center"/>
              <w:rPr>
                <w:rFonts w:eastAsia="Times New Roman"/>
                <w:sz w:val="20"/>
              </w:rPr>
            </w:pPr>
            <w:r>
              <w:rPr>
                <w:rFonts w:eastAsia="Times New Roman"/>
                <w:sz w:val="20"/>
              </w:rPr>
              <w:t>-5,2</w:t>
            </w:r>
          </w:p>
        </w:tc>
        <w:tc>
          <w:tcPr>
            <w:tcW w:w="851" w:type="dxa"/>
            <w:noWrap/>
            <w:vAlign w:val="center"/>
          </w:tcPr>
          <w:p w14:paraId="1A6E0A82" w14:textId="505B4BE4"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14,8</w:t>
            </w:r>
          </w:p>
        </w:tc>
        <w:tc>
          <w:tcPr>
            <w:tcW w:w="1135" w:type="dxa"/>
            <w:noWrap/>
            <w:vAlign w:val="center"/>
          </w:tcPr>
          <w:p w14:paraId="0A95DA39" w14:textId="597B39D0" w:rsidR="005E05F9" w:rsidRPr="004B6E65" w:rsidRDefault="005E05F9" w:rsidP="005E05F9">
            <w:pPr>
              <w:spacing w:before="0" w:after="0"/>
              <w:ind w:firstLine="0"/>
              <w:jc w:val="center"/>
              <w:rPr>
                <w:rFonts w:eastAsia="Times New Roman"/>
                <w:sz w:val="20"/>
              </w:rPr>
            </w:pPr>
            <w:r>
              <w:rPr>
                <w:rFonts w:eastAsia="Times New Roman"/>
                <w:sz w:val="20"/>
              </w:rPr>
              <w:t>10,8</w:t>
            </w:r>
          </w:p>
        </w:tc>
        <w:tc>
          <w:tcPr>
            <w:tcW w:w="1017" w:type="dxa"/>
            <w:vAlign w:val="center"/>
          </w:tcPr>
          <w:p w14:paraId="31E16AA4" w14:textId="6765C9C2" w:rsidR="005E05F9" w:rsidRPr="004B6E65" w:rsidRDefault="005E05F9" w:rsidP="005E05F9">
            <w:pPr>
              <w:spacing w:before="0" w:after="0"/>
              <w:ind w:firstLine="0"/>
              <w:jc w:val="center"/>
              <w:rPr>
                <w:rFonts w:eastAsia="Times New Roman"/>
                <w:sz w:val="20"/>
              </w:rPr>
            </w:pPr>
            <w:r>
              <w:rPr>
                <w:rFonts w:eastAsia="Times New Roman"/>
                <w:sz w:val="20"/>
              </w:rPr>
              <w:t>-14,8</w:t>
            </w:r>
          </w:p>
        </w:tc>
        <w:tc>
          <w:tcPr>
            <w:tcW w:w="958" w:type="dxa"/>
            <w:vAlign w:val="center"/>
          </w:tcPr>
          <w:p w14:paraId="2FC4D651" w14:textId="46FA1894" w:rsidR="005E05F9" w:rsidRPr="004B6E65" w:rsidRDefault="005E05F9" w:rsidP="005E05F9">
            <w:pPr>
              <w:spacing w:before="0" w:after="0"/>
              <w:ind w:firstLine="0"/>
              <w:jc w:val="center"/>
              <w:rPr>
                <w:rFonts w:eastAsia="Times New Roman"/>
                <w:sz w:val="20"/>
              </w:rPr>
            </w:pPr>
            <w:r>
              <w:rPr>
                <w:rFonts w:eastAsia="Times New Roman"/>
                <w:color w:val="000000"/>
                <w:sz w:val="20"/>
              </w:rPr>
              <w:t>0,0</w:t>
            </w:r>
          </w:p>
        </w:tc>
      </w:tr>
      <w:tr w:rsidR="005E05F9" w:rsidRPr="00F42440" w14:paraId="2FAA1088" w14:textId="77777777" w:rsidTr="007E641C">
        <w:trPr>
          <w:trHeight w:val="196"/>
          <w:jc w:val="center"/>
        </w:trPr>
        <w:tc>
          <w:tcPr>
            <w:tcW w:w="3255" w:type="dxa"/>
            <w:hideMark/>
          </w:tcPr>
          <w:p w14:paraId="25E6F584" w14:textId="77777777" w:rsidR="005E05F9" w:rsidRPr="004B6E65" w:rsidRDefault="005E05F9" w:rsidP="007E7CBB">
            <w:pPr>
              <w:spacing w:before="0" w:after="0"/>
              <w:ind w:firstLine="0"/>
              <w:jc w:val="left"/>
              <w:rPr>
                <w:rFonts w:eastAsia="Times New Roman"/>
                <w:sz w:val="20"/>
              </w:rPr>
            </w:pPr>
            <w:r w:rsidRPr="004B6E65">
              <w:rPr>
                <w:rFonts w:eastAsia="Times New Roman"/>
                <w:sz w:val="20"/>
              </w:rPr>
              <w:t>Slimības pabalsts 1.-10.diena no valsts budžeta dēļ Covid-19</w:t>
            </w:r>
          </w:p>
        </w:tc>
        <w:tc>
          <w:tcPr>
            <w:tcW w:w="850" w:type="dxa"/>
            <w:noWrap/>
            <w:vAlign w:val="center"/>
          </w:tcPr>
          <w:p w14:paraId="28658CC4" w14:textId="038DBE56"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2,9</w:t>
            </w:r>
          </w:p>
        </w:tc>
        <w:tc>
          <w:tcPr>
            <w:tcW w:w="994" w:type="dxa"/>
            <w:vAlign w:val="center"/>
          </w:tcPr>
          <w:p w14:paraId="5AD5FD70" w14:textId="6FCB912D" w:rsidR="005E05F9" w:rsidRPr="004B6E65" w:rsidRDefault="005E05F9" w:rsidP="005E05F9">
            <w:pPr>
              <w:spacing w:before="0" w:after="0"/>
              <w:ind w:firstLine="0"/>
              <w:jc w:val="center"/>
              <w:rPr>
                <w:rFonts w:eastAsia="Times New Roman"/>
                <w:sz w:val="20"/>
              </w:rPr>
            </w:pPr>
            <w:r>
              <w:rPr>
                <w:rFonts w:eastAsia="Times New Roman"/>
                <w:sz w:val="20"/>
              </w:rPr>
              <w:t>-2,9</w:t>
            </w:r>
          </w:p>
        </w:tc>
        <w:tc>
          <w:tcPr>
            <w:tcW w:w="851" w:type="dxa"/>
            <w:vAlign w:val="center"/>
          </w:tcPr>
          <w:p w14:paraId="5E68A167" w14:textId="6F8D646E"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31,5</w:t>
            </w:r>
          </w:p>
        </w:tc>
        <w:tc>
          <w:tcPr>
            <w:tcW w:w="1135" w:type="dxa"/>
            <w:noWrap/>
            <w:vAlign w:val="center"/>
          </w:tcPr>
          <w:p w14:paraId="6F04E5F3" w14:textId="1E52BE2F" w:rsidR="005E05F9" w:rsidRPr="004B6E65" w:rsidRDefault="005E05F9" w:rsidP="005E05F9">
            <w:pPr>
              <w:spacing w:before="0" w:after="0"/>
              <w:ind w:firstLine="0"/>
              <w:jc w:val="center"/>
              <w:rPr>
                <w:rFonts w:eastAsia="Times New Roman"/>
                <w:sz w:val="20"/>
              </w:rPr>
            </w:pPr>
            <w:r>
              <w:rPr>
                <w:rFonts w:eastAsia="Times New Roman"/>
                <w:sz w:val="20"/>
              </w:rPr>
              <w:t>31,5</w:t>
            </w:r>
          </w:p>
        </w:tc>
        <w:tc>
          <w:tcPr>
            <w:tcW w:w="1017" w:type="dxa"/>
            <w:vAlign w:val="center"/>
          </w:tcPr>
          <w:p w14:paraId="29F68CF2" w14:textId="6756CC0A" w:rsidR="005E05F9" w:rsidRPr="004B6E65" w:rsidRDefault="005E05F9" w:rsidP="005E05F9">
            <w:pPr>
              <w:spacing w:before="0" w:after="0"/>
              <w:ind w:firstLine="0"/>
              <w:jc w:val="center"/>
              <w:rPr>
                <w:rFonts w:eastAsia="Times New Roman"/>
                <w:sz w:val="20"/>
              </w:rPr>
            </w:pPr>
            <w:r>
              <w:rPr>
                <w:rFonts w:eastAsia="Times New Roman"/>
                <w:sz w:val="20"/>
              </w:rPr>
              <w:t>-31,5</w:t>
            </w:r>
          </w:p>
        </w:tc>
        <w:tc>
          <w:tcPr>
            <w:tcW w:w="958" w:type="dxa"/>
            <w:vAlign w:val="center"/>
          </w:tcPr>
          <w:p w14:paraId="7289E884" w14:textId="07DE99F7" w:rsidR="005E05F9" w:rsidRPr="004B6E65" w:rsidRDefault="005E05F9" w:rsidP="005E05F9">
            <w:pPr>
              <w:spacing w:before="0" w:after="0"/>
              <w:ind w:firstLine="0"/>
              <w:jc w:val="center"/>
              <w:rPr>
                <w:rFonts w:eastAsia="Times New Roman"/>
                <w:sz w:val="20"/>
              </w:rPr>
            </w:pPr>
            <w:r>
              <w:rPr>
                <w:rFonts w:eastAsia="Times New Roman"/>
                <w:color w:val="000000"/>
                <w:sz w:val="20"/>
              </w:rPr>
              <w:t>0,0</w:t>
            </w:r>
          </w:p>
        </w:tc>
      </w:tr>
      <w:tr w:rsidR="005E05F9" w:rsidRPr="00F42440" w14:paraId="43A27455" w14:textId="77777777" w:rsidTr="007E641C">
        <w:trPr>
          <w:trHeight w:val="196"/>
          <w:jc w:val="center"/>
        </w:trPr>
        <w:tc>
          <w:tcPr>
            <w:tcW w:w="3255" w:type="dxa"/>
            <w:hideMark/>
          </w:tcPr>
          <w:p w14:paraId="2A48FF8F" w14:textId="0759C860" w:rsidR="005E05F9" w:rsidRPr="004B6E65" w:rsidRDefault="005E05F9" w:rsidP="007E7CBB">
            <w:pPr>
              <w:spacing w:before="0" w:after="0"/>
              <w:ind w:firstLine="0"/>
              <w:jc w:val="left"/>
              <w:rPr>
                <w:rFonts w:eastAsia="Times New Roman"/>
                <w:noProof/>
                <w:sz w:val="20"/>
              </w:rPr>
            </w:pPr>
            <w:r w:rsidRPr="004B6E65">
              <w:rPr>
                <w:rFonts w:eastAsia="Times New Roman"/>
                <w:noProof/>
                <w:sz w:val="20"/>
              </w:rPr>
              <w:t xml:space="preserve">Vienreizējs pabalsts (500 </w:t>
            </w:r>
            <w:r w:rsidRPr="004B6E65">
              <w:rPr>
                <w:rFonts w:eastAsia="Times New Roman"/>
                <w:i/>
                <w:noProof/>
                <w:sz w:val="20"/>
              </w:rPr>
              <w:t>euro</w:t>
            </w:r>
            <w:r w:rsidRPr="004B6E65">
              <w:rPr>
                <w:rFonts w:eastAsia="Times New Roman"/>
                <w:noProof/>
                <w:sz w:val="20"/>
              </w:rPr>
              <w:t>) ģimenēm par katru bērnu</w:t>
            </w:r>
          </w:p>
        </w:tc>
        <w:tc>
          <w:tcPr>
            <w:tcW w:w="850" w:type="dxa"/>
            <w:noWrap/>
            <w:vAlign w:val="center"/>
          </w:tcPr>
          <w:p w14:paraId="4D80D5BC" w14:textId="01C555A7"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0,0</w:t>
            </w:r>
          </w:p>
        </w:tc>
        <w:tc>
          <w:tcPr>
            <w:tcW w:w="994" w:type="dxa"/>
            <w:vAlign w:val="center"/>
          </w:tcPr>
          <w:p w14:paraId="62945D65" w14:textId="0A738EA2" w:rsidR="005E05F9" w:rsidRPr="004B6E65" w:rsidRDefault="005E05F9" w:rsidP="005E05F9">
            <w:pPr>
              <w:spacing w:before="0" w:after="0"/>
              <w:ind w:firstLine="0"/>
              <w:jc w:val="center"/>
              <w:rPr>
                <w:rFonts w:eastAsia="Times New Roman"/>
                <w:sz w:val="20"/>
              </w:rPr>
            </w:pPr>
            <w:r>
              <w:rPr>
                <w:rFonts w:eastAsia="Times New Roman"/>
                <w:color w:val="000000"/>
                <w:sz w:val="20"/>
              </w:rPr>
              <w:t>0,0</w:t>
            </w:r>
          </w:p>
        </w:tc>
        <w:tc>
          <w:tcPr>
            <w:tcW w:w="851" w:type="dxa"/>
            <w:noWrap/>
            <w:vAlign w:val="center"/>
          </w:tcPr>
          <w:p w14:paraId="70CFCC32" w14:textId="0E33A1B7"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187,6</w:t>
            </w:r>
          </w:p>
        </w:tc>
        <w:tc>
          <w:tcPr>
            <w:tcW w:w="1135" w:type="dxa"/>
            <w:noWrap/>
            <w:vAlign w:val="center"/>
          </w:tcPr>
          <w:p w14:paraId="6ED99891" w14:textId="6DCFB12D" w:rsidR="005E05F9" w:rsidRPr="004B6E65" w:rsidRDefault="005E05F9" w:rsidP="005E05F9">
            <w:pPr>
              <w:spacing w:before="0" w:after="0"/>
              <w:ind w:firstLine="0"/>
              <w:jc w:val="center"/>
              <w:rPr>
                <w:rFonts w:eastAsia="Times New Roman"/>
                <w:sz w:val="20"/>
              </w:rPr>
            </w:pPr>
            <w:r>
              <w:rPr>
                <w:rFonts w:eastAsia="Times New Roman"/>
                <w:sz w:val="20"/>
              </w:rPr>
              <w:t>187,8</w:t>
            </w:r>
          </w:p>
        </w:tc>
        <w:tc>
          <w:tcPr>
            <w:tcW w:w="1017" w:type="dxa"/>
            <w:vAlign w:val="center"/>
          </w:tcPr>
          <w:p w14:paraId="2CBEDD00" w14:textId="53CCF5C8" w:rsidR="005E05F9" w:rsidRPr="004B6E65" w:rsidRDefault="005E05F9" w:rsidP="005E05F9">
            <w:pPr>
              <w:spacing w:before="0" w:after="0"/>
              <w:ind w:firstLine="0"/>
              <w:jc w:val="center"/>
              <w:rPr>
                <w:rFonts w:eastAsia="Times New Roman"/>
                <w:sz w:val="20"/>
              </w:rPr>
            </w:pPr>
            <w:r>
              <w:rPr>
                <w:rFonts w:eastAsia="Times New Roman"/>
                <w:sz w:val="20"/>
              </w:rPr>
              <w:t>-187,8</w:t>
            </w:r>
          </w:p>
        </w:tc>
        <w:tc>
          <w:tcPr>
            <w:tcW w:w="958" w:type="dxa"/>
            <w:vAlign w:val="center"/>
          </w:tcPr>
          <w:p w14:paraId="31311940" w14:textId="78FDE793" w:rsidR="005E05F9" w:rsidRPr="004B6E65" w:rsidRDefault="005E05F9" w:rsidP="005E05F9">
            <w:pPr>
              <w:spacing w:before="0" w:after="0"/>
              <w:ind w:firstLine="0"/>
              <w:jc w:val="center"/>
              <w:rPr>
                <w:rFonts w:eastAsia="Times New Roman"/>
                <w:sz w:val="20"/>
              </w:rPr>
            </w:pPr>
            <w:r>
              <w:rPr>
                <w:rFonts w:eastAsia="Times New Roman"/>
                <w:color w:val="000000"/>
                <w:sz w:val="20"/>
              </w:rPr>
              <w:t>0,0</w:t>
            </w:r>
          </w:p>
        </w:tc>
      </w:tr>
      <w:tr w:rsidR="005E05F9" w:rsidRPr="00F42440" w14:paraId="7162C2CD" w14:textId="77777777" w:rsidTr="007E641C">
        <w:trPr>
          <w:trHeight w:val="196"/>
          <w:jc w:val="center"/>
        </w:trPr>
        <w:tc>
          <w:tcPr>
            <w:tcW w:w="3255" w:type="dxa"/>
            <w:hideMark/>
          </w:tcPr>
          <w:p w14:paraId="4A55B0AD" w14:textId="6267B826" w:rsidR="005E05F9" w:rsidRPr="004B6E65" w:rsidRDefault="005E05F9" w:rsidP="007E7CBB">
            <w:pPr>
              <w:spacing w:before="0" w:after="0"/>
              <w:ind w:firstLine="0"/>
              <w:jc w:val="left"/>
              <w:rPr>
                <w:rFonts w:eastAsia="Times New Roman"/>
                <w:noProof/>
                <w:sz w:val="20"/>
              </w:rPr>
            </w:pPr>
            <w:r w:rsidRPr="004B6E65">
              <w:rPr>
                <w:rFonts w:eastAsia="Times New Roman"/>
                <w:noProof/>
                <w:sz w:val="20"/>
              </w:rPr>
              <w:t xml:space="preserve">Vienreizējs pabalsts (200 </w:t>
            </w:r>
            <w:r w:rsidRPr="004B6E65">
              <w:rPr>
                <w:rFonts w:eastAsia="Times New Roman"/>
                <w:i/>
                <w:noProof/>
                <w:sz w:val="20"/>
              </w:rPr>
              <w:t>euro</w:t>
            </w:r>
            <w:r w:rsidRPr="004B6E65">
              <w:rPr>
                <w:rFonts w:eastAsia="Times New Roman"/>
                <w:noProof/>
                <w:sz w:val="20"/>
              </w:rPr>
              <w:t>) senioriem un invalīdiem</w:t>
            </w:r>
          </w:p>
        </w:tc>
        <w:tc>
          <w:tcPr>
            <w:tcW w:w="850" w:type="dxa"/>
            <w:noWrap/>
            <w:vAlign w:val="center"/>
          </w:tcPr>
          <w:p w14:paraId="5467C7D8" w14:textId="3FA9DE26"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0,0</w:t>
            </w:r>
          </w:p>
        </w:tc>
        <w:tc>
          <w:tcPr>
            <w:tcW w:w="994" w:type="dxa"/>
            <w:vAlign w:val="center"/>
          </w:tcPr>
          <w:p w14:paraId="2C6A91FF" w14:textId="72BC396F" w:rsidR="005E05F9" w:rsidRPr="004B6E65" w:rsidRDefault="005E05F9" w:rsidP="005E05F9">
            <w:pPr>
              <w:spacing w:before="0" w:after="0"/>
              <w:ind w:firstLine="0"/>
              <w:jc w:val="center"/>
              <w:rPr>
                <w:rFonts w:eastAsia="Times New Roman"/>
                <w:sz w:val="20"/>
              </w:rPr>
            </w:pPr>
            <w:r>
              <w:rPr>
                <w:rFonts w:eastAsia="Times New Roman"/>
                <w:color w:val="000000"/>
                <w:sz w:val="20"/>
              </w:rPr>
              <w:t>0,0</w:t>
            </w:r>
          </w:p>
        </w:tc>
        <w:tc>
          <w:tcPr>
            <w:tcW w:w="851" w:type="dxa"/>
            <w:noWrap/>
            <w:vAlign w:val="center"/>
          </w:tcPr>
          <w:p w14:paraId="0F6FA607" w14:textId="39F44B2A"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112,5</w:t>
            </w:r>
          </w:p>
        </w:tc>
        <w:tc>
          <w:tcPr>
            <w:tcW w:w="1135" w:type="dxa"/>
            <w:noWrap/>
            <w:vAlign w:val="center"/>
          </w:tcPr>
          <w:p w14:paraId="49410B79" w14:textId="6BF45D33" w:rsidR="005E05F9" w:rsidRPr="004B6E65" w:rsidRDefault="005E05F9" w:rsidP="005E05F9">
            <w:pPr>
              <w:spacing w:before="0" w:after="0"/>
              <w:ind w:firstLine="0"/>
              <w:jc w:val="center"/>
              <w:rPr>
                <w:rFonts w:eastAsia="Times New Roman"/>
                <w:sz w:val="20"/>
              </w:rPr>
            </w:pPr>
            <w:r>
              <w:rPr>
                <w:rFonts w:eastAsia="Times New Roman"/>
                <w:sz w:val="20"/>
              </w:rPr>
              <w:t>109,9</w:t>
            </w:r>
          </w:p>
        </w:tc>
        <w:tc>
          <w:tcPr>
            <w:tcW w:w="1017" w:type="dxa"/>
            <w:vAlign w:val="center"/>
          </w:tcPr>
          <w:p w14:paraId="5F61EBE2" w14:textId="18A870A8" w:rsidR="005E05F9" w:rsidRPr="004B6E65" w:rsidRDefault="005E05F9" w:rsidP="005E05F9">
            <w:pPr>
              <w:spacing w:before="0" w:after="0"/>
              <w:ind w:firstLine="0"/>
              <w:jc w:val="center"/>
              <w:rPr>
                <w:rFonts w:eastAsia="Times New Roman"/>
                <w:sz w:val="20"/>
              </w:rPr>
            </w:pPr>
            <w:r>
              <w:rPr>
                <w:rFonts w:eastAsia="Times New Roman"/>
                <w:sz w:val="20"/>
              </w:rPr>
              <w:t>-112,5</w:t>
            </w:r>
          </w:p>
        </w:tc>
        <w:tc>
          <w:tcPr>
            <w:tcW w:w="958" w:type="dxa"/>
            <w:vAlign w:val="center"/>
          </w:tcPr>
          <w:p w14:paraId="4AA32F84" w14:textId="10F68BB7" w:rsidR="005E05F9" w:rsidRPr="004B6E65" w:rsidRDefault="005E05F9" w:rsidP="005E05F9">
            <w:pPr>
              <w:spacing w:before="0" w:after="0"/>
              <w:ind w:firstLine="0"/>
              <w:jc w:val="center"/>
              <w:rPr>
                <w:rFonts w:eastAsia="Times New Roman"/>
                <w:sz w:val="20"/>
              </w:rPr>
            </w:pPr>
            <w:r>
              <w:rPr>
                <w:rFonts w:eastAsia="Times New Roman"/>
                <w:color w:val="000000"/>
                <w:sz w:val="20"/>
              </w:rPr>
              <w:t>0,0</w:t>
            </w:r>
          </w:p>
        </w:tc>
      </w:tr>
      <w:tr w:rsidR="005E05F9" w:rsidRPr="00F42440" w14:paraId="04939F5A" w14:textId="77777777" w:rsidTr="007E641C">
        <w:trPr>
          <w:trHeight w:val="196"/>
          <w:jc w:val="center"/>
        </w:trPr>
        <w:tc>
          <w:tcPr>
            <w:tcW w:w="3255" w:type="dxa"/>
            <w:shd w:val="clear" w:color="auto" w:fill="DEEAF6" w:themeFill="accent1" w:themeFillTint="33"/>
            <w:noWrap/>
            <w:hideMark/>
          </w:tcPr>
          <w:p w14:paraId="74D8293B" w14:textId="652438E2" w:rsidR="005E05F9" w:rsidRPr="004B6E65" w:rsidRDefault="005E05F9" w:rsidP="007E7CBB">
            <w:pPr>
              <w:spacing w:before="0" w:after="0"/>
              <w:ind w:firstLine="0"/>
              <w:jc w:val="left"/>
              <w:rPr>
                <w:rFonts w:eastAsia="Times New Roman"/>
                <w:b/>
                <w:bCs/>
                <w:color w:val="000000"/>
                <w:sz w:val="20"/>
              </w:rPr>
            </w:pPr>
            <w:r w:rsidRPr="004B6E65">
              <w:rPr>
                <w:rFonts w:eastAsia="Times New Roman"/>
                <w:b/>
                <w:bCs/>
                <w:color w:val="000000"/>
                <w:sz w:val="20"/>
              </w:rPr>
              <w:t>III Atbalsts aizdevumu un garantiju jomā</w:t>
            </w:r>
          </w:p>
        </w:tc>
        <w:tc>
          <w:tcPr>
            <w:tcW w:w="850" w:type="dxa"/>
            <w:shd w:val="clear" w:color="auto" w:fill="DEEAF6" w:themeFill="accent1" w:themeFillTint="33"/>
            <w:noWrap/>
            <w:vAlign w:val="center"/>
          </w:tcPr>
          <w:p w14:paraId="23B2B8E4" w14:textId="5D5AA52C" w:rsidR="005E05F9" w:rsidRPr="004B6E65" w:rsidRDefault="005E05F9" w:rsidP="005E05F9">
            <w:pPr>
              <w:spacing w:before="0" w:after="0"/>
              <w:ind w:firstLine="0"/>
              <w:jc w:val="center"/>
              <w:rPr>
                <w:rFonts w:eastAsia="Times New Roman"/>
                <w:color w:val="000000"/>
                <w:sz w:val="20"/>
              </w:rPr>
            </w:pPr>
            <w:r w:rsidRPr="00FB465A">
              <w:rPr>
                <w:rFonts w:eastAsia="Times New Roman"/>
                <w:b/>
                <w:color w:val="000000"/>
                <w:sz w:val="20"/>
              </w:rPr>
              <w:t>240,0</w:t>
            </w:r>
          </w:p>
        </w:tc>
        <w:tc>
          <w:tcPr>
            <w:tcW w:w="994" w:type="dxa"/>
            <w:shd w:val="clear" w:color="auto" w:fill="DEEAF6" w:themeFill="accent1" w:themeFillTint="33"/>
            <w:noWrap/>
            <w:vAlign w:val="center"/>
          </w:tcPr>
          <w:p w14:paraId="1A6BD16E" w14:textId="797F83F0"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-81,7</w:t>
            </w:r>
          </w:p>
        </w:tc>
        <w:tc>
          <w:tcPr>
            <w:tcW w:w="851" w:type="dxa"/>
            <w:shd w:val="clear" w:color="auto" w:fill="DEEAF6" w:themeFill="accent1" w:themeFillTint="33"/>
            <w:noWrap/>
            <w:vAlign w:val="center"/>
          </w:tcPr>
          <w:p w14:paraId="354E3131" w14:textId="2BF5912A"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668,5</w:t>
            </w:r>
          </w:p>
        </w:tc>
        <w:tc>
          <w:tcPr>
            <w:tcW w:w="1135" w:type="dxa"/>
            <w:shd w:val="clear" w:color="auto" w:fill="DEEAF6" w:themeFill="accent1" w:themeFillTint="33"/>
            <w:noWrap/>
            <w:vAlign w:val="center"/>
          </w:tcPr>
          <w:p w14:paraId="13C2028A" w14:textId="06CEBF38" w:rsidR="005E05F9" w:rsidRPr="004B6E65" w:rsidRDefault="005E05F9" w:rsidP="005E05F9">
            <w:pPr>
              <w:spacing w:before="0" w:after="0"/>
              <w:ind w:firstLine="0"/>
              <w:jc w:val="center"/>
              <w:rPr>
                <w:rFonts w:eastAsia="Times New Roman"/>
                <w:sz w:val="20"/>
              </w:rPr>
            </w:pPr>
            <w:r>
              <w:rPr>
                <w:rFonts w:eastAsia="Times New Roman"/>
                <w:b/>
                <w:sz w:val="20"/>
              </w:rPr>
              <w:t>68,6</w:t>
            </w:r>
          </w:p>
        </w:tc>
        <w:tc>
          <w:tcPr>
            <w:tcW w:w="1017" w:type="dxa"/>
            <w:shd w:val="clear" w:color="auto" w:fill="DEEAF6" w:themeFill="accent1" w:themeFillTint="33"/>
            <w:noWrap/>
            <w:vAlign w:val="center"/>
          </w:tcPr>
          <w:p w14:paraId="14E82487" w14:textId="448A7B58"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-101,3</w:t>
            </w:r>
          </w:p>
        </w:tc>
        <w:tc>
          <w:tcPr>
            <w:tcW w:w="958" w:type="dxa"/>
            <w:shd w:val="clear" w:color="auto" w:fill="DEEAF6" w:themeFill="accent1" w:themeFillTint="33"/>
            <w:noWrap/>
            <w:vAlign w:val="center"/>
          </w:tcPr>
          <w:p w14:paraId="28CE11F5" w14:textId="0FAABB0F"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-20,3</w:t>
            </w:r>
          </w:p>
        </w:tc>
      </w:tr>
      <w:tr w:rsidR="005E05F9" w:rsidRPr="00F42440" w14:paraId="638A118D" w14:textId="77777777" w:rsidTr="007E641C">
        <w:trPr>
          <w:trHeight w:val="196"/>
          <w:jc w:val="center"/>
        </w:trPr>
        <w:tc>
          <w:tcPr>
            <w:tcW w:w="3255" w:type="dxa"/>
            <w:shd w:val="clear" w:color="auto" w:fill="DEEAF6" w:themeFill="accent1" w:themeFillTint="33"/>
            <w:noWrap/>
            <w:hideMark/>
          </w:tcPr>
          <w:p w14:paraId="2E54EDC7" w14:textId="77777777" w:rsidR="005E05F9" w:rsidRPr="004B6E65" w:rsidRDefault="005E05F9" w:rsidP="007E7CBB">
            <w:pPr>
              <w:spacing w:before="0" w:after="0"/>
              <w:ind w:firstLine="0"/>
              <w:jc w:val="left"/>
              <w:rPr>
                <w:rFonts w:eastAsia="Times New Roman"/>
                <w:b/>
                <w:bCs/>
                <w:color w:val="000000"/>
                <w:sz w:val="20"/>
              </w:rPr>
            </w:pPr>
            <w:r w:rsidRPr="004B6E65">
              <w:rPr>
                <w:rFonts w:eastAsia="Times New Roman"/>
                <w:b/>
                <w:bCs/>
                <w:color w:val="000000"/>
                <w:sz w:val="20"/>
              </w:rPr>
              <w:t xml:space="preserve">IV Atbalsts nozarēm, </w:t>
            </w:r>
            <w:r w:rsidRPr="004B6E65">
              <w:rPr>
                <w:rFonts w:eastAsia="Times New Roman"/>
                <w:color w:val="000000"/>
                <w:sz w:val="20"/>
              </w:rPr>
              <w:t>tai skaitā</w:t>
            </w:r>
          </w:p>
        </w:tc>
        <w:tc>
          <w:tcPr>
            <w:tcW w:w="850" w:type="dxa"/>
            <w:shd w:val="clear" w:color="auto" w:fill="DEEAF6" w:themeFill="accent1" w:themeFillTint="33"/>
            <w:noWrap/>
            <w:vAlign w:val="center"/>
          </w:tcPr>
          <w:p w14:paraId="0B32B9F9" w14:textId="23D6EAFE" w:rsidR="005E05F9" w:rsidRPr="004B6E65" w:rsidRDefault="005E05F9" w:rsidP="005E05F9">
            <w:pPr>
              <w:spacing w:before="0" w:after="0"/>
              <w:ind w:firstLine="0"/>
              <w:jc w:val="center"/>
              <w:rPr>
                <w:rFonts w:eastAsia="Times New Roman"/>
                <w:color w:val="000000"/>
                <w:sz w:val="20"/>
              </w:rPr>
            </w:pPr>
            <w:r w:rsidRPr="00FB465A">
              <w:rPr>
                <w:rFonts w:eastAsia="Times New Roman"/>
                <w:b/>
                <w:color w:val="000000"/>
                <w:sz w:val="20"/>
              </w:rPr>
              <w:t>631,8</w:t>
            </w:r>
          </w:p>
        </w:tc>
        <w:tc>
          <w:tcPr>
            <w:tcW w:w="994" w:type="dxa"/>
            <w:shd w:val="clear" w:color="auto" w:fill="DEEAF6" w:themeFill="accent1" w:themeFillTint="33"/>
            <w:noWrap/>
            <w:vAlign w:val="center"/>
          </w:tcPr>
          <w:p w14:paraId="34152E4B" w14:textId="0701E320"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-622,3</w:t>
            </w:r>
          </w:p>
        </w:tc>
        <w:tc>
          <w:tcPr>
            <w:tcW w:w="851" w:type="dxa"/>
            <w:shd w:val="clear" w:color="auto" w:fill="DEEAF6" w:themeFill="accent1" w:themeFillTint="33"/>
            <w:noWrap/>
            <w:vAlign w:val="center"/>
          </w:tcPr>
          <w:p w14:paraId="2B9DCCDD" w14:textId="6E72F5B9"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1 787,5</w:t>
            </w:r>
          </w:p>
        </w:tc>
        <w:tc>
          <w:tcPr>
            <w:tcW w:w="1135" w:type="dxa"/>
            <w:shd w:val="clear" w:color="auto" w:fill="DEEAF6" w:themeFill="accent1" w:themeFillTint="33"/>
            <w:noWrap/>
            <w:vAlign w:val="center"/>
          </w:tcPr>
          <w:p w14:paraId="5FC8F70D" w14:textId="4B49B5C3" w:rsidR="005E05F9" w:rsidRPr="004B6E65" w:rsidRDefault="005E05F9" w:rsidP="005E05F9">
            <w:pPr>
              <w:spacing w:before="0" w:after="0"/>
              <w:ind w:firstLine="0"/>
              <w:jc w:val="center"/>
              <w:rPr>
                <w:rFonts w:eastAsia="Times New Roman"/>
                <w:sz w:val="20"/>
              </w:rPr>
            </w:pPr>
            <w:r>
              <w:rPr>
                <w:rFonts w:eastAsia="Times New Roman"/>
                <w:b/>
                <w:sz w:val="20"/>
              </w:rPr>
              <w:t>894,8</w:t>
            </w:r>
          </w:p>
        </w:tc>
        <w:tc>
          <w:tcPr>
            <w:tcW w:w="1017" w:type="dxa"/>
            <w:shd w:val="clear" w:color="auto" w:fill="DEEAF6" w:themeFill="accent1" w:themeFillTint="33"/>
            <w:noWrap/>
            <w:vAlign w:val="center"/>
          </w:tcPr>
          <w:p w14:paraId="3BBA937A" w14:textId="65CEE7E8"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-1 453,3</w:t>
            </w:r>
          </w:p>
        </w:tc>
        <w:tc>
          <w:tcPr>
            <w:tcW w:w="958" w:type="dxa"/>
            <w:shd w:val="clear" w:color="auto" w:fill="DEEAF6" w:themeFill="accent1" w:themeFillTint="33"/>
            <w:noWrap/>
            <w:vAlign w:val="center"/>
          </w:tcPr>
          <w:p w14:paraId="7FB87C6B" w14:textId="4DA3A8F7"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-241,8</w:t>
            </w:r>
          </w:p>
        </w:tc>
      </w:tr>
      <w:tr w:rsidR="005E05F9" w:rsidRPr="00F42440" w14:paraId="3136DCE0" w14:textId="77777777" w:rsidTr="007E641C">
        <w:trPr>
          <w:trHeight w:val="196"/>
          <w:jc w:val="center"/>
        </w:trPr>
        <w:tc>
          <w:tcPr>
            <w:tcW w:w="3255" w:type="dxa"/>
            <w:noWrap/>
            <w:hideMark/>
          </w:tcPr>
          <w:p w14:paraId="42D031A7" w14:textId="77777777" w:rsidR="005E05F9" w:rsidRPr="004B6E65" w:rsidRDefault="005E05F9" w:rsidP="007E7CBB">
            <w:pPr>
              <w:spacing w:before="0" w:after="0"/>
              <w:ind w:firstLine="0"/>
              <w:jc w:val="left"/>
              <w:rPr>
                <w:rFonts w:eastAsia="Times New Roman"/>
                <w:color w:val="000000"/>
                <w:sz w:val="20"/>
              </w:rPr>
            </w:pPr>
            <w:r w:rsidRPr="004B6E65">
              <w:rPr>
                <w:rFonts w:eastAsia="Times New Roman"/>
                <w:color w:val="000000"/>
                <w:sz w:val="20"/>
              </w:rPr>
              <w:t>Veselības nozarei</w:t>
            </w:r>
            <w:r w:rsidRPr="004B6E65">
              <w:rPr>
                <w:rFonts w:eastAsia="Times New Roman"/>
                <w:color w:val="000000"/>
                <w:sz w:val="20"/>
                <w:vertAlign w:val="superscript"/>
              </w:rPr>
              <w:t xml:space="preserve"> </w:t>
            </w:r>
          </w:p>
        </w:tc>
        <w:tc>
          <w:tcPr>
            <w:tcW w:w="850" w:type="dxa"/>
            <w:noWrap/>
            <w:vAlign w:val="center"/>
          </w:tcPr>
          <w:p w14:paraId="480DAEEE" w14:textId="1A95E4F9"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133,1</w:t>
            </w:r>
          </w:p>
        </w:tc>
        <w:tc>
          <w:tcPr>
            <w:tcW w:w="994" w:type="dxa"/>
            <w:vAlign w:val="center"/>
          </w:tcPr>
          <w:p w14:paraId="4FFCC371" w14:textId="037DE4C0"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-123,6</w:t>
            </w:r>
          </w:p>
        </w:tc>
        <w:tc>
          <w:tcPr>
            <w:tcW w:w="851" w:type="dxa"/>
            <w:noWrap/>
            <w:vAlign w:val="center"/>
          </w:tcPr>
          <w:p w14:paraId="2EE29DDE" w14:textId="0FBD4762"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762,3</w:t>
            </w:r>
          </w:p>
        </w:tc>
        <w:tc>
          <w:tcPr>
            <w:tcW w:w="1135" w:type="dxa"/>
            <w:noWrap/>
            <w:vAlign w:val="center"/>
          </w:tcPr>
          <w:p w14:paraId="46CF22FE" w14:textId="6B6845D4" w:rsidR="005E05F9" w:rsidRPr="004B6E65" w:rsidRDefault="005E05F9" w:rsidP="005E05F9">
            <w:pPr>
              <w:spacing w:before="0" w:after="0"/>
              <w:ind w:firstLine="0"/>
              <w:jc w:val="center"/>
              <w:rPr>
                <w:rFonts w:eastAsia="Times New Roman"/>
                <w:sz w:val="20"/>
              </w:rPr>
            </w:pPr>
            <w:r>
              <w:rPr>
                <w:rFonts w:eastAsia="Times New Roman"/>
                <w:sz w:val="20"/>
              </w:rPr>
              <w:t>234,4</w:t>
            </w:r>
          </w:p>
        </w:tc>
        <w:tc>
          <w:tcPr>
            <w:tcW w:w="1017" w:type="dxa"/>
            <w:vAlign w:val="center"/>
          </w:tcPr>
          <w:p w14:paraId="137E3FD8" w14:textId="1A4BBDF2"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-463,8</w:t>
            </w:r>
          </w:p>
        </w:tc>
        <w:tc>
          <w:tcPr>
            <w:tcW w:w="958" w:type="dxa"/>
            <w:vAlign w:val="center"/>
          </w:tcPr>
          <w:p w14:paraId="6D640593" w14:textId="66C29DFD"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-143,9</w:t>
            </w:r>
          </w:p>
        </w:tc>
      </w:tr>
      <w:tr w:rsidR="005E05F9" w:rsidRPr="00F42440" w14:paraId="27DDF075" w14:textId="77777777" w:rsidTr="007E641C">
        <w:trPr>
          <w:trHeight w:val="196"/>
          <w:jc w:val="center"/>
        </w:trPr>
        <w:tc>
          <w:tcPr>
            <w:tcW w:w="3255" w:type="dxa"/>
            <w:noWrap/>
            <w:hideMark/>
          </w:tcPr>
          <w:p w14:paraId="20C45C9C" w14:textId="77777777" w:rsidR="005E05F9" w:rsidRPr="004B6E65" w:rsidRDefault="005E05F9" w:rsidP="007E7CBB">
            <w:pPr>
              <w:spacing w:before="0" w:after="0"/>
              <w:ind w:firstLine="0"/>
              <w:jc w:val="left"/>
              <w:rPr>
                <w:rFonts w:eastAsia="Times New Roman"/>
                <w:color w:val="000000"/>
                <w:sz w:val="20"/>
              </w:rPr>
            </w:pPr>
            <w:r w:rsidRPr="004B6E65">
              <w:rPr>
                <w:rFonts w:eastAsia="Times New Roman"/>
                <w:color w:val="000000"/>
                <w:sz w:val="20"/>
              </w:rPr>
              <w:t>Satiksmes nozarei (t.sk. avio nozarei un autoceļiem)</w:t>
            </w:r>
          </w:p>
        </w:tc>
        <w:tc>
          <w:tcPr>
            <w:tcW w:w="850" w:type="dxa"/>
            <w:noWrap/>
            <w:vAlign w:val="center"/>
          </w:tcPr>
          <w:p w14:paraId="2821A158" w14:textId="5333F223"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408,4</w:t>
            </w:r>
          </w:p>
        </w:tc>
        <w:tc>
          <w:tcPr>
            <w:tcW w:w="994" w:type="dxa"/>
            <w:vAlign w:val="center"/>
          </w:tcPr>
          <w:p w14:paraId="2D376A30" w14:textId="0ADD12E4"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-408,4</w:t>
            </w:r>
          </w:p>
        </w:tc>
        <w:tc>
          <w:tcPr>
            <w:tcW w:w="851" w:type="dxa"/>
            <w:noWrap/>
            <w:vAlign w:val="center"/>
          </w:tcPr>
          <w:p w14:paraId="41F17646" w14:textId="5E2A7710"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203,6</w:t>
            </w:r>
          </w:p>
        </w:tc>
        <w:tc>
          <w:tcPr>
            <w:tcW w:w="1135" w:type="dxa"/>
            <w:noWrap/>
            <w:vAlign w:val="center"/>
          </w:tcPr>
          <w:p w14:paraId="6753362A" w14:textId="1E269088" w:rsidR="005E05F9" w:rsidRPr="004B6E65" w:rsidRDefault="005E05F9" w:rsidP="005E05F9">
            <w:pPr>
              <w:spacing w:before="0" w:after="0"/>
              <w:ind w:firstLine="0"/>
              <w:jc w:val="center"/>
              <w:rPr>
                <w:rFonts w:eastAsia="Times New Roman"/>
                <w:sz w:val="20"/>
              </w:rPr>
            </w:pPr>
            <w:r>
              <w:rPr>
                <w:rFonts w:eastAsia="Times New Roman"/>
                <w:sz w:val="20"/>
              </w:rPr>
              <w:t>73,0</w:t>
            </w:r>
          </w:p>
        </w:tc>
        <w:tc>
          <w:tcPr>
            <w:tcW w:w="1017" w:type="dxa"/>
            <w:vAlign w:val="center"/>
          </w:tcPr>
          <w:p w14:paraId="7E51E82F" w14:textId="48838494"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-203,6</w:t>
            </w:r>
          </w:p>
        </w:tc>
        <w:tc>
          <w:tcPr>
            <w:tcW w:w="958" w:type="dxa"/>
            <w:vAlign w:val="center"/>
          </w:tcPr>
          <w:p w14:paraId="274547BD" w14:textId="7881ED11"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0,0</w:t>
            </w:r>
          </w:p>
        </w:tc>
      </w:tr>
      <w:tr w:rsidR="005E05F9" w:rsidRPr="00F42440" w14:paraId="62DDEACC" w14:textId="77777777" w:rsidTr="007E641C">
        <w:trPr>
          <w:trHeight w:val="196"/>
          <w:jc w:val="center"/>
        </w:trPr>
        <w:tc>
          <w:tcPr>
            <w:tcW w:w="3255" w:type="dxa"/>
            <w:noWrap/>
            <w:hideMark/>
          </w:tcPr>
          <w:p w14:paraId="085E8755" w14:textId="77777777" w:rsidR="005E05F9" w:rsidRPr="004B6E65" w:rsidRDefault="005E05F9" w:rsidP="007E7CBB">
            <w:pPr>
              <w:spacing w:before="0" w:after="0"/>
              <w:ind w:firstLine="0"/>
              <w:jc w:val="left"/>
              <w:rPr>
                <w:rFonts w:eastAsia="Times New Roman"/>
                <w:color w:val="000000"/>
                <w:sz w:val="20"/>
              </w:rPr>
            </w:pPr>
            <w:r w:rsidRPr="004B6E65">
              <w:rPr>
                <w:rFonts w:eastAsia="Times New Roman"/>
                <w:color w:val="000000"/>
                <w:sz w:val="20"/>
              </w:rPr>
              <w:t>Granti apgrozāmajiem līdzekļiem</w:t>
            </w:r>
          </w:p>
        </w:tc>
        <w:tc>
          <w:tcPr>
            <w:tcW w:w="850" w:type="dxa"/>
            <w:noWrap/>
            <w:vAlign w:val="center"/>
          </w:tcPr>
          <w:p w14:paraId="2D7A7EA7" w14:textId="2B709412"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0,0</w:t>
            </w:r>
          </w:p>
        </w:tc>
        <w:tc>
          <w:tcPr>
            <w:tcW w:w="994" w:type="dxa"/>
            <w:vAlign w:val="center"/>
          </w:tcPr>
          <w:p w14:paraId="4F599E0A" w14:textId="18ED49C9" w:rsidR="005E05F9" w:rsidRPr="004B6E65" w:rsidRDefault="005E05F9" w:rsidP="005E05F9">
            <w:pPr>
              <w:spacing w:before="0" w:after="0"/>
              <w:ind w:firstLine="0"/>
              <w:jc w:val="center"/>
              <w:rPr>
                <w:rFonts w:eastAsia="Times New Roman"/>
                <w:sz w:val="20"/>
              </w:rPr>
            </w:pPr>
            <w:r>
              <w:rPr>
                <w:rFonts w:eastAsia="Times New Roman"/>
                <w:color w:val="000000"/>
                <w:sz w:val="20"/>
              </w:rPr>
              <w:t>0,0</w:t>
            </w:r>
          </w:p>
        </w:tc>
        <w:tc>
          <w:tcPr>
            <w:tcW w:w="851" w:type="dxa"/>
            <w:noWrap/>
            <w:vAlign w:val="center"/>
          </w:tcPr>
          <w:p w14:paraId="3C10C983" w14:textId="6234764A"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533,8</w:t>
            </w:r>
          </w:p>
        </w:tc>
        <w:tc>
          <w:tcPr>
            <w:tcW w:w="1135" w:type="dxa"/>
            <w:noWrap/>
            <w:vAlign w:val="center"/>
          </w:tcPr>
          <w:p w14:paraId="6B0F854C" w14:textId="11AADFA9" w:rsidR="005E05F9" w:rsidRPr="004B6E65" w:rsidRDefault="005E05F9" w:rsidP="005E05F9">
            <w:pPr>
              <w:spacing w:before="0" w:after="0"/>
              <w:ind w:firstLine="0"/>
              <w:jc w:val="center"/>
              <w:rPr>
                <w:rFonts w:eastAsia="Times New Roman"/>
                <w:sz w:val="20"/>
              </w:rPr>
            </w:pPr>
            <w:r>
              <w:rPr>
                <w:rFonts w:eastAsia="Times New Roman"/>
                <w:sz w:val="20"/>
              </w:rPr>
              <w:t>489,3</w:t>
            </w:r>
          </w:p>
        </w:tc>
        <w:tc>
          <w:tcPr>
            <w:tcW w:w="1017" w:type="dxa"/>
            <w:vAlign w:val="center"/>
          </w:tcPr>
          <w:p w14:paraId="4D79A53A" w14:textId="635303A6" w:rsidR="005E05F9" w:rsidRPr="004B6E65" w:rsidRDefault="005E05F9" w:rsidP="005E05F9">
            <w:pPr>
              <w:spacing w:before="0" w:after="0"/>
              <w:ind w:firstLine="0"/>
              <w:jc w:val="center"/>
              <w:rPr>
                <w:rFonts w:eastAsia="Times New Roman"/>
                <w:sz w:val="20"/>
              </w:rPr>
            </w:pPr>
            <w:r>
              <w:rPr>
                <w:rFonts w:eastAsia="Times New Roman"/>
                <w:sz w:val="20"/>
              </w:rPr>
              <w:t>-533,8</w:t>
            </w:r>
          </w:p>
        </w:tc>
        <w:tc>
          <w:tcPr>
            <w:tcW w:w="958" w:type="dxa"/>
            <w:vAlign w:val="center"/>
          </w:tcPr>
          <w:p w14:paraId="4EC47C35" w14:textId="02BFEC6C" w:rsidR="005E05F9" w:rsidRPr="004B6E65" w:rsidRDefault="005E05F9" w:rsidP="005E05F9">
            <w:pPr>
              <w:spacing w:before="0" w:after="0"/>
              <w:ind w:firstLine="0"/>
              <w:jc w:val="center"/>
              <w:rPr>
                <w:rFonts w:eastAsia="Times New Roman"/>
                <w:sz w:val="20"/>
              </w:rPr>
            </w:pPr>
            <w:r>
              <w:rPr>
                <w:rFonts w:eastAsia="Times New Roman"/>
                <w:sz w:val="20"/>
              </w:rPr>
              <w:t>0,0</w:t>
            </w:r>
          </w:p>
        </w:tc>
      </w:tr>
      <w:tr w:rsidR="005E05F9" w:rsidRPr="00F42440" w14:paraId="06771697" w14:textId="77777777" w:rsidTr="007E641C">
        <w:trPr>
          <w:trHeight w:val="196"/>
          <w:jc w:val="center"/>
        </w:trPr>
        <w:tc>
          <w:tcPr>
            <w:tcW w:w="3255" w:type="dxa"/>
            <w:hideMark/>
          </w:tcPr>
          <w:p w14:paraId="76858360" w14:textId="77777777" w:rsidR="005E05F9" w:rsidRPr="004B6E65" w:rsidRDefault="005E05F9" w:rsidP="007E7CBB">
            <w:pPr>
              <w:spacing w:before="0" w:after="0"/>
              <w:ind w:firstLine="0"/>
              <w:jc w:val="left"/>
              <w:rPr>
                <w:rFonts w:eastAsia="Times New Roman"/>
                <w:color w:val="000000"/>
                <w:sz w:val="20"/>
              </w:rPr>
            </w:pPr>
            <w:r w:rsidRPr="004B6E65">
              <w:rPr>
                <w:rFonts w:eastAsia="Times New Roman"/>
                <w:color w:val="000000"/>
                <w:sz w:val="20"/>
              </w:rPr>
              <w:t>Zemkopības nozarei</w:t>
            </w:r>
          </w:p>
        </w:tc>
        <w:tc>
          <w:tcPr>
            <w:tcW w:w="850" w:type="dxa"/>
            <w:noWrap/>
            <w:vAlign w:val="center"/>
          </w:tcPr>
          <w:p w14:paraId="7B0DEFF5" w14:textId="17DD9B0B"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37,5</w:t>
            </w:r>
          </w:p>
        </w:tc>
        <w:tc>
          <w:tcPr>
            <w:tcW w:w="994" w:type="dxa"/>
            <w:vAlign w:val="center"/>
          </w:tcPr>
          <w:p w14:paraId="60BB9465" w14:textId="2B91A421"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-37,5</w:t>
            </w:r>
          </w:p>
        </w:tc>
        <w:tc>
          <w:tcPr>
            <w:tcW w:w="851" w:type="dxa"/>
            <w:noWrap/>
            <w:vAlign w:val="center"/>
          </w:tcPr>
          <w:p w14:paraId="1738D36A" w14:textId="0D525A23"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45,5</w:t>
            </w:r>
          </w:p>
        </w:tc>
        <w:tc>
          <w:tcPr>
            <w:tcW w:w="1135" w:type="dxa"/>
            <w:noWrap/>
            <w:vAlign w:val="center"/>
          </w:tcPr>
          <w:p w14:paraId="7A13527C" w14:textId="2B58A385" w:rsidR="005E05F9" w:rsidRPr="004B6E65" w:rsidRDefault="005E05F9" w:rsidP="005E05F9">
            <w:pPr>
              <w:spacing w:before="0" w:after="0"/>
              <w:ind w:firstLine="0"/>
              <w:jc w:val="center"/>
              <w:rPr>
                <w:rFonts w:eastAsia="Times New Roman"/>
                <w:sz w:val="20"/>
              </w:rPr>
            </w:pPr>
            <w:r>
              <w:rPr>
                <w:rFonts w:eastAsia="Times New Roman"/>
                <w:sz w:val="20"/>
              </w:rPr>
              <w:t>0,3</w:t>
            </w:r>
          </w:p>
        </w:tc>
        <w:tc>
          <w:tcPr>
            <w:tcW w:w="1017" w:type="dxa"/>
            <w:vAlign w:val="center"/>
          </w:tcPr>
          <w:p w14:paraId="52505C1A" w14:textId="0285DEA4"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-45,5</w:t>
            </w:r>
          </w:p>
        </w:tc>
        <w:tc>
          <w:tcPr>
            <w:tcW w:w="958" w:type="dxa"/>
            <w:vAlign w:val="center"/>
          </w:tcPr>
          <w:p w14:paraId="6FEA316D" w14:textId="64BAEB54"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0,0</w:t>
            </w:r>
          </w:p>
        </w:tc>
      </w:tr>
      <w:tr w:rsidR="005E05F9" w:rsidRPr="00F42440" w14:paraId="6D790E0B" w14:textId="77777777" w:rsidTr="007E641C">
        <w:trPr>
          <w:trHeight w:val="196"/>
          <w:jc w:val="center"/>
        </w:trPr>
        <w:tc>
          <w:tcPr>
            <w:tcW w:w="3255" w:type="dxa"/>
            <w:noWrap/>
            <w:hideMark/>
          </w:tcPr>
          <w:p w14:paraId="21AA593A" w14:textId="77777777" w:rsidR="005E05F9" w:rsidRPr="004B6E65" w:rsidRDefault="005E05F9" w:rsidP="007E7CBB">
            <w:pPr>
              <w:spacing w:before="0" w:after="0"/>
              <w:ind w:firstLine="0"/>
              <w:jc w:val="left"/>
              <w:rPr>
                <w:rFonts w:eastAsia="Times New Roman"/>
                <w:color w:val="000000"/>
                <w:sz w:val="20"/>
              </w:rPr>
            </w:pPr>
            <w:r w:rsidRPr="004B6E65">
              <w:rPr>
                <w:rFonts w:eastAsia="Times New Roman"/>
                <w:color w:val="000000"/>
                <w:sz w:val="20"/>
              </w:rPr>
              <w:t>Kultūras nozarei</w:t>
            </w:r>
          </w:p>
        </w:tc>
        <w:tc>
          <w:tcPr>
            <w:tcW w:w="850" w:type="dxa"/>
            <w:noWrap/>
            <w:vAlign w:val="center"/>
          </w:tcPr>
          <w:p w14:paraId="1F2DCCA8" w14:textId="71E2E6BB"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21,1</w:t>
            </w:r>
          </w:p>
        </w:tc>
        <w:tc>
          <w:tcPr>
            <w:tcW w:w="994" w:type="dxa"/>
            <w:vAlign w:val="center"/>
          </w:tcPr>
          <w:p w14:paraId="3B11008E" w14:textId="28BA9663"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-21,1</w:t>
            </w:r>
          </w:p>
        </w:tc>
        <w:tc>
          <w:tcPr>
            <w:tcW w:w="851" w:type="dxa"/>
            <w:noWrap/>
            <w:vAlign w:val="center"/>
          </w:tcPr>
          <w:p w14:paraId="164F11EB" w14:textId="19281096"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42,0</w:t>
            </w:r>
          </w:p>
        </w:tc>
        <w:tc>
          <w:tcPr>
            <w:tcW w:w="1135" w:type="dxa"/>
            <w:noWrap/>
            <w:vAlign w:val="center"/>
          </w:tcPr>
          <w:p w14:paraId="726F1F0A" w14:textId="3110FBF2" w:rsidR="005E05F9" w:rsidRPr="004B6E65" w:rsidRDefault="005E05F9" w:rsidP="005E05F9">
            <w:pPr>
              <w:spacing w:before="0" w:after="0"/>
              <w:ind w:firstLine="0"/>
              <w:jc w:val="center"/>
              <w:rPr>
                <w:rFonts w:eastAsia="Times New Roman"/>
                <w:sz w:val="20"/>
              </w:rPr>
            </w:pPr>
            <w:r>
              <w:rPr>
                <w:rFonts w:eastAsia="Times New Roman"/>
                <w:sz w:val="20"/>
              </w:rPr>
              <w:t>15,0</w:t>
            </w:r>
          </w:p>
        </w:tc>
        <w:tc>
          <w:tcPr>
            <w:tcW w:w="1017" w:type="dxa"/>
            <w:vAlign w:val="center"/>
          </w:tcPr>
          <w:p w14:paraId="2C06A517" w14:textId="739E4841"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-35,2</w:t>
            </w:r>
          </w:p>
        </w:tc>
        <w:tc>
          <w:tcPr>
            <w:tcW w:w="958" w:type="dxa"/>
            <w:vAlign w:val="center"/>
          </w:tcPr>
          <w:p w14:paraId="15F830E9" w14:textId="1A46E18C"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0,0</w:t>
            </w:r>
          </w:p>
        </w:tc>
      </w:tr>
      <w:tr w:rsidR="005E05F9" w:rsidRPr="00F42440" w14:paraId="7795A846" w14:textId="77777777" w:rsidTr="007E641C">
        <w:trPr>
          <w:trHeight w:val="196"/>
          <w:jc w:val="center"/>
        </w:trPr>
        <w:tc>
          <w:tcPr>
            <w:tcW w:w="3255" w:type="dxa"/>
            <w:hideMark/>
          </w:tcPr>
          <w:p w14:paraId="581CAD10" w14:textId="77777777" w:rsidR="005E05F9" w:rsidRPr="004B6E65" w:rsidRDefault="005E05F9" w:rsidP="007E7CBB">
            <w:pPr>
              <w:spacing w:before="0" w:after="0"/>
              <w:ind w:firstLine="0"/>
              <w:jc w:val="left"/>
              <w:rPr>
                <w:rFonts w:eastAsia="Times New Roman"/>
                <w:color w:val="000000"/>
                <w:sz w:val="20"/>
              </w:rPr>
            </w:pPr>
            <w:r w:rsidRPr="004B6E65">
              <w:rPr>
                <w:rFonts w:eastAsia="Times New Roman"/>
                <w:color w:val="000000"/>
                <w:sz w:val="20"/>
              </w:rPr>
              <w:t>Izglītībai un zinātnei (t.sk. sportam un attālinātajām mācībām)</w:t>
            </w:r>
          </w:p>
        </w:tc>
        <w:tc>
          <w:tcPr>
            <w:tcW w:w="850" w:type="dxa"/>
            <w:noWrap/>
            <w:vAlign w:val="center"/>
          </w:tcPr>
          <w:p w14:paraId="5F281C65" w14:textId="2C477C1F"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22,1</w:t>
            </w:r>
          </w:p>
        </w:tc>
        <w:tc>
          <w:tcPr>
            <w:tcW w:w="994" w:type="dxa"/>
            <w:vAlign w:val="center"/>
          </w:tcPr>
          <w:p w14:paraId="20D649E0" w14:textId="4D7176F2"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-22,1</w:t>
            </w:r>
          </w:p>
        </w:tc>
        <w:tc>
          <w:tcPr>
            <w:tcW w:w="851" w:type="dxa"/>
            <w:noWrap/>
            <w:vAlign w:val="center"/>
          </w:tcPr>
          <w:p w14:paraId="57DCE187" w14:textId="14ECF8E9"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53,2</w:t>
            </w:r>
          </w:p>
        </w:tc>
        <w:tc>
          <w:tcPr>
            <w:tcW w:w="1135" w:type="dxa"/>
            <w:noWrap/>
            <w:vAlign w:val="center"/>
          </w:tcPr>
          <w:p w14:paraId="4FC4D900" w14:textId="6215B1B3" w:rsidR="005E05F9" w:rsidRPr="004B6E65" w:rsidRDefault="005E05F9" w:rsidP="005E05F9">
            <w:pPr>
              <w:spacing w:before="0" w:after="0"/>
              <w:ind w:firstLine="0"/>
              <w:jc w:val="center"/>
              <w:rPr>
                <w:rFonts w:eastAsia="Times New Roman"/>
                <w:sz w:val="20"/>
              </w:rPr>
            </w:pPr>
            <w:r>
              <w:rPr>
                <w:rFonts w:eastAsia="Times New Roman"/>
                <w:sz w:val="20"/>
              </w:rPr>
              <w:t>26,9</w:t>
            </w:r>
          </w:p>
        </w:tc>
        <w:tc>
          <w:tcPr>
            <w:tcW w:w="1017" w:type="dxa"/>
            <w:vAlign w:val="center"/>
          </w:tcPr>
          <w:p w14:paraId="4DC5B07D" w14:textId="754EFC90"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-49,5</w:t>
            </w:r>
          </w:p>
        </w:tc>
        <w:tc>
          <w:tcPr>
            <w:tcW w:w="958" w:type="dxa"/>
            <w:vAlign w:val="center"/>
          </w:tcPr>
          <w:p w14:paraId="34107CEF" w14:textId="723C06A9"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0,0</w:t>
            </w:r>
          </w:p>
        </w:tc>
      </w:tr>
      <w:tr w:rsidR="005E05F9" w:rsidRPr="00F42440" w14:paraId="3CE93C77" w14:textId="77777777" w:rsidTr="007E641C">
        <w:trPr>
          <w:trHeight w:val="205"/>
          <w:jc w:val="center"/>
        </w:trPr>
        <w:tc>
          <w:tcPr>
            <w:tcW w:w="3255" w:type="dxa"/>
            <w:hideMark/>
          </w:tcPr>
          <w:p w14:paraId="43658243" w14:textId="77777777" w:rsidR="005E05F9" w:rsidRPr="004B6E65" w:rsidRDefault="005E05F9" w:rsidP="007E7CBB">
            <w:pPr>
              <w:spacing w:before="0" w:after="0"/>
              <w:ind w:firstLine="0"/>
              <w:jc w:val="left"/>
              <w:rPr>
                <w:rFonts w:eastAsia="Times New Roman"/>
                <w:color w:val="000000"/>
                <w:sz w:val="20"/>
              </w:rPr>
            </w:pPr>
            <w:r w:rsidRPr="004B6E65">
              <w:rPr>
                <w:rFonts w:eastAsia="Times New Roman"/>
                <w:color w:val="000000"/>
                <w:sz w:val="20"/>
              </w:rPr>
              <w:t>Augstas gatavības projekti (bez autoceļiem)</w:t>
            </w:r>
          </w:p>
        </w:tc>
        <w:tc>
          <w:tcPr>
            <w:tcW w:w="850" w:type="dxa"/>
            <w:noWrap/>
            <w:vAlign w:val="center"/>
          </w:tcPr>
          <w:p w14:paraId="28430F7F" w14:textId="03D88665"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0,0</w:t>
            </w:r>
          </w:p>
        </w:tc>
        <w:tc>
          <w:tcPr>
            <w:tcW w:w="994" w:type="dxa"/>
            <w:vAlign w:val="center"/>
          </w:tcPr>
          <w:p w14:paraId="2FB635BB" w14:textId="24A8940E"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0,0</w:t>
            </w:r>
          </w:p>
        </w:tc>
        <w:tc>
          <w:tcPr>
            <w:tcW w:w="851" w:type="dxa"/>
            <w:noWrap/>
            <w:vAlign w:val="center"/>
          </w:tcPr>
          <w:p w14:paraId="7C38226B" w14:textId="72449BE0"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62,6</w:t>
            </w:r>
          </w:p>
        </w:tc>
        <w:tc>
          <w:tcPr>
            <w:tcW w:w="1135" w:type="dxa"/>
            <w:noWrap/>
            <w:vAlign w:val="center"/>
          </w:tcPr>
          <w:p w14:paraId="108D5AC2" w14:textId="4D1CC275" w:rsidR="005E05F9" w:rsidRPr="004B6E65" w:rsidRDefault="005E05F9" w:rsidP="005E05F9">
            <w:pPr>
              <w:spacing w:before="0" w:after="0"/>
              <w:ind w:firstLine="0"/>
              <w:jc w:val="center"/>
              <w:rPr>
                <w:rFonts w:eastAsia="Times New Roman"/>
                <w:sz w:val="20"/>
              </w:rPr>
            </w:pPr>
            <w:r>
              <w:rPr>
                <w:rFonts w:eastAsia="Times New Roman"/>
                <w:sz w:val="20"/>
              </w:rPr>
              <w:t>31,4</w:t>
            </w:r>
          </w:p>
        </w:tc>
        <w:tc>
          <w:tcPr>
            <w:tcW w:w="1017" w:type="dxa"/>
            <w:vAlign w:val="center"/>
          </w:tcPr>
          <w:p w14:paraId="19DF8FEF" w14:textId="635CD380"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-38,4</w:t>
            </w:r>
          </w:p>
        </w:tc>
        <w:tc>
          <w:tcPr>
            <w:tcW w:w="958" w:type="dxa"/>
            <w:vAlign w:val="center"/>
          </w:tcPr>
          <w:p w14:paraId="30A173EE" w14:textId="7B2ABCE6" w:rsidR="005E05F9" w:rsidRPr="004B6E65" w:rsidRDefault="005E05F9" w:rsidP="005E05F9">
            <w:pPr>
              <w:spacing w:before="0" w:after="0"/>
              <w:ind w:firstLine="0"/>
              <w:jc w:val="center"/>
              <w:rPr>
                <w:rFonts w:eastAsia="Times New Roman"/>
                <w:color w:val="000000"/>
                <w:sz w:val="20"/>
              </w:rPr>
            </w:pPr>
            <w:r>
              <w:rPr>
                <w:rFonts w:eastAsia="Times New Roman"/>
                <w:color w:val="000000"/>
                <w:sz w:val="20"/>
              </w:rPr>
              <w:t>-97,8</w:t>
            </w:r>
          </w:p>
        </w:tc>
      </w:tr>
      <w:tr w:rsidR="005E05F9" w:rsidRPr="00F42440" w14:paraId="3D375C08" w14:textId="77777777" w:rsidTr="007E641C">
        <w:trPr>
          <w:trHeight w:val="205"/>
          <w:jc w:val="center"/>
        </w:trPr>
        <w:tc>
          <w:tcPr>
            <w:tcW w:w="3255" w:type="dxa"/>
            <w:shd w:val="clear" w:color="auto" w:fill="DEEAF6" w:themeFill="accent1" w:themeFillTint="33"/>
            <w:noWrap/>
            <w:hideMark/>
          </w:tcPr>
          <w:p w14:paraId="5AC17440" w14:textId="77777777" w:rsidR="005E05F9" w:rsidRPr="004B6E65" w:rsidRDefault="005E05F9" w:rsidP="007E7CBB">
            <w:pPr>
              <w:spacing w:before="0" w:after="0"/>
              <w:ind w:firstLine="0"/>
              <w:jc w:val="left"/>
              <w:rPr>
                <w:rFonts w:eastAsia="Times New Roman"/>
                <w:b/>
                <w:bCs/>
                <w:color w:val="000000"/>
                <w:sz w:val="20"/>
              </w:rPr>
            </w:pPr>
            <w:r w:rsidRPr="004B6E65">
              <w:rPr>
                <w:rFonts w:eastAsia="Times New Roman"/>
                <w:b/>
                <w:bCs/>
                <w:color w:val="000000"/>
                <w:sz w:val="20"/>
              </w:rPr>
              <w:t>V ES fondu finansējuma atbalsts</w:t>
            </w:r>
          </w:p>
        </w:tc>
        <w:tc>
          <w:tcPr>
            <w:tcW w:w="850" w:type="dxa"/>
            <w:shd w:val="clear" w:color="auto" w:fill="DEEAF6" w:themeFill="accent1" w:themeFillTint="33"/>
            <w:noWrap/>
            <w:vAlign w:val="center"/>
          </w:tcPr>
          <w:p w14:paraId="4A959EFB" w14:textId="319DB6DF" w:rsidR="005E05F9" w:rsidRPr="004B6E65" w:rsidRDefault="005E05F9" w:rsidP="005E05F9">
            <w:pPr>
              <w:spacing w:before="0" w:after="0"/>
              <w:ind w:firstLine="0"/>
              <w:jc w:val="center"/>
              <w:rPr>
                <w:rFonts w:eastAsia="Times New Roman"/>
                <w:sz w:val="20"/>
              </w:rPr>
            </w:pPr>
            <w:r w:rsidRPr="00FB465A">
              <w:rPr>
                <w:rFonts w:eastAsia="Times New Roman"/>
                <w:b/>
                <w:sz w:val="20"/>
              </w:rPr>
              <w:t>27,3</w:t>
            </w:r>
          </w:p>
        </w:tc>
        <w:tc>
          <w:tcPr>
            <w:tcW w:w="994" w:type="dxa"/>
            <w:shd w:val="clear" w:color="auto" w:fill="DEEAF6" w:themeFill="accent1" w:themeFillTint="33"/>
            <w:noWrap/>
            <w:vAlign w:val="center"/>
          </w:tcPr>
          <w:p w14:paraId="6900D3F4" w14:textId="0A7D5179"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0,0</w:t>
            </w:r>
          </w:p>
        </w:tc>
        <w:tc>
          <w:tcPr>
            <w:tcW w:w="851" w:type="dxa"/>
            <w:shd w:val="clear" w:color="auto" w:fill="DEEAF6" w:themeFill="accent1" w:themeFillTint="33"/>
            <w:noWrap/>
            <w:vAlign w:val="center"/>
          </w:tcPr>
          <w:p w14:paraId="5FD03080" w14:textId="04AB34E0"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89,9</w:t>
            </w:r>
          </w:p>
        </w:tc>
        <w:tc>
          <w:tcPr>
            <w:tcW w:w="1135" w:type="dxa"/>
            <w:shd w:val="clear" w:color="auto" w:fill="DEEAF6" w:themeFill="accent1" w:themeFillTint="33"/>
            <w:noWrap/>
            <w:vAlign w:val="center"/>
          </w:tcPr>
          <w:p w14:paraId="50E177D0" w14:textId="37182568" w:rsidR="005E05F9" w:rsidRPr="004B6E65" w:rsidRDefault="005E05F9" w:rsidP="005E05F9">
            <w:pPr>
              <w:spacing w:before="0" w:after="0"/>
              <w:ind w:firstLine="0"/>
              <w:jc w:val="center"/>
              <w:rPr>
                <w:rFonts w:eastAsia="Times New Roman"/>
                <w:sz w:val="20"/>
              </w:rPr>
            </w:pPr>
            <w:r>
              <w:rPr>
                <w:rFonts w:eastAsia="Times New Roman"/>
                <w:b/>
                <w:sz w:val="20"/>
              </w:rPr>
              <w:t>26,8</w:t>
            </w:r>
          </w:p>
        </w:tc>
        <w:tc>
          <w:tcPr>
            <w:tcW w:w="1017" w:type="dxa"/>
            <w:shd w:val="clear" w:color="auto" w:fill="DEEAF6" w:themeFill="accent1" w:themeFillTint="33"/>
            <w:noWrap/>
            <w:vAlign w:val="center"/>
          </w:tcPr>
          <w:p w14:paraId="74BE542E" w14:textId="345FCAD1"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-8,6</w:t>
            </w:r>
          </w:p>
        </w:tc>
        <w:tc>
          <w:tcPr>
            <w:tcW w:w="958" w:type="dxa"/>
            <w:shd w:val="clear" w:color="auto" w:fill="DEEAF6" w:themeFill="accent1" w:themeFillTint="33"/>
            <w:noWrap/>
            <w:vAlign w:val="center"/>
          </w:tcPr>
          <w:p w14:paraId="44B05EF3" w14:textId="59F48B11" w:rsidR="005E05F9" w:rsidRPr="004B6E65" w:rsidRDefault="005E05F9" w:rsidP="005E05F9">
            <w:pPr>
              <w:spacing w:before="0" w:after="0"/>
              <w:ind w:firstLine="0"/>
              <w:jc w:val="center"/>
              <w:rPr>
                <w:rFonts w:eastAsia="Times New Roman"/>
                <w:color w:val="000000"/>
                <w:sz w:val="20"/>
              </w:rPr>
            </w:pPr>
            <w:r>
              <w:rPr>
                <w:rFonts w:eastAsia="Times New Roman"/>
                <w:b/>
                <w:color w:val="000000"/>
                <w:sz w:val="20"/>
              </w:rPr>
              <w:t>-6,9</w:t>
            </w:r>
          </w:p>
        </w:tc>
      </w:tr>
    </w:tbl>
    <w:p w14:paraId="64ABA02A" w14:textId="42D72782" w:rsidR="006D4E3C" w:rsidRPr="00AC55E4" w:rsidRDefault="006D4E3C" w:rsidP="00A83AAD">
      <w:pPr>
        <w:spacing w:after="60"/>
        <w:rPr>
          <w:rFonts w:eastAsiaTheme="majorEastAsia" w:cstheme="majorBidi"/>
          <w:b/>
          <w:sz w:val="32"/>
          <w:szCs w:val="32"/>
          <w:highlight w:val="yellow"/>
        </w:rPr>
      </w:pPr>
      <w:r w:rsidRPr="00AC55E4">
        <w:rPr>
          <w:highlight w:val="yellow"/>
        </w:rPr>
        <w:br w:type="page"/>
      </w:r>
    </w:p>
    <w:p w14:paraId="2D16076E" w14:textId="03236B37" w:rsidR="001D3FB0" w:rsidRDefault="001D3FB0" w:rsidP="00AD19DB">
      <w:pPr>
        <w:pStyle w:val="Heading1"/>
        <w:ind w:left="360"/>
      </w:pPr>
      <w:bookmarkStart w:id="6" w:name="_Toc48048101"/>
      <w:bookmarkStart w:id="7" w:name="_Toc80081213"/>
      <w:r w:rsidRPr="00945DF3">
        <w:lastRenderedPageBreak/>
        <w:t>Vispārējās valdības parāda prognoze</w:t>
      </w:r>
      <w:r>
        <w:br/>
      </w:r>
      <w:r w:rsidRPr="00945DF3">
        <w:t>pie ne</w:t>
      </w:r>
      <w:r>
        <w:t>mainīgas valdības politikas 2021.-2024</w:t>
      </w:r>
      <w:r w:rsidRPr="00945DF3">
        <w:t>. gadā</w:t>
      </w:r>
      <w:bookmarkEnd w:id="6"/>
      <w:bookmarkEnd w:id="7"/>
    </w:p>
    <w:p w14:paraId="4127DB55" w14:textId="285BDE78" w:rsidR="001D3FB0" w:rsidRPr="006152E0" w:rsidRDefault="001D3FB0" w:rsidP="00AD19DB">
      <w:pPr>
        <w:spacing w:before="60" w:after="60"/>
        <w:rPr>
          <w:color w:val="000000" w:themeColor="text1"/>
          <w:szCs w:val="24"/>
        </w:rPr>
      </w:pPr>
      <w:r w:rsidRPr="006152E0">
        <w:rPr>
          <w:color w:val="000000" w:themeColor="text1"/>
          <w:szCs w:val="24"/>
        </w:rPr>
        <w:t xml:space="preserve">Vispārējās valdības parāda prognoze sagatavota, ņemot vērā Finanšu ministrijas aktualizētās valsts budžeta finansiālās bilances prognozes bāzes scenārijā pie nemainīgas valdības politikas, kā arī aktualizētas iekšzemes kopprodukta (IKP) faktiskajās cenās prognozes (skat. </w:t>
      </w:r>
      <w:r w:rsidR="006152E0">
        <w:rPr>
          <w:color w:val="000000" w:themeColor="text1"/>
          <w:szCs w:val="24"/>
        </w:rPr>
        <w:t>4</w:t>
      </w:r>
      <w:r w:rsidRPr="006152E0">
        <w:rPr>
          <w:color w:val="000000" w:themeColor="text1"/>
          <w:szCs w:val="24"/>
        </w:rPr>
        <w:t>.</w:t>
      </w:r>
      <w:r w:rsidR="006152E0">
        <w:rPr>
          <w:color w:val="000000" w:themeColor="text1"/>
          <w:szCs w:val="24"/>
        </w:rPr>
        <w:t> </w:t>
      </w:r>
      <w:r w:rsidRPr="006152E0">
        <w:rPr>
          <w:color w:val="000000" w:themeColor="text1"/>
          <w:szCs w:val="24"/>
        </w:rPr>
        <w:t xml:space="preserve">tabulu). </w:t>
      </w:r>
    </w:p>
    <w:p w14:paraId="31161396" w14:textId="1B12ECB1" w:rsidR="001D3FB0" w:rsidRPr="006152E0" w:rsidRDefault="006152E0" w:rsidP="00AD19DB">
      <w:pPr>
        <w:spacing w:after="60"/>
        <w:ind w:firstLine="0"/>
        <w:jc w:val="center"/>
        <w:rPr>
          <w:rFonts w:eastAsia="Calibri" w:cs="Times New Roman"/>
          <w:b/>
          <w:bCs/>
          <w:sz w:val="24"/>
          <w:szCs w:val="24"/>
        </w:rPr>
      </w:pPr>
      <w:r w:rsidRPr="006152E0">
        <w:rPr>
          <w:rFonts w:eastAsia="Calibri" w:cs="Times New Roman"/>
          <w:b/>
          <w:bCs/>
          <w:sz w:val="24"/>
          <w:szCs w:val="24"/>
        </w:rPr>
        <w:t>4</w:t>
      </w:r>
      <w:r w:rsidR="001D3FB0" w:rsidRPr="006152E0">
        <w:rPr>
          <w:rFonts w:eastAsia="Calibri" w:cs="Times New Roman"/>
          <w:b/>
          <w:bCs/>
          <w:sz w:val="24"/>
          <w:szCs w:val="24"/>
        </w:rPr>
        <w:t>.tabula. Vispārējās valdības parāda prognožu salīdzinājums</w:t>
      </w:r>
    </w:p>
    <w:tbl>
      <w:tblPr>
        <w:tblW w:w="9014" w:type="dxa"/>
        <w:tblLook w:val="04A0" w:firstRow="1" w:lastRow="0" w:firstColumn="1" w:lastColumn="0" w:noHBand="0" w:noVBand="1"/>
      </w:tblPr>
      <w:tblGrid>
        <w:gridCol w:w="3114"/>
        <w:gridCol w:w="1180"/>
        <w:gridCol w:w="1180"/>
        <w:gridCol w:w="1180"/>
        <w:gridCol w:w="1180"/>
        <w:gridCol w:w="1180"/>
      </w:tblGrid>
      <w:tr w:rsidR="001D3FB0" w:rsidRPr="006152E0" w14:paraId="2B8A8A9F" w14:textId="77777777" w:rsidTr="00A83AAD">
        <w:trPr>
          <w:trHeight w:val="300"/>
        </w:trPr>
        <w:tc>
          <w:tcPr>
            <w:tcW w:w="31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FA34D0" w14:textId="77777777" w:rsidR="001D3FB0" w:rsidRPr="006152E0" w:rsidRDefault="001D3FB0" w:rsidP="00A83AAD">
            <w:pPr>
              <w:spacing w:before="0" w:after="0"/>
              <w:ind w:firstLine="0"/>
              <w:jc w:val="center"/>
              <w:rPr>
                <w:rFonts w:eastAsia="Times New Roman" w:cs="Times New Roman"/>
                <w:sz w:val="20"/>
                <w:szCs w:val="20"/>
                <w:lang w:eastAsia="lv-LV"/>
              </w:rPr>
            </w:pPr>
            <w:r w:rsidRPr="006152E0">
              <w:rPr>
                <w:rFonts w:eastAsia="Times New Roman" w:cs="Times New Roman"/>
                <w:sz w:val="20"/>
                <w:szCs w:val="20"/>
                <w:lang w:eastAsia="lv-LV"/>
              </w:rPr>
              <w:t>% no IKP</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7C8E8CE" w14:textId="25573426" w:rsidR="001D3FB0" w:rsidRPr="006152E0" w:rsidRDefault="006152E0" w:rsidP="00A83AAD">
            <w:pPr>
              <w:spacing w:before="0" w:after="0"/>
              <w:ind w:firstLine="0"/>
              <w:jc w:val="center"/>
              <w:rPr>
                <w:rFonts w:eastAsia="Times New Roman" w:cs="Times New Roman"/>
                <w:sz w:val="20"/>
                <w:szCs w:val="20"/>
                <w:lang w:eastAsia="lv-LV"/>
              </w:rPr>
            </w:pPr>
            <w:r>
              <w:rPr>
                <w:rFonts w:eastAsia="Times New Roman" w:cs="Times New Roman"/>
                <w:sz w:val="20"/>
                <w:szCs w:val="20"/>
                <w:lang w:eastAsia="lv-LV"/>
              </w:rPr>
              <w:t>F</w:t>
            </w:r>
            <w:r w:rsidR="001D3FB0" w:rsidRPr="006152E0">
              <w:rPr>
                <w:rFonts w:eastAsia="Times New Roman" w:cs="Times New Roman"/>
                <w:sz w:val="20"/>
                <w:szCs w:val="20"/>
                <w:lang w:eastAsia="lv-LV"/>
              </w:rPr>
              <w:t>akts</w:t>
            </w:r>
          </w:p>
        </w:tc>
        <w:tc>
          <w:tcPr>
            <w:tcW w:w="4720" w:type="dxa"/>
            <w:gridSpan w:val="4"/>
            <w:tcBorders>
              <w:top w:val="single" w:sz="4" w:space="0" w:color="auto"/>
              <w:left w:val="nil"/>
              <w:bottom w:val="single" w:sz="4" w:space="0" w:color="auto"/>
              <w:right w:val="single" w:sz="4" w:space="0" w:color="auto"/>
            </w:tcBorders>
            <w:shd w:val="clear" w:color="auto" w:fill="auto"/>
            <w:vAlign w:val="center"/>
            <w:hideMark/>
          </w:tcPr>
          <w:p w14:paraId="3197E720" w14:textId="2EC4D11C" w:rsidR="001D3FB0" w:rsidRPr="006152E0" w:rsidRDefault="006152E0" w:rsidP="00A83AAD">
            <w:pPr>
              <w:spacing w:before="0" w:after="0"/>
              <w:ind w:firstLine="0"/>
              <w:jc w:val="center"/>
              <w:rPr>
                <w:rFonts w:eastAsia="Times New Roman" w:cs="Times New Roman"/>
                <w:sz w:val="20"/>
                <w:szCs w:val="20"/>
                <w:lang w:eastAsia="lv-LV"/>
              </w:rPr>
            </w:pPr>
            <w:r>
              <w:rPr>
                <w:rFonts w:eastAsia="Times New Roman" w:cs="Times New Roman"/>
                <w:sz w:val="20"/>
                <w:szCs w:val="20"/>
                <w:lang w:eastAsia="lv-LV"/>
              </w:rPr>
              <w:t>P</w:t>
            </w:r>
            <w:r w:rsidR="001D3FB0" w:rsidRPr="006152E0">
              <w:rPr>
                <w:rFonts w:eastAsia="Times New Roman" w:cs="Times New Roman"/>
                <w:sz w:val="20"/>
                <w:szCs w:val="20"/>
                <w:lang w:eastAsia="lv-LV"/>
              </w:rPr>
              <w:t>rognoze</w:t>
            </w:r>
          </w:p>
        </w:tc>
      </w:tr>
      <w:tr w:rsidR="001D3FB0" w:rsidRPr="006152E0" w14:paraId="213CE789" w14:textId="77777777" w:rsidTr="00A83AAD">
        <w:trPr>
          <w:trHeight w:val="300"/>
        </w:trPr>
        <w:tc>
          <w:tcPr>
            <w:tcW w:w="3114" w:type="dxa"/>
            <w:vMerge/>
            <w:tcBorders>
              <w:top w:val="single" w:sz="4" w:space="0" w:color="auto"/>
              <w:left w:val="single" w:sz="4" w:space="0" w:color="auto"/>
              <w:bottom w:val="single" w:sz="4" w:space="0" w:color="000000"/>
              <w:right w:val="single" w:sz="4" w:space="0" w:color="auto"/>
            </w:tcBorders>
            <w:vAlign w:val="center"/>
            <w:hideMark/>
          </w:tcPr>
          <w:p w14:paraId="7CF4C0FD" w14:textId="77777777" w:rsidR="001D3FB0" w:rsidRPr="006152E0" w:rsidRDefault="001D3FB0" w:rsidP="00A83AAD">
            <w:pPr>
              <w:spacing w:before="0" w:after="0"/>
              <w:ind w:firstLine="0"/>
              <w:jc w:val="left"/>
              <w:rPr>
                <w:rFonts w:eastAsia="Times New Roman" w:cs="Times New Roman"/>
                <w:sz w:val="20"/>
                <w:szCs w:val="20"/>
                <w:lang w:eastAsia="lv-LV"/>
              </w:rPr>
            </w:pPr>
          </w:p>
        </w:tc>
        <w:tc>
          <w:tcPr>
            <w:tcW w:w="1180" w:type="dxa"/>
            <w:tcBorders>
              <w:top w:val="nil"/>
              <w:left w:val="nil"/>
              <w:bottom w:val="single" w:sz="4" w:space="0" w:color="auto"/>
              <w:right w:val="single" w:sz="4" w:space="0" w:color="auto"/>
            </w:tcBorders>
            <w:shd w:val="clear" w:color="auto" w:fill="auto"/>
            <w:noWrap/>
            <w:vAlign w:val="center"/>
            <w:hideMark/>
          </w:tcPr>
          <w:p w14:paraId="549C91D6" w14:textId="77777777" w:rsidR="001D3FB0" w:rsidRPr="006152E0" w:rsidRDefault="001D3FB0" w:rsidP="00A83AAD">
            <w:pPr>
              <w:spacing w:before="0" w:after="0"/>
              <w:ind w:firstLine="0"/>
              <w:jc w:val="center"/>
              <w:rPr>
                <w:rFonts w:eastAsia="Times New Roman" w:cs="Times New Roman"/>
                <w:b/>
                <w:bCs/>
                <w:sz w:val="20"/>
                <w:szCs w:val="20"/>
                <w:lang w:eastAsia="lv-LV"/>
              </w:rPr>
            </w:pPr>
            <w:r w:rsidRPr="006152E0">
              <w:rPr>
                <w:rFonts w:eastAsia="Times New Roman" w:cs="Times New Roman"/>
                <w:b/>
                <w:bCs/>
                <w:sz w:val="20"/>
                <w:szCs w:val="20"/>
                <w:lang w:eastAsia="lv-LV"/>
              </w:rPr>
              <w:t>2020</w:t>
            </w:r>
          </w:p>
        </w:tc>
        <w:tc>
          <w:tcPr>
            <w:tcW w:w="1180" w:type="dxa"/>
            <w:tcBorders>
              <w:top w:val="nil"/>
              <w:left w:val="nil"/>
              <w:bottom w:val="single" w:sz="4" w:space="0" w:color="auto"/>
              <w:right w:val="single" w:sz="4" w:space="0" w:color="auto"/>
            </w:tcBorders>
            <w:shd w:val="clear" w:color="auto" w:fill="auto"/>
            <w:noWrap/>
            <w:vAlign w:val="center"/>
            <w:hideMark/>
          </w:tcPr>
          <w:p w14:paraId="15939630" w14:textId="77777777" w:rsidR="001D3FB0" w:rsidRPr="006152E0" w:rsidRDefault="001D3FB0" w:rsidP="00A83AAD">
            <w:pPr>
              <w:spacing w:before="0" w:after="0"/>
              <w:ind w:firstLine="0"/>
              <w:jc w:val="center"/>
              <w:rPr>
                <w:rFonts w:eastAsia="Times New Roman" w:cs="Times New Roman"/>
                <w:b/>
                <w:bCs/>
                <w:sz w:val="20"/>
                <w:szCs w:val="20"/>
                <w:lang w:eastAsia="lv-LV"/>
              </w:rPr>
            </w:pPr>
            <w:r w:rsidRPr="006152E0">
              <w:rPr>
                <w:rFonts w:eastAsia="Times New Roman" w:cs="Times New Roman"/>
                <w:b/>
                <w:bCs/>
                <w:sz w:val="20"/>
                <w:szCs w:val="20"/>
                <w:lang w:eastAsia="lv-LV"/>
              </w:rPr>
              <w:t>2021</w:t>
            </w:r>
          </w:p>
        </w:tc>
        <w:tc>
          <w:tcPr>
            <w:tcW w:w="1180" w:type="dxa"/>
            <w:tcBorders>
              <w:top w:val="nil"/>
              <w:left w:val="nil"/>
              <w:bottom w:val="single" w:sz="4" w:space="0" w:color="auto"/>
              <w:right w:val="single" w:sz="4" w:space="0" w:color="auto"/>
            </w:tcBorders>
            <w:shd w:val="clear" w:color="auto" w:fill="auto"/>
            <w:noWrap/>
            <w:vAlign w:val="center"/>
            <w:hideMark/>
          </w:tcPr>
          <w:p w14:paraId="59F561F0" w14:textId="77777777" w:rsidR="001D3FB0" w:rsidRPr="006152E0" w:rsidRDefault="001D3FB0" w:rsidP="00A83AAD">
            <w:pPr>
              <w:spacing w:before="0" w:after="0"/>
              <w:ind w:firstLine="0"/>
              <w:jc w:val="center"/>
              <w:rPr>
                <w:rFonts w:eastAsia="Times New Roman" w:cs="Times New Roman"/>
                <w:b/>
                <w:bCs/>
                <w:sz w:val="20"/>
                <w:szCs w:val="20"/>
                <w:lang w:eastAsia="lv-LV"/>
              </w:rPr>
            </w:pPr>
            <w:r w:rsidRPr="006152E0">
              <w:rPr>
                <w:rFonts w:eastAsia="Times New Roman" w:cs="Times New Roman"/>
                <w:b/>
                <w:bCs/>
                <w:sz w:val="20"/>
                <w:szCs w:val="20"/>
                <w:lang w:eastAsia="lv-LV"/>
              </w:rPr>
              <w:t>2022</w:t>
            </w:r>
          </w:p>
        </w:tc>
        <w:tc>
          <w:tcPr>
            <w:tcW w:w="1180" w:type="dxa"/>
            <w:tcBorders>
              <w:top w:val="nil"/>
              <w:left w:val="nil"/>
              <w:bottom w:val="single" w:sz="4" w:space="0" w:color="auto"/>
              <w:right w:val="single" w:sz="4" w:space="0" w:color="auto"/>
            </w:tcBorders>
            <w:shd w:val="clear" w:color="auto" w:fill="auto"/>
            <w:noWrap/>
            <w:vAlign w:val="center"/>
            <w:hideMark/>
          </w:tcPr>
          <w:p w14:paraId="35BB1E5D" w14:textId="77777777" w:rsidR="001D3FB0" w:rsidRPr="006152E0" w:rsidRDefault="001D3FB0" w:rsidP="00A83AAD">
            <w:pPr>
              <w:spacing w:before="0" w:after="0"/>
              <w:ind w:firstLine="0"/>
              <w:jc w:val="center"/>
              <w:rPr>
                <w:rFonts w:eastAsia="Times New Roman" w:cs="Times New Roman"/>
                <w:b/>
                <w:bCs/>
                <w:sz w:val="20"/>
                <w:szCs w:val="20"/>
                <w:lang w:eastAsia="lv-LV"/>
              </w:rPr>
            </w:pPr>
            <w:r w:rsidRPr="006152E0">
              <w:rPr>
                <w:rFonts w:eastAsia="Times New Roman" w:cs="Times New Roman"/>
                <w:b/>
                <w:bCs/>
                <w:sz w:val="20"/>
                <w:szCs w:val="20"/>
                <w:lang w:eastAsia="lv-LV"/>
              </w:rPr>
              <w:t>2023</w:t>
            </w:r>
          </w:p>
        </w:tc>
        <w:tc>
          <w:tcPr>
            <w:tcW w:w="1180" w:type="dxa"/>
            <w:tcBorders>
              <w:top w:val="nil"/>
              <w:left w:val="nil"/>
              <w:bottom w:val="single" w:sz="4" w:space="0" w:color="auto"/>
              <w:right w:val="single" w:sz="4" w:space="0" w:color="auto"/>
            </w:tcBorders>
            <w:shd w:val="clear" w:color="auto" w:fill="auto"/>
            <w:noWrap/>
            <w:vAlign w:val="center"/>
            <w:hideMark/>
          </w:tcPr>
          <w:p w14:paraId="66889805" w14:textId="77777777" w:rsidR="001D3FB0" w:rsidRPr="006152E0" w:rsidRDefault="001D3FB0" w:rsidP="00A83AAD">
            <w:pPr>
              <w:spacing w:before="0" w:after="0"/>
              <w:ind w:firstLine="0"/>
              <w:jc w:val="center"/>
              <w:rPr>
                <w:rFonts w:eastAsia="Times New Roman" w:cs="Times New Roman"/>
                <w:b/>
                <w:bCs/>
                <w:sz w:val="20"/>
                <w:szCs w:val="20"/>
                <w:lang w:eastAsia="lv-LV"/>
              </w:rPr>
            </w:pPr>
            <w:r w:rsidRPr="006152E0">
              <w:rPr>
                <w:rFonts w:eastAsia="Times New Roman" w:cs="Times New Roman"/>
                <w:b/>
                <w:bCs/>
                <w:sz w:val="20"/>
                <w:szCs w:val="20"/>
                <w:lang w:eastAsia="lv-LV"/>
              </w:rPr>
              <w:t>2024</w:t>
            </w:r>
          </w:p>
        </w:tc>
      </w:tr>
      <w:tr w:rsidR="001D3FB0" w:rsidRPr="006152E0" w14:paraId="20C7DFA0" w14:textId="77777777" w:rsidTr="00A83AAD">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88B45F1" w14:textId="12BC39A1" w:rsidR="001D3FB0" w:rsidRPr="006152E0" w:rsidRDefault="001D3FB0" w:rsidP="00A83AAD">
            <w:pPr>
              <w:spacing w:before="0" w:after="0"/>
              <w:ind w:firstLine="0"/>
              <w:jc w:val="left"/>
              <w:rPr>
                <w:rFonts w:eastAsia="Times New Roman" w:cs="Times New Roman"/>
                <w:sz w:val="20"/>
                <w:szCs w:val="20"/>
                <w:lang w:eastAsia="lv-LV"/>
              </w:rPr>
            </w:pPr>
            <w:r w:rsidRPr="006152E0">
              <w:rPr>
                <w:rFonts w:eastAsia="Times New Roman" w:cs="Times New Roman"/>
                <w:sz w:val="20"/>
                <w:szCs w:val="20"/>
                <w:lang w:eastAsia="lv-LV"/>
              </w:rPr>
              <w:t>Stabilitātes programmas 2021</w:t>
            </w:r>
            <w:r w:rsidR="006152E0">
              <w:rPr>
                <w:rFonts w:eastAsia="Times New Roman" w:cs="Times New Roman"/>
                <w:sz w:val="20"/>
                <w:szCs w:val="20"/>
                <w:lang w:eastAsia="lv-LV"/>
              </w:rPr>
              <w:t>.</w:t>
            </w:r>
            <w:r w:rsidRPr="006152E0">
              <w:rPr>
                <w:rFonts w:eastAsia="Times New Roman" w:cs="Times New Roman"/>
                <w:sz w:val="20"/>
                <w:szCs w:val="20"/>
                <w:lang w:eastAsia="lv-LV"/>
              </w:rPr>
              <w:t>-2024</w:t>
            </w:r>
            <w:r w:rsidR="006152E0">
              <w:rPr>
                <w:rFonts w:eastAsia="Times New Roman" w:cs="Times New Roman"/>
                <w:sz w:val="20"/>
                <w:szCs w:val="20"/>
                <w:lang w:eastAsia="lv-LV"/>
              </w:rPr>
              <w:t>.gadam</w:t>
            </w:r>
            <w:r w:rsidRPr="006152E0">
              <w:rPr>
                <w:rFonts w:eastAsia="Times New Roman" w:cs="Times New Roman"/>
                <w:sz w:val="20"/>
                <w:szCs w:val="20"/>
                <w:lang w:eastAsia="lv-LV"/>
              </w:rPr>
              <w:t xml:space="preserve"> bāzes scenārijs</w:t>
            </w:r>
          </w:p>
        </w:tc>
        <w:tc>
          <w:tcPr>
            <w:tcW w:w="1180" w:type="dxa"/>
            <w:tcBorders>
              <w:top w:val="nil"/>
              <w:left w:val="nil"/>
              <w:bottom w:val="single" w:sz="4" w:space="0" w:color="auto"/>
              <w:right w:val="single" w:sz="4" w:space="0" w:color="auto"/>
            </w:tcBorders>
            <w:shd w:val="clear" w:color="auto" w:fill="auto"/>
            <w:noWrap/>
            <w:vAlign w:val="center"/>
            <w:hideMark/>
          </w:tcPr>
          <w:p w14:paraId="5206F9DA" w14:textId="77777777" w:rsidR="001D3FB0" w:rsidRPr="006152E0" w:rsidRDefault="001D3FB0" w:rsidP="00A83AAD">
            <w:pPr>
              <w:spacing w:before="0" w:after="0"/>
              <w:ind w:firstLine="0"/>
              <w:jc w:val="center"/>
              <w:rPr>
                <w:rFonts w:eastAsia="Times New Roman" w:cs="Times New Roman"/>
                <w:sz w:val="20"/>
                <w:szCs w:val="20"/>
                <w:lang w:eastAsia="lv-LV"/>
              </w:rPr>
            </w:pPr>
            <w:r w:rsidRPr="006152E0">
              <w:rPr>
                <w:rFonts w:eastAsia="Times New Roman" w:cs="Times New Roman"/>
                <w:sz w:val="20"/>
                <w:szCs w:val="20"/>
                <w:lang w:eastAsia="lv-LV"/>
              </w:rPr>
              <w:t>44%</w:t>
            </w:r>
          </w:p>
        </w:tc>
        <w:tc>
          <w:tcPr>
            <w:tcW w:w="1180" w:type="dxa"/>
            <w:tcBorders>
              <w:top w:val="nil"/>
              <w:left w:val="nil"/>
              <w:bottom w:val="single" w:sz="4" w:space="0" w:color="auto"/>
              <w:right w:val="single" w:sz="4" w:space="0" w:color="auto"/>
            </w:tcBorders>
            <w:shd w:val="clear" w:color="auto" w:fill="auto"/>
            <w:noWrap/>
            <w:vAlign w:val="center"/>
            <w:hideMark/>
          </w:tcPr>
          <w:p w14:paraId="70AC0F16" w14:textId="77777777" w:rsidR="001D3FB0" w:rsidRPr="006152E0" w:rsidRDefault="001D3FB0" w:rsidP="00A83AAD">
            <w:pPr>
              <w:spacing w:before="0" w:after="0"/>
              <w:ind w:firstLine="0"/>
              <w:jc w:val="center"/>
              <w:rPr>
                <w:rFonts w:eastAsia="Times New Roman" w:cs="Times New Roman"/>
                <w:sz w:val="20"/>
                <w:szCs w:val="20"/>
                <w:lang w:eastAsia="lv-LV"/>
              </w:rPr>
            </w:pPr>
            <w:r w:rsidRPr="006152E0">
              <w:rPr>
                <w:rFonts w:eastAsia="Times New Roman" w:cs="Times New Roman"/>
                <w:sz w:val="20"/>
                <w:szCs w:val="20"/>
                <w:lang w:eastAsia="lv-LV"/>
              </w:rPr>
              <w:t>48,9%</w:t>
            </w:r>
          </w:p>
        </w:tc>
        <w:tc>
          <w:tcPr>
            <w:tcW w:w="1180" w:type="dxa"/>
            <w:tcBorders>
              <w:top w:val="nil"/>
              <w:left w:val="nil"/>
              <w:bottom w:val="single" w:sz="4" w:space="0" w:color="auto"/>
              <w:right w:val="single" w:sz="4" w:space="0" w:color="auto"/>
            </w:tcBorders>
            <w:shd w:val="clear" w:color="auto" w:fill="auto"/>
            <w:noWrap/>
            <w:vAlign w:val="center"/>
            <w:hideMark/>
          </w:tcPr>
          <w:p w14:paraId="13CBB89B" w14:textId="77777777" w:rsidR="001D3FB0" w:rsidRPr="006152E0" w:rsidRDefault="001D3FB0" w:rsidP="00A83AAD">
            <w:pPr>
              <w:spacing w:before="0" w:after="0"/>
              <w:ind w:firstLine="0"/>
              <w:jc w:val="center"/>
              <w:rPr>
                <w:rFonts w:eastAsia="Times New Roman" w:cs="Times New Roman"/>
                <w:sz w:val="20"/>
                <w:szCs w:val="20"/>
                <w:lang w:eastAsia="lv-LV"/>
              </w:rPr>
            </w:pPr>
            <w:r w:rsidRPr="006152E0">
              <w:rPr>
                <w:rFonts w:eastAsia="Times New Roman" w:cs="Times New Roman"/>
                <w:sz w:val="20"/>
                <w:szCs w:val="20"/>
                <w:lang w:eastAsia="lv-LV"/>
              </w:rPr>
              <w:t>50,3%</w:t>
            </w:r>
          </w:p>
        </w:tc>
        <w:tc>
          <w:tcPr>
            <w:tcW w:w="1180" w:type="dxa"/>
            <w:tcBorders>
              <w:top w:val="nil"/>
              <w:left w:val="nil"/>
              <w:bottom w:val="single" w:sz="4" w:space="0" w:color="auto"/>
              <w:right w:val="single" w:sz="4" w:space="0" w:color="auto"/>
            </w:tcBorders>
            <w:shd w:val="clear" w:color="auto" w:fill="auto"/>
            <w:noWrap/>
            <w:vAlign w:val="center"/>
            <w:hideMark/>
          </w:tcPr>
          <w:p w14:paraId="0975BE4C" w14:textId="77777777" w:rsidR="001D3FB0" w:rsidRPr="006152E0" w:rsidRDefault="001D3FB0" w:rsidP="00A83AAD">
            <w:pPr>
              <w:spacing w:before="0" w:after="0"/>
              <w:ind w:firstLine="0"/>
              <w:jc w:val="center"/>
              <w:rPr>
                <w:rFonts w:eastAsia="Times New Roman" w:cs="Times New Roman"/>
                <w:sz w:val="20"/>
                <w:szCs w:val="20"/>
                <w:lang w:eastAsia="lv-LV"/>
              </w:rPr>
            </w:pPr>
            <w:r w:rsidRPr="006152E0">
              <w:rPr>
                <w:rFonts w:eastAsia="Times New Roman" w:cs="Times New Roman"/>
                <w:sz w:val="20"/>
                <w:szCs w:val="20"/>
                <w:lang w:eastAsia="lv-LV"/>
              </w:rPr>
              <w:t>48,8%</w:t>
            </w:r>
          </w:p>
        </w:tc>
        <w:tc>
          <w:tcPr>
            <w:tcW w:w="1180" w:type="dxa"/>
            <w:tcBorders>
              <w:top w:val="nil"/>
              <w:left w:val="nil"/>
              <w:bottom w:val="single" w:sz="4" w:space="0" w:color="auto"/>
              <w:right w:val="single" w:sz="4" w:space="0" w:color="auto"/>
            </w:tcBorders>
            <w:shd w:val="clear" w:color="auto" w:fill="auto"/>
            <w:noWrap/>
            <w:vAlign w:val="center"/>
            <w:hideMark/>
          </w:tcPr>
          <w:p w14:paraId="05120EA1" w14:textId="77777777" w:rsidR="001D3FB0" w:rsidRPr="006152E0" w:rsidRDefault="001D3FB0" w:rsidP="00A83AAD">
            <w:pPr>
              <w:spacing w:before="0" w:after="0"/>
              <w:ind w:firstLine="0"/>
              <w:jc w:val="center"/>
              <w:rPr>
                <w:rFonts w:eastAsia="Times New Roman" w:cs="Times New Roman"/>
                <w:sz w:val="20"/>
                <w:szCs w:val="20"/>
                <w:lang w:eastAsia="lv-LV"/>
              </w:rPr>
            </w:pPr>
            <w:r w:rsidRPr="006152E0">
              <w:rPr>
                <w:rFonts w:eastAsia="Times New Roman" w:cs="Times New Roman"/>
                <w:sz w:val="20"/>
                <w:szCs w:val="20"/>
                <w:lang w:eastAsia="lv-LV"/>
              </w:rPr>
              <w:t>48,5%</w:t>
            </w:r>
          </w:p>
        </w:tc>
      </w:tr>
      <w:tr w:rsidR="001D3FB0" w:rsidRPr="006152E0" w14:paraId="4F966047" w14:textId="77777777" w:rsidTr="00A83AAD">
        <w:trPr>
          <w:trHeight w:val="300"/>
        </w:trPr>
        <w:tc>
          <w:tcPr>
            <w:tcW w:w="3114" w:type="dxa"/>
            <w:tcBorders>
              <w:top w:val="nil"/>
              <w:left w:val="single" w:sz="4" w:space="0" w:color="auto"/>
              <w:bottom w:val="nil"/>
              <w:right w:val="single" w:sz="4" w:space="0" w:color="auto"/>
            </w:tcBorders>
            <w:shd w:val="clear" w:color="auto" w:fill="auto"/>
            <w:noWrap/>
            <w:vAlign w:val="center"/>
            <w:hideMark/>
          </w:tcPr>
          <w:p w14:paraId="2EDACC40" w14:textId="77777777" w:rsidR="001D3FB0" w:rsidRPr="006152E0" w:rsidRDefault="001D3FB0" w:rsidP="00A83AAD">
            <w:pPr>
              <w:spacing w:before="0" w:after="0"/>
              <w:ind w:firstLine="0"/>
              <w:jc w:val="left"/>
              <w:rPr>
                <w:rFonts w:eastAsia="Times New Roman" w:cs="Times New Roman"/>
                <w:sz w:val="20"/>
                <w:szCs w:val="20"/>
                <w:lang w:eastAsia="lv-LV"/>
              </w:rPr>
            </w:pPr>
            <w:r w:rsidRPr="006152E0">
              <w:rPr>
                <w:rFonts w:eastAsia="Times New Roman" w:cs="Times New Roman"/>
                <w:sz w:val="20"/>
                <w:szCs w:val="20"/>
                <w:lang w:eastAsia="lv-LV"/>
              </w:rPr>
              <w:t>Aktuālais bāzes scenārijs</w:t>
            </w:r>
          </w:p>
        </w:tc>
        <w:tc>
          <w:tcPr>
            <w:tcW w:w="1180" w:type="dxa"/>
            <w:tcBorders>
              <w:top w:val="nil"/>
              <w:left w:val="nil"/>
              <w:bottom w:val="nil"/>
              <w:right w:val="single" w:sz="4" w:space="0" w:color="auto"/>
            </w:tcBorders>
            <w:shd w:val="clear" w:color="auto" w:fill="auto"/>
            <w:noWrap/>
            <w:vAlign w:val="center"/>
            <w:hideMark/>
          </w:tcPr>
          <w:p w14:paraId="1ADA85E6" w14:textId="77777777" w:rsidR="001D3FB0" w:rsidRPr="006152E0" w:rsidRDefault="001D3FB0" w:rsidP="00A83AAD">
            <w:pPr>
              <w:spacing w:before="0" w:after="0"/>
              <w:ind w:firstLine="0"/>
              <w:jc w:val="center"/>
              <w:rPr>
                <w:rFonts w:eastAsia="Times New Roman" w:cs="Times New Roman"/>
                <w:sz w:val="20"/>
                <w:szCs w:val="20"/>
                <w:lang w:eastAsia="lv-LV"/>
              </w:rPr>
            </w:pPr>
            <w:r w:rsidRPr="006152E0">
              <w:rPr>
                <w:rFonts w:eastAsia="Times New Roman" w:cs="Times New Roman"/>
                <w:sz w:val="20"/>
                <w:szCs w:val="20"/>
                <w:lang w:eastAsia="lv-LV"/>
              </w:rPr>
              <w:t>43,5%</w:t>
            </w:r>
          </w:p>
        </w:tc>
        <w:tc>
          <w:tcPr>
            <w:tcW w:w="1180" w:type="dxa"/>
            <w:tcBorders>
              <w:top w:val="nil"/>
              <w:left w:val="nil"/>
              <w:bottom w:val="nil"/>
              <w:right w:val="single" w:sz="4" w:space="0" w:color="auto"/>
            </w:tcBorders>
            <w:shd w:val="clear" w:color="auto" w:fill="auto"/>
            <w:noWrap/>
            <w:vAlign w:val="center"/>
            <w:hideMark/>
          </w:tcPr>
          <w:p w14:paraId="4C4F8971" w14:textId="77777777" w:rsidR="001D3FB0" w:rsidRPr="006152E0" w:rsidRDefault="001D3FB0" w:rsidP="00A83AAD">
            <w:pPr>
              <w:spacing w:before="0" w:after="0"/>
              <w:ind w:firstLine="0"/>
              <w:jc w:val="center"/>
              <w:rPr>
                <w:rFonts w:eastAsia="Times New Roman" w:cs="Times New Roman"/>
                <w:sz w:val="20"/>
                <w:szCs w:val="20"/>
                <w:lang w:eastAsia="lv-LV"/>
              </w:rPr>
            </w:pPr>
            <w:r w:rsidRPr="006152E0">
              <w:rPr>
                <w:rFonts w:eastAsia="Times New Roman" w:cs="Times New Roman"/>
                <w:sz w:val="20"/>
                <w:szCs w:val="20"/>
                <w:lang w:eastAsia="lv-LV"/>
              </w:rPr>
              <w:t>49,6%</w:t>
            </w:r>
          </w:p>
        </w:tc>
        <w:tc>
          <w:tcPr>
            <w:tcW w:w="1180" w:type="dxa"/>
            <w:tcBorders>
              <w:top w:val="nil"/>
              <w:left w:val="nil"/>
              <w:bottom w:val="nil"/>
              <w:right w:val="single" w:sz="4" w:space="0" w:color="auto"/>
            </w:tcBorders>
            <w:shd w:val="clear" w:color="auto" w:fill="auto"/>
            <w:noWrap/>
            <w:vAlign w:val="center"/>
            <w:hideMark/>
          </w:tcPr>
          <w:p w14:paraId="2258996E" w14:textId="77777777" w:rsidR="001D3FB0" w:rsidRPr="006152E0" w:rsidRDefault="001D3FB0" w:rsidP="00A83AAD">
            <w:pPr>
              <w:spacing w:before="0" w:after="0"/>
              <w:ind w:firstLine="0"/>
              <w:jc w:val="center"/>
              <w:rPr>
                <w:rFonts w:eastAsia="Times New Roman" w:cs="Times New Roman"/>
                <w:sz w:val="20"/>
                <w:szCs w:val="20"/>
                <w:lang w:eastAsia="lv-LV"/>
              </w:rPr>
            </w:pPr>
            <w:r w:rsidRPr="006152E0">
              <w:rPr>
                <w:rFonts w:eastAsia="Times New Roman" w:cs="Times New Roman"/>
                <w:sz w:val="20"/>
                <w:szCs w:val="20"/>
                <w:lang w:eastAsia="lv-LV"/>
              </w:rPr>
              <w:t>50,0%</w:t>
            </w:r>
          </w:p>
        </w:tc>
        <w:tc>
          <w:tcPr>
            <w:tcW w:w="1180" w:type="dxa"/>
            <w:tcBorders>
              <w:top w:val="nil"/>
              <w:left w:val="nil"/>
              <w:bottom w:val="nil"/>
              <w:right w:val="single" w:sz="4" w:space="0" w:color="auto"/>
            </w:tcBorders>
            <w:shd w:val="clear" w:color="auto" w:fill="auto"/>
            <w:noWrap/>
            <w:vAlign w:val="center"/>
            <w:hideMark/>
          </w:tcPr>
          <w:p w14:paraId="3C02E196" w14:textId="77777777" w:rsidR="001D3FB0" w:rsidRPr="006152E0" w:rsidRDefault="001D3FB0" w:rsidP="00A83AAD">
            <w:pPr>
              <w:spacing w:before="0" w:after="0"/>
              <w:ind w:firstLine="0"/>
              <w:jc w:val="center"/>
              <w:rPr>
                <w:rFonts w:eastAsia="Times New Roman" w:cs="Times New Roman"/>
                <w:sz w:val="20"/>
                <w:szCs w:val="20"/>
                <w:lang w:eastAsia="lv-LV"/>
              </w:rPr>
            </w:pPr>
            <w:r w:rsidRPr="006152E0">
              <w:rPr>
                <w:rFonts w:eastAsia="Times New Roman" w:cs="Times New Roman"/>
                <w:sz w:val="20"/>
                <w:szCs w:val="20"/>
                <w:lang w:eastAsia="lv-LV"/>
              </w:rPr>
              <w:t>48,1%</w:t>
            </w:r>
          </w:p>
        </w:tc>
        <w:tc>
          <w:tcPr>
            <w:tcW w:w="1180" w:type="dxa"/>
            <w:tcBorders>
              <w:top w:val="nil"/>
              <w:left w:val="nil"/>
              <w:bottom w:val="nil"/>
              <w:right w:val="single" w:sz="4" w:space="0" w:color="auto"/>
            </w:tcBorders>
            <w:shd w:val="clear" w:color="auto" w:fill="auto"/>
            <w:noWrap/>
            <w:vAlign w:val="center"/>
            <w:hideMark/>
          </w:tcPr>
          <w:p w14:paraId="5594FC0D" w14:textId="77777777" w:rsidR="001D3FB0" w:rsidRPr="006152E0" w:rsidRDefault="001D3FB0" w:rsidP="00A83AAD">
            <w:pPr>
              <w:spacing w:before="0" w:after="0"/>
              <w:ind w:firstLine="0"/>
              <w:jc w:val="center"/>
              <w:rPr>
                <w:rFonts w:eastAsia="Times New Roman" w:cs="Times New Roman"/>
                <w:sz w:val="20"/>
                <w:szCs w:val="20"/>
                <w:lang w:eastAsia="lv-LV"/>
              </w:rPr>
            </w:pPr>
            <w:r w:rsidRPr="006152E0">
              <w:rPr>
                <w:rFonts w:eastAsia="Times New Roman" w:cs="Times New Roman"/>
                <w:sz w:val="20"/>
                <w:szCs w:val="20"/>
                <w:lang w:eastAsia="lv-LV"/>
              </w:rPr>
              <w:t>47,6%</w:t>
            </w:r>
          </w:p>
        </w:tc>
      </w:tr>
      <w:tr w:rsidR="001D3FB0" w:rsidRPr="006152E0" w14:paraId="2E754815" w14:textId="77777777" w:rsidTr="00A83AAD">
        <w:trPr>
          <w:trHeight w:val="25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6F870AA" w14:textId="77777777" w:rsidR="001D3FB0" w:rsidRPr="006152E0" w:rsidRDefault="001D3FB0" w:rsidP="00A83AAD">
            <w:pPr>
              <w:spacing w:before="0" w:after="0"/>
              <w:ind w:firstLine="0"/>
              <w:jc w:val="right"/>
              <w:rPr>
                <w:rFonts w:eastAsia="Times New Roman" w:cs="Times New Roman"/>
                <w:i/>
                <w:iCs/>
                <w:sz w:val="18"/>
                <w:szCs w:val="18"/>
                <w:lang w:eastAsia="lv-LV"/>
              </w:rPr>
            </w:pPr>
            <w:r w:rsidRPr="006152E0">
              <w:rPr>
                <w:rFonts w:eastAsia="Times New Roman" w:cs="Times New Roman"/>
                <w:i/>
                <w:iCs/>
                <w:sz w:val="18"/>
                <w:szCs w:val="18"/>
                <w:lang w:eastAsia="lv-LV"/>
              </w:rPr>
              <w:t>samazinājums (-)/pieaugums (+)*</w:t>
            </w:r>
          </w:p>
        </w:tc>
        <w:tc>
          <w:tcPr>
            <w:tcW w:w="1180" w:type="dxa"/>
            <w:tcBorders>
              <w:top w:val="nil"/>
              <w:left w:val="nil"/>
              <w:bottom w:val="single" w:sz="4" w:space="0" w:color="auto"/>
              <w:right w:val="single" w:sz="4" w:space="0" w:color="auto"/>
            </w:tcBorders>
            <w:shd w:val="clear" w:color="auto" w:fill="auto"/>
            <w:noWrap/>
            <w:vAlign w:val="center"/>
            <w:hideMark/>
          </w:tcPr>
          <w:p w14:paraId="140700AD" w14:textId="77777777" w:rsidR="001D3FB0" w:rsidRPr="006152E0" w:rsidRDefault="001D3FB0" w:rsidP="00A83AAD">
            <w:pPr>
              <w:spacing w:before="0" w:after="0"/>
              <w:ind w:firstLine="0"/>
              <w:jc w:val="center"/>
              <w:rPr>
                <w:rFonts w:eastAsia="Times New Roman" w:cs="Times New Roman"/>
                <w:i/>
                <w:iCs/>
                <w:sz w:val="18"/>
                <w:szCs w:val="18"/>
                <w:lang w:eastAsia="lv-LV"/>
              </w:rPr>
            </w:pPr>
            <w:r w:rsidRPr="006152E0">
              <w:rPr>
                <w:rFonts w:eastAsia="Times New Roman" w:cs="Times New Roman"/>
                <w:i/>
                <w:iCs/>
                <w:sz w:val="18"/>
                <w:szCs w:val="18"/>
                <w:lang w:eastAsia="lv-LV"/>
              </w:rPr>
              <w:t> </w:t>
            </w:r>
          </w:p>
        </w:tc>
        <w:tc>
          <w:tcPr>
            <w:tcW w:w="1180" w:type="dxa"/>
            <w:tcBorders>
              <w:top w:val="nil"/>
              <w:left w:val="nil"/>
              <w:bottom w:val="single" w:sz="4" w:space="0" w:color="auto"/>
              <w:right w:val="single" w:sz="4" w:space="0" w:color="auto"/>
            </w:tcBorders>
            <w:shd w:val="clear" w:color="auto" w:fill="auto"/>
            <w:noWrap/>
            <w:vAlign w:val="center"/>
            <w:hideMark/>
          </w:tcPr>
          <w:p w14:paraId="6BB1BB4C" w14:textId="77777777" w:rsidR="001D3FB0" w:rsidRPr="006152E0" w:rsidRDefault="001D3FB0" w:rsidP="00A83AAD">
            <w:pPr>
              <w:spacing w:before="0" w:after="0"/>
              <w:ind w:firstLine="0"/>
              <w:jc w:val="center"/>
              <w:rPr>
                <w:rFonts w:eastAsia="Times New Roman" w:cs="Times New Roman"/>
                <w:i/>
                <w:iCs/>
                <w:sz w:val="18"/>
                <w:szCs w:val="18"/>
                <w:lang w:eastAsia="lv-LV"/>
              </w:rPr>
            </w:pPr>
            <w:r w:rsidRPr="006152E0">
              <w:rPr>
                <w:rFonts w:eastAsia="Times New Roman" w:cs="Times New Roman"/>
                <w:i/>
                <w:iCs/>
                <w:sz w:val="18"/>
                <w:szCs w:val="18"/>
                <w:lang w:eastAsia="lv-LV"/>
              </w:rPr>
              <w:t>0,7%</w:t>
            </w:r>
          </w:p>
        </w:tc>
        <w:tc>
          <w:tcPr>
            <w:tcW w:w="1180" w:type="dxa"/>
            <w:tcBorders>
              <w:top w:val="nil"/>
              <w:left w:val="nil"/>
              <w:bottom w:val="single" w:sz="4" w:space="0" w:color="auto"/>
              <w:right w:val="single" w:sz="4" w:space="0" w:color="auto"/>
            </w:tcBorders>
            <w:shd w:val="clear" w:color="auto" w:fill="auto"/>
            <w:noWrap/>
            <w:vAlign w:val="center"/>
            <w:hideMark/>
          </w:tcPr>
          <w:p w14:paraId="1C6B3345" w14:textId="77777777" w:rsidR="001D3FB0" w:rsidRPr="006152E0" w:rsidRDefault="001D3FB0" w:rsidP="00A83AAD">
            <w:pPr>
              <w:spacing w:before="0" w:after="0"/>
              <w:ind w:firstLine="0"/>
              <w:jc w:val="center"/>
              <w:rPr>
                <w:rFonts w:eastAsia="Times New Roman" w:cs="Times New Roman"/>
                <w:i/>
                <w:iCs/>
                <w:sz w:val="18"/>
                <w:szCs w:val="18"/>
                <w:lang w:eastAsia="lv-LV"/>
              </w:rPr>
            </w:pPr>
            <w:r w:rsidRPr="006152E0">
              <w:rPr>
                <w:rFonts w:eastAsia="Times New Roman" w:cs="Times New Roman"/>
                <w:i/>
                <w:iCs/>
                <w:sz w:val="18"/>
                <w:szCs w:val="18"/>
                <w:lang w:eastAsia="lv-LV"/>
              </w:rPr>
              <w:t>-0,3%</w:t>
            </w:r>
          </w:p>
        </w:tc>
        <w:tc>
          <w:tcPr>
            <w:tcW w:w="1180" w:type="dxa"/>
            <w:tcBorders>
              <w:top w:val="nil"/>
              <w:left w:val="nil"/>
              <w:bottom w:val="single" w:sz="4" w:space="0" w:color="auto"/>
              <w:right w:val="single" w:sz="4" w:space="0" w:color="auto"/>
            </w:tcBorders>
            <w:shd w:val="clear" w:color="auto" w:fill="auto"/>
            <w:noWrap/>
            <w:vAlign w:val="center"/>
            <w:hideMark/>
          </w:tcPr>
          <w:p w14:paraId="579A9DD4" w14:textId="77777777" w:rsidR="001D3FB0" w:rsidRPr="006152E0" w:rsidRDefault="001D3FB0" w:rsidP="00A83AAD">
            <w:pPr>
              <w:spacing w:before="0" w:after="0"/>
              <w:ind w:firstLine="0"/>
              <w:jc w:val="center"/>
              <w:rPr>
                <w:rFonts w:eastAsia="Times New Roman" w:cs="Times New Roman"/>
                <w:i/>
                <w:iCs/>
                <w:sz w:val="18"/>
                <w:szCs w:val="18"/>
                <w:lang w:eastAsia="lv-LV"/>
              </w:rPr>
            </w:pPr>
            <w:r w:rsidRPr="006152E0">
              <w:rPr>
                <w:rFonts w:eastAsia="Times New Roman" w:cs="Times New Roman"/>
                <w:i/>
                <w:iCs/>
                <w:sz w:val="18"/>
                <w:szCs w:val="18"/>
                <w:lang w:eastAsia="lv-LV"/>
              </w:rPr>
              <w:t>-0,7%</w:t>
            </w:r>
          </w:p>
        </w:tc>
        <w:tc>
          <w:tcPr>
            <w:tcW w:w="1180" w:type="dxa"/>
            <w:tcBorders>
              <w:top w:val="nil"/>
              <w:left w:val="nil"/>
              <w:bottom w:val="single" w:sz="4" w:space="0" w:color="auto"/>
              <w:right w:val="single" w:sz="4" w:space="0" w:color="auto"/>
            </w:tcBorders>
            <w:shd w:val="clear" w:color="auto" w:fill="auto"/>
            <w:noWrap/>
            <w:vAlign w:val="center"/>
            <w:hideMark/>
          </w:tcPr>
          <w:p w14:paraId="61A5BDF5" w14:textId="77777777" w:rsidR="001D3FB0" w:rsidRPr="006152E0" w:rsidRDefault="001D3FB0" w:rsidP="00A83AAD">
            <w:pPr>
              <w:spacing w:before="0" w:after="0"/>
              <w:ind w:firstLine="0"/>
              <w:jc w:val="center"/>
              <w:rPr>
                <w:rFonts w:eastAsia="Times New Roman" w:cs="Times New Roman"/>
                <w:i/>
                <w:iCs/>
                <w:sz w:val="18"/>
                <w:szCs w:val="18"/>
                <w:lang w:eastAsia="lv-LV"/>
              </w:rPr>
            </w:pPr>
            <w:r w:rsidRPr="006152E0">
              <w:rPr>
                <w:rFonts w:eastAsia="Times New Roman" w:cs="Times New Roman"/>
                <w:i/>
                <w:iCs/>
                <w:sz w:val="18"/>
                <w:szCs w:val="18"/>
                <w:lang w:eastAsia="lv-LV"/>
              </w:rPr>
              <w:t>-0,9%</w:t>
            </w:r>
          </w:p>
        </w:tc>
      </w:tr>
    </w:tbl>
    <w:p w14:paraId="645B0C91" w14:textId="182767C3" w:rsidR="001D3FB0" w:rsidRPr="006152E0" w:rsidRDefault="001D3FB0" w:rsidP="001D3FB0">
      <w:pPr>
        <w:spacing w:before="0"/>
        <w:ind w:firstLine="0"/>
        <w:rPr>
          <w:sz w:val="18"/>
          <w:szCs w:val="18"/>
        </w:rPr>
      </w:pPr>
      <w:r w:rsidRPr="006152E0">
        <w:rPr>
          <w:i/>
          <w:sz w:val="18"/>
          <w:szCs w:val="18"/>
        </w:rPr>
        <w:t>* salīdzinot ar Stabilitātes programmas 2021</w:t>
      </w:r>
      <w:r w:rsidR="006152E0">
        <w:rPr>
          <w:i/>
          <w:sz w:val="18"/>
          <w:szCs w:val="18"/>
        </w:rPr>
        <w:t>.</w:t>
      </w:r>
      <w:r w:rsidRPr="006152E0">
        <w:rPr>
          <w:i/>
          <w:sz w:val="18"/>
          <w:szCs w:val="18"/>
        </w:rPr>
        <w:t>-2024</w:t>
      </w:r>
      <w:r w:rsidR="006152E0">
        <w:rPr>
          <w:i/>
          <w:sz w:val="18"/>
          <w:szCs w:val="18"/>
        </w:rPr>
        <w:t>.gadam</w:t>
      </w:r>
      <w:r w:rsidRPr="006152E0">
        <w:rPr>
          <w:i/>
          <w:sz w:val="18"/>
          <w:szCs w:val="18"/>
        </w:rPr>
        <w:t xml:space="preserve"> bāzes scenāriju</w:t>
      </w:r>
      <w:r w:rsidRPr="006152E0">
        <w:rPr>
          <w:sz w:val="18"/>
          <w:szCs w:val="18"/>
        </w:rPr>
        <w:t xml:space="preserve"> </w:t>
      </w:r>
    </w:p>
    <w:p w14:paraId="13FE06B2" w14:textId="2FDA89A4" w:rsidR="001D3FB0" w:rsidRPr="006152E0" w:rsidRDefault="001D3FB0" w:rsidP="00AD19DB">
      <w:pPr>
        <w:spacing w:before="60" w:after="60"/>
        <w:rPr>
          <w:color w:val="000000" w:themeColor="text1"/>
          <w:szCs w:val="24"/>
        </w:rPr>
      </w:pPr>
      <w:r w:rsidRPr="006152E0">
        <w:rPr>
          <w:color w:val="000000" w:themeColor="text1"/>
          <w:szCs w:val="24"/>
        </w:rPr>
        <w:t>Arvien jaunu Covid-19 uzliesmojuma ietekmes mazināšanas un ekonomikas atbalsta pasākumu īstenošana 2021.</w:t>
      </w:r>
      <w:r w:rsidR="006152E0">
        <w:rPr>
          <w:color w:val="000000" w:themeColor="text1"/>
          <w:szCs w:val="24"/>
        </w:rPr>
        <w:t> </w:t>
      </w:r>
      <w:r w:rsidRPr="006152E0">
        <w:rPr>
          <w:color w:val="000000" w:themeColor="text1"/>
          <w:szCs w:val="24"/>
        </w:rPr>
        <w:t xml:space="preserve">gadā turpina ietekmēt vispārējās valdības parāda tendences, jo finansējums šo pasākumu finansēšanai būs jānodrošina ar aizņēmumiem iekšējā un starptautiskajos tirgos. </w:t>
      </w:r>
    </w:p>
    <w:p w14:paraId="1353A359" w14:textId="3185AF28" w:rsidR="001D3FB0" w:rsidRPr="006152E0" w:rsidRDefault="001D3FB0" w:rsidP="00AD19DB">
      <w:pPr>
        <w:spacing w:before="60" w:after="60"/>
        <w:rPr>
          <w:color w:val="000000" w:themeColor="text1"/>
          <w:szCs w:val="24"/>
        </w:rPr>
      </w:pPr>
      <w:r w:rsidRPr="006152E0">
        <w:rPr>
          <w:color w:val="000000" w:themeColor="text1"/>
          <w:szCs w:val="24"/>
        </w:rPr>
        <w:t>Atbilstoši aktuālajam novērtējumam, kurš sagatavots joprojām lielas nenoteiktības apstākļos, sagaidāms, ka nepieciešamība nodrošināt finanšu resursus valsts apdraudējuma un tā seku novēršanas un pārvarēšanas pasākumiem sakarā ar Covid-19 izplatību izraisīs vispārējās valdības parāda pieaugumu 2021.</w:t>
      </w:r>
      <w:r w:rsidR="006152E0">
        <w:rPr>
          <w:color w:val="000000" w:themeColor="text1"/>
          <w:szCs w:val="24"/>
        </w:rPr>
        <w:t> </w:t>
      </w:r>
      <w:r w:rsidRPr="006152E0">
        <w:rPr>
          <w:color w:val="000000" w:themeColor="text1"/>
          <w:szCs w:val="24"/>
        </w:rPr>
        <w:t>gadā un 2022.</w:t>
      </w:r>
      <w:r w:rsidR="006152E0">
        <w:rPr>
          <w:color w:val="000000" w:themeColor="text1"/>
          <w:szCs w:val="24"/>
        </w:rPr>
        <w:t> </w:t>
      </w:r>
      <w:r w:rsidRPr="006152E0">
        <w:rPr>
          <w:color w:val="000000" w:themeColor="text1"/>
          <w:szCs w:val="24"/>
        </w:rPr>
        <w:t>gadā līdz ~50% no IKP . Pēc 2022.-2023.</w:t>
      </w:r>
      <w:r w:rsidR="006152E0">
        <w:rPr>
          <w:color w:val="000000" w:themeColor="text1"/>
          <w:szCs w:val="24"/>
        </w:rPr>
        <w:t> </w:t>
      </w:r>
      <w:r w:rsidRPr="006152E0">
        <w:rPr>
          <w:color w:val="000000" w:themeColor="text1"/>
          <w:szCs w:val="24"/>
        </w:rPr>
        <w:t>gadā plānotās valsts parāda atmaksas, kā arī stabilizējoties situācijai sakarā ar Covid-19 uzliesmojuma ietekmi uz valsts budžeta fiskālajiem radītajiem, sagaidāms, ka vispārējās valdības parāda apjoms attiecībā pret IKP, sākot ar 2023.</w:t>
      </w:r>
      <w:r w:rsidR="006152E0">
        <w:rPr>
          <w:color w:val="000000" w:themeColor="text1"/>
          <w:szCs w:val="24"/>
        </w:rPr>
        <w:t> </w:t>
      </w:r>
      <w:r w:rsidRPr="006152E0">
        <w:rPr>
          <w:color w:val="000000" w:themeColor="text1"/>
          <w:szCs w:val="24"/>
        </w:rPr>
        <w:t>gadu nedaudz samazināsies un stabilizēsies 48% no IKP 2023. un 2024.</w:t>
      </w:r>
      <w:r w:rsidR="006152E0">
        <w:rPr>
          <w:color w:val="000000" w:themeColor="text1"/>
          <w:szCs w:val="24"/>
        </w:rPr>
        <w:t> </w:t>
      </w:r>
      <w:r w:rsidRPr="006152E0">
        <w:rPr>
          <w:color w:val="000000" w:themeColor="text1"/>
          <w:szCs w:val="24"/>
        </w:rPr>
        <w:t xml:space="preserve">gadā. </w:t>
      </w:r>
    </w:p>
    <w:p w14:paraId="0AAE4828" w14:textId="0331B7AF" w:rsidR="001D3FB0" w:rsidRPr="006152E0" w:rsidRDefault="001D3FB0" w:rsidP="00AD19DB">
      <w:pPr>
        <w:spacing w:before="60" w:after="60"/>
        <w:rPr>
          <w:color w:val="000000" w:themeColor="text1"/>
          <w:szCs w:val="24"/>
        </w:rPr>
      </w:pPr>
      <w:r w:rsidRPr="006152E0">
        <w:rPr>
          <w:color w:val="000000" w:themeColor="text1"/>
          <w:szCs w:val="24"/>
        </w:rPr>
        <w:t>Salīdzinājumā ar Stabilitātes programmas 2021.-2024.gadam bāzes scenāriju aktuālā vispārējās valdības parāda prognoze ir bez būtiskām izmaiņām: 2021.</w:t>
      </w:r>
      <w:r w:rsidR="006152E0">
        <w:rPr>
          <w:color w:val="000000" w:themeColor="text1"/>
          <w:szCs w:val="24"/>
        </w:rPr>
        <w:t> </w:t>
      </w:r>
      <w:r w:rsidRPr="006152E0">
        <w:rPr>
          <w:color w:val="000000" w:themeColor="text1"/>
          <w:szCs w:val="24"/>
        </w:rPr>
        <w:t>gadam prognoze ir palielināta par 0,7 procentpunktiem, savukārt, 2022.-2024.</w:t>
      </w:r>
      <w:r w:rsidR="006152E0">
        <w:rPr>
          <w:color w:val="000000" w:themeColor="text1"/>
          <w:szCs w:val="24"/>
        </w:rPr>
        <w:t> </w:t>
      </w:r>
      <w:r w:rsidRPr="006152E0">
        <w:rPr>
          <w:color w:val="000000" w:themeColor="text1"/>
          <w:szCs w:val="24"/>
        </w:rPr>
        <w:t>gadam ir nedaudz samazināta.</w:t>
      </w:r>
      <w:r w:rsidRPr="006152E0">
        <w:t xml:space="preserve"> </w:t>
      </w:r>
    </w:p>
    <w:p w14:paraId="5B12CA32" w14:textId="7C9342C4" w:rsidR="001D3FB0" w:rsidRDefault="001D3FB0" w:rsidP="00AD19DB">
      <w:pPr>
        <w:spacing w:before="60" w:after="60"/>
        <w:ind w:firstLine="709"/>
        <w:rPr>
          <w:i/>
          <w:sz w:val="20"/>
        </w:rPr>
      </w:pPr>
      <w:r w:rsidRPr="006152E0">
        <w:t>Vidējā termiņā, neskatoties uz prognozēto parāda līmeņa pieaugumu, ar lielu varbūtību prognozējams, ka Fiskālās disciplīnas likumā noteiktais parāda nosacījums 60% no IKP tiks ievērots.</w:t>
      </w:r>
    </w:p>
    <w:p w14:paraId="27C0DE1F" w14:textId="77777777" w:rsidR="001D3FB0" w:rsidRDefault="001D3FB0" w:rsidP="00AD19DB">
      <w:pPr>
        <w:spacing w:before="60" w:after="60"/>
        <w:ind w:firstLine="0"/>
        <w:jc w:val="left"/>
        <w:rPr>
          <w:rFonts w:eastAsiaTheme="majorEastAsia" w:cstheme="majorBidi"/>
          <w:b/>
          <w:sz w:val="32"/>
          <w:szCs w:val="32"/>
        </w:rPr>
      </w:pPr>
      <w:r>
        <w:br w:type="page"/>
      </w:r>
    </w:p>
    <w:p w14:paraId="3534BC18" w14:textId="78E9431E" w:rsidR="00A3684A" w:rsidRPr="00E07751" w:rsidRDefault="00A3684A" w:rsidP="00AD19DB">
      <w:pPr>
        <w:pStyle w:val="Heading1"/>
        <w:ind w:left="360"/>
      </w:pPr>
      <w:bookmarkStart w:id="8" w:name="_Toc80081214"/>
      <w:r w:rsidRPr="00E07751">
        <w:lastRenderedPageBreak/>
        <w:t>Makroekonomiskās un fiskālās attīstības</w:t>
      </w:r>
      <w:r w:rsidR="00E07751" w:rsidRPr="00E07751">
        <w:t xml:space="preserve"> </w:t>
      </w:r>
      <w:r w:rsidR="006E0164">
        <w:t xml:space="preserve">pesimistiskais  </w:t>
      </w:r>
      <w:r w:rsidR="006E0164" w:rsidRPr="006E0164">
        <w:t xml:space="preserve">“Covid-19 </w:t>
      </w:r>
      <w:r w:rsidR="006E0164">
        <w:t xml:space="preserve">trešā </w:t>
      </w:r>
      <w:r w:rsidR="006E0164" w:rsidRPr="006E0164">
        <w:t xml:space="preserve">viļņa” </w:t>
      </w:r>
      <w:r w:rsidRPr="00E07751">
        <w:t>scenārijs</w:t>
      </w:r>
      <w:bookmarkEnd w:id="8"/>
      <w:r w:rsidRPr="00E07751">
        <w:t xml:space="preserve"> </w:t>
      </w:r>
    </w:p>
    <w:p w14:paraId="29F3B4EC" w14:textId="77777777" w:rsidR="00E07751" w:rsidRPr="000D12BE" w:rsidRDefault="00E07751" w:rsidP="00E07751">
      <w:pPr>
        <w:spacing w:before="60" w:after="60"/>
        <w:rPr>
          <w:szCs w:val="20"/>
        </w:rPr>
      </w:pPr>
      <w:r>
        <w:rPr>
          <w:szCs w:val="20"/>
        </w:rPr>
        <w:t xml:space="preserve">Izstrādājot makroekonomiskās attīstības bāzes scenāriju, viens no pieņēmumiem bija, ka līdz rudenim izdosies sasniegt vakcinācijas plānā paredzēto 70% vakcinācijas līmeni, par ko liecināja kopš aprīļa beigām strauji pieaugošie vakcinācijas tempi. Tomēr jau vasaras sākumā iezīmējās vakcinācijas tempu bremzēšanās, un pastāv risks, ka vakcinācijas mērķis netiks sasniegts. Turklāt visā Eiropā sāk pieaugt saslimstība ar Covid-19 </w:t>
      </w:r>
      <w:r>
        <w:rPr>
          <w:i/>
          <w:szCs w:val="20"/>
        </w:rPr>
        <w:t>d</w:t>
      </w:r>
      <w:r w:rsidRPr="00EA1F2C">
        <w:rPr>
          <w:i/>
          <w:szCs w:val="20"/>
        </w:rPr>
        <w:t>elta</w:t>
      </w:r>
      <w:r>
        <w:rPr>
          <w:szCs w:val="20"/>
        </w:rPr>
        <w:t xml:space="preserve"> variantu. Līdz ar to,</w:t>
      </w:r>
      <w:r w:rsidRPr="000D12BE">
        <w:rPr>
          <w:szCs w:val="20"/>
        </w:rPr>
        <w:t xml:space="preserve"> </w:t>
      </w:r>
      <w:r>
        <w:rPr>
          <w:szCs w:val="20"/>
        </w:rPr>
        <w:t xml:space="preserve">piedzīvojot </w:t>
      </w:r>
      <w:r w:rsidRPr="000D12BE">
        <w:rPr>
          <w:szCs w:val="20"/>
        </w:rPr>
        <w:t>jaun</w:t>
      </w:r>
      <w:r>
        <w:rPr>
          <w:szCs w:val="20"/>
        </w:rPr>
        <w:t>u spēcīgu slimības vilni un no jauna ieviešot vīrusa ierobežošanas pasākumus, IKP izaugsme varētu būt mazāka nekā bāzes scenārijā, kas paredz, ka ekonomika turpmāk attīstīsies bez šiem ierobežojumiem.</w:t>
      </w:r>
    </w:p>
    <w:p w14:paraId="05708480" w14:textId="15D43CD8" w:rsidR="00E07751" w:rsidRDefault="00E07751" w:rsidP="00E07751">
      <w:pPr>
        <w:spacing w:before="60" w:after="60"/>
        <w:rPr>
          <w:rFonts w:eastAsia="Calibri" w:cs="Times New Roman"/>
          <w:szCs w:val="20"/>
        </w:rPr>
      </w:pPr>
      <w:r w:rsidRPr="000D12BE">
        <w:rPr>
          <w:szCs w:val="20"/>
        </w:rPr>
        <w:t xml:space="preserve"> F</w:t>
      </w:r>
      <w:r>
        <w:rPr>
          <w:szCs w:val="20"/>
        </w:rPr>
        <w:t xml:space="preserve">inanšu ministrija papildus bāzes </w:t>
      </w:r>
      <w:r w:rsidRPr="000D12BE">
        <w:rPr>
          <w:szCs w:val="20"/>
        </w:rPr>
        <w:t>scenārijam ir izstrādājusi negatīvo attīstības scenāriju, kurā pieņemts, ka Latvija 202</w:t>
      </w:r>
      <w:r>
        <w:rPr>
          <w:szCs w:val="20"/>
        </w:rPr>
        <w:t>1</w:t>
      </w:r>
      <w:r w:rsidRPr="000D12BE">
        <w:rPr>
          <w:szCs w:val="20"/>
        </w:rPr>
        <w:t>.</w:t>
      </w:r>
      <w:r w:rsidR="004F5DAB">
        <w:rPr>
          <w:szCs w:val="20"/>
        </w:rPr>
        <w:t> </w:t>
      </w:r>
      <w:r w:rsidRPr="000D12BE">
        <w:rPr>
          <w:szCs w:val="20"/>
        </w:rPr>
        <w:t>gada cet</w:t>
      </w:r>
      <w:r>
        <w:rPr>
          <w:szCs w:val="20"/>
        </w:rPr>
        <w:t>urtajā ceturksnī piedzīvo jaunu</w:t>
      </w:r>
      <w:r w:rsidRPr="000D12BE">
        <w:rPr>
          <w:szCs w:val="20"/>
        </w:rPr>
        <w:t xml:space="preserve"> Covid-19 uzliesmojumu</w:t>
      </w:r>
      <w:r>
        <w:rPr>
          <w:szCs w:val="20"/>
        </w:rPr>
        <w:t>, kura apturēšanai nepieciešams atjaunot ierobežojošos</w:t>
      </w:r>
      <w:r w:rsidRPr="000D12BE">
        <w:rPr>
          <w:szCs w:val="20"/>
        </w:rPr>
        <w:t xml:space="preserve"> pasākum</w:t>
      </w:r>
      <w:r>
        <w:rPr>
          <w:szCs w:val="20"/>
        </w:rPr>
        <w:t>us</w:t>
      </w:r>
      <w:r w:rsidRPr="000D12BE">
        <w:rPr>
          <w:szCs w:val="20"/>
        </w:rPr>
        <w:t xml:space="preserve">, kas </w:t>
      </w:r>
      <w:r>
        <w:rPr>
          <w:szCs w:val="20"/>
        </w:rPr>
        <w:t xml:space="preserve">gan nebūtu </w:t>
      </w:r>
      <w:r w:rsidRPr="000D12BE">
        <w:rPr>
          <w:szCs w:val="20"/>
        </w:rPr>
        <w:t>stingrāki</w:t>
      </w:r>
      <w:r>
        <w:rPr>
          <w:szCs w:val="20"/>
        </w:rPr>
        <w:t xml:space="preserve"> par tiem,</w:t>
      </w:r>
      <w:r w:rsidRPr="000D12BE">
        <w:rPr>
          <w:szCs w:val="20"/>
        </w:rPr>
        <w:t xml:space="preserve"> </w:t>
      </w:r>
      <w:r>
        <w:rPr>
          <w:szCs w:val="20"/>
        </w:rPr>
        <w:t xml:space="preserve">kādi bija </w:t>
      </w:r>
      <w:r w:rsidR="004F5DAB">
        <w:rPr>
          <w:szCs w:val="20"/>
        </w:rPr>
        <w:t>šā gada</w:t>
      </w:r>
      <w:r>
        <w:rPr>
          <w:szCs w:val="20"/>
        </w:rPr>
        <w:t xml:space="preserve"> sākumā</w:t>
      </w:r>
      <w:r w:rsidRPr="000D12BE">
        <w:rPr>
          <w:szCs w:val="20"/>
        </w:rPr>
        <w:t>.</w:t>
      </w:r>
    </w:p>
    <w:p w14:paraId="4897CFE8" w14:textId="19D2DB9F" w:rsidR="00E07751" w:rsidRPr="00500AAB" w:rsidRDefault="00E73727" w:rsidP="00AD19DB">
      <w:pPr>
        <w:spacing w:after="60"/>
        <w:ind w:firstLine="0"/>
        <w:jc w:val="center"/>
        <w:rPr>
          <w:rFonts w:eastAsia="Calibri" w:cs="Times New Roman"/>
          <w:b/>
          <w:sz w:val="24"/>
          <w:szCs w:val="24"/>
        </w:rPr>
      </w:pPr>
      <w:r>
        <w:rPr>
          <w:rFonts w:eastAsia="Calibri" w:cs="Times New Roman"/>
          <w:b/>
          <w:sz w:val="24"/>
          <w:szCs w:val="24"/>
        </w:rPr>
        <w:t>5</w:t>
      </w:r>
      <w:r w:rsidR="00E07751" w:rsidRPr="00033640">
        <w:rPr>
          <w:rFonts w:eastAsia="Calibri" w:cs="Times New Roman"/>
          <w:b/>
          <w:sz w:val="24"/>
          <w:szCs w:val="24"/>
        </w:rPr>
        <w:t>.tabula. Makroekonomiskie</w:t>
      </w:r>
      <w:r w:rsidR="00E07751" w:rsidRPr="00500AAB">
        <w:rPr>
          <w:rFonts w:eastAsia="Calibri" w:cs="Times New Roman"/>
          <w:b/>
          <w:sz w:val="24"/>
          <w:szCs w:val="24"/>
        </w:rPr>
        <w:t xml:space="preserve"> rādītāji 20</w:t>
      </w:r>
      <w:r w:rsidR="00E07751">
        <w:rPr>
          <w:rFonts w:eastAsia="Calibri" w:cs="Times New Roman"/>
          <w:b/>
          <w:sz w:val="24"/>
          <w:szCs w:val="24"/>
        </w:rPr>
        <w:t>20. – 2024</w:t>
      </w:r>
      <w:r w:rsidR="00E07751" w:rsidRPr="00500AAB">
        <w:rPr>
          <w:rFonts w:eastAsia="Calibri" w:cs="Times New Roman"/>
          <w:b/>
          <w:sz w:val="24"/>
          <w:szCs w:val="24"/>
        </w:rPr>
        <w:t>.gadā</w:t>
      </w:r>
      <w:r w:rsidR="004F5DAB">
        <w:rPr>
          <w:rFonts w:eastAsia="Calibri" w:cs="Times New Roman"/>
          <w:b/>
          <w:sz w:val="24"/>
          <w:szCs w:val="24"/>
        </w:rPr>
        <w:br/>
      </w:r>
      <w:r w:rsidR="00E07751">
        <w:rPr>
          <w:rFonts w:eastAsia="Calibri" w:cs="Times New Roman"/>
          <w:b/>
          <w:sz w:val="24"/>
          <w:szCs w:val="24"/>
        </w:rPr>
        <w:t xml:space="preserve">(“Covid-19 </w:t>
      </w:r>
      <w:r w:rsidR="004F5DAB">
        <w:rPr>
          <w:rFonts w:eastAsia="Calibri" w:cs="Times New Roman"/>
          <w:b/>
          <w:sz w:val="24"/>
          <w:szCs w:val="24"/>
        </w:rPr>
        <w:t xml:space="preserve">trešā </w:t>
      </w:r>
      <w:r w:rsidR="00E07751">
        <w:rPr>
          <w:rFonts w:eastAsia="Calibri" w:cs="Times New Roman"/>
          <w:b/>
          <w:sz w:val="24"/>
          <w:szCs w:val="24"/>
        </w:rPr>
        <w:t>viļņa”</w:t>
      </w:r>
      <w:r w:rsidR="00E07751" w:rsidRPr="00500AAB">
        <w:rPr>
          <w:rFonts w:eastAsia="Calibri" w:cs="Times New Roman"/>
          <w:b/>
          <w:sz w:val="24"/>
          <w:szCs w:val="24"/>
        </w:rPr>
        <w:t xml:space="preserve"> scenārijs</w:t>
      </w:r>
      <w:r w:rsidR="00E07751">
        <w:rPr>
          <w:rFonts w:eastAsia="Calibri" w:cs="Times New Roman"/>
          <w:b/>
          <w:sz w:val="24"/>
          <w:szCs w:val="24"/>
        </w:rPr>
        <w:t>)</w:t>
      </w:r>
    </w:p>
    <w:tbl>
      <w:tblPr>
        <w:tblW w:w="5000" w:type="pct"/>
        <w:jc w:val="center"/>
        <w:tblLayout w:type="fixed"/>
        <w:tblLook w:val="04A0" w:firstRow="1" w:lastRow="0" w:firstColumn="1" w:lastColumn="0" w:noHBand="0" w:noVBand="1"/>
      </w:tblPr>
      <w:tblGrid>
        <w:gridCol w:w="4137"/>
        <w:gridCol w:w="966"/>
        <w:gridCol w:w="988"/>
        <w:gridCol w:w="990"/>
        <w:gridCol w:w="990"/>
        <w:gridCol w:w="990"/>
      </w:tblGrid>
      <w:tr w:rsidR="00E07751" w:rsidRPr="00500AAB" w14:paraId="64FB5864" w14:textId="77777777" w:rsidTr="004F5DAB">
        <w:trPr>
          <w:trHeight w:val="20"/>
          <w:jc w:val="center"/>
        </w:trPr>
        <w:tc>
          <w:tcPr>
            <w:tcW w:w="3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FD3F9" w14:textId="77777777" w:rsidR="00E07751" w:rsidRPr="00500AAB" w:rsidRDefault="00E07751" w:rsidP="004F5DAB">
            <w:pPr>
              <w:spacing w:before="0" w:after="0" w:line="259" w:lineRule="auto"/>
              <w:ind w:firstLine="0"/>
              <w:jc w:val="left"/>
              <w:rPr>
                <w:rFonts w:eastAsia="Times New Roman" w:cs="Times New Roman"/>
                <w:b/>
                <w:sz w:val="20"/>
                <w:szCs w:val="20"/>
                <w:lang w:eastAsia="lv-LV"/>
              </w:rPr>
            </w:pP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11439F06" w14:textId="77777777" w:rsidR="00E07751" w:rsidRPr="00500AAB" w:rsidRDefault="00E07751" w:rsidP="004F5DAB">
            <w:pPr>
              <w:spacing w:before="0" w:after="0" w:line="259" w:lineRule="auto"/>
              <w:ind w:firstLine="0"/>
              <w:jc w:val="center"/>
              <w:rPr>
                <w:rFonts w:eastAsia="Times New Roman" w:cs="Times New Roman"/>
                <w:b/>
                <w:sz w:val="20"/>
                <w:szCs w:val="20"/>
                <w:lang w:eastAsia="lv-LV"/>
              </w:rPr>
            </w:pPr>
            <w:r w:rsidRPr="00500AAB">
              <w:rPr>
                <w:rFonts w:eastAsia="Times New Roman" w:cs="Times New Roman"/>
                <w:b/>
                <w:sz w:val="20"/>
                <w:szCs w:val="20"/>
                <w:lang w:eastAsia="lv-LV"/>
              </w:rPr>
              <w:t>20</w:t>
            </w:r>
            <w:r>
              <w:rPr>
                <w:rFonts w:eastAsia="Times New Roman" w:cs="Times New Roman"/>
                <w:b/>
                <w:sz w:val="20"/>
                <w:szCs w:val="20"/>
                <w:lang w:eastAsia="lv-LV"/>
              </w:rPr>
              <w:t>20</w:t>
            </w:r>
          </w:p>
        </w:tc>
        <w:tc>
          <w:tcPr>
            <w:tcW w:w="905" w:type="dxa"/>
            <w:tcBorders>
              <w:top w:val="single" w:sz="4" w:space="0" w:color="auto"/>
              <w:left w:val="nil"/>
              <w:bottom w:val="single" w:sz="4" w:space="0" w:color="auto"/>
              <w:right w:val="single" w:sz="4" w:space="0" w:color="auto"/>
            </w:tcBorders>
            <w:shd w:val="clear" w:color="auto" w:fill="EAF1DD"/>
            <w:noWrap/>
            <w:vAlign w:val="center"/>
          </w:tcPr>
          <w:p w14:paraId="6A38590F" w14:textId="77777777" w:rsidR="00E07751" w:rsidRPr="00500AAB" w:rsidRDefault="00E07751" w:rsidP="004F5DAB">
            <w:pPr>
              <w:spacing w:before="0" w:after="0" w:line="259" w:lineRule="auto"/>
              <w:ind w:firstLine="0"/>
              <w:jc w:val="center"/>
              <w:rPr>
                <w:rFonts w:eastAsia="Times New Roman" w:cs="Times New Roman"/>
                <w:b/>
                <w:sz w:val="20"/>
                <w:szCs w:val="20"/>
                <w:lang w:eastAsia="lv-LV"/>
              </w:rPr>
            </w:pPr>
            <w:r w:rsidRPr="00500AAB">
              <w:rPr>
                <w:rFonts w:eastAsia="Times New Roman" w:cs="Times New Roman"/>
                <w:b/>
                <w:sz w:val="20"/>
                <w:szCs w:val="20"/>
                <w:lang w:eastAsia="lv-LV"/>
              </w:rPr>
              <w:t>202</w:t>
            </w:r>
            <w:r>
              <w:rPr>
                <w:rFonts w:eastAsia="Times New Roman" w:cs="Times New Roman"/>
                <w:b/>
                <w:sz w:val="20"/>
                <w:szCs w:val="20"/>
                <w:lang w:eastAsia="lv-LV"/>
              </w:rPr>
              <w:t>1</w:t>
            </w:r>
          </w:p>
        </w:tc>
        <w:tc>
          <w:tcPr>
            <w:tcW w:w="906" w:type="dxa"/>
            <w:tcBorders>
              <w:top w:val="single" w:sz="4" w:space="0" w:color="auto"/>
              <w:left w:val="nil"/>
              <w:bottom w:val="single" w:sz="4" w:space="0" w:color="auto"/>
              <w:right w:val="single" w:sz="4" w:space="0" w:color="auto"/>
            </w:tcBorders>
            <w:shd w:val="clear" w:color="auto" w:fill="EAF1DD"/>
            <w:noWrap/>
            <w:vAlign w:val="center"/>
          </w:tcPr>
          <w:p w14:paraId="0EBD87EB" w14:textId="77777777" w:rsidR="00E07751" w:rsidRPr="00500AAB" w:rsidRDefault="00E07751" w:rsidP="004F5DAB">
            <w:pPr>
              <w:spacing w:before="0" w:after="0" w:line="259" w:lineRule="auto"/>
              <w:ind w:firstLine="0"/>
              <w:jc w:val="center"/>
              <w:rPr>
                <w:rFonts w:eastAsia="Times New Roman" w:cs="Times New Roman"/>
                <w:b/>
                <w:sz w:val="20"/>
                <w:szCs w:val="20"/>
                <w:lang w:eastAsia="lv-LV"/>
              </w:rPr>
            </w:pPr>
            <w:r w:rsidRPr="00500AAB">
              <w:rPr>
                <w:rFonts w:eastAsia="Times New Roman" w:cs="Times New Roman"/>
                <w:b/>
                <w:sz w:val="20"/>
                <w:szCs w:val="20"/>
                <w:lang w:eastAsia="lv-LV"/>
              </w:rPr>
              <w:t>2</w:t>
            </w:r>
            <w:r>
              <w:rPr>
                <w:rFonts w:eastAsia="Times New Roman" w:cs="Times New Roman"/>
                <w:b/>
                <w:sz w:val="20"/>
                <w:szCs w:val="20"/>
                <w:lang w:eastAsia="lv-LV"/>
              </w:rPr>
              <w:t>022</w:t>
            </w:r>
          </w:p>
        </w:tc>
        <w:tc>
          <w:tcPr>
            <w:tcW w:w="906" w:type="dxa"/>
            <w:tcBorders>
              <w:top w:val="single" w:sz="4" w:space="0" w:color="auto"/>
              <w:left w:val="nil"/>
              <w:bottom w:val="single" w:sz="4" w:space="0" w:color="auto"/>
              <w:right w:val="single" w:sz="4" w:space="0" w:color="auto"/>
            </w:tcBorders>
            <w:shd w:val="clear" w:color="auto" w:fill="EAF1DD"/>
            <w:noWrap/>
            <w:vAlign w:val="center"/>
          </w:tcPr>
          <w:p w14:paraId="1813F254" w14:textId="77777777" w:rsidR="00E07751" w:rsidRPr="00500AAB" w:rsidRDefault="00E07751" w:rsidP="004F5DAB">
            <w:pPr>
              <w:spacing w:before="0" w:after="0" w:line="259" w:lineRule="auto"/>
              <w:ind w:firstLine="0"/>
              <w:jc w:val="center"/>
              <w:rPr>
                <w:rFonts w:eastAsia="Times New Roman" w:cs="Times New Roman"/>
                <w:b/>
                <w:sz w:val="20"/>
                <w:szCs w:val="20"/>
                <w:lang w:eastAsia="lv-LV"/>
              </w:rPr>
            </w:pPr>
            <w:r>
              <w:rPr>
                <w:rFonts w:eastAsia="Times New Roman" w:cs="Times New Roman"/>
                <w:b/>
                <w:sz w:val="20"/>
                <w:szCs w:val="20"/>
                <w:lang w:eastAsia="lv-LV"/>
              </w:rPr>
              <w:t>2023</w:t>
            </w:r>
          </w:p>
        </w:tc>
        <w:tc>
          <w:tcPr>
            <w:tcW w:w="906" w:type="dxa"/>
            <w:tcBorders>
              <w:top w:val="single" w:sz="4" w:space="0" w:color="auto"/>
              <w:left w:val="nil"/>
              <w:bottom w:val="single" w:sz="4" w:space="0" w:color="auto"/>
              <w:right w:val="single" w:sz="4" w:space="0" w:color="auto"/>
            </w:tcBorders>
            <w:shd w:val="clear" w:color="auto" w:fill="EAF1DD"/>
            <w:noWrap/>
            <w:vAlign w:val="center"/>
          </w:tcPr>
          <w:p w14:paraId="50443D95" w14:textId="77777777" w:rsidR="00E07751" w:rsidRPr="00500AAB" w:rsidRDefault="00E07751" w:rsidP="004F5DAB">
            <w:pPr>
              <w:spacing w:before="0" w:after="0" w:line="259" w:lineRule="auto"/>
              <w:ind w:firstLine="0"/>
              <w:jc w:val="center"/>
              <w:rPr>
                <w:rFonts w:eastAsia="Times New Roman" w:cs="Times New Roman"/>
                <w:b/>
                <w:sz w:val="20"/>
                <w:szCs w:val="20"/>
                <w:lang w:eastAsia="lv-LV"/>
              </w:rPr>
            </w:pPr>
            <w:r>
              <w:rPr>
                <w:rFonts w:eastAsia="Times New Roman" w:cs="Times New Roman"/>
                <w:b/>
                <w:sz w:val="20"/>
                <w:szCs w:val="20"/>
                <w:lang w:eastAsia="lv-LV"/>
              </w:rPr>
              <w:t>2024</w:t>
            </w:r>
          </w:p>
        </w:tc>
      </w:tr>
      <w:tr w:rsidR="00E07751" w:rsidRPr="00500AAB" w14:paraId="4A74132D" w14:textId="77777777" w:rsidTr="004F5DAB">
        <w:trPr>
          <w:trHeight w:val="20"/>
          <w:jc w:val="center"/>
        </w:trPr>
        <w:tc>
          <w:tcPr>
            <w:tcW w:w="3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AD750" w14:textId="77777777" w:rsidR="00E07751" w:rsidRPr="00500AAB" w:rsidRDefault="00E07751" w:rsidP="004F5DAB">
            <w:pPr>
              <w:spacing w:before="0" w:after="0" w:line="259" w:lineRule="auto"/>
              <w:ind w:firstLine="0"/>
              <w:jc w:val="left"/>
              <w:rPr>
                <w:rFonts w:eastAsia="Times New Roman" w:cs="Times New Roman"/>
                <w:sz w:val="20"/>
                <w:szCs w:val="20"/>
                <w:lang w:eastAsia="lv-LV"/>
              </w:rPr>
            </w:pPr>
          </w:p>
        </w:tc>
        <w:tc>
          <w:tcPr>
            <w:tcW w:w="884" w:type="dxa"/>
            <w:tcBorders>
              <w:top w:val="single" w:sz="4" w:space="0" w:color="auto"/>
              <w:left w:val="nil"/>
              <w:bottom w:val="single" w:sz="4" w:space="0" w:color="auto"/>
              <w:right w:val="single" w:sz="4" w:space="0" w:color="auto"/>
            </w:tcBorders>
            <w:shd w:val="clear" w:color="auto" w:fill="auto"/>
            <w:noWrap/>
            <w:vAlign w:val="center"/>
          </w:tcPr>
          <w:p w14:paraId="18A2C985" w14:textId="267CC3F0" w:rsidR="00E07751" w:rsidRPr="00500AAB" w:rsidRDefault="004F5DAB" w:rsidP="004F5DAB">
            <w:pPr>
              <w:spacing w:before="0" w:after="0" w:line="259" w:lineRule="auto"/>
              <w:ind w:firstLine="0"/>
              <w:jc w:val="center"/>
              <w:rPr>
                <w:rFonts w:eastAsia="Times New Roman" w:cs="Times New Roman"/>
                <w:sz w:val="20"/>
                <w:szCs w:val="20"/>
                <w:lang w:eastAsia="lv-LV"/>
              </w:rPr>
            </w:pPr>
            <w:r>
              <w:rPr>
                <w:rFonts w:eastAsia="Times New Roman" w:cs="Times New Roman"/>
                <w:sz w:val="20"/>
                <w:szCs w:val="20"/>
                <w:lang w:eastAsia="lv-LV"/>
              </w:rPr>
              <w:t>F</w:t>
            </w:r>
            <w:r w:rsidR="00E07751" w:rsidRPr="00500AAB">
              <w:rPr>
                <w:rFonts w:eastAsia="Times New Roman" w:cs="Times New Roman"/>
                <w:sz w:val="20"/>
                <w:szCs w:val="20"/>
                <w:lang w:eastAsia="lv-LV"/>
              </w:rPr>
              <w:t>akts</w:t>
            </w:r>
          </w:p>
        </w:tc>
        <w:tc>
          <w:tcPr>
            <w:tcW w:w="3623" w:type="dxa"/>
            <w:gridSpan w:val="4"/>
            <w:tcBorders>
              <w:top w:val="single" w:sz="4" w:space="0" w:color="auto"/>
              <w:left w:val="nil"/>
              <w:bottom w:val="single" w:sz="4" w:space="0" w:color="auto"/>
              <w:right w:val="single" w:sz="4" w:space="0" w:color="auto"/>
            </w:tcBorders>
            <w:shd w:val="clear" w:color="auto" w:fill="EAF1DD"/>
            <w:noWrap/>
            <w:vAlign w:val="center"/>
          </w:tcPr>
          <w:p w14:paraId="3819A24C" w14:textId="77777777" w:rsidR="00E07751" w:rsidRPr="00500AAB" w:rsidRDefault="00E07751" w:rsidP="004F5DAB">
            <w:pPr>
              <w:spacing w:before="0" w:after="0" w:line="259" w:lineRule="auto"/>
              <w:ind w:firstLine="0"/>
              <w:jc w:val="center"/>
              <w:rPr>
                <w:rFonts w:eastAsia="Times New Roman" w:cs="Times New Roman"/>
                <w:sz w:val="20"/>
                <w:szCs w:val="20"/>
                <w:lang w:eastAsia="lv-LV"/>
              </w:rPr>
            </w:pPr>
            <w:r w:rsidRPr="00500AAB">
              <w:rPr>
                <w:rFonts w:eastAsia="Times New Roman" w:cs="Times New Roman"/>
                <w:sz w:val="20"/>
                <w:szCs w:val="20"/>
                <w:lang w:eastAsia="lv-LV"/>
              </w:rPr>
              <w:t>Prognoze</w:t>
            </w:r>
          </w:p>
        </w:tc>
      </w:tr>
      <w:tr w:rsidR="00E07751" w:rsidRPr="00500AAB" w14:paraId="1341EA02" w14:textId="77777777" w:rsidTr="004F5DAB">
        <w:trPr>
          <w:trHeight w:val="20"/>
          <w:jc w:val="center"/>
        </w:trPr>
        <w:tc>
          <w:tcPr>
            <w:tcW w:w="3789" w:type="dxa"/>
            <w:tcBorders>
              <w:top w:val="nil"/>
              <w:left w:val="single" w:sz="4" w:space="0" w:color="auto"/>
              <w:bottom w:val="single" w:sz="4" w:space="0" w:color="auto"/>
              <w:right w:val="single" w:sz="4" w:space="0" w:color="auto"/>
            </w:tcBorders>
            <w:shd w:val="clear" w:color="auto" w:fill="auto"/>
            <w:noWrap/>
            <w:vAlign w:val="center"/>
            <w:hideMark/>
          </w:tcPr>
          <w:p w14:paraId="62108FD2" w14:textId="77777777" w:rsidR="00E07751" w:rsidRPr="00500AAB" w:rsidRDefault="00E07751" w:rsidP="004F5DAB">
            <w:pPr>
              <w:spacing w:before="0" w:after="0" w:line="259" w:lineRule="auto"/>
              <w:ind w:firstLine="0"/>
              <w:jc w:val="left"/>
              <w:rPr>
                <w:rFonts w:eastAsia="Times New Roman" w:cs="Times New Roman"/>
                <w:b/>
                <w:noProof/>
                <w:sz w:val="20"/>
                <w:szCs w:val="20"/>
                <w:lang w:eastAsia="lv-LV"/>
              </w:rPr>
            </w:pPr>
            <w:r w:rsidRPr="00500AAB">
              <w:rPr>
                <w:rFonts w:eastAsia="Times New Roman" w:cs="Times New Roman"/>
                <w:b/>
                <w:noProof/>
                <w:sz w:val="20"/>
                <w:szCs w:val="20"/>
                <w:lang w:eastAsia="lv-LV"/>
              </w:rPr>
              <w:t xml:space="preserve">Iekšzemes kopprodukts (IKP), milj. </w:t>
            </w:r>
            <w:r w:rsidRPr="00500AAB">
              <w:rPr>
                <w:rFonts w:eastAsia="Times New Roman" w:cs="Times New Roman"/>
                <w:b/>
                <w:i/>
                <w:noProof/>
                <w:sz w:val="20"/>
                <w:szCs w:val="20"/>
                <w:lang w:eastAsia="lv-LV"/>
              </w:rPr>
              <w:t>euro</w:t>
            </w:r>
          </w:p>
        </w:tc>
        <w:tc>
          <w:tcPr>
            <w:tcW w:w="884" w:type="dxa"/>
            <w:tcBorders>
              <w:top w:val="single" w:sz="4" w:space="0" w:color="auto"/>
              <w:left w:val="nil"/>
              <w:bottom w:val="single" w:sz="4" w:space="0" w:color="auto"/>
              <w:right w:val="single" w:sz="4" w:space="0" w:color="auto"/>
            </w:tcBorders>
            <w:shd w:val="clear" w:color="auto" w:fill="auto"/>
            <w:noWrap/>
            <w:tcMar>
              <w:right w:w="170" w:type="dxa"/>
            </w:tcMar>
            <w:vAlign w:val="center"/>
          </w:tcPr>
          <w:p w14:paraId="306A4966"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29334</w:t>
            </w:r>
          </w:p>
        </w:tc>
        <w:tc>
          <w:tcPr>
            <w:tcW w:w="905" w:type="dxa"/>
            <w:tcBorders>
              <w:top w:val="nil"/>
              <w:left w:val="nil"/>
              <w:bottom w:val="single" w:sz="4" w:space="0" w:color="auto"/>
              <w:right w:val="single" w:sz="4" w:space="0" w:color="auto"/>
            </w:tcBorders>
            <w:shd w:val="clear" w:color="auto" w:fill="EAF1DD"/>
            <w:noWrap/>
            <w:tcMar>
              <w:right w:w="170" w:type="dxa"/>
            </w:tcMar>
            <w:vAlign w:val="center"/>
          </w:tcPr>
          <w:p w14:paraId="788EAD49"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31154</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149AC48E"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32995</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107338F5"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35018</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2F5CB96A"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36876</w:t>
            </w:r>
          </w:p>
        </w:tc>
      </w:tr>
      <w:tr w:rsidR="00E07751" w:rsidRPr="00500AAB" w14:paraId="79533E3D" w14:textId="77777777" w:rsidTr="004F5DAB">
        <w:trPr>
          <w:trHeight w:val="20"/>
          <w:jc w:val="center"/>
        </w:trPr>
        <w:tc>
          <w:tcPr>
            <w:tcW w:w="3789" w:type="dxa"/>
            <w:tcBorders>
              <w:top w:val="nil"/>
              <w:left w:val="single" w:sz="4" w:space="0" w:color="auto"/>
              <w:bottom w:val="single" w:sz="4" w:space="0" w:color="auto"/>
              <w:right w:val="single" w:sz="4" w:space="0" w:color="auto"/>
            </w:tcBorders>
            <w:shd w:val="clear" w:color="auto" w:fill="auto"/>
            <w:noWrap/>
            <w:vAlign w:val="center"/>
            <w:hideMark/>
          </w:tcPr>
          <w:p w14:paraId="62BB01AD" w14:textId="77777777" w:rsidR="00E07751" w:rsidRPr="00500AAB" w:rsidRDefault="00E07751" w:rsidP="004F5DAB">
            <w:pPr>
              <w:spacing w:before="0" w:after="0" w:line="259" w:lineRule="auto"/>
              <w:ind w:firstLineChars="100" w:firstLine="200"/>
              <w:jc w:val="left"/>
              <w:rPr>
                <w:rFonts w:eastAsia="Times New Roman" w:cs="Times New Roman"/>
                <w:noProof/>
                <w:sz w:val="20"/>
                <w:szCs w:val="20"/>
                <w:lang w:eastAsia="lv-LV"/>
              </w:rPr>
            </w:pPr>
            <w:r w:rsidRPr="00500AAB">
              <w:rPr>
                <w:rFonts w:eastAsia="Times New Roman" w:cs="Times New Roman"/>
                <w:noProof/>
                <w:sz w:val="20"/>
                <w:szCs w:val="20"/>
                <w:lang w:eastAsia="lv-LV"/>
              </w:rPr>
              <w:t>pieaugums faktiskajās cenās, %</w:t>
            </w:r>
          </w:p>
        </w:tc>
        <w:tc>
          <w:tcPr>
            <w:tcW w:w="884" w:type="dxa"/>
            <w:tcBorders>
              <w:top w:val="nil"/>
              <w:left w:val="nil"/>
              <w:bottom w:val="single" w:sz="4" w:space="0" w:color="auto"/>
              <w:right w:val="single" w:sz="4" w:space="0" w:color="auto"/>
            </w:tcBorders>
            <w:shd w:val="clear" w:color="auto" w:fill="auto"/>
            <w:noWrap/>
            <w:tcMar>
              <w:right w:w="170" w:type="dxa"/>
            </w:tcMar>
            <w:vAlign w:val="center"/>
          </w:tcPr>
          <w:p w14:paraId="3B3C3778"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-3,6</w:t>
            </w:r>
          </w:p>
        </w:tc>
        <w:tc>
          <w:tcPr>
            <w:tcW w:w="905" w:type="dxa"/>
            <w:tcBorders>
              <w:top w:val="nil"/>
              <w:left w:val="nil"/>
              <w:bottom w:val="single" w:sz="4" w:space="0" w:color="auto"/>
              <w:right w:val="single" w:sz="4" w:space="0" w:color="auto"/>
            </w:tcBorders>
            <w:shd w:val="clear" w:color="auto" w:fill="EAF1DD"/>
            <w:noWrap/>
            <w:tcMar>
              <w:right w:w="170" w:type="dxa"/>
            </w:tcMar>
            <w:vAlign w:val="center"/>
          </w:tcPr>
          <w:p w14:paraId="1028C678"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6,2</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0752B533"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5,9</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0AFE2392"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6,1</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52A75ACD"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5,3</w:t>
            </w:r>
          </w:p>
        </w:tc>
      </w:tr>
      <w:tr w:rsidR="00E07751" w:rsidRPr="00500AAB" w14:paraId="004A041C" w14:textId="77777777" w:rsidTr="004F5DAB">
        <w:trPr>
          <w:trHeight w:val="20"/>
          <w:jc w:val="center"/>
        </w:trPr>
        <w:tc>
          <w:tcPr>
            <w:tcW w:w="3789" w:type="dxa"/>
            <w:tcBorders>
              <w:top w:val="nil"/>
              <w:left w:val="single" w:sz="4" w:space="0" w:color="auto"/>
              <w:bottom w:val="single" w:sz="4" w:space="0" w:color="auto"/>
              <w:right w:val="single" w:sz="4" w:space="0" w:color="auto"/>
            </w:tcBorders>
            <w:shd w:val="clear" w:color="auto" w:fill="auto"/>
            <w:noWrap/>
            <w:vAlign w:val="center"/>
            <w:hideMark/>
          </w:tcPr>
          <w:p w14:paraId="0987AD37" w14:textId="77777777" w:rsidR="00E07751" w:rsidRPr="00500AAB" w:rsidRDefault="00E07751" w:rsidP="004F5DAB">
            <w:pPr>
              <w:spacing w:before="0" w:after="0" w:line="259" w:lineRule="auto"/>
              <w:ind w:firstLineChars="100" w:firstLine="200"/>
              <w:jc w:val="left"/>
              <w:rPr>
                <w:rFonts w:eastAsia="Times New Roman" w:cs="Times New Roman"/>
                <w:noProof/>
                <w:sz w:val="20"/>
                <w:szCs w:val="20"/>
                <w:lang w:eastAsia="lv-LV"/>
              </w:rPr>
            </w:pPr>
            <w:r w:rsidRPr="00500AAB">
              <w:rPr>
                <w:rFonts w:eastAsia="Times New Roman" w:cs="Times New Roman"/>
                <w:noProof/>
                <w:sz w:val="20"/>
                <w:szCs w:val="20"/>
                <w:lang w:eastAsia="lv-LV"/>
              </w:rPr>
              <w:t>pieaugums salīdzināmās cenās, %</w:t>
            </w:r>
          </w:p>
        </w:tc>
        <w:tc>
          <w:tcPr>
            <w:tcW w:w="884" w:type="dxa"/>
            <w:tcBorders>
              <w:top w:val="nil"/>
              <w:left w:val="nil"/>
              <w:bottom w:val="single" w:sz="4" w:space="0" w:color="auto"/>
              <w:right w:val="single" w:sz="4" w:space="0" w:color="auto"/>
            </w:tcBorders>
            <w:shd w:val="clear" w:color="auto" w:fill="auto"/>
            <w:noWrap/>
            <w:tcMar>
              <w:right w:w="170" w:type="dxa"/>
            </w:tcMar>
            <w:vAlign w:val="center"/>
          </w:tcPr>
          <w:p w14:paraId="350CBE9E"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-3,6</w:t>
            </w:r>
          </w:p>
        </w:tc>
        <w:tc>
          <w:tcPr>
            <w:tcW w:w="905" w:type="dxa"/>
            <w:tcBorders>
              <w:top w:val="nil"/>
              <w:left w:val="nil"/>
              <w:bottom w:val="single" w:sz="4" w:space="0" w:color="auto"/>
              <w:right w:val="single" w:sz="4" w:space="0" w:color="auto"/>
            </w:tcBorders>
            <w:shd w:val="clear" w:color="auto" w:fill="EAF1DD"/>
            <w:noWrap/>
            <w:tcMar>
              <w:right w:w="170" w:type="dxa"/>
            </w:tcMar>
            <w:vAlign w:val="center"/>
          </w:tcPr>
          <w:p w14:paraId="44F9909C"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3,0</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352D8903"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2,5</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2EEE17D9"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3,4</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7F15BEEA"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3,4</w:t>
            </w:r>
          </w:p>
        </w:tc>
      </w:tr>
      <w:tr w:rsidR="00E07751" w:rsidRPr="00500AAB" w14:paraId="3232064B" w14:textId="77777777" w:rsidTr="004F5DAB">
        <w:trPr>
          <w:trHeight w:val="20"/>
          <w:jc w:val="center"/>
        </w:trPr>
        <w:tc>
          <w:tcPr>
            <w:tcW w:w="3789" w:type="dxa"/>
            <w:tcBorders>
              <w:top w:val="nil"/>
              <w:left w:val="single" w:sz="4" w:space="0" w:color="auto"/>
              <w:bottom w:val="single" w:sz="4" w:space="0" w:color="auto"/>
              <w:right w:val="single" w:sz="4" w:space="0" w:color="auto"/>
            </w:tcBorders>
            <w:shd w:val="clear" w:color="auto" w:fill="auto"/>
            <w:noWrap/>
            <w:vAlign w:val="center"/>
            <w:hideMark/>
          </w:tcPr>
          <w:p w14:paraId="328C4545" w14:textId="77777777" w:rsidR="00E07751" w:rsidRPr="00500AAB" w:rsidRDefault="00E07751" w:rsidP="004F5DAB">
            <w:pPr>
              <w:spacing w:before="0" w:after="0" w:line="259" w:lineRule="auto"/>
              <w:ind w:firstLine="0"/>
              <w:jc w:val="left"/>
              <w:rPr>
                <w:rFonts w:eastAsia="Times New Roman" w:cs="Times New Roman"/>
                <w:b/>
                <w:noProof/>
                <w:sz w:val="20"/>
                <w:szCs w:val="20"/>
                <w:lang w:eastAsia="lv-LV"/>
              </w:rPr>
            </w:pPr>
            <w:r w:rsidRPr="00500AAB">
              <w:rPr>
                <w:rFonts w:eastAsia="Times New Roman" w:cs="Times New Roman"/>
                <w:b/>
                <w:noProof/>
                <w:sz w:val="20"/>
                <w:szCs w:val="20"/>
                <w:lang w:eastAsia="lv-LV"/>
              </w:rPr>
              <w:t>IKP deflators (gads pret gadu), %</w:t>
            </w:r>
          </w:p>
        </w:tc>
        <w:tc>
          <w:tcPr>
            <w:tcW w:w="884" w:type="dxa"/>
            <w:tcBorders>
              <w:top w:val="nil"/>
              <w:left w:val="nil"/>
              <w:bottom w:val="single" w:sz="4" w:space="0" w:color="auto"/>
              <w:right w:val="single" w:sz="4" w:space="0" w:color="auto"/>
            </w:tcBorders>
            <w:shd w:val="clear" w:color="auto" w:fill="auto"/>
            <w:noWrap/>
            <w:tcMar>
              <w:right w:w="170" w:type="dxa"/>
            </w:tcMar>
            <w:vAlign w:val="center"/>
          </w:tcPr>
          <w:p w14:paraId="4A4A2A28"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0,1</w:t>
            </w:r>
          </w:p>
        </w:tc>
        <w:tc>
          <w:tcPr>
            <w:tcW w:w="905" w:type="dxa"/>
            <w:tcBorders>
              <w:top w:val="nil"/>
              <w:left w:val="nil"/>
              <w:bottom w:val="single" w:sz="4" w:space="0" w:color="auto"/>
              <w:right w:val="single" w:sz="4" w:space="0" w:color="auto"/>
            </w:tcBorders>
            <w:shd w:val="clear" w:color="auto" w:fill="EAF1DD"/>
            <w:noWrap/>
            <w:tcMar>
              <w:right w:w="170" w:type="dxa"/>
            </w:tcMar>
            <w:vAlign w:val="center"/>
          </w:tcPr>
          <w:p w14:paraId="1A400A57"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3,1</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25D95BDC"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3,3</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1EA5DFDD"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2,6</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5C89EC10"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1,9</w:t>
            </w:r>
          </w:p>
        </w:tc>
      </w:tr>
      <w:tr w:rsidR="00E07751" w:rsidRPr="00500AAB" w14:paraId="082AB015" w14:textId="77777777" w:rsidTr="004F5DAB">
        <w:trPr>
          <w:trHeight w:val="20"/>
          <w:jc w:val="center"/>
        </w:trPr>
        <w:tc>
          <w:tcPr>
            <w:tcW w:w="3789" w:type="dxa"/>
            <w:tcBorders>
              <w:top w:val="nil"/>
              <w:left w:val="single" w:sz="4" w:space="0" w:color="auto"/>
              <w:bottom w:val="single" w:sz="4" w:space="0" w:color="auto"/>
              <w:right w:val="single" w:sz="4" w:space="0" w:color="auto"/>
            </w:tcBorders>
            <w:shd w:val="clear" w:color="auto" w:fill="auto"/>
            <w:noWrap/>
            <w:vAlign w:val="center"/>
            <w:hideMark/>
          </w:tcPr>
          <w:p w14:paraId="442834FA" w14:textId="77777777" w:rsidR="00E07751" w:rsidRPr="00500AAB" w:rsidRDefault="00E07751" w:rsidP="004F5DAB">
            <w:pPr>
              <w:spacing w:before="0" w:after="0" w:line="259" w:lineRule="auto"/>
              <w:ind w:firstLine="0"/>
              <w:jc w:val="left"/>
              <w:rPr>
                <w:rFonts w:eastAsia="Times New Roman" w:cs="Times New Roman"/>
                <w:b/>
                <w:noProof/>
                <w:sz w:val="20"/>
                <w:szCs w:val="20"/>
                <w:lang w:eastAsia="lv-LV"/>
              </w:rPr>
            </w:pPr>
            <w:r w:rsidRPr="00500AAB">
              <w:rPr>
                <w:rFonts w:eastAsia="Times New Roman" w:cs="Times New Roman"/>
                <w:b/>
                <w:noProof/>
                <w:sz w:val="20"/>
                <w:szCs w:val="20"/>
                <w:lang w:eastAsia="lv-LV"/>
              </w:rPr>
              <w:t>PCI (gads pret gadu), %</w:t>
            </w:r>
          </w:p>
        </w:tc>
        <w:tc>
          <w:tcPr>
            <w:tcW w:w="884" w:type="dxa"/>
            <w:tcBorders>
              <w:top w:val="nil"/>
              <w:left w:val="nil"/>
              <w:bottom w:val="single" w:sz="4" w:space="0" w:color="auto"/>
              <w:right w:val="single" w:sz="4" w:space="0" w:color="auto"/>
            </w:tcBorders>
            <w:shd w:val="clear" w:color="auto" w:fill="auto"/>
            <w:noWrap/>
            <w:tcMar>
              <w:right w:w="170" w:type="dxa"/>
            </w:tcMar>
            <w:vAlign w:val="center"/>
          </w:tcPr>
          <w:p w14:paraId="55852A78"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0,2</w:t>
            </w:r>
          </w:p>
        </w:tc>
        <w:tc>
          <w:tcPr>
            <w:tcW w:w="905" w:type="dxa"/>
            <w:tcBorders>
              <w:top w:val="nil"/>
              <w:left w:val="nil"/>
              <w:bottom w:val="single" w:sz="4" w:space="0" w:color="auto"/>
              <w:right w:val="single" w:sz="4" w:space="0" w:color="auto"/>
            </w:tcBorders>
            <w:shd w:val="clear" w:color="auto" w:fill="EAF1DD"/>
            <w:noWrap/>
            <w:tcMar>
              <w:right w:w="170" w:type="dxa"/>
            </w:tcMar>
            <w:vAlign w:val="center"/>
          </w:tcPr>
          <w:p w14:paraId="70BB1AA7"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2,0</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54FA696F"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2,4</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25ABAF67"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2,2</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4674C15C"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2,0</w:t>
            </w:r>
          </w:p>
        </w:tc>
      </w:tr>
      <w:tr w:rsidR="00E07751" w:rsidRPr="00500AAB" w14:paraId="3E0CB896" w14:textId="77777777" w:rsidTr="004F5DAB">
        <w:trPr>
          <w:trHeight w:val="20"/>
          <w:jc w:val="center"/>
        </w:trPr>
        <w:tc>
          <w:tcPr>
            <w:tcW w:w="3789" w:type="dxa"/>
            <w:tcBorders>
              <w:top w:val="nil"/>
              <w:left w:val="single" w:sz="4" w:space="0" w:color="auto"/>
              <w:bottom w:val="single" w:sz="4" w:space="0" w:color="auto"/>
              <w:right w:val="single" w:sz="4" w:space="0" w:color="auto"/>
            </w:tcBorders>
            <w:shd w:val="clear" w:color="auto" w:fill="auto"/>
            <w:noWrap/>
            <w:vAlign w:val="center"/>
            <w:hideMark/>
          </w:tcPr>
          <w:p w14:paraId="68B1B7F2" w14:textId="77777777" w:rsidR="00E07751" w:rsidRPr="00500AAB" w:rsidRDefault="00E07751" w:rsidP="004F5DAB">
            <w:pPr>
              <w:spacing w:before="0" w:after="0" w:line="259" w:lineRule="auto"/>
              <w:ind w:firstLine="0"/>
              <w:jc w:val="left"/>
              <w:rPr>
                <w:rFonts w:eastAsia="Times New Roman" w:cs="Times New Roman"/>
                <w:b/>
                <w:noProof/>
                <w:sz w:val="20"/>
                <w:szCs w:val="20"/>
                <w:lang w:eastAsia="lv-LV"/>
              </w:rPr>
            </w:pPr>
            <w:r w:rsidRPr="00500AAB">
              <w:rPr>
                <w:rFonts w:eastAsia="Times New Roman" w:cs="Times New Roman"/>
                <w:b/>
                <w:noProof/>
                <w:sz w:val="20"/>
                <w:szCs w:val="20"/>
                <w:lang w:eastAsia="lv-LV"/>
              </w:rPr>
              <w:t xml:space="preserve">Tautsaimniecībā nodarbināto mēn. vid. bruto darba samaksa, </w:t>
            </w:r>
            <w:r w:rsidRPr="00500AAB">
              <w:rPr>
                <w:rFonts w:eastAsia="Times New Roman" w:cs="Times New Roman"/>
                <w:b/>
                <w:i/>
                <w:noProof/>
                <w:sz w:val="20"/>
                <w:szCs w:val="20"/>
                <w:lang w:eastAsia="lv-LV"/>
              </w:rPr>
              <w:t>euro</w:t>
            </w:r>
          </w:p>
        </w:tc>
        <w:tc>
          <w:tcPr>
            <w:tcW w:w="884" w:type="dxa"/>
            <w:tcBorders>
              <w:top w:val="nil"/>
              <w:left w:val="nil"/>
              <w:bottom w:val="single" w:sz="4" w:space="0" w:color="auto"/>
              <w:right w:val="single" w:sz="4" w:space="0" w:color="auto"/>
            </w:tcBorders>
            <w:shd w:val="clear" w:color="auto" w:fill="auto"/>
            <w:noWrap/>
            <w:tcMar>
              <w:right w:w="170" w:type="dxa"/>
            </w:tcMar>
            <w:vAlign w:val="center"/>
          </w:tcPr>
          <w:p w14:paraId="04EAA01A"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1143</w:t>
            </w:r>
          </w:p>
        </w:tc>
        <w:tc>
          <w:tcPr>
            <w:tcW w:w="905" w:type="dxa"/>
            <w:tcBorders>
              <w:top w:val="nil"/>
              <w:left w:val="nil"/>
              <w:bottom w:val="single" w:sz="4" w:space="0" w:color="auto"/>
              <w:right w:val="single" w:sz="4" w:space="0" w:color="auto"/>
            </w:tcBorders>
            <w:shd w:val="clear" w:color="auto" w:fill="EAF1DD"/>
            <w:noWrap/>
            <w:tcMar>
              <w:right w:w="170" w:type="dxa"/>
            </w:tcMar>
            <w:vAlign w:val="center"/>
          </w:tcPr>
          <w:p w14:paraId="380CA91D" w14:textId="77777777" w:rsidR="00E07751" w:rsidRPr="002B43A4" w:rsidRDefault="00E07751" w:rsidP="004F5DAB">
            <w:pPr>
              <w:spacing w:before="0" w:after="0"/>
              <w:ind w:firstLineChars="100" w:firstLine="200"/>
              <w:jc w:val="right"/>
              <w:rPr>
                <w:rFonts w:eastAsia="Calibri" w:cs="Times New Roman"/>
                <w:sz w:val="20"/>
                <w:szCs w:val="20"/>
              </w:rPr>
            </w:pPr>
            <w:r w:rsidRPr="002B43A4">
              <w:rPr>
                <w:rFonts w:eastAsia="Calibri" w:cs="Times New Roman"/>
                <w:sz w:val="20"/>
                <w:szCs w:val="20"/>
              </w:rPr>
              <w:t>1234</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58C082B1" w14:textId="77777777" w:rsidR="00E07751" w:rsidRPr="002B43A4" w:rsidRDefault="00E07751" w:rsidP="004F5DAB">
            <w:pPr>
              <w:spacing w:before="0" w:after="0"/>
              <w:ind w:firstLineChars="100" w:firstLine="200"/>
              <w:jc w:val="right"/>
              <w:rPr>
                <w:rFonts w:eastAsia="Calibri" w:cs="Times New Roman"/>
                <w:sz w:val="20"/>
                <w:szCs w:val="20"/>
              </w:rPr>
            </w:pPr>
            <w:r w:rsidRPr="002B43A4">
              <w:rPr>
                <w:rFonts w:eastAsia="Calibri" w:cs="Times New Roman"/>
                <w:sz w:val="20"/>
                <w:szCs w:val="20"/>
              </w:rPr>
              <w:t>1302</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6C62B33D" w14:textId="77777777" w:rsidR="00E07751" w:rsidRPr="002B43A4" w:rsidRDefault="00E07751" w:rsidP="004F5DAB">
            <w:pPr>
              <w:spacing w:before="0" w:after="0"/>
              <w:ind w:firstLineChars="100" w:firstLine="200"/>
              <w:jc w:val="right"/>
              <w:rPr>
                <w:rFonts w:eastAsia="Calibri" w:cs="Times New Roman"/>
                <w:sz w:val="20"/>
                <w:szCs w:val="20"/>
              </w:rPr>
            </w:pPr>
            <w:r w:rsidRPr="002B43A4">
              <w:rPr>
                <w:rFonts w:eastAsia="Calibri" w:cs="Times New Roman"/>
                <w:sz w:val="20"/>
                <w:szCs w:val="20"/>
              </w:rPr>
              <w:t>1374</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21831D6E" w14:textId="77777777" w:rsidR="00E07751" w:rsidRPr="002B43A4" w:rsidRDefault="00E07751" w:rsidP="004F5DAB">
            <w:pPr>
              <w:spacing w:before="0" w:after="0"/>
              <w:ind w:firstLineChars="100" w:firstLine="200"/>
              <w:jc w:val="right"/>
              <w:rPr>
                <w:rFonts w:eastAsia="Calibri" w:cs="Times New Roman"/>
                <w:sz w:val="20"/>
                <w:szCs w:val="20"/>
              </w:rPr>
            </w:pPr>
            <w:r w:rsidRPr="002B43A4">
              <w:rPr>
                <w:rFonts w:eastAsia="Calibri" w:cs="Times New Roman"/>
                <w:sz w:val="20"/>
                <w:szCs w:val="20"/>
              </w:rPr>
              <w:t>1447</w:t>
            </w:r>
          </w:p>
        </w:tc>
      </w:tr>
      <w:tr w:rsidR="00E07751" w:rsidRPr="00500AAB" w14:paraId="1C053871" w14:textId="77777777" w:rsidTr="004F5DAB">
        <w:trPr>
          <w:trHeight w:val="20"/>
          <w:jc w:val="center"/>
        </w:trPr>
        <w:tc>
          <w:tcPr>
            <w:tcW w:w="3789" w:type="dxa"/>
            <w:tcBorders>
              <w:top w:val="nil"/>
              <w:left w:val="single" w:sz="4" w:space="0" w:color="auto"/>
              <w:bottom w:val="single" w:sz="4" w:space="0" w:color="auto"/>
              <w:right w:val="single" w:sz="4" w:space="0" w:color="auto"/>
            </w:tcBorders>
            <w:shd w:val="clear" w:color="auto" w:fill="auto"/>
            <w:noWrap/>
            <w:vAlign w:val="center"/>
            <w:hideMark/>
          </w:tcPr>
          <w:p w14:paraId="0912321B" w14:textId="77777777" w:rsidR="00E07751" w:rsidRPr="00500AAB" w:rsidRDefault="00E07751" w:rsidP="004F5DAB">
            <w:pPr>
              <w:spacing w:before="0" w:after="0" w:line="259" w:lineRule="auto"/>
              <w:ind w:firstLineChars="100" w:firstLine="200"/>
              <w:jc w:val="left"/>
              <w:rPr>
                <w:rFonts w:eastAsia="Times New Roman" w:cs="Times New Roman"/>
                <w:noProof/>
                <w:sz w:val="20"/>
                <w:szCs w:val="20"/>
                <w:lang w:eastAsia="lv-LV"/>
              </w:rPr>
            </w:pPr>
            <w:r w:rsidRPr="00500AAB">
              <w:rPr>
                <w:rFonts w:eastAsia="Times New Roman" w:cs="Times New Roman"/>
                <w:noProof/>
                <w:sz w:val="20"/>
                <w:szCs w:val="20"/>
                <w:lang w:eastAsia="lv-LV"/>
              </w:rPr>
              <w:t>pieaugums faktiskajās cenās, %</w:t>
            </w:r>
          </w:p>
        </w:tc>
        <w:tc>
          <w:tcPr>
            <w:tcW w:w="884" w:type="dxa"/>
            <w:tcBorders>
              <w:top w:val="nil"/>
              <w:left w:val="nil"/>
              <w:bottom w:val="single" w:sz="4" w:space="0" w:color="auto"/>
              <w:right w:val="single" w:sz="4" w:space="0" w:color="auto"/>
            </w:tcBorders>
            <w:shd w:val="clear" w:color="auto" w:fill="auto"/>
            <w:noWrap/>
            <w:tcMar>
              <w:right w:w="170" w:type="dxa"/>
            </w:tcMar>
            <w:vAlign w:val="center"/>
          </w:tcPr>
          <w:p w14:paraId="1A18E098"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6,2</w:t>
            </w:r>
          </w:p>
        </w:tc>
        <w:tc>
          <w:tcPr>
            <w:tcW w:w="905" w:type="dxa"/>
            <w:tcBorders>
              <w:top w:val="nil"/>
              <w:left w:val="nil"/>
              <w:bottom w:val="single" w:sz="4" w:space="0" w:color="auto"/>
              <w:right w:val="single" w:sz="4" w:space="0" w:color="auto"/>
            </w:tcBorders>
            <w:shd w:val="clear" w:color="auto" w:fill="EAF1DD"/>
            <w:noWrap/>
            <w:tcMar>
              <w:right w:w="170" w:type="dxa"/>
            </w:tcMar>
            <w:vAlign w:val="center"/>
          </w:tcPr>
          <w:p w14:paraId="476CF631"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8,0</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3A2DA0E0"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5,5</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03817A82"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5,5</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19458B7F"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5,3</w:t>
            </w:r>
          </w:p>
        </w:tc>
      </w:tr>
      <w:tr w:rsidR="00E07751" w:rsidRPr="00500AAB" w14:paraId="6AFD4385" w14:textId="77777777" w:rsidTr="004F5DAB">
        <w:trPr>
          <w:trHeight w:val="20"/>
          <w:jc w:val="center"/>
        </w:trPr>
        <w:tc>
          <w:tcPr>
            <w:tcW w:w="3789" w:type="dxa"/>
            <w:tcBorders>
              <w:top w:val="nil"/>
              <w:left w:val="single" w:sz="4" w:space="0" w:color="auto"/>
              <w:bottom w:val="single" w:sz="4" w:space="0" w:color="auto"/>
              <w:right w:val="single" w:sz="4" w:space="0" w:color="auto"/>
            </w:tcBorders>
            <w:shd w:val="clear" w:color="auto" w:fill="auto"/>
            <w:noWrap/>
            <w:vAlign w:val="center"/>
            <w:hideMark/>
          </w:tcPr>
          <w:p w14:paraId="0F530E76" w14:textId="77777777" w:rsidR="00E07751" w:rsidRPr="00500AAB" w:rsidRDefault="00E07751" w:rsidP="004F5DAB">
            <w:pPr>
              <w:spacing w:before="0" w:after="0" w:line="259" w:lineRule="auto"/>
              <w:ind w:firstLineChars="100" w:firstLine="200"/>
              <w:jc w:val="left"/>
              <w:rPr>
                <w:rFonts w:eastAsia="Times New Roman" w:cs="Times New Roman"/>
                <w:noProof/>
                <w:sz w:val="20"/>
                <w:szCs w:val="20"/>
                <w:lang w:eastAsia="lv-LV"/>
              </w:rPr>
            </w:pPr>
            <w:r w:rsidRPr="00500AAB">
              <w:rPr>
                <w:rFonts w:eastAsia="Times New Roman" w:cs="Times New Roman"/>
                <w:noProof/>
                <w:sz w:val="20"/>
                <w:szCs w:val="20"/>
                <w:lang w:eastAsia="lv-LV"/>
              </w:rPr>
              <w:t>pieaugums salīdzināmās cenās, %</w:t>
            </w:r>
          </w:p>
        </w:tc>
        <w:tc>
          <w:tcPr>
            <w:tcW w:w="884" w:type="dxa"/>
            <w:tcBorders>
              <w:top w:val="nil"/>
              <w:left w:val="nil"/>
              <w:bottom w:val="single" w:sz="4" w:space="0" w:color="auto"/>
              <w:right w:val="single" w:sz="4" w:space="0" w:color="auto"/>
            </w:tcBorders>
            <w:shd w:val="clear" w:color="auto" w:fill="auto"/>
            <w:noWrap/>
            <w:tcMar>
              <w:right w:w="170" w:type="dxa"/>
            </w:tcMar>
            <w:vAlign w:val="center"/>
          </w:tcPr>
          <w:p w14:paraId="005E7C51"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6,0</w:t>
            </w:r>
          </w:p>
        </w:tc>
        <w:tc>
          <w:tcPr>
            <w:tcW w:w="905" w:type="dxa"/>
            <w:tcBorders>
              <w:top w:val="nil"/>
              <w:left w:val="nil"/>
              <w:bottom w:val="single" w:sz="4" w:space="0" w:color="auto"/>
              <w:right w:val="single" w:sz="4" w:space="0" w:color="auto"/>
            </w:tcBorders>
            <w:shd w:val="clear" w:color="auto" w:fill="EAF1DD"/>
            <w:noWrap/>
            <w:tcMar>
              <w:right w:w="170" w:type="dxa"/>
            </w:tcMar>
            <w:vAlign w:val="center"/>
          </w:tcPr>
          <w:p w14:paraId="43D3F2C9"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5,9</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3515EE2D"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3,0</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255EFE74"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3,2</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48547445"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3,2</w:t>
            </w:r>
          </w:p>
        </w:tc>
      </w:tr>
      <w:tr w:rsidR="00E07751" w:rsidRPr="00500AAB" w14:paraId="74838C29" w14:textId="77777777" w:rsidTr="004F5DAB">
        <w:trPr>
          <w:trHeight w:val="20"/>
          <w:jc w:val="center"/>
        </w:trPr>
        <w:tc>
          <w:tcPr>
            <w:tcW w:w="3789" w:type="dxa"/>
            <w:tcBorders>
              <w:top w:val="nil"/>
              <w:left w:val="single" w:sz="4" w:space="0" w:color="auto"/>
              <w:bottom w:val="single" w:sz="4" w:space="0" w:color="auto"/>
              <w:right w:val="single" w:sz="4" w:space="0" w:color="auto"/>
            </w:tcBorders>
            <w:shd w:val="clear" w:color="auto" w:fill="auto"/>
            <w:noWrap/>
            <w:vAlign w:val="center"/>
            <w:hideMark/>
          </w:tcPr>
          <w:p w14:paraId="111437F6" w14:textId="77777777" w:rsidR="00E07751" w:rsidRPr="00500AAB" w:rsidRDefault="00E07751" w:rsidP="004F5DAB">
            <w:pPr>
              <w:spacing w:before="0" w:after="0" w:line="259" w:lineRule="auto"/>
              <w:ind w:firstLine="0"/>
              <w:jc w:val="left"/>
              <w:rPr>
                <w:rFonts w:eastAsia="Times New Roman" w:cs="Times New Roman"/>
                <w:b/>
                <w:noProof/>
                <w:sz w:val="20"/>
                <w:szCs w:val="20"/>
                <w:lang w:eastAsia="lv-LV"/>
              </w:rPr>
            </w:pPr>
            <w:r w:rsidRPr="00500AAB">
              <w:rPr>
                <w:rFonts w:eastAsia="Times New Roman" w:cs="Times New Roman"/>
                <w:b/>
                <w:noProof/>
                <w:sz w:val="20"/>
                <w:szCs w:val="20"/>
                <w:lang w:eastAsia="lv-LV"/>
              </w:rPr>
              <w:t>Nodarbinātība, tūkst. iedzīvotāju (atbilstoši darbaspēka apsekojumiem)</w:t>
            </w:r>
          </w:p>
        </w:tc>
        <w:tc>
          <w:tcPr>
            <w:tcW w:w="884" w:type="dxa"/>
            <w:tcBorders>
              <w:top w:val="nil"/>
              <w:left w:val="nil"/>
              <w:bottom w:val="single" w:sz="4" w:space="0" w:color="auto"/>
              <w:right w:val="single" w:sz="4" w:space="0" w:color="auto"/>
            </w:tcBorders>
            <w:shd w:val="clear" w:color="auto" w:fill="auto"/>
            <w:noWrap/>
            <w:tcMar>
              <w:right w:w="170" w:type="dxa"/>
            </w:tcMar>
            <w:vAlign w:val="center"/>
          </w:tcPr>
          <w:p w14:paraId="4FB3888C"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893</w:t>
            </w:r>
          </w:p>
        </w:tc>
        <w:tc>
          <w:tcPr>
            <w:tcW w:w="905" w:type="dxa"/>
            <w:tcBorders>
              <w:top w:val="nil"/>
              <w:left w:val="nil"/>
              <w:bottom w:val="single" w:sz="4" w:space="0" w:color="auto"/>
              <w:right w:val="single" w:sz="4" w:space="0" w:color="auto"/>
            </w:tcBorders>
            <w:shd w:val="clear" w:color="auto" w:fill="EAF1DD"/>
            <w:noWrap/>
            <w:tcMar>
              <w:right w:w="170" w:type="dxa"/>
            </w:tcMar>
            <w:vAlign w:val="center"/>
          </w:tcPr>
          <w:p w14:paraId="358A34D5"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880</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12199E48"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893</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7BD9EDE5"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902</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72885DCE"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902</w:t>
            </w:r>
          </w:p>
        </w:tc>
      </w:tr>
      <w:tr w:rsidR="00E07751" w:rsidRPr="00500AAB" w14:paraId="5FEF7F35" w14:textId="77777777" w:rsidTr="004F5DAB">
        <w:trPr>
          <w:trHeight w:val="20"/>
          <w:jc w:val="center"/>
        </w:trPr>
        <w:tc>
          <w:tcPr>
            <w:tcW w:w="3789" w:type="dxa"/>
            <w:tcBorders>
              <w:top w:val="nil"/>
              <w:left w:val="single" w:sz="4" w:space="0" w:color="auto"/>
              <w:bottom w:val="single" w:sz="4" w:space="0" w:color="auto"/>
              <w:right w:val="single" w:sz="4" w:space="0" w:color="auto"/>
            </w:tcBorders>
            <w:shd w:val="clear" w:color="auto" w:fill="auto"/>
            <w:noWrap/>
            <w:vAlign w:val="center"/>
            <w:hideMark/>
          </w:tcPr>
          <w:p w14:paraId="75A5097C" w14:textId="77777777" w:rsidR="00E07751" w:rsidRPr="00500AAB" w:rsidRDefault="00E07751" w:rsidP="004F5DAB">
            <w:pPr>
              <w:spacing w:before="0" w:after="0" w:line="259" w:lineRule="auto"/>
              <w:ind w:firstLineChars="100" w:firstLine="200"/>
              <w:jc w:val="left"/>
              <w:rPr>
                <w:rFonts w:eastAsia="Times New Roman" w:cs="Times New Roman"/>
                <w:noProof/>
                <w:sz w:val="20"/>
                <w:szCs w:val="20"/>
                <w:lang w:eastAsia="lv-LV"/>
              </w:rPr>
            </w:pPr>
            <w:r w:rsidRPr="00500AAB">
              <w:rPr>
                <w:rFonts w:eastAsia="Times New Roman" w:cs="Times New Roman"/>
                <w:noProof/>
                <w:sz w:val="20"/>
                <w:szCs w:val="20"/>
                <w:lang w:eastAsia="lv-LV"/>
              </w:rPr>
              <w:t>pieaugums, %</w:t>
            </w:r>
          </w:p>
        </w:tc>
        <w:tc>
          <w:tcPr>
            <w:tcW w:w="884" w:type="dxa"/>
            <w:tcBorders>
              <w:top w:val="nil"/>
              <w:left w:val="nil"/>
              <w:bottom w:val="single" w:sz="4" w:space="0" w:color="auto"/>
              <w:right w:val="single" w:sz="4" w:space="0" w:color="auto"/>
            </w:tcBorders>
            <w:shd w:val="clear" w:color="auto" w:fill="auto"/>
            <w:noWrap/>
            <w:tcMar>
              <w:right w:w="170" w:type="dxa"/>
            </w:tcMar>
            <w:vAlign w:val="center"/>
          </w:tcPr>
          <w:p w14:paraId="5769DF58"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-1,9</w:t>
            </w:r>
          </w:p>
        </w:tc>
        <w:tc>
          <w:tcPr>
            <w:tcW w:w="905" w:type="dxa"/>
            <w:tcBorders>
              <w:top w:val="nil"/>
              <w:left w:val="nil"/>
              <w:bottom w:val="single" w:sz="4" w:space="0" w:color="auto"/>
              <w:right w:val="single" w:sz="4" w:space="0" w:color="auto"/>
            </w:tcBorders>
            <w:shd w:val="clear" w:color="auto" w:fill="EAF1DD"/>
            <w:noWrap/>
            <w:tcMar>
              <w:right w:w="170" w:type="dxa"/>
            </w:tcMar>
            <w:vAlign w:val="center"/>
          </w:tcPr>
          <w:p w14:paraId="13AA1235"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-1,5</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7E89298E"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1,5</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6F0C3687"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1,0</w:t>
            </w:r>
          </w:p>
        </w:tc>
        <w:tc>
          <w:tcPr>
            <w:tcW w:w="906" w:type="dxa"/>
            <w:tcBorders>
              <w:top w:val="nil"/>
              <w:left w:val="nil"/>
              <w:bottom w:val="single" w:sz="4" w:space="0" w:color="auto"/>
              <w:right w:val="single" w:sz="4" w:space="0" w:color="auto"/>
            </w:tcBorders>
            <w:shd w:val="clear" w:color="auto" w:fill="EAF1DD"/>
            <w:noWrap/>
            <w:tcMar>
              <w:right w:w="170" w:type="dxa"/>
            </w:tcMar>
            <w:vAlign w:val="center"/>
          </w:tcPr>
          <w:p w14:paraId="4294C251"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0,0</w:t>
            </w:r>
          </w:p>
        </w:tc>
      </w:tr>
      <w:tr w:rsidR="00E07751" w:rsidRPr="00500AAB" w14:paraId="30B10A49" w14:textId="77777777" w:rsidTr="004F5DAB">
        <w:trPr>
          <w:trHeight w:val="20"/>
          <w:jc w:val="center"/>
        </w:trPr>
        <w:tc>
          <w:tcPr>
            <w:tcW w:w="3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FEFAC" w14:textId="77777777" w:rsidR="00E07751" w:rsidRPr="00500AAB" w:rsidRDefault="00E07751" w:rsidP="004F5DAB">
            <w:pPr>
              <w:spacing w:before="0" w:after="0" w:line="259" w:lineRule="auto"/>
              <w:ind w:firstLine="0"/>
              <w:jc w:val="left"/>
              <w:rPr>
                <w:rFonts w:eastAsia="Times New Roman" w:cs="Times New Roman"/>
                <w:b/>
                <w:noProof/>
                <w:sz w:val="20"/>
                <w:szCs w:val="20"/>
                <w:lang w:eastAsia="lv-LV"/>
              </w:rPr>
            </w:pPr>
            <w:r w:rsidRPr="00500AAB">
              <w:rPr>
                <w:rFonts w:eastAsia="Times New Roman" w:cs="Times New Roman"/>
                <w:b/>
                <w:noProof/>
                <w:sz w:val="20"/>
                <w:szCs w:val="20"/>
                <w:lang w:eastAsia="lv-LV"/>
              </w:rPr>
              <w:t>Bezdarba līmenis (gada vidējais),</w:t>
            </w:r>
            <w:r w:rsidRPr="00500AAB">
              <w:rPr>
                <w:rFonts w:eastAsia="Times New Roman" w:cs="Times New Roman"/>
                <w:b/>
                <w:noProof/>
                <w:sz w:val="20"/>
                <w:szCs w:val="20"/>
                <w:lang w:eastAsia="lv-LV"/>
              </w:rPr>
              <w:br/>
              <w:t>% no ekon. aktīviem iedzīv.</w:t>
            </w:r>
          </w:p>
        </w:tc>
        <w:tc>
          <w:tcPr>
            <w:tcW w:w="884" w:type="dxa"/>
            <w:tcBorders>
              <w:top w:val="single" w:sz="4" w:space="0" w:color="auto"/>
              <w:left w:val="nil"/>
              <w:bottom w:val="single" w:sz="4" w:space="0" w:color="auto"/>
              <w:right w:val="single" w:sz="4" w:space="0" w:color="auto"/>
            </w:tcBorders>
            <w:shd w:val="clear" w:color="auto" w:fill="auto"/>
            <w:noWrap/>
            <w:tcMar>
              <w:right w:w="170" w:type="dxa"/>
            </w:tcMar>
            <w:vAlign w:val="center"/>
          </w:tcPr>
          <w:p w14:paraId="6CCA3DAC"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8,1</w:t>
            </w:r>
          </w:p>
        </w:tc>
        <w:tc>
          <w:tcPr>
            <w:tcW w:w="905" w:type="dxa"/>
            <w:tcBorders>
              <w:top w:val="single" w:sz="4" w:space="0" w:color="auto"/>
              <w:left w:val="nil"/>
              <w:bottom w:val="single" w:sz="4" w:space="0" w:color="auto"/>
              <w:right w:val="single" w:sz="4" w:space="0" w:color="auto"/>
            </w:tcBorders>
            <w:shd w:val="clear" w:color="auto" w:fill="EAF1DD"/>
            <w:noWrap/>
            <w:tcMar>
              <w:right w:w="170" w:type="dxa"/>
            </w:tcMar>
            <w:vAlign w:val="center"/>
          </w:tcPr>
          <w:p w14:paraId="25ACE56D"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7,9</w:t>
            </w:r>
          </w:p>
        </w:tc>
        <w:tc>
          <w:tcPr>
            <w:tcW w:w="906" w:type="dxa"/>
            <w:tcBorders>
              <w:top w:val="single" w:sz="4" w:space="0" w:color="auto"/>
              <w:left w:val="nil"/>
              <w:bottom w:val="single" w:sz="4" w:space="0" w:color="auto"/>
              <w:right w:val="single" w:sz="4" w:space="0" w:color="auto"/>
            </w:tcBorders>
            <w:shd w:val="clear" w:color="auto" w:fill="EAF1DD"/>
            <w:noWrap/>
            <w:tcMar>
              <w:right w:w="170" w:type="dxa"/>
            </w:tcMar>
            <w:vAlign w:val="center"/>
          </w:tcPr>
          <w:p w14:paraId="74EA4D67"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7,0</w:t>
            </w:r>
          </w:p>
        </w:tc>
        <w:tc>
          <w:tcPr>
            <w:tcW w:w="906" w:type="dxa"/>
            <w:tcBorders>
              <w:top w:val="single" w:sz="4" w:space="0" w:color="auto"/>
              <w:left w:val="nil"/>
              <w:bottom w:val="single" w:sz="4" w:space="0" w:color="auto"/>
              <w:right w:val="single" w:sz="4" w:space="0" w:color="auto"/>
            </w:tcBorders>
            <w:shd w:val="clear" w:color="auto" w:fill="EAF1DD"/>
            <w:noWrap/>
            <w:tcMar>
              <w:right w:w="170" w:type="dxa"/>
            </w:tcMar>
            <w:vAlign w:val="center"/>
          </w:tcPr>
          <w:p w14:paraId="5BA85B35"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6,3</w:t>
            </w:r>
          </w:p>
        </w:tc>
        <w:tc>
          <w:tcPr>
            <w:tcW w:w="906" w:type="dxa"/>
            <w:tcBorders>
              <w:top w:val="single" w:sz="4" w:space="0" w:color="auto"/>
              <w:left w:val="nil"/>
              <w:bottom w:val="single" w:sz="4" w:space="0" w:color="auto"/>
              <w:right w:val="single" w:sz="4" w:space="0" w:color="auto"/>
            </w:tcBorders>
            <w:shd w:val="clear" w:color="auto" w:fill="EAF1DD"/>
            <w:noWrap/>
            <w:tcMar>
              <w:right w:w="170" w:type="dxa"/>
            </w:tcMar>
            <w:vAlign w:val="center"/>
          </w:tcPr>
          <w:p w14:paraId="64BFE495" w14:textId="77777777" w:rsidR="00E07751" w:rsidRPr="002B43A4" w:rsidRDefault="00E07751" w:rsidP="004F5DAB">
            <w:pPr>
              <w:spacing w:before="0" w:after="0"/>
              <w:ind w:firstLine="0"/>
              <w:jc w:val="right"/>
              <w:rPr>
                <w:rFonts w:eastAsia="Calibri" w:cs="Times New Roman"/>
                <w:sz w:val="20"/>
                <w:szCs w:val="20"/>
              </w:rPr>
            </w:pPr>
            <w:r w:rsidRPr="002B43A4">
              <w:rPr>
                <w:rFonts w:eastAsia="Calibri" w:cs="Times New Roman"/>
                <w:sz w:val="20"/>
                <w:szCs w:val="20"/>
              </w:rPr>
              <w:t>5,9</w:t>
            </w:r>
          </w:p>
        </w:tc>
      </w:tr>
    </w:tbl>
    <w:p w14:paraId="12E46A6A" w14:textId="516E54DB" w:rsidR="00E07751" w:rsidRDefault="00E07751" w:rsidP="00E07751">
      <w:pPr>
        <w:spacing w:after="60"/>
        <w:rPr>
          <w:szCs w:val="20"/>
        </w:rPr>
      </w:pPr>
      <w:r>
        <w:rPr>
          <w:szCs w:val="20"/>
        </w:rPr>
        <w:t>2021.</w:t>
      </w:r>
      <w:r w:rsidR="004F5DAB">
        <w:rPr>
          <w:szCs w:val="20"/>
        </w:rPr>
        <w:t> </w:t>
      </w:r>
      <w:r>
        <w:rPr>
          <w:szCs w:val="20"/>
        </w:rPr>
        <w:t>gads ir iesācies ļoti spēcīgi, IKP š</w:t>
      </w:r>
      <w:r w:rsidR="004F5DAB">
        <w:rPr>
          <w:szCs w:val="20"/>
        </w:rPr>
        <w:t>ā gada</w:t>
      </w:r>
      <w:r>
        <w:rPr>
          <w:szCs w:val="20"/>
        </w:rPr>
        <w:t xml:space="preserve"> </w:t>
      </w:r>
      <w:r w:rsidR="004F5DAB">
        <w:rPr>
          <w:szCs w:val="20"/>
        </w:rPr>
        <w:t xml:space="preserve">pirmajā </w:t>
      </w:r>
      <w:r>
        <w:rPr>
          <w:szCs w:val="20"/>
        </w:rPr>
        <w:t>pusgadā pieauga par 4,5%, arī trešā ceturkšņa izaugsme būs spēcīga, jo ir atcelta virkne ierobežojumu. Tomēr atbilstoši epidemiologu novērtējumam, jau oktobrī var izraisīties jauns nozīmīgs saslimstības uzliesmojums. Līdz ar to šis scenārijs paredz, ka š</w:t>
      </w:r>
      <w:r w:rsidR="004F5DAB">
        <w:rPr>
          <w:szCs w:val="20"/>
        </w:rPr>
        <w:t>ā gada</w:t>
      </w:r>
      <w:r>
        <w:rPr>
          <w:szCs w:val="20"/>
        </w:rPr>
        <w:t xml:space="preserve"> 4. ceturksnī tiks ieviesti pasākumi slimības izplatības ierobežošanai, kas turpināsies līdz 2022.</w:t>
      </w:r>
      <w:r w:rsidR="004F5DAB">
        <w:rPr>
          <w:szCs w:val="20"/>
        </w:rPr>
        <w:t> </w:t>
      </w:r>
      <w:r>
        <w:rPr>
          <w:szCs w:val="20"/>
        </w:rPr>
        <w:t>gada pirmajam ceturksnim, savukārt turpmākajos gados vairs nebūtu nepieciešamības tādus ieviest. Rezultātā 2021.</w:t>
      </w:r>
      <w:r w:rsidR="004F5DAB">
        <w:rPr>
          <w:szCs w:val="20"/>
        </w:rPr>
        <w:t> </w:t>
      </w:r>
      <w:r>
        <w:rPr>
          <w:szCs w:val="20"/>
        </w:rPr>
        <w:t xml:space="preserve">gadā kopumā iekšzemes kopprodukta izaugsme </w:t>
      </w:r>
      <w:r w:rsidRPr="000D12BE">
        <w:rPr>
          <w:szCs w:val="20"/>
        </w:rPr>
        <w:t>samazināt</w:t>
      </w:r>
      <w:r>
        <w:rPr>
          <w:szCs w:val="20"/>
        </w:rPr>
        <w:t>os līdz 3%</w:t>
      </w:r>
      <w:r w:rsidRPr="000D12BE">
        <w:rPr>
          <w:szCs w:val="20"/>
        </w:rPr>
        <w:t>, ka</w:t>
      </w:r>
      <w:r>
        <w:rPr>
          <w:szCs w:val="20"/>
        </w:rPr>
        <w:t>s ir par 0,7</w:t>
      </w:r>
      <w:r w:rsidR="004F5DAB">
        <w:rPr>
          <w:szCs w:val="20"/>
        </w:rPr>
        <w:t> </w:t>
      </w:r>
      <w:r>
        <w:rPr>
          <w:szCs w:val="20"/>
        </w:rPr>
        <w:t xml:space="preserve">procentpunktiem mazāks pieaugums </w:t>
      </w:r>
      <w:r w:rsidRPr="000D12BE">
        <w:rPr>
          <w:szCs w:val="20"/>
        </w:rPr>
        <w:t xml:space="preserve">nekā </w:t>
      </w:r>
      <w:r>
        <w:rPr>
          <w:szCs w:val="20"/>
        </w:rPr>
        <w:t>bāzes</w:t>
      </w:r>
      <w:r w:rsidRPr="000D12BE">
        <w:rPr>
          <w:szCs w:val="20"/>
        </w:rPr>
        <w:t xml:space="preserve"> scenārijā.</w:t>
      </w:r>
      <w:r>
        <w:rPr>
          <w:szCs w:val="20"/>
        </w:rPr>
        <w:t xml:space="preserve"> Savukārt tas dotu zemāku bāzi 2022.</w:t>
      </w:r>
      <w:r w:rsidR="004F5DAB">
        <w:rPr>
          <w:szCs w:val="20"/>
        </w:rPr>
        <w:t> </w:t>
      </w:r>
      <w:r>
        <w:rPr>
          <w:szCs w:val="20"/>
        </w:rPr>
        <w:t>gadam, un IKP pieaugums sasniegtu tikai 2,5% jeb būtu par 2,5</w:t>
      </w:r>
      <w:r w:rsidR="004F5DAB">
        <w:rPr>
          <w:szCs w:val="20"/>
        </w:rPr>
        <w:t> </w:t>
      </w:r>
      <w:r>
        <w:rPr>
          <w:szCs w:val="20"/>
        </w:rPr>
        <w:t>procentpunktiem mazāks nekā bāzes scenārijā. 2023.-2024. gadā izaugsme saglabātos bāzes scenārija līmenī jeb 3,4% apmērā.</w:t>
      </w:r>
    </w:p>
    <w:p w14:paraId="5FD31A74" w14:textId="250F4EBF" w:rsidR="00E07751" w:rsidRDefault="00E07751" w:rsidP="00AD19DB">
      <w:pPr>
        <w:spacing w:before="60" w:after="60"/>
        <w:rPr>
          <w:szCs w:val="20"/>
        </w:rPr>
      </w:pPr>
      <w:r>
        <w:rPr>
          <w:szCs w:val="20"/>
        </w:rPr>
        <w:lastRenderedPageBreak/>
        <w:t>Pasliktinoties patērētāju noskaņojumam,</w:t>
      </w:r>
      <w:r w:rsidDel="00EB7807">
        <w:rPr>
          <w:szCs w:val="20"/>
        </w:rPr>
        <w:t xml:space="preserve"> </w:t>
      </w:r>
      <w:r>
        <w:rPr>
          <w:szCs w:val="20"/>
        </w:rPr>
        <w:t>privātais patēriņš</w:t>
      </w:r>
      <w:r w:rsidRPr="00EB7807">
        <w:rPr>
          <w:szCs w:val="20"/>
        </w:rPr>
        <w:t xml:space="preserve"> </w:t>
      </w:r>
      <w:r>
        <w:rPr>
          <w:szCs w:val="20"/>
        </w:rPr>
        <w:t xml:space="preserve">būtiski sabremzētos, noslīdot līdz 2020. gada beigu līmenim, un </w:t>
      </w:r>
      <w:r w:rsidRPr="00D65E70">
        <w:rPr>
          <w:szCs w:val="20"/>
        </w:rPr>
        <w:t>tādējādi nozīmīgi ietekmētu izaugsmi 2021. un 2022.</w:t>
      </w:r>
      <w:r>
        <w:rPr>
          <w:szCs w:val="20"/>
        </w:rPr>
        <w:t> </w:t>
      </w:r>
      <w:r w:rsidRPr="00D65E70">
        <w:rPr>
          <w:szCs w:val="20"/>
        </w:rPr>
        <w:t>gadā.</w:t>
      </w:r>
      <w:r>
        <w:rPr>
          <w:szCs w:val="20"/>
        </w:rPr>
        <w:t xml:space="preserve"> Valdības izdevumi varētu nedaudz pieaugt, palielinoties </w:t>
      </w:r>
      <w:r>
        <w:t>izdevumiem medicīnai, t.sk., rehabilitācijai.</w:t>
      </w:r>
      <w:r>
        <w:rPr>
          <w:szCs w:val="20"/>
        </w:rPr>
        <w:t xml:space="preserve"> Paredzams, ka valdība turpinātu</w:t>
      </w:r>
      <w:r w:rsidRPr="00556F17">
        <w:rPr>
          <w:szCs w:val="20"/>
        </w:rPr>
        <w:t xml:space="preserve"> atbalst</w:t>
      </w:r>
      <w:r>
        <w:rPr>
          <w:szCs w:val="20"/>
        </w:rPr>
        <w:t>īt</w:t>
      </w:r>
      <w:r w:rsidRPr="00556F17">
        <w:rPr>
          <w:szCs w:val="20"/>
        </w:rPr>
        <w:t xml:space="preserve"> nozar</w:t>
      </w:r>
      <w:r>
        <w:rPr>
          <w:szCs w:val="20"/>
        </w:rPr>
        <w:t>es</w:t>
      </w:r>
      <w:r w:rsidRPr="00556F17">
        <w:rPr>
          <w:szCs w:val="20"/>
        </w:rPr>
        <w:t>, kas vēl joprojām izj</w:t>
      </w:r>
      <w:r>
        <w:rPr>
          <w:szCs w:val="20"/>
        </w:rPr>
        <w:t>ustu</w:t>
      </w:r>
      <w:r w:rsidRPr="00556F17">
        <w:rPr>
          <w:szCs w:val="20"/>
        </w:rPr>
        <w:t xml:space="preserve"> ierobežojumus, bet </w:t>
      </w:r>
      <w:r>
        <w:rPr>
          <w:szCs w:val="20"/>
        </w:rPr>
        <w:t xml:space="preserve">atbalsta </w:t>
      </w:r>
      <w:r w:rsidRPr="00556F17">
        <w:rPr>
          <w:szCs w:val="20"/>
        </w:rPr>
        <w:t xml:space="preserve">apmērs </w:t>
      </w:r>
      <w:r>
        <w:rPr>
          <w:szCs w:val="20"/>
        </w:rPr>
        <w:t xml:space="preserve">būtu </w:t>
      </w:r>
      <w:r w:rsidRPr="00556F17">
        <w:rPr>
          <w:szCs w:val="20"/>
        </w:rPr>
        <w:t>mazāks nekā 2021.</w:t>
      </w:r>
      <w:r>
        <w:rPr>
          <w:szCs w:val="20"/>
        </w:rPr>
        <w:t> </w:t>
      </w:r>
      <w:r w:rsidRPr="00556F17">
        <w:rPr>
          <w:szCs w:val="20"/>
        </w:rPr>
        <w:t>g</w:t>
      </w:r>
      <w:r>
        <w:rPr>
          <w:szCs w:val="20"/>
        </w:rPr>
        <w:t>ada</w:t>
      </w:r>
      <w:r w:rsidRPr="00556F17">
        <w:rPr>
          <w:szCs w:val="20"/>
        </w:rPr>
        <w:t xml:space="preserve"> sākumā</w:t>
      </w:r>
      <w:r>
        <w:rPr>
          <w:szCs w:val="20"/>
        </w:rPr>
        <w:t>. Tikmēr investīcijas un eksportu</w:t>
      </w:r>
      <w:r w:rsidRPr="0028608E">
        <w:rPr>
          <w:szCs w:val="20"/>
        </w:rPr>
        <w:t xml:space="preserve"> </w:t>
      </w:r>
      <w:r>
        <w:rPr>
          <w:szCs w:val="20"/>
        </w:rPr>
        <w:t xml:space="preserve">jaunie ierobežojumi neskartu. Investīcijas nodrošinātu projekti, kurus ir paredzēts finansēt ar </w:t>
      </w:r>
      <w:r w:rsidRPr="0028608E">
        <w:rPr>
          <w:szCs w:val="20"/>
        </w:rPr>
        <w:t xml:space="preserve">ES fondu un </w:t>
      </w:r>
      <w:r>
        <w:rPr>
          <w:szCs w:val="20"/>
        </w:rPr>
        <w:t>Atveseļošanās mehānisma atbalstu. Strauja ekonomiskā attīstība atsāktos 2022.</w:t>
      </w:r>
      <w:r w:rsidR="004F5DAB">
        <w:rPr>
          <w:szCs w:val="20"/>
        </w:rPr>
        <w:t> </w:t>
      </w:r>
      <w:r>
        <w:rPr>
          <w:szCs w:val="20"/>
        </w:rPr>
        <w:t xml:space="preserve">gada vasarā, neparedzot Covid-19 </w:t>
      </w:r>
      <w:r w:rsidR="004F5DAB">
        <w:rPr>
          <w:szCs w:val="20"/>
        </w:rPr>
        <w:t xml:space="preserve">ceturto </w:t>
      </w:r>
      <w:r>
        <w:rPr>
          <w:szCs w:val="20"/>
        </w:rPr>
        <w:t xml:space="preserve">vilni. </w:t>
      </w:r>
    </w:p>
    <w:p w14:paraId="40AACBF4" w14:textId="574CB141" w:rsidR="00E07751" w:rsidRDefault="00E07751" w:rsidP="00AD19DB">
      <w:pPr>
        <w:spacing w:before="60" w:after="60"/>
        <w:rPr>
          <w:szCs w:val="20"/>
        </w:rPr>
      </w:pPr>
      <w:r>
        <w:rPr>
          <w:szCs w:val="20"/>
        </w:rPr>
        <w:t>Darba tirgū paredzams nedaudz spēcīgāks nodarbināto skaita samazinājums 2021. gada laikā, ceturtajā ceturksnī daļai nozaru atkal apturot darbību Covid-19 ierobežojumu dēļ. Bezdarba pieaugumu savukārt ierobežotu valsts atbalsts darbu apturējušajiem biznesiem, un tas varētu saglabāties bāzes scenārija līmenī, t.i., 2021. gadā 7,9% un 2002.gadā 7% no ekonomiski aktīvajiem iedzīvotājiem.</w:t>
      </w:r>
    </w:p>
    <w:p w14:paraId="5EE8DA0E" w14:textId="77777777" w:rsidR="0038540C" w:rsidRDefault="00E07751" w:rsidP="00AD19DB">
      <w:pPr>
        <w:spacing w:before="60" w:after="60"/>
      </w:pPr>
      <w:r w:rsidRPr="0048456D">
        <w:t>Šī scenārija ietekme uz inflāciju būs nebūtiska, jo cenu izmaiņas Latvijā pašlaik nosaka galvenokārt ārēji faktori – izejvielu preču cenu dinamika pasaules tirgū.  Pērn cenu samazinājuma pamatā bija tikai enerģijas cenu kritums, kamēr iekšējās cenas bija ar pozitīvu pieaugumu. Līdz ar to, no vienas puses atliktais patēriņš mazinās iekšzemes cenu pieaugumu, tomēr no otras puses, pasaulē ir iezīmējies spēcīgs cenu pieaugums, kas uzturēs arī iekšzemes cenu līmeni. Turklāt nākamā gada enerģijas cenu tarifi mājsaimniecībām būs augstāki, balstoties uz šī brīža cenām.</w:t>
      </w:r>
    </w:p>
    <w:p w14:paraId="3D92E315" w14:textId="3E575275" w:rsidR="0038540C" w:rsidRPr="0038540C" w:rsidRDefault="0038540C" w:rsidP="00AD19DB">
      <w:pPr>
        <w:spacing w:before="60" w:after="60"/>
      </w:pPr>
      <w:r w:rsidRPr="00A04547">
        <w:rPr>
          <w:color w:val="000000" w:themeColor="text1"/>
          <w:szCs w:val="24"/>
        </w:rPr>
        <w:t xml:space="preserve">Ņemot vērā makroekonomiskās attīstības negatīvo scenāriju, Finanšu ministrija ir novērtējusi šī scenārija ietekmi uz vispārējās valdības budžeta bilanci, novērtējot izmaiņas nodokļu un </w:t>
      </w:r>
      <w:r w:rsidRPr="00A04547">
        <w:rPr>
          <w:noProof/>
          <w:color w:val="000000" w:themeColor="text1"/>
          <w:szCs w:val="24"/>
        </w:rPr>
        <w:t xml:space="preserve">nenodokļu ieņēmumos, kā arī valsts parāda apkalpošanas </w:t>
      </w:r>
      <w:r>
        <w:rPr>
          <w:noProof/>
          <w:color w:val="000000" w:themeColor="text1"/>
          <w:szCs w:val="24"/>
        </w:rPr>
        <w:t>(</w:t>
      </w:r>
      <w:r w:rsidRPr="00A04547">
        <w:rPr>
          <w:noProof/>
          <w:color w:val="000000" w:themeColor="text1"/>
          <w:szCs w:val="24"/>
        </w:rPr>
        <w:t>procentu</w:t>
      </w:r>
      <w:r>
        <w:rPr>
          <w:noProof/>
          <w:color w:val="000000" w:themeColor="text1"/>
          <w:szCs w:val="24"/>
        </w:rPr>
        <w:t>)</w:t>
      </w:r>
      <w:r w:rsidRPr="00A04547">
        <w:rPr>
          <w:noProof/>
          <w:color w:val="000000" w:themeColor="text1"/>
          <w:szCs w:val="24"/>
        </w:rPr>
        <w:t xml:space="preserve"> izdevumos salīdzinājumā ar bāzes scenāriju</w:t>
      </w:r>
      <w:r>
        <w:rPr>
          <w:noProof/>
          <w:color w:val="000000" w:themeColor="text1"/>
          <w:szCs w:val="24"/>
        </w:rPr>
        <w:t xml:space="preserve"> (skat. 5. tabulu)</w:t>
      </w:r>
      <w:r w:rsidRPr="00A04547">
        <w:rPr>
          <w:noProof/>
          <w:color w:val="000000" w:themeColor="text1"/>
          <w:szCs w:val="24"/>
        </w:rPr>
        <w:t xml:space="preserve">. </w:t>
      </w:r>
    </w:p>
    <w:p w14:paraId="433C38A7" w14:textId="3C625FA8" w:rsidR="00A3684A" w:rsidRPr="00E07751" w:rsidRDefault="00E73727" w:rsidP="0038540C">
      <w:pPr>
        <w:spacing w:after="60"/>
        <w:jc w:val="center"/>
        <w:rPr>
          <w:rFonts w:eastAsia="Calibri" w:cs="Times New Roman"/>
          <w:b/>
          <w:sz w:val="24"/>
          <w:szCs w:val="24"/>
        </w:rPr>
      </w:pPr>
      <w:r>
        <w:rPr>
          <w:rFonts w:eastAsia="Calibri" w:cs="Times New Roman"/>
          <w:b/>
          <w:sz w:val="24"/>
          <w:szCs w:val="24"/>
        </w:rPr>
        <w:t>6</w:t>
      </w:r>
      <w:r w:rsidR="00A3684A" w:rsidRPr="00E07751">
        <w:rPr>
          <w:rFonts w:eastAsia="Calibri" w:cs="Times New Roman"/>
          <w:b/>
          <w:sz w:val="24"/>
          <w:szCs w:val="24"/>
        </w:rPr>
        <w:t xml:space="preserve">.tabula. </w:t>
      </w:r>
      <w:r w:rsidR="004414C2" w:rsidRPr="00E07751">
        <w:rPr>
          <w:rFonts w:eastAsia="Calibri" w:cs="Times New Roman"/>
          <w:b/>
          <w:sz w:val="24"/>
          <w:szCs w:val="24"/>
        </w:rPr>
        <w:t>Visp</w:t>
      </w:r>
      <w:r w:rsidR="00A47392" w:rsidRPr="00E07751">
        <w:rPr>
          <w:rFonts w:eastAsia="Calibri" w:cs="Times New Roman"/>
          <w:b/>
          <w:sz w:val="24"/>
          <w:szCs w:val="24"/>
        </w:rPr>
        <w:t>ārējās valdības budžeta bilance</w:t>
      </w:r>
      <w:r w:rsidR="00702E77">
        <w:rPr>
          <w:rFonts w:eastAsia="Calibri" w:cs="Times New Roman"/>
          <w:b/>
          <w:sz w:val="24"/>
          <w:szCs w:val="24"/>
        </w:rPr>
        <w:t xml:space="preserve"> un parāds</w:t>
      </w:r>
      <w:r w:rsidR="008523F4" w:rsidRPr="00E07751">
        <w:rPr>
          <w:rFonts w:eastAsia="Calibri" w:cs="Times New Roman"/>
          <w:b/>
          <w:sz w:val="24"/>
          <w:szCs w:val="24"/>
        </w:rPr>
        <w:t xml:space="preserve">, </w:t>
      </w:r>
      <w:r w:rsidR="00A47392" w:rsidRPr="00E07751">
        <w:rPr>
          <w:rFonts w:eastAsia="Calibri" w:cs="Times New Roman"/>
          <w:b/>
          <w:sz w:val="24"/>
          <w:szCs w:val="24"/>
        </w:rPr>
        <w:t xml:space="preserve">% no IKP un </w:t>
      </w:r>
      <w:r w:rsidR="008523F4" w:rsidRPr="00E07751">
        <w:rPr>
          <w:rFonts w:eastAsia="Calibri" w:cs="Times New Roman"/>
          <w:b/>
          <w:noProof/>
          <w:sz w:val="24"/>
          <w:szCs w:val="24"/>
        </w:rPr>
        <w:t xml:space="preserve">milj. </w:t>
      </w:r>
      <w:r w:rsidR="008523F4" w:rsidRPr="00E07751">
        <w:rPr>
          <w:rFonts w:eastAsia="Calibri" w:cs="Times New Roman"/>
          <w:b/>
          <w:i/>
          <w:noProof/>
          <w:sz w:val="24"/>
          <w:szCs w:val="24"/>
        </w:rPr>
        <w:t>eu</w:t>
      </w:r>
      <w:r w:rsidR="004414C2" w:rsidRPr="00E07751">
        <w:rPr>
          <w:rFonts w:eastAsia="Calibri" w:cs="Times New Roman"/>
          <w:b/>
          <w:i/>
          <w:noProof/>
          <w:sz w:val="24"/>
          <w:szCs w:val="24"/>
        </w:rPr>
        <w:t>ro</w:t>
      </w:r>
      <w:r w:rsidR="004414C2" w:rsidRPr="00E07751">
        <w:rPr>
          <w:rFonts w:eastAsia="Calibri" w:cs="Times New Roman"/>
          <w:b/>
          <w:sz w:val="24"/>
          <w:szCs w:val="24"/>
        </w:rPr>
        <w:t xml:space="preserve"> </w:t>
      </w:r>
      <w:r w:rsidR="00BF4369" w:rsidRPr="00E07751">
        <w:rPr>
          <w:rFonts w:eastAsia="Calibri" w:cs="Times New Roman"/>
          <w:b/>
          <w:sz w:val="24"/>
          <w:szCs w:val="24"/>
        </w:rPr>
        <w:br/>
      </w:r>
      <w:r w:rsidR="0038540C">
        <w:rPr>
          <w:rFonts w:eastAsia="Calibri" w:cs="Times New Roman"/>
          <w:b/>
          <w:sz w:val="24"/>
          <w:szCs w:val="24"/>
        </w:rPr>
        <w:t>(“Covid-19 trešā viļņa”</w:t>
      </w:r>
      <w:r w:rsidR="0038540C" w:rsidRPr="00500AAB">
        <w:rPr>
          <w:rFonts w:eastAsia="Calibri" w:cs="Times New Roman"/>
          <w:b/>
          <w:sz w:val="24"/>
          <w:szCs w:val="24"/>
        </w:rPr>
        <w:t xml:space="preserve"> scenārijs</w:t>
      </w:r>
      <w:r w:rsidR="0038540C">
        <w:rPr>
          <w:rFonts w:eastAsia="Calibri" w:cs="Times New Roman"/>
          <w:b/>
          <w:sz w:val="24"/>
          <w:szCs w:val="24"/>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993"/>
        <w:gridCol w:w="992"/>
        <w:gridCol w:w="975"/>
        <w:gridCol w:w="1019"/>
      </w:tblGrid>
      <w:tr w:rsidR="00A3684A" w:rsidRPr="00AC55E4" w14:paraId="27AA354E" w14:textId="77777777" w:rsidTr="0038540C">
        <w:trPr>
          <w:trHeight w:val="213"/>
        </w:trPr>
        <w:tc>
          <w:tcPr>
            <w:tcW w:w="5093" w:type="dxa"/>
            <w:shd w:val="clear" w:color="auto" w:fill="auto"/>
            <w:vAlign w:val="center"/>
            <w:hideMark/>
          </w:tcPr>
          <w:p w14:paraId="68A3790D" w14:textId="77777777" w:rsidR="00A3684A" w:rsidRPr="00AF2E30" w:rsidRDefault="00A3684A" w:rsidP="006F7F16">
            <w:pPr>
              <w:spacing w:before="0" w:after="0"/>
              <w:ind w:firstLine="0"/>
              <w:jc w:val="left"/>
              <w:rPr>
                <w:rFonts w:ascii="Calibri" w:eastAsia="Times New Roman" w:hAnsi="Calibri" w:cs="Calibri"/>
                <w:color w:val="000000"/>
                <w:sz w:val="22"/>
                <w:lang w:eastAsia="lv-LV"/>
              </w:rPr>
            </w:pPr>
            <w:r w:rsidRPr="00AF2E30">
              <w:rPr>
                <w:rFonts w:ascii="Calibri" w:eastAsia="Times New Roman" w:hAnsi="Calibri" w:cs="Calibri"/>
                <w:color w:val="000000"/>
                <w:sz w:val="22"/>
                <w:lang w:eastAsia="lv-LV"/>
              </w:rPr>
              <w:t> </w:t>
            </w:r>
          </w:p>
        </w:tc>
        <w:tc>
          <w:tcPr>
            <w:tcW w:w="993" w:type="dxa"/>
            <w:shd w:val="clear" w:color="auto" w:fill="auto"/>
            <w:vAlign w:val="center"/>
            <w:hideMark/>
          </w:tcPr>
          <w:p w14:paraId="6267C741" w14:textId="39C7AE00" w:rsidR="00A3684A" w:rsidRPr="00AF2E30" w:rsidRDefault="00A3684A" w:rsidP="00AF2E30">
            <w:pPr>
              <w:spacing w:before="0" w:after="0"/>
              <w:ind w:firstLine="0"/>
              <w:jc w:val="center"/>
              <w:rPr>
                <w:rFonts w:eastAsia="Times New Roman" w:cs="Times New Roman"/>
                <w:b/>
                <w:bCs/>
                <w:color w:val="000000"/>
                <w:sz w:val="20"/>
                <w:szCs w:val="20"/>
                <w:lang w:eastAsia="lv-LV"/>
              </w:rPr>
            </w:pPr>
            <w:r w:rsidRPr="00AF2E30">
              <w:rPr>
                <w:rFonts w:eastAsia="Times New Roman" w:cs="Times New Roman"/>
                <w:b/>
                <w:bCs/>
                <w:color w:val="000000"/>
                <w:sz w:val="20"/>
                <w:szCs w:val="20"/>
                <w:lang w:eastAsia="lv-LV"/>
              </w:rPr>
              <w:t>202</w:t>
            </w:r>
            <w:r w:rsidR="00AF2E30" w:rsidRPr="00AF2E30">
              <w:rPr>
                <w:rFonts w:eastAsia="Times New Roman" w:cs="Times New Roman"/>
                <w:b/>
                <w:bCs/>
                <w:color w:val="000000"/>
                <w:sz w:val="20"/>
                <w:szCs w:val="20"/>
                <w:lang w:eastAsia="lv-LV"/>
              </w:rPr>
              <w:t>1</w:t>
            </w:r>
          </w:p>
        </w:tc>
        <w:tc>
          <w:tcPr>
            <w:tcW w:w="992" w:type="dxa"/>
            <w:shd w:val="clear" w:color="auto" w:fill="auto"/>
            <w:vAlign w:val="center"/>
            <w:hideMark/>
          </w:tcPr>
          <w:p w14:paraId="4253F928" w14:textId="2D40E007" w:rsidR="00A3684A" w:rsidRPr="00AF2E30" w:rsidRDefault="00A3684A" w:rsidP="00AF2E30">
            <w:pPr>
              <w:spacing w:before="0" w:after="0"/>
              <w:ind w:firstLine="0"/>
              <w:jc w:val="center"/>
              <w:rPr>
                <w:rFonts w:eastAsia="Times New Roman" w:cs="Times New Roman"/>
                <w:b/>
                <w:bCs/>
                <w:color w:val="000000"/>
                <w:sz w:val="20"/>
                <w:szCs w:val="20"/>
                <w:lang w:eastAsia="lv-LV"/>
              </w:rPr>
            </w:pPr>
            <w:r w:rsidRPr="00AF2E30">
              <w:rPr>
                <w:rFonts w:eastAsia="Times New Roman" w:cs="Times New Roman"/>
                <w:b/>
                <w:bCs/>
                <w:color w:val="000000"/>
                <w:sz w:val="20"/>
                <w:szCs w:val="20"/>
                <w:lang w:eastAsia="lv-LV"/>
              </w:rPr>
              <w:t>202</w:t>
            </w:r>
            <w:r w:rsidR="00AF2E30" w:rsidRPr="00AF2E30">
              <w:rPr>
                <w:rFonts w:eastAsia="Times New Roman" w:cs="Times New Roman"/>
                <w:b/>
                <w:bCs/>
                <w:color w:val="000000"/>
                <w:sz w:val="20"/>
                <w:szCs w:val="20"/>
                <w:lang w:eastAsia="lv-LV"/>
              </w:rPr>
              <w:t>2</w:t>
            </w:r>
          </w:p>
        </w:tc>
        <w:tc>
          <w:tcPr>
            <w:tcW w:w="975" w:type="dxa"/>
            <w:shd w:val="clear" w:color="auto" w:fill="auto"/>
            <w:vAlign w:val="center"/>
            <w:hideMark/>
          </w:tcPr>
          <w:p w14:paraId="2A8A46A1" w14:textId="5D48DB62" w:rsidR="00A3684A" w:rsidRPr="00AF2E30" w:rsidRDefault="00A3684A" w:rsidP="00AF2E30">
            <w:pPr>
              <w:spacing w:before="0" w:after="0"/>
              <w:ind w:firstLine="0"/>
              <w:jc w:val="center"/>
              <w:rPr>
                <w:rFonts w:eastAsia="Times New Roman" w:cs="Times New Roman"/>
                <w:b/>
                <w:bCs/>
                <w:color w:val="000000"/>
                <w:sz w:val="20"/>
                <w:szCs w:val="20"/>
                <w:lang w:eastAsia="lv-LV"/>
              </w:rPr>
            </w:pPr>
            <w:r w:rsidRPr="00AF2E30">
              <w:rPr>
                <w:rFonts w:eastAsia="Times New Roman" w:cs="Times New Roman"/>
                <w:b/>
                <w:bCs/>
                <w:color w:val="000000"/>
                <w:sz w:val="20"/>
                <w:szCs w:val="20"/>
                <w:lang w:eastAsia="lv-LV"/>
              </w:rPr>
              <w:t>202</w:t>
            </w:r>
            <w:r w:rsidR="00AF2E30" w:rsidRPr="00AF2E30">
              <w:rPr>
                <w:rFonts w:eastAsia="Times New Roman" w:cs="Times New Roman"/>
                <w:b/>
                <w:bCs/>
                <w:color w:val="000000"/>
                <w:sz w:val="20"/>
                <w:szCs w:val="20"/>
                <w:lang w:eastAsia="lv-LV"/>
              </w:rPr>
              <w:t>3</w:t>
            </w:r>
          </w:p>
        </w:tc>
        <w:tc>
          <w:tcPr>
            <w:tcW w:w="1019" w:type="dxa"/>
            <w:shd w:val="clear" w:color="auto" w:fill="auto"/>
            <w:vAlign w:val="center"/>
            <w:hideMark/>
          </w:tcPr>
          <w:p w14:paraId="15C452D3" w14:textId="5C222C50" w:rsidR="00A3684A" w:rsidRPr="00AF2E30" w:rsidRDefault="00A3684A" w:rsidP="00AF2E30">
            <w:pPr>
              <w:spacing w:before="0" w:after="0"/>
              <w:ind w:firstLine="0"/>
              <w:jc w:val="center"/>
              <w:rPr>
                <w:rFonts w:eastAsia="Times New Roman" w:cs="Times New Roman"/>
                <w:b/>
                <w:bCs/>
                <w:color w:val="000000"/>
                <w:sz w:val="20"/>
                <w:szCs w:val="20"/>
                <w:lang w:eastAsia="lv-LV"/>
              </w:rPr>
            </w:pPr>
            <w:r w:rsidRPr="00AF2E30">
              <w:rPr>
                <w:rFonts w:eastAsia="Times New Roman" w:cs="Times New Roman"/>
                <w:b/>
                <w:bCs/>
                <w:color w:val="000000"/>
                <w:sz w:val="20"/>
                <w:szCs w:val="20"/>
                <w:lang w:eastAsia="lv-LV"/>
              </w:rPr>
              <w:t>202</w:t>
            </w:r>
            <w:r w:rsidR="00AF2E30" w:rsidRPr="00AF2E30">
              <w:rPr>
                <w:rFonts w:eastAsia="Times New Roman" w:cs="Times New Roman"/>
                <w:b/>
                <w:bCs/>
                <w:color w:val="000000"/>
                <w:sz w:val="20"/>
                <w:szCs w:val="20"/>
                <w:lang w:eastAsia="lv-LV"/>
              </w:rPr>
              <w:t>4</w:t>
            </w:r>
          </w:p>
        </w:tc>
      </w:tr>
      <w:tr w:rsidR="00AF2E30" w:rsidRPr="00AC55E4" w14:paraId="0FFA0A95" w14:textId="77777777" w:rsidTr="0038540C">
        <w:trPr>
          <w:trHeight w:val="213"/>
        </w:trPr>
        <w:tc>
          <w:tcPr>
            <w:tcW w:w="5093" w:type="dxa"/>
            <w:shd w:val="clear" w:color="auto" w:fill="BDD6EE" w:themeFill="accent1" w:themeFillTint="66"/>
            <w:vAlign w:val="center"/>
          </w:tcPr>
          <w:p w14:paraId="2211F493" w14:textId="27F3718B" w:rsidR="00AF2E30" w:rsidRPr="00AF2E30" w:rsidRDefault="00AF2E30" w:rsidP="00AF2E30">
            <w:pPr>
              <w:spacing w:before="0" w:after="0"/>
              <w:ind w:firstLine="0"/>
              <w:jc w:val="left"/>
              <w:rPr>
                <w:rFonts w:ascii="Calibri" w:eastAsia="Times New Roman" w:hAnsi="Calibri" w:cs="Calibri"/>
                <w:color w:val="000000"/>
                <w:sz w:val="22"/>
                <w:lang w:eastAsia="lv-LV"/>
              </w:rPr>
            </w:pPr>
            <w:r w:rsidRPr="00AF2E30">
              <w:rPr>
                <w:rFonts w:eastAsia="Times New Roman" w:cs="Times New Roman"/>
                <w:b/>
                <w:bCs/>
                <w:color w:val="000000"/>
                <w:sz w:val="20"/>
                <w:szCs w:val="20"/>
                <w:lang w:eastAsia="lv-LV"/>
              </w:rPr>
              <w:t>Vispārējās valdības budžeta bilance, % no IKP</w:t>
            </w:r>
          </w:p>
        </w:tc>
        <w:tc>
          <w:tcPr>
            <w:tcW w:w="993" w:type="dxa"/>
            <w:shd w:val="clear" w:color="auto" w:fill="BDD6EE" w:themeFill="accent1" w:themeFillTint="66"/>
            <w:vAlign w:val="center"/>
          </w:tcPr>
          <w:p w14:paraId="25E062C7" w14:textId="7932F9E3" w:rsidR="00AF2E30" w:rsidRPr="00AF2E30" w:rsidRDefault="00AF2E30" w:rsidP="00AF2E30">
            <w:pPr>
              <w:spacing w:before="0" w:after="0"/>
              <w:ind w:firstLine="0"/>
              <w:jc w:val="center"/>
              <w:rPr>
                <w:rFonts w:eastAsia="Times New Roman" w:cs="Times New Roman"/>
                <w:b/>
                <w:bCs/>
                <w:color w:val="000000"/>
                <w:sz w:val="20"/>
                <w:szCs w:val="20"/>
                <w:lang w:eastAsia="lv-LV"/>
              </w:rPr>
            </w:pPr>
            <w:r w:rsidRPr="00AF2E30">
              <w:rPr>
                <w:b/>
                <w:bCs/>
                <w:color w:val="000000"/>
                <w:sz w:val="20"/>
                <w:szCs w:val="20"/>
              </w:rPr>
              <w:t>-9,5</w:t>
            </w:r>
          </w:p>
        </w:tc>
        <w:tc>
          <w:tcPr>
            <w:tcW w:w="992" w:type="dxa"/>
            <w:shd w:val="clear" w:color="auto" w:fill="BDD6EE" w:themeFill="accent1" w:themeFillTint="66"/>
            <w:vAlign w:val="center"/>
          </w:tcPr>
          <w:p w14:paraId="2C3A28B0" w14:textId="00586FB4" w:rsidR="00AF2E30" w:rsidRPr="00AF2E30" w:rsidRDefault="00AF2E30" w:rsidP="00AF2E30">
            <w:pPr>
              <w:spacing w:before="0" w:after="0"/>
              <w:ind w:firstLine="0"/>
              <w:jc w:val="center"/>
              <w:rPr>
                <w:rFonts w:eastAsia="Times New Roman" w:cs="Times New Roman"/>
                <w:b/>
                <w:bCs/>
                <w:color w:val="000000"/>
                <w:sz w:val="20"/>
                <w:szCs w:val="20"/>
                <w:lang w:eastAsia="lv-LV"/>
              </w:rPr>
            </w:pPr>
            <w:r w:rsidRPr="00AF2E30">
              <w:rPr>
                <w:b/>
                <w:bCs/>
                <w:color w:val="000000"/>
                <w:sz w:val="20"/>
                <w:szCs w:val="20"/>
              </w:rPr>
              <w:t>-4,0</w:t>
            </w:r>
          </w:p>
        </w:tc>
        <w:tc>
          <w:tcPr>
            <w:tcW w:w="975" w:type="dxa"/>
            <w:shd w:val="clear" w:color="auto" w:fill="BDD6EE" w:themeFill="accent1" w:themeFillTint="66"/>
            <w:vAlign w:val="center"/>
          </w:tcPr>
          <w:p w14:paraId="4E37AAD9" w14:textId="45E34F6D" w:rsidR="00AF2E30" w:rsidRPr="00AF2E30" w:rsidRDefault="00AF2E30" w:rsidP="00AF2E30">
            <w:pPr>
              <w:spacing w:before="0" w:after="0"/>
              <w:ind w:firstLine="0"/>
              <w:jc w:val="center"/>
              <w:rPr>
                <w:rFonts w:eastAsia="Times New Roman" w:cs="Times New Roman"/>
                <w:b/>
                <w:bCs/>
                <w:color w:val="000000"/>
                <w:sz w:val="20"/>
                <w:szCs w:val="20"/>
                <w:lang w:eastAsia="lv-LV"/>
              </w:rPr>
            </w:pPr>
            <w:r w:rsidRPr="00AF2E30">
              <w:rPr>
                <w:b/>
                <w:bCs/>
                <w:color w:val="000000"/>
                <w:sz w:val="20"/>
                <w:szCs w:val="20"/>
              </w:rPr>
              <w:t>-2,2</w:t>
            </w:r>
          </w:p>
        </w:tc>
        <w:tc>
          <w:tcPr>
            <w:tcW w:w="1019" w:type="dxa"/>
            <w:shd w:val="clear" w:color="auto" w:fill="BDD6EE" w:themeFill="accent1" w:themeFillTint="66"/>
            <w:vAlign w:val="center"/>
          </w:tcPr>
          <w:p w14:paraId="48A2288A" w14:textId="0653DC09" w:rsidR="00AF2E30" w:rsidRPr="00AF2E30" w:rsidRDefault="00AF2E30" w:rsidP="00AF2E30">
            <w:pPr>
              <w:spacing w:before="0" w:after="0"/>
              <w:ind w:firstLine="0"/>
              <w:jc w:val="center"/>
              <w:rPr>
                <w:rFonts w:eastAsia="Times New Roman" w:cs="Times New Roman"/>
                <w:b/>
                <w:bCs/>
                <w:color w:val="000000"/>
                <w:sz w:val="20"/>
                <w:szCs w:val="20"/>
                <w:lang w:eastAsia="lv-LV"/>
              </w:rPr>
            </w:pPr>
            <w:r w:rsidRPr="00AF2E30">
              <w:rPr>
                <w:b/>
                <w:bCs/>
                <w:color w:val="000000"/>
                <w:sz w:val="20"/>
                <w:szCs w:val="20"/>
              </w:rPr>
              <w:t>-1,3</w:t>
            </w:r>
          </w:p>
        </w:tc>
      </w:tr>
      <w:tr w:rsidR="00AF2E30" w:rsidRPr="00AC55E4" w14:paraId="776126AF" w14:textId="77777777" w:rsidTr="0038540C">
        <w:trPr>
          <w:trHeight w:val="213"/>
        </w:trPr>
        <w:tc>
          <w:tcPr>
            <w:tcW w:w="5093" w:type="dxa"/>
            <w:shd w:val="clear" w:color="auto" w:fill="BDD6EE" w:themeFill="accent1" w:themeFillTint="66"/>
            <w:vAlign w:val="center"/>
          </w:tcPr>
          <w:p w14:paraId="08CD191D" w14:textId="66ADE985" w:rsidR="00AF2E30" w:rsidRPr="00AF2E30" w:rsidRDefault="00AF2E30" w:rsidP="00AF2E30">
            <w:pPr>
              <w:spacing w:before="0" w:after="0"/>
              <w:ind w:firstLine="0"/>
              <w:jc w:val="left"/>
              <w:rPr>
                <w:rFonts w:ascii="Calibri" w:eastAsia="Times New Roman" w:hAnsi="Calibri" w:cs="Calibri"/>
                <w:noProof/>
                <w:color w:val="000000"/>
                <w:sz w:val="22"/>
                <w:lang w:eastAsia="lv-LV"/>
              </w:rPr>
            </w:pPr>
            <w:r w:rsidRPr="00AF2E30">
              <w:rPr>
                <w:rFonts w:eastAsia="Times New Roman" w:cs="Times New Roman"/>
                <w:noProof/>
                <w:color w:val="000000"/>
                <w:sz w:val="20"/>
                <w:szCs w:val="20"/>
                <w:lang w:eastAsia="lv-LV"/>
              </w:rPr>
              <w:t xml:space="preserve">Vispārējās valdības budžeta bilance, milj. </w:t>
            </w:r>
            <w:r w:rsidRPr="00AF2E30">
              <w:rPr>
                <w:rFonts w:eastAsia="Times New Roman" w:cs="Times New Roman"/>
                <w:i/>
                <w:noProof/>
                <w:color w:val="000000"/>
                <w:sz w:val="20"/>
                <w:szCs w:val="20"/>
                <w:lang w:eastAsia="lv-LV"/>
              </w:rPr>
              <w:t>euro</w:t>
            </w:r>
          </w:p>
        </w:tc>
        <w:tc>
          <w:tcPr>
            <w:tcW w:w="993" w:type="dxa"/>
            <w:shd w:val="clear" w:color="auto" w:fill="BDD6EE" w:themeFill="accent1" w:themeFillTint="66"/>
            <w:vAlign w:val="center"/>
          </w:tcPr>
          <w:p w14:paraId="3F4921FC" w14:textId="1231E5A7" w:rsidR="00AF2E30" w:rsidRPr="00AF2E30" w:rsidRDefault="00AF2E30" w:rsidP="00AF2E30">
            <w:pPr>
              <w:spacing w:before="0" w:after="0"/>
              <w:ind w:firstLine="0"/>
              <w:jc w:val="center"/>
              <w:rPr>
                <w:rFonts w:eastAsia="Times New Roman" w:cs="Times New Roman"/>
                <w:b/>
                <w:bCs/>
                <w:color w:val="000000"/>
                <w:sz w:val="20"/>
                <w:szCs w:val="20"/>
                <w:lang w:eastAsia="lv-LV"/>
              </w:rPr>
            </w:pPr>
            <w:r w:rsidRPr="00AF2E30">
              <w:rPr>
                <w:color w:val="000000"/>
                <w:sz w:val="20"/>
                <w:szCs w:val="20"/>
              </w:rPr>
              <w:t>-2 966,1</w:t>
            </w:r>
          </w:p>
        </w:tc>
        <w:tc>
          <w:tcPr>
            <w:tcW w:w="992" w:type="dxa"/>
            <w:shd w:val="clear" w:color="auto" w:fill="BDD6EE" w:themeFill="accent1" w:themeFillTint="66"/>
            <w:vAlign w:val="center"/>
          </w:tcPr>
          <w:p w14:paraId="73A9A014" w14:textId="0E6F5BC9" w:rsidR="00AF2E30" w:rsidRPr="00AF2E30" w:rsidRDefault="00AF2E30" w:rsidP="00AF2E30">
            <w:pPr>
              <w:spacing w:before="0" w:after="0"/>
              <w:ind w:firstLine="0"/>
              <w:jc w:val="center"/>
              <w:rPr>
                <w:rFonts w:eastAsia="Times New Roman" w:cs="Times New Roman"/>
                <w:b/>
                <w:bCs/>
                <w:color w:val="000000"/>
                <w:sz w:val="20"/>
                <w:szCs w:val="20"/>
                <w:lang w:eastAsia="lv-LV"/>
              </w:rPr>
            </w:pPr>
            <w:r w:rsidRPr="00AF2E30">
              <w:rPr>
                <w:color w:val="000000"/>
                <w:sz w:val="20"/>
                <w:szCs w:val="20"/>
              </w:rPr>
              <w:t>-1 306,9</w:t>
            </w:r>
          </w:p>
        </w:tc>
        <w:tc>
          <w:tcPr>
            <w:tcW w:w="975" w:type="dxa"/>
            <w:shd w:val="clear" w:color="auto" w:fill="BDD6EE" w:themeFill="accent1" w:themeFillTint="66"/>
            <w:vAlign w:val="center"/>
          </w:tcPr>
          <w:p w14:paraId="4D6F0FCF" w14:textId="463B0E04" w:rsidR="00AF2E30" w:rsidRPr="00AF2E30" w:rsidRDefault="00AF2E30" w:rsidP="00AF2E30">
            <w:pPr>
              <w:spacing w:before="0" w:after="0"/>
              <w:ind w:firstLine="0"/>
              <w:jc w:val="center"/>
              <w:rPr>
                <w:rFonts w:eastAsia="Times New Roman" w:cs="Times New Roman"/>
                <w:b/>
                <w:bCs/>
                <w:color w:val="000000"/>
                <w:sz w:val="20"/>
                <w:szCs w:val="20"/>
                <w:lang w:eastAsia="lv-LV"/>
              </w:rPr>
            </w:pPr>
            <w:r w:rsidRPr="00AF2E30">
              <w:rPr>
                <w:color w:val="000000"/>
                <w:sz w:val="20"/>
                <w:szCs w:val="20"/>
              </w:rPr>
              <w:t>-776,8</w:t>
            </w:r>
          </w:p>
        </w:tc>
        <w:tc>
          <w:tcPr>
            <w:tcW w:w="1019" w:type="dxa"/>
            <w:shd w:val="clear" w:color="auto" w:fill="BDD6EE" w:themeFill="accent1" w:themeFillTint="66"/>
            <w:vAlign w:val="center"/>
          </w:tcPr>
          <w:p w14:paraId="38BE4B72" w14:textId="1BEF28DF" w:rsidR="00AF2E30" w:rsidRPr="00AF2E30" w:rsidRDefault="00AF2E30" w:rsidP="00AF2E30">
            <w:pPr>
              <w:spacing w:before="0" w:after="0"/>
              <w:ind w:firstLine="0"/>
              <w:jc w:val="center"/>
              <w:rPr>
                <w:rFonts w:eastAsia="Times New Roman" w:cs="Times New Roman"/>
                <w:b/>
                <w:bCs/>
                <w:color w:val="000000"/>
                <w:sz w:val="20"/>
                <w:szCs w:val="20"/>
                <w:lang w:eastAsia="lv-LV"/>
              </w:rPr>
            </w:pPr>
            <w:r w:rsidRPr="00AF2E30">
              <w:rPr>
                <w:color w:val="000000"/>
                <w:sz w:val="20"/>
                <w:szCs w:val="20"/>
              </w:rPr>
              <w:t>-484,2</w:t>
            </w:r>
          </w:p>
        </w:tc>
      </w:tr>
      <w:tr w:rsidR="00AF2E30" w:rsidRPr="00AC55E4" w14:paraId="3D693D8D" w14:textId="77777777" w:rsidTr="0038540C">
        <w:trPr>
          <w:trHeight w:val="355"/>
        </w:trPr>
        <w:tc>
          <w:tcPr>
            <w:tcW w:w="5093" w:type="dxa"/>
            <w:shd w:val="clear" w:color="auto" w:fill="auto"/>
            <w:vAlign w:val="center"/>
            <w:hideMark/>
          </w:tcPr>
          <w:p w14:paraId="77A5A146" w14:textId="703915E6" w:rsidR="00AF2E30" w:rsidRPr="00AF2E30" w:rsidRDefault="00AF2E30" w:rsidP="00AF2E30">
            <w:pPr>
              <w:spacing w:before="0" w:after="0"/>
              <w:ind w:firstLine="0"/>
              <w:rPr>
                <w:rFonts w:eastAsia="Times New Roman" w:cs="Times New Roman"/>
                <w:b/>
                <w:bCs/>
                <w:noProof/>
                <w:color w:val="000000"/>
                <w:sz w:val="20"/>
                <w:szCs w:val="20"/>
                <w:lang w:eastAsia="lv-LV"/>
              </w:rPr>
            </w:pPr>
            <w:r w:rsidRPr="00AF2E30">
              <w:rPr>
                <w:rFonts w:eastAsia="Times New Roman" w:cs="Times New Roman"/>
                <w:b/>
                <w:bCs/>
                <w:noProof/>
                <w:color w:val="000000"/>
                <w:sz w:val="20"/>
                <w:szCs w:val="20"/>
                <w:lang w:eastAsia="lv-LV"/>
              </w:rPr>
              <w:t>Vispārējās valdības budžeta bilances novirze no bāzes scenārija, % no IKP</w:t>
            </w:r>
          </w:p>
        </w:tc>
        <w:tc>
          <w:tcPr>
            <w:tcW w:w="993" w:type="dxa"/>
            <w:shd w:val="clear" w:color="auto" w:fill="auto"/>
            <w:vAlign w:val="center"/>
            <w:hideMark/>
          </w:tcPr>
          <w:p w14:paraId="2828E940" w14:textId="6E86ECD4" w:rsidR="00AF2E30" w:rsidRPr="00AF2E30" w:rsidRDefault="00AF2E30" w:rsidP="00AF2E30">
            <w:pPr>
              <w:spacing w:before="0" w:after="0"/>
              <w:ind w:firstLine="0"/>
              <w:jc w:val="center"/>
              <w:rPr>
                <w:rFonts w:eastAsia="Times New Roman" w:cs="Times New Roman"/>
                <w:b/>
                <w:bCs/>
                <w:color w:val="000000"/>
                <w:sz w:val="20"/>
                <w:szCs w:val="20"/>
                <w:lang w:eastAsia="lv-LV"/>
              </w:rPr>
            </w:pPr>
            <w:r w:rsidRPr="00AF2E30">
              <w:rPr>
                <w:b/>
                <w:bCs/>
                <w:color w:val="000000"/>
                <w:sz w:val="20"/>
                <w:szCs w:val="20"/>
              </w:rPr>
              <w:t>-0,3</w:t>
            </w:r>
          </w:p>
        </w:tc>
        <w:tc>
          <w:tcPr>
            <w:tcW w:w="992" w:type="dxa"/>
            <w:shd w:val="clear" w:color="auto" w:fill="auto"/>
            <w:vAlign w:val="center"/>
            <w:hideMark/>
          </w:tcPr>
          <w:p w14:paraId="4489089A" w14:textId="63EBC0AA" w:rsidR="00AF2E30" w:rsidRPr="00AF2E30" w:rsidRDefault="00AF2E30" w:rsidP="00AF2E30">
            <w:pPr>
              <w:spacing w:before="0" w:after="0"/>
              <w:ind w:firstLine="0"/>
              <w:jc w:val="center"/>
              <w:rPr>
                <w:rFonts w:eastAsia="Times New Roman" w:cs="Times New Roman"/>
                <w:b/>
                <w:bCs/>
                <w:color w:val="000000"/>
                <w:sz w:val="20"/>
                <w:szCs w:val="20"/>
                <w:lang w:eastAsia="lv-LV"/>
              </w:rPr>
            </w:pPr>
            <w:r w:rsidRPr="00AF2E30">
              <w:rPr>
                <w:b/>
                <w:bCs/>
                <w:color w:val="000000"/>
                <w:sz w:val="20"/>
                <w:szCs w:val="20"/>
              </w:rPr>
              <w:t>-1,0</w:t>
            </w:r>
          </w:p>
        </w:tc>
        <w:tc>
          <w:tcPr>
            <w:tcW w:w="975" w:type="dxa"/>
            <w:shd w:val="clear" w:color="auto" w:fill="auto"/>
            <w:vAlign w:val="center"/>
            <w:hideMark/>
          </w:tcPr>
          <w:p w14:paraId="581BD94E" w14:textId="11135D60" w:rsidR="00AF2E30" w:rsidRPr="00AF2E30" w:rsidRDefault="00AF2E30" w:rsidP="00AF2E30">
            <w:pPr>
              <w:spacing w:before="0" w:after="0"/>
              <w:ind w:firstLine="0"/>
              <w:jc w:val="center"/>
              <w:rPr>
                <w:rFonts w:eastAsia="Times New Roman" w:cs="Times New Roman"/>
                <w:b/>
                <w:bCs/>
                <w:color w:val="000000"/>
                <w:sz w:val="20"/>
                <w:szCs w:val="20"/>
                <w:lang w:eastAsia="lv-LV"/>
              </w:rPr>
            </w:pPr>
            <w:r w:rsidRPr="00AF2E30">
              <w:rPr>
                <w:b/>
                <w:bCs/>
                <w:color w:val="000000"/>
                <w:sz w:val="20"/>
                <w:szCs w:val="20"/>
              </w:rPr>
              <w:t>-1,0</w:t>
            </w:r>
          </w:p>
        </w:tc>
        <w:tc>
          <w:tcPr>
            <w:tcW w:w="1019" w:type="dxa"/>
            <w:shd w:val="clear" w:color="auto" w:fill="auto"/>
            <w:vAlign w:val="center"/>
            <w:hideMark/>
          </w:tcPr>
          <w:p w14:paraId="3F6C6B9D" w14:textId="2C18F66C" w:rsidR="00AF2E30" w:rsidRPr="00AF2E30" w:rsidRDefault="00AF2E30" w:rsidP="00AF2E30">
            <w:pPr>
              <w:spacing w:before="0" w:after="0"/>
              <w:ind w:firstLine="0"/>
              <w:jc w:val="center"/>
              <w:rPr>
                <w:rFonts w:eastAsia="Times New Roman" w:cs="Times New Roman"/>
                <w:b/>
                <w:bCs/>
                <w:color w:val="000000"/>
                <w:sz w:val="20"/>
                <w:szCs w:val="20"/>
                <w:lang w:eastAsia="lv-LV"/>
              </w:rPr>
            </w:pPr>
            <w:r w:rsidRPr="00AF2E30">
              <w:rPr>
                <w:b/>
                <w:bCs/>
                <w:color w:val="000000"/>
                <w:sz w:val="20"/>
                <w:szCs w:val="20"/>
              </w:rPr>
              <w:t>-1,0</w:t>
            </w:r>
          </w:p>
        </w:tc>
      </w:tr>
      <w:tr w:rsidR="00AF2E30" w:rsidRPr="00AC55E4" w14:paraId="65238139" w14:textId="77777777" w:rsidTr="0038540C">
        <w:trPr>
          <w:trHeight w:val="213"/>
        </w:trPr>
        <w:tc>
          <w:tcPr>
            <w:tcW w:w="5093" w:type="dxa"/>
            <w:shd w:val="clear" w:color="auto" w:fill="auto"/>
            <w:vAlign w:val="center"/>
            <w:hideMark/>
          </w:tcPr>
          <w:p w14:paraId="096B2A0F" w14:textId="17744B49" w:rsidR="00AF2E30" w:rsidRPr="00AF2E30" w:rsidRDefault="00AF2E30" w:rsidP="00AF2E30">
            <w:pPr>
              <w:spacing w:before="0" w:after="0"/>
              <w:ind w:firstLine="0"/>
              <w:rPr>
                <w:rFonts w:eastAsia="Times New Roman" w:cs="Times New Roman"/>
                <w:noProof/>
                <w:color w:val="000000"/>
                <w:sz w:val="20"/>
                <w:szCs w:val="20"/>
                <w:lang w:eastAsia="lv-LV"/>
              </w:rPr>
            </w:pPr>
            <w:r w:rsidRPr="00AF2E30">
              <w:rPr>
                <w:rFonts w:eastAsia="Times New Roman" w:cs="Times New Roman"/>
                <w:bCs/>
                <w:noProof/>
                <w:color w:val="000000"/>
                <w:sz w:val="20"/>
                <w:szCs w:val="20"/>
                <w:lang w:eastAsia="lv-LV"/>
              </w:rPr>
              <w:t xml:space="preserve">Vispārējās valdības budžeta bilances novirze no bāzes scenārija, milj. </w:t>
            </w:r>
            <w:r w:rsidRPr="00AF2E30">
              <w:rPr>
                <w:rFonts w:eastAsia="Times New Roman" w:cs="Times New Roman"/>
                <w:bCs/>
                <w:i/>
                <w:noProof/>
                <w:color w:val="000000"/>
                <w:sz w:val="20"/>
                <w:szCs w:val="20"/>
                <w:lang w:eastAsia="lv-LV"/>
              </w:rPr>
              <w:t>euro</w:t>
            </w:r>
          </w:p>
        </w:tc>
        <w:tc>
          <w:tcPr>
            <w:tcW w:w="993" w:type="dxa"/>
            <w:shd w:val="clear" w:color="auto" w:fill="auto"/>
            <w:vAlign w:val="center"/>
            <w:hideMark/>
          </w:tcPr>
          <w:p w14:paraId="6F394123" w14:textId="1EBF3554"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color w:val="000000"/>
                <w:sz w:val="20"/>
                <w:szCs w:val="20"/>
              </w:rPr>
              <w:t>-62,8</w:t>
            </w:r>
          </w:p>
        </w:tc>
        <w:tc>
          <w:tcPr>
            <w:tcW w:w="992" w:type="dxa"/>
            <w:shd w:val="clear" w:color="auto" w:fill="auto"/>
            <w:vAlign w:val="center"/>
            <w:hideMark/>
          </w:tcPr>
          <w:p w14:paraId="0284C4B2" w14:textId="0D408689"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color w:val="000000"/>
                <w:sz w:val="20"/>
                <w:szCs w:val="20"/>
              </w:rPr>
              <w:t>-306,7</w:t>
            </w:r>
          </w:p>
        </w:tc>
        <w:tc>
          <w:tcPr>
            <w:tcW w:w="975" w:type="dxa"/>
            <w:shd w:val="clear" w:color="auto" w:fill="auto"/>
            <w:vAlign w:val="center"/>
            <w:hideMark/>
          </w:tcPr>
          <w:p w14:paraId="3A7A8036" w14:textId="6A4B1E81"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color w:val="000000"/>
                <w:sz w:val="20"/>
                <w:szCs w:val="20"/>
              </w:rPr>
              <w:t>-333,0</w:t>
            </w:r>
          </w:p>
        </w:tc>
        <w:tc>
          <w:tcPr>
            <w:tcW w:w="1019" w:type="dxa"/>
            <w:shd w:val="clear" w:color="auto" w:fill="auto"/>
            <w:vAlign w:val="center"/>
            <w:hideMark/>
          </w:tcPr>
          <w:p w14:paraId="08955D28" w14:textId="0B7EF007"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color w:val="000000"/>
                <w:sz w:val="20"/>
                <w:szCs w:val="20"/>
              </w:rPr>
              <w:t>-353,6</w:t>
            </w:r>
          </w:p>
        </w:tc>
      </w:tr>
      <w:tr w:rsidR="00AF2E30" w:rsidRPr="00AC55E4" w14:paraId="288EA138" w14:textId="77777777" w:rsidTr="0038540C">
        <w:trPr>
          <w:trHeight w:val="213"/>
        </w:trPr>
        <w:tc>
          <w:tcPr>
            <w:tcW w:w="5093" w:type="dxa"/>
            <w:shd w:val="clear" w:color="auto" w:fill="auto"/>
            <w:vAlign w:val="center"/>
            <w:hideMark/>
          </w:tcPr>
          <w:p w14:paraId="0054EFA0" w14:textId="66E15A3E" w:rsidR="00AF2E30" w:rsidRPr="00AF2E30" w:rsidRDefault="00AF2E30" w:rsidP="00AF2E30">
            <w:pPr>
              <w:spacing w:before="0" w:after="0"/>
              <w:ind w:firstLineChars="100" w:firstLine="200"/>
              <w:jc w:val="left"/>
              <w:rPr>
                <w:rFonts w:eastAsia="Times New Roman" w:cs="Times New Roman"/>
                <w:noProof/>
                <w:color w:val="000000"/>
                <w:sz w:val="20"/>
                <w:szCs w:val="20"/>
                <w:lang w:eastAsia="lv-LV"/>
              </w:rPr>
            </w:pPr>
            <w:r>
              <w:rPr>
                <w:rFonts w:eastAsia="Times New Roman" w:cs="Times New Roman"/>
                <w:noProof/>
                <w:color w:val="000000"/>
                <w:sz w:val="20"/>
                <w:szCs w:val="20"/>
                <w:lang w:eastAsia="lv-LV"/>
              </w:rPr>
              <w:t>N</w:t>
            </w:r>
            <w:r w:rsidRPr="00AF2E30">
              <w:rPr>
                <w:rFonts w:eastAsia="Times New Roman" w:cs="Times New Roman"/>
                <w:noProof/>
                <w:color w:val="000000"/>
                <w:sz w:val="20"/>
                <w:szCs w:val="20"/>
                <w:lang w:eastAsia="lv-LV"/>
              </w:rPr>
              <w:t>odokļu ieņēmumi</w:t>
            </w:r>
          </w:p>
        </w:tc>
        <w:tc>
          <w:tcPr>
            <w:tcW w:w="993" w:type="dxa"/>
            <w:shd w:val="clear" w:color="auto" w:fill="auto"/>
            <w:vAlign w:val="center"/>
            <w:hideMark/>
          </w:tcPr>
          <w:p w14:paraId="55798026" w14:textId="3B46AB8F"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color w:val="000000"/>
                <w:sz w:val="20"/>
                <w:szCs w:val="20"/>
              </w:rPr>
              <w:t>-59,2</w:t>
            </w:r>
          </w:p>
        </w:tc>
        <w:tc>
          <w:tcPr>
            <w:tcW w:w="992" w:type="dxa"/>
            <w:shd w:val="clear" w:color="auto" w:fill="auto"/>
            <w:vAlign w:val="center"/>
            <w:hideMark/>
          </w:tcPr>
          <w:p w14:paraId="31362665" w14:textId="58E1452F"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color w:val="000000"/>
                <w:sz w:val="20"/>
                <w:szCs w:val="20"/>
              </w:rPr>
              <w:t>-292,7</w:t>
            </w:r>
          </w:p>
        </w:tc>
        <w:tc>
          <w:tcPr>
            <w:tcW w:w="975" w:type="dxa"/>
            <w:shd w:val="clear" w:color="auto" w:fill="auto"/>
            <w:vAlign w:val="center"/>
            <w:hideMark/>
          </w:tcPr>
          <w:p w14:paraId="056BCAD6" w14:textId="799EBD57"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color w:val="000000"/>
                <w:sz w:val="20"/>
                <w:szCs w:val="20"/>
              </w:rPr>
              <w:t>-313,9</w:t>
            </w:r>
          </w:p>
        </w:tc>
        <w:tc>
          <w:tcPr>
            <w:tcW w:w="1019" w:type="dxa"/>
            <w:shd w:val="clear" w:color="auto" w:fill="auto"/>
            <w:vAlign w:val="center"/>
            <w:hideMark/>
          </w:tcPr>
          <w:p w14:paraId="13511490" w14:textId="018D3343"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color w:val="000000"/>
                <w:sz w:val="20"/>
                <w:szCs w:val="20"/>
              </w:rPr>
              <w:t>-330,0</w:t>
            </w:r>
          </w:p>
        </w:tc>
      </w:tr>
      <w:tr w:rsidR="00AF2E30" w:rsidRPr="00AC55E4" w14:paraId="4AE47795" w14:textId="77777777" w:rsidTr="0038540C">
        <w:trPr>
          <w:trHeight w:val="213"/>
        </w:trPr>
        <w:tc>
          <w:tcPr>
            <w:tcW w:w="5093" w:type="dxa"/>
            <w:shd w:val="clear" w:color="auto" w:fill="auto"/>
            <w:vAlign w:val="center"/>
            <w:hideMark/>
          </w:tcPr>
          <w:p w14:paraId="02CBB112" w14:textId="77777777" w:rsidR="00AF2E30" w:rsidRPr="00AF2E30" w:rsidRDefault="00AF2E30" w:rsidP="00AF2E30">
            <w:pPr>
              <w:spacing w:before="0" w:after="0"/>
              <w:ind w:firstLine="0"/>
              <w:jc w:val="right"/>
              <w:rPr>
                <w:rFonts w:eastAsia="Times New Roman" w:cs="Times New Roman"/>
                <w:i/>
                <w:iCs/>
                <w:noProof/>
                <w:color w:val="000000"/>
                <w:sz w:val="20"/>
                <w:szCs w:val="20"/>
                <w:lang w:eastAsia="lv-LV"/>
              </w:rPr>
            </w:pPr>
            <w:r w:rsidRPr="00AF2E30">
              <w:rPr>
                <w:rFonts w:eastAsia="Times New Roman" w:cs="Times New Roman"/>
                <w:i/>
                <w:iCs/>
                <w:noProof/>
                <w:color w:val="000000"/>
                <w:sz w:val="20"/>
                <w:szCs w:val="20"/>
                <w:lang w:eastAsia="lv-LV"/>
              </w:rPr>
              <w:t>Iedzīvotāju ienākuma nodoklis</w:t>
            </w:r>
          </w:p>
        </w:tc>
        <w:tc>
          <w:tcPr>
            <w:tcW w:w="993" w:type="dxa"/>
            <w:shd w:val="clear" w:color="auto" w:fill="auto"/>
            <w:vAlign w:val="center"/>
            <w:hideMark/>
          </w:tcPr>
          <w:p w14:paraId="5B54BD34" w14:textId="531E18D6"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-11,7</w:t>
            </w:r>
          </w:p>
        </w:tc>
        <w:tc>
          <w:tcPr>
            <w:tcW w:w="992" w:type="dxa"/>
            <w:shd w:val="clear" w:color="auto" w:fill="auto"/>
            <w:vAlign w:val="center"/>
            <w:hideMark/>
          </w:tcPr>
          <w:p w14:paraId="5CEB608A" w14:textId="071593B0"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-59,0</w:t>
            </w:r>
          </w:p>
        </w:tc>
        <w:tc>
          <w:tcPr>
            <w:tcW w:w="975" w:type="dxa"/>
            <w:shd w:val="clear" w:color="auto" w:fill="auto"/>
            <w:vAlign w:val="center"/>
            <w:hideMark/>
          </w:tcPr>
          <w:p w14:paraId="4CE36726" w14:textId="6D8CDDB7"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-63,1</w:t>
            </w:r>
          </w:p>
        </w:tc>
        <w:tc>
          <w:tcPr>
            <w:tcW w:w="1019" w:type="dxa"/>
            <w:shd w:val="clear" w:color="auto" w:fill="auto"/>
            <w:vAlign w:val="center"/>
            <w:hideMark/>
          </w:tcPr>
          <w:p w14:paraId="4AF8EE8D" w14:textId="5BFA6AD7"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-66,5</w:t>
            </w:r>
          </w:p>
        </w:tc>
      </w:tr>
      <w:tr w:rsidR="00AF2E30" w:rsidRPr="00AC55E4" w14:paraId="57A2CA23" w14:textId="77777777" w:rsidTr="0038540C">
        <w:trPr>
          <w:trHeight w:val="213"/>
        </w:trPr>
        <w:tc>
          <w:tcPr>
            <w:tcW w:w="5093" w:type="dxa"/>
            <w:shd w:val="clear" w:color="auto" w:fill="auto"/>
            <w:vAlign w:val="center"/>
            <w:hideMark/>
          </w:tcPr>
          <w:p w14:paraId="39CC593C" w14:textId="77777777" w:rsidR="00AF2E30" w:rsidRPr="00AF2E30" w:rsidRDefault="00AF2E30" w:rsidP="00AF2E30">
            <w:pPr>
              <w:spacing w:before="0" w:after="0"/>
              <w:ind w:firstLine="0"/>
              <w:jc w:val="right"/>
              <w:rPr>
                <w:rFonts w:eastAsia="Times New Roman" w:cs="Times New Roman"/>
                <w:i/>
                <w:iCs/>
                <w:noProof/>
                <w:color w:val="000000"/>
                <w:sz w:val="20"/>
                <w:szCs w:val="20"/>
                <w:lang w:eastAsia="lv-LV"/>
              </w:rPr>
            </w:pPr>
            <w:r w:rsidRPr="00AF2E30">
              <w:rPr>
                <w:rFonts w:eastAsia="Times New Roman" w:cs="Times New Roman"/>
                <w:i/>
                <w:iCs/>
                <w:noProof/>
                <w:color w:val="000000"/>
                <w:sz w:val="20"/>
                <w:szCs w:val="20"/>
                <w:lang w:eastAsia="lv-LV"/>
              </w:rPr>
              <w:t>Uzņēmuma ienākuma nodoklis</w:t>
            </w:r>
          </w:p>
        </w:tc>
        <w:tc>
          <w:tcPr>
            <w:tcW w:w="993" w:type="dxa"/>
            <w:shd w:val="clear" w:color="auto" w:fill="auto"/>
            <w:vAlign w:val="center"/>
            <w:hideMark/>
          </w:tcPr>
          <w:p w14:paraId="6F881EEC" w14:textId="5BF4FA0E"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-1,8</w:t>
            </w:r>
          </w:p>
        </w:tc>
        <w:tc>
          <w:tcPr>
            <w:tcW w:w="992" w:type="dxa"/>
            <w:shd w:val="clear" w:color="auto" w:fill="auto"/>
            <w:vAlign w:val="center"/>
            <w:hideMark/>
          </w:tcPr>
          <w:p w14:paraId="5417328D" w14:textId="3F37D577"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-9,4</w:t>
            </w:r>
          </w:p>
        </w:tc>
        <w:tc>
          <w:tcPr>
            <w:tcW w:w="975" w:type="dxa"/>
            <w:shd w:val="clear" w:color="auto" w:fill="auto"/>
            <w:vAlign w:val="center"/>
            <w:hideMark/>
          </w:tcPr>
          <w:p w14:paraId="18FB3DF1" w14:textId="49FB6C10"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-10,0</w:t>
            </w:r>
          </w:p>
        </w:tc>
        <w:tc>
          <w:tcPr>
            <w:tcW w:w="1019" w:type="dxa"/>
            <w:shd w:val="clear" w:color="auto" w:fill="auto"/>
            <w:vAlign w:val="center"/>
            <w:hideMark/>
          </w:tcPr>
          <w:p w14:paraId="7983FD8C" w14:textId="7D7258B9"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-10,5</w:t>
            </w:r>
          </w:p>
        </w:tc>
      </w:tr>
      <w:tr w:rsidR="00AF2E30" w:rsidRPr="00AC55E4" w14:paraId="3EB2E6BD" w14:textId="77777777" w:rsidTr="0038540C">
        <w:trPr>
          <w:trHeight w:val="213"/>
        </w:trPr>
        <w:tc>
          <w:tcPr>
            <w:tcW w:w="5093" w:type="dxa"/>
            <w:shd w:val="clear" w:color="auto" w:fill="auto"/>
            <w:vAlign w:val="center"/>
            <w:hideMark/>
          </w:tcPr>
          <w:p w14:paraId="1B31784F" w14:textId="77777777" w:rsidR="00AF2E30" w:rsidRPr="00AF2E30" w:rsidRDefault="00AF2E30" w:rsidP="00AF2E30">
            <w:pPr>
              <w:spacing w:before="0" w:after="0"/>
              <w:ind w:firstLine="0"/>
              <w:jc w:val="right"/>
              <w:rPr>
                <w:rFonts w:eastAsia="Times New Roman" w:cs="Times New Roman"/>
                <w:i/>
                <w:iCs/>
                <w:noProof/>
                <w:color w:val="000000"/>
                <w:sz w:val="20"/>
                <w:szCs w:val="20"/>
                <w:lang w:eastAsia="lv-LV"/>
              </w:rPr>
            </w:pPr>
            <w:r w:rsidRPr="00AF2E30">
              <w:rPr>
                <w:rFonts w:eastAsia="Times New Roman" w:cs="Times New Roman"/>
                <w:i/>
                <w:iCs/>
                <w:noProof/>
                <w:color w:val="000000"/>
                <w:sz w:val="20"/>
                <w:szCs w:val="20"/>
                <w:lang w:eastAsia="lv-LV"/>
              </w:rPr>
              <w:t>Pievienotās vērtības nodoklis</w:t>
            </w:r>
          </w:p>
        </w:tc>
        <w:tc>
          <w:tcPr>
            <w:tcW w:w="993" w:type="dxa"/>
            <w:shd w:val="clear" w:color="auto" w:fill="auto"/>
            <w:vAlign w:val="center"/>
            <w:hideMark/>
          </w:tcPr>
          <w:p w14:paraId="53E12F23" w14:textId="153F84ED"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-18,8</w:t>
            </w:r>
          </w:p>
        </w:tc>
        <w:tc>
          <w:tcPr>
            <w:tcW w:w="992" w:type="dxa"/>
            <w:shd w:val="clear" w:color="auto" w:fill="auto"/>
            <w:vAlign w:val="center"/>
            <w:hideMark/>
          </w:tcPr>
          <w:p w14:paraId="00DA33A6" w14:textId="36B86ED2"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-92,2</w:t>
            </w:r>
          </w:p>
        </w:tc>
        <w:tc>
          <w:tcPr>
            <w:tcW w:w="975" w:type="dxa"/>
            <w:shd w:val="clear" w:color="auto" w:fill="auto"/>
            <w:vAlign w:val="center"/>
            <w:hideMark/>
          </w:tcPr>
          <w:p w14:paraId="4DFC2A4A" w14:textId="3EC0DE27"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-99,4</w:t>
            </w:r>
          </w:p>
        </w:tc>
        <w:tc>
          <w:tcPr>
            <w:tcW w:w="1019" w:type="dxa"/>
            <w:shd w:val="clear" w:color="auto" w:fill="auto"/>
            <w:vAlign w:val="center"/>
            <w:hideMark/>
          </w:tcPr>
          <w:p w14:paraId="5DEF418F" w14:textId="049A9F41"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-105,6</w:t>
            </w:r>
          </w:p>
        </w:tc>
      </w:tr>
      <w:tr w:rsidR="00AF2E30" w:rsidRPr="00AC55E4" w14:paraId="6BCFBE14" w14:textId="77777777" w:rsidTr="0038540C">
        <w:trPr>
          <w:trHeight w:val="84"/>
        </w:trPr>
        <w:tc>
          <w:tcPr>
            <w:tcW w:w="5093" w:type="dxa"/>
            <w:shd w:val="clear" w:color="auto" w:fill="auto"/>
            <w:vAlign w:val="bottom"/>
            <w:hideMark/>
          </w:tcPr>
          <w:p w14:paraId="704AA7B1" w14:textId="79A56652" w:rsidR="00AF2E30" w:rsidRPr="00AF2E30" w:rsidRDefault="00AF2E30" w:rsidP="00AF2E30">
            <w:pPr>
              <w:spacing w:before="0" w:after="0"/>
              <w:ind w:firstLine="0"/>
              <w:jc w:val="right"/>
              <w:rPr>
                <w:rFonts w:eastAsia="Times New Roman" w:cs="Times New Roman"/>
                <w:i/>
                <w:iCs/>
                <w:noProof/>
                <w:color w:val="000000"/>
                <w:sz w:val="20"/>
                <w:szCs w:val="20"/>
                <w:lang w:eastAsia="lv-LV"/>
              </w:rPr>
            </w:pPr>
            <w:bookmarkStart w:id="9" w:name="RANGE!A13"/>
            <w:r w:rsidRPr="00AF2E30">
              <w:rPr>
                <w:rFonts w:eastAsia="Times New Roman" w:cs="Times New Roman"/>
                <w:i/>
                <w:iCs/>
                <w:noProof/>
                <w:color w:val="000000"/>
                <w:sz w:val="20"/>
                <w:szCs w:val="20"/>
                <w:lang w:eastAsia="lv-LV"/>
              </w:rPr>
              <w:t>Valsts sociālās apdrošināšanas obligātās  iemaksas</w:t>
            </w:r>
            <w:bookmarkEnd w:id="9"/>
          </w:p>
        </w:tc>
        <w:tc>
          <w:tcPr>
            <w:tcW w:w="993" w:type="dxa"/>
            <w:shd w:val="clear" w:color="auto" w:fill="auto"/>
            <w:vAlign w:val="center"/>
            <w:hideMark/>
          </w:tcPr>
          <w:p w14:paraId="7B1012A1" w14:textId="2B6597F0"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-19,4</w:t>
            </w:r>
          </w:p>
        </w:tc>
        <w:tc>
          <w:tcPr>
            <w:tcW w:w="992" w:type="dxa"/>
            <w:shd w:val="clear" w:color="auto" w:fill="auto"/>
            <w:vAlign w:val="center"/>
            <w:hideMark/>
          </w:tcPr>
          <w:p w14:paraId="32A7A8E5" w14:textId="7276AF1B"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-97,0</w:t>
            </w:r>
          </w:p>
        </w:tc>
        <w:tc>
          <w:tcPr>
            <w:tcW w:w="975" w:type="dxa"/>
            <w:shd w:val="clear" w:color="auto" w:fill="auto"/>
            <w:vAlign w:val="center"/>
            <w:hideMark/>
          </w:tcPr>
          <w:p w14:paraId="65071D26" w14:textId="06FBCCC1"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-104,7</w:t>
            </w:r>
          </w:p>
        </w:tc>
        <w:tc>
          <w:tcPr>
            <w:tcW w:w="1019" w:type="dxa"/>
            <w:shd w:val="clear" w:color="auto" w:fill="auto"/>
            <w:vAlign w:val="center"/>
            <w:hideMark/>
          </w:tcPr>
          <w:p w14:paraId="5CF63157" w14:textId="3D9E30D8"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-109,9</w:t>
            </w:r>
          </w:p>
        </w:tc>
      </w:tr>
      <w:tr w:rsidR="00AF2E30" w:rsidRPr="00AC55E4" w14:paraId="76727F7D" w14:textId="77777777" w:rsidTr="0038540C">
        <w:trPr>
          <w:trHeight w:val="213"/>
        </w:trPr>
        <w:tc>
          <w:tcPr>
            <w:tcW w:w="5093" w:type="dxa"/>
            <w:shd w:val="clear" w:color="auto" w:fill="auto"/>
            <w:vAlign w:val="center"/>
            <w:hideMark/>
          </w:tcPr>
          <w:p w14:paraId="1BBBFF8D" w14:textId="77777777" w:rsidR="00AF2E30" w:rsidRPr="00AF2E30" w:rsidRDefault="00AF2E30" w:rsidP="00AF2E30">
            <w:pPr>
              <w:spacing w:before="0" w:after="0"/>
              <w:ind w:firstLine="0"/>
              <w:jc w:val="right"/>
              <w:rPr>
                <w:rFonts w:eastAsia="Times New Roman" w:cs="Times New Roman"/>
                <w:noProof/>
                <w:color w:val="000000"/>
                <w:sz w:val="20"/>
                <w:szCs w:val="20"/>
                <w:lang w:eastAsia="lv-LV"/>
              </w:rPr>
            </w:pPr>
            <w:r w:rsidRPr="00AF2E30">
              <w:rPr>
                <w:rFonts w:eastAsia="Times New Roman" w:cs="Times New Roman"/>
                <w:noProof/>
                <w:color w:val="000000"/>
                <w:sz w:val="20"/>
                <w:szCs w:val="20"/>
                <w:lang w:eastAsia="lv-LV"/>
              </w:rPr>
              <w:t xml:space="preserve">          </w:t>
            </w:r>
            <w:r w:rsidRPr="00AF2E30">
              <w:rPr>
                <w:rFonts w:eastAsia="Times New Roman" w:cs="Times New Roman"/>
                <w:i/>
                <w:iCs/>
                <w:noProof/>
                <w:color w:val="000000"/>
                <w:sz w:val="20"/>
                <w:szCs w:val="20"/>
                <w:lang w:eastAsia="lv-LV"/>
              </w:rPr>
              <w:t>Akcīzes nodoklis</w:t>
            </w:r>
          </w:p>
        </w:tc>
        <w:tc>
          <w:tcPr>
            <w:tcW w:w="993" w:type="dxa"/>
            <w:shd w:val="clear" w:color="auto" w:fill="auto"/>
            <w:vAlign w:val="center"/>
            <w:hideMark/>
          </w:tcPr>
          <w:p w14:paraId="1647887C" w14:textId="2C3A47B5"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-7,5</w:t>
            </w:r>
          </w:p>
        </w:tc>
        <w:tc>
          <w:tcPr>
            <w:tcW w:w="992" w:type="dxa"/>
            <w:shd w:val="clear" w:color="auto" w:fill="auto"/>
            <w:vAlign w:val="center"/>
            <w:hideMark/>
          </w:tcPr>
          <w:p w14:paraId="514BC2BB" w14:textId="1F9B1A9A"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-35,2</w:t>
            </w:r>
          </w:p>
        </w:tc>
        <w:tc>
          <w:tcPr>
            <w:tcW w:w="975" w:type="dxa"/>
            <w:shd w:val="clear" w:color="auto" w:fill="auto"/>
            <w:vAlign w:val="center"/>
            <w:hideMark/>
          </w:tcPr>
          <w:p w14:paraId="627A56EC" w14:textId="01C79D14"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-36,6</w:t>
            </w:r>
          </w:p>
        </w:tc>
        <w:tc>
          <w:tcPr>
            <w:tcW w:w="1019" w:type="dxa"/>
            <w:shd w:val="clear" w:color="auto" w:fill="auto"/>
            <w:vAlign w:val="center"/>
            <w:hideMark/>
          </w:tcPr>
          <w:p w14:paraId="0A659785" w14:textId="2E02E1A5"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i/>
                <w:iCs/>
                <w:color w:val="000000"/>
                <w:sz w:val="20"/>
                <w:szCs w:val="20"/>
              </w:rPr>
              <w:t>-37,5</w:t>
            </w:r>
          </w:p>
        </w:tc>
      </w:tr>
      <w:tr w:rsidR="00AF2E30" w:rsidRPr="00AC55E4" w14:paraId="14999006" w14:textId="77777777" w:rsidTr="0038540C">
        <w:trPr>
          <w:trHeight w:val="213"/>
        </w:trPr>
        <w:tc>
          <w:tcPr>
            <w:tcW w:w="5093" w:type="dxa"/>
            <w:shd w:val="clear" w:color="auto" w:fill="auto"/>
            <w:vAlign w:val="center"/>
            <w:hideMark/>
          </w:tcPr>
          <w:p w14:paraId="2191C4C4" w14:textId="6120D135" w:rsidR="00AF2E30" w:rsidRPr="00AF2E30" w:rsidRDefault="00AF2E30" w:rsidP="00AF2E30">
            <w:pPr>
              <w:spacing w:before="0" w:after="0"/>
              <w:ind w:firstLineChars="100" w:firstLine="200"/>
              <w:jc w:val="left"/>
              <w:rPr>
                <w:rFonts w:eastAsia="Times New Roman" w:cs="Times New Roman"/>
                <w:noProof/>
                <w:color w:val="000000"/>
                <w:sz w:val="20"/>
                <w:szCs w:val="20"/>
                <w:lang w:eastAsia="lv-LV"/>
              </w:rPr>
            </w:pPr>
            <w:r>
              <w:rPr>
                <w:rFonts w:eastAsia="Times New Roman" w:cs="Times New Roman"/>
                <w:noProof/>
                <w:color w:val="000000"/>
                <w:sz w:val="20"/>
                <w:szCs w:val="20"/>
                <w:lang w:eastAsia="lv-LV"/>
              </w:rPr>
              <w:t>N</w:t>
            </w:r>
            <w:r w:rsidRPr="00AF2E30">
              <w:rPr>
                <w:rFonts w:eastAsia="Times New Roman" w:cs="Times New Roman"/>
                <w:noProof/>
                <w:color w:val="000000"/>
                <w:sz w:val="20"/>
                <w:szCs w:val="20"/>
                <w:lang w:eastAsia="lv-LV"/>
              </w:rPr>
              <w:t>enodokļu ieņēmumi</w:t>
            </w:r>
          </w:p>
        </w:tc>
        <w:tc>
          <w:tcPr>
            <w:tcW w:w="993" w:type="dxa"/>
            <w:shd w:val="clear" w:color="auto" w:fill="auto"/>
            <w:vAlign w:val="center"/>
            <w:hideMark/>
          </w:tcPr>
          <w:p w14:paraId="70364B79" w14:textId="5FD78206"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color w:val="000000"/>
                <w:sz w:val="20"/>
                <w:szCs w:val="20"/>
              </w:rPr>
              <w:t>-3,6</w:t>
            </w:r>
          </w:p>
        </w:tc>
        <w:tc>
          <w:tcPr>
            <w:tcW w:w="992" w:type="dxa"/>
            <w:shd w:val="clear" w:color="auto" w:fill="auto"/>
            <w:vAlign w:val="center"/>
            <w:hideMark/>
          </w:tcPr>
          <w:p w14:paraId="6DFA4A9A" w14:textId="5268073D"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color w:val="000000"/>
                <w:sz w:val="20"/>
                <w:szCs w:val="20"/>
              </w:rPr>
              <w:t>-13,3</w:t>
            </w:r>
          </w:p>
        </w:tc>
        <w:tc>
          <w:tcPr>
            <w:tcW w:w="975" w:type="dxa"/>
            <w:shd w:val="clear" w:color="auto" w:fill="auto"/>
            <w:vAlign w:val="center"/>
            <w:hideMark/>
          </w:tcPr>
          <w:p w14:paraId="360CFAA5" w14:textId="702EEFD1"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color w:val="000000"/>
                <w:sz w:val="20"/>
                <w:szCs w:val="20"/>
              </w:rPr>
              <w:t>-13,1</w:t>
            </w:r>
          </w:p>
        </w:tc>
        <w:tc>
          <w:tcPr>
            <w:tcW w:w="1019" w:type="dxa"/>
            <w:shd w:val="clear" w:color="auto" w:fill="auto"/>
            <w:vAlign w:val="center"/>
            <w:hideMark/>
          </w:tcPr>
          <w:p w14:paraId="2AF859CB" w14:textId="1699634C"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color w:val="000000"/>
                <w:sz w:val="20"/>
                <w:szCs w:val="20"/>
              </w:rPr>
              <w:t>-11,8</w:t>
            </w:r>
          </w:p>
        </w:tc>
      </w:tr>
      <w:tr w:rsidR="00AF2E30" w:rsidRPr="00AC55E4" w14:paraId="00408946" w14:textId="77777777" w:rsidTr="0038540C">
        <w:trPr>
          <w:trHeight w:val="213"/>
        </w:trPr>
        <w:tc>
          <w:tcPr>
            <w:tcW w:w="5093" w:type="dxa"/>
            <w:shd w:val="clear" w:color="auto" w:fill="auto"/>
            <w:vAlign w:val="center"/>
            <w:hideMark/>
          </w:tcPr>
          <w:p w14:paraId="6DE837C1" w14:textId="77777777" w:rsidR="00AF2E30" w:rsidRPr="00AF2E30" w:rsidRDefault="00AF2E30" w:rsidP="00AF2E30">
            <w:pPr>
              <w:spacing w:before="0" w:after="0"/>
              <w:ind w:firstLineChars="100" w:firstLine="200"/>
              <w:jc w:val="left"/>
              <w:rPr>
                <w:rFonts w:eastAsia="Times New Roman" w:cs="Times New Roman"/>
                <w:color w:val="000000"/>
                <w:sz w:val="20"/>
                <w:szCs w:val="20"/>
                <w:lang w:eastAsia="lv-LV"/>
              </w:rPr>
            </w:pPr>
            <w:r w:rsidRPr="00AF2E30">
              <w:rPr>
                <w:rFonts w:eastAsia="Times New Roman" w:cs="Times New Roman"/>
                <w:color w:val="000000"/>
                <w:sz w:val="20"/>
                <w:szCs w:val="20"/>
                <w:lang w:eastAsia="lv-LV"/>
              </w:rPr>
              <w:t>Procentu izdevumi</w:t>
            </w:r>
          </w:p>
        </w:tc>
        <w:tc>
          <w:tcPr>
            <w:tcW w:w="993" w:type="dxa"/>
            <w:shd w:val="clear" w:color="auto" w:fill="auto"/>
            <w:vAlign w:val="center"/>
            <w:hideMark/>
          </w:tcPr>
          <w:p w14:paraId="00AFD2A4" w14:textId="24C1D13F"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color w:val="000000"/>
                <w:sz w:val="20"/>
                <w:szCs w:val="20"/>
              </w:rPr>
              <w:t>0,0</w:t>
            </w:r>
          </w:p>
        </w:tc>
        <w:tc>
          <w:tcPr>
            <w:tcW w:w="992" w:type="dxa"/>
            <w:shd w:val="clear" w:color="auto" w:fill="auto"/>
            <w:vAlign w:val="center"/>
            <w:hideMark/>
          </w:tcPr>
          <w:p w14:paraId="743083DD" w14:textId="20173604"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color w:val="000000"/>
                <w:sz w:val="20"/>
                <w:szCs w:val="20"/>
              </w:rPr>
              <w:t>0,7</w:t>
            </w:r>
          </w:p>
        </w:tc>
        <w:tc>
          <w:tcPr>
            <w:tcW w:w="975" w:type="dxa"/>
            <w:shd w:val="clear" w:color="auto" w:fill="auto"/>
            <w:vAlign w:val="center"/>
            <w:hideMark/>
          </w:tcPr>
          <w:p w14:paraId="043FAE86" w14:textId="0B5570BE"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color w:val="000000"/>
                <w:sz w:val="20"/>
                <w:szCs w:val="20"/>
              </w:rPr>
              <w:t>6,1</w:t>
            </w:r>
          </w:p>
        </w:tc>
        <w:tc>
          <w:tcPr>
            <w:tcW w:w="1019" w:type="dxa"/>
            <w:shd w:val="clear" w:color="auto" w:fill="auto"/>
            <w:vAlign w:val="center"/>
            <w:hideMark/>
          </w:tcPr>
          <w:p w14:paraId="1A1705A7" w14:textId="2102B96C" w:rsidR="00AF2E30" w:rsidRPr="00AF2E30" w:rsidRDefault="00AF2E30" w:rsidP="00AF2E30">
            <w:pPr>
              <w:spacing w:before="0" w:after="0"/>
              <w:ind w:firstLine="0"/>
              <w:jc w:val="center"/>
              <w:rPr>
                <w:rFonts w:eastAsia="Times New Roman" w:cs="Times New Roman"/>
                <w:color w:val="000000"/>
                <w:sz w:val="20"/>
                <w:szCs w:val="20"/>
                <w:lang w:eastAsia="lv-LV"/>
              </w:rPr>
            </w:pPr>
            <w:r w:rsidRPr="00AF2E30">
              <w:rPr>
                <w:color w:val="000000"/>
                <w:sz w:val="20"/>
                <w:szCs w:val="20"/>
              </w:rPr>
              <w:t>11,8</w:t>
            </w:r>
          </w:p>
        </w:tc>
      </w:tr>
      <w:tr w:rsidR="009459DA" w:rsidRPr="00AC55E4" w14:paraId="399EE71B" w14:textId="77777777" w:rsidTr="0038540C">
        <w:trPr>
          <w:trHeight w:val="213"/>
        </w:trPr>
        <w:tc>
          <w:tcPr>
            <w:tcW w:w="5093" w:type="dxa"/>
            <w:shd w:val="clear" w:color="auto" w:fill="9CC2E5" w:themeFill="accent1" w:themeFillTint="99"/>
            <w:vAlign w:val="center"/>
          </w:tcPr>
          <w:p w14:paraId="17AB172F" w14:textId="73BED619" w:rsidR="009459DA" w:rsidRPr="00AF2E30" w:rsidRDefault="009459DA" w:rsidP="009459DA">
            <w:pPr>
              <w:spacing w:before="0" w:after="0"/>
              <w:ind w:firstLine="0"/>
              <w:jc w:val="left"/>
              <w:rPr>
                <w:rFonts w:eastAsia="Times New Roman" w:cs="Times New Roman"/>
                <w:color w:val="000000"/>
                <w:sz w:val="20"/>
                <w:szCs w:val="20"/>
                <w:lang w:eastAsia="lv-LV"/>
              </w:rPr>
            </w:pPr>
            <w:r w:rsidRPr="00AF2E30">
              <w:rPr>
                <w:rFonts w:eastAsia="Times New Roman" w:cs="Times New Roman"/>
                <w:b/>
                <w:bCs/>
                <w:color w:val="000000"/>
                <w:sz w:val="20"/>
                <w:szCs w:val="20"/>
                <w:lang w:eastAsia="lv-LV"/>
              </w:rPr>
              <w:t xml:space="preserve">Vispārējās valdības </w:t>
            </w:r>
            <w:r>
              <w:rPr>
                <w:rFonts w:eastAsia="Times New Roman" w:cs="Times New Roman"/>
                <w:b/>
                <w:bCs/>
                <w:color w:val="000000"/>
                <w:sz w:val="20"/>
                <w:szCs w:val="20"/>
                <w:lang w:eastAsia="lv-LV"/>
              </w:rPr>
              <w:t>parād</w:t>
            </w:r>
            <w:r w:rsidR="0038540C">
              <w:rPr>
                <w:rFonts w:eastAsia="Times New Roman" w:cs="Times New Roman"/>
                <w:b/>
                <w:bCs/>
                <w:color w:val="000000"/>
                <w:sz w:val="20"/>
                <w:szCs w:val="20"/>
                <w:lang w:eastAsia="lv-LV"/>
              </w:rPr>
              <w:t>s</w:t>
            </w:r>
            <w:r w:rsidRPr="00AF2E30">
              <w:rPr>
                <w:rFonts w:eastAsia="Times New Roman" w:cs="Times New Roman"/>
                <w:b/>
                <w:bCs/>
                <w:color w:val="000000"/>
                <w:sz w:val="20"/>
                <w:szCs w:val="20"/>
                <w:lang w:eastAsia="lv-LV"/>
              </w:rPr>
              <w:t>, % no IKP</w:t>
            </w:r>
          </w:p>
        </w:tc>
        <w:tc>
          <w:tcPr>
            <w:tcW w:w="993" w:type="dxa"/>
            <w:shd w:val="clear" w:color="auto" w:fill="9CC2E5" w:themeFill="accent1" w:themeFillTint="99"/>
            <w:vAlign w:val="center"/>
          </w:tcPr>
          <w:p w14:paraId="19A523D1" w14:textId="41621131" w:rsidR="009459DA" w:rsidRPr="000E2E49" w:rsidRDefault="00702E77" w:rsidP="009459DA">
            <w:pPr>
              <w:spacing w:before="0" w:after="0"/>
              <w:ind w:firstLine="0"/>
              <w:jc w:val="center"/>
              <w:rPr>
                <w:color w:val="000000"/>
                <w:sz w:val="20"/>
                <w:szCs w:val="20"/>
              </w:rPr>
            </w:pPr>
            <w:r w:rsidRPr="000E2E49">
              <w:rPr>
                <w:b/>
                <w:bCs/>
                <w:color w:val="000000"/>
                <w:sz w:val="20"/>
                <w:szCs w:val="20"/>
              </w:rPr>
              <w:t>50,1</w:t>
            </w:r>
          </w:p>
        </w:tc>
        <w:tc>
          <w:tcPr>
            <w:tcW w:w="992" w:type="dxa"/>
            <w:shd w:val="clear" w:color="auto" w:fill="9CC2E5" w:themeFill="accent1" w:themeFillTint="99"/>
            <w:vAlign w:val="center"/>
          </w:tcPr>
          <w:p w14:paraId="6F5BD62D" w14:textId="55A852AE" w:rsidR="009459DA" w:rsidRPr="000E2E49" w:rsidRDefault="00702E77" w:rsidP="009459DA">
            <w:pPr>
              <w:spacing w:before="0" w:after="0"/>
              <w:ind w:firstLine="0"/>
              <w:jc w:val="center"/>
              <w:rPr>
                <w:color w:val="000000"/>
                <w:sz w:val="20"/>
                <w:szCs w:val="20"/>
              </w:rPr>
            </w:pPr>
            <w:r w:rsidRPr="000E2E49">
              <w:rPr>
                <w:b/>
                <w:bCs/>
                <w:color w:val="000000"/>
                <w:sz w:val="20"/>
                <w:szCs w:val="20"/>
              </w:rPr>
              <w:t>52,5</w:t>
            </w:r>
          </w:p>
        </w:tc>
        <w:tc>
          <w:tcPr>
            <w:tcW w:w="975" w:type="dxa"/>
            <w:shd w:val="clear" w:color="auto" w:fill="9CC2E5" w:themeFill="accent1" w:themeFillTint="99"/>
            <w:vAlign w:val="center"/>
          </w:tcPr>
          <w:p w14:paraId="3134609A" w14:textId="2EE8BB5D" w:rsidR="009459DA" w:rsidRPr="000E2E49" w:rsidRDefault="00702E77" w:rsidP="009459DA">
            <w:pPr>
              <w:spacing w:before="0" w:after="0"/>
              <w:ind w:firstLine="0"/>
              <w:jc w:val="center"/>
              <w:rPr>
                <w:color w:val="000000"/>
                <w:sz w:val="20"/>
                <w:szCs w:val="20"/>
              </w:rPr>
            </w:pPr>
            <w:r w:rsidRPr="000E2E49">
              <w:rPr>
                <w:b/>
                <w:bCs/>
                <w:color w:val="000000"/>
                <w:sz w:val="20"/>
                <w:szCs w:val="20"/>
              </w:rPr>
              <w:t>51,3</w:t>
            </w:r>
          </w:p>
        </w:tc>
        <w:tc>
          <w:tcPr>
            <w:tcW w:w="1019" w:type="dxa"/>
            <w:shd w:val="clear" w:color="auto" w:fill="9CC2E5" w:themeFill="accent1" w:themeFillTint="99"/>
            <w:vAlign w:val="center"/>
          </w:tcPr>
          <w:p w14:paraId="416ACF48" w14:textId="52E6234B" w:rsidR="009459DA" w:rsidRPr="000E2E49" w:rsidRDefault="00702E77" w:rsidP="009459DA">
            <w:pPr>
              <w:spacing w:before="0" w:after="0"/>
              <w:ind w:firstLine="0"/>
              <w:jc w:val="center"/>
              <w:rPr>
                <w:color w:val="000000"/>
                <w:sz w:val="20"/>
                <w:szCs w:val="20"/>
              </w:rPr>
            </w:pPr>
            <w:r w:rsidRPr="000E2E49">
              <w:rPr>
                <w:b/>
                <w:bCs/>
                <w:color w:val="000000"/>
                <w:sz w:val="20"/>
                <w:szCs w:val="20"/>
              </w:rPr>
              <w:t>51,5</w:t>
            </w:r>
          </w:p>
        </w:tc>
      </w:tr>
    </w:tbl>
    <w:p w14:paraId="13925884" w14:textId="182E99C7" w:rsidR="0038540C" w:rsidRPr="00E07751" w:rsidRDefault="0038540C" w:rsidP="00AD19DB">
      <w:pPr>
        <w:spacing w:before="60" w:after="60"/>
        <w:rPr>
          <w:color w:val="000000" w:themeColor="text1"/>
          <w:szCs w:val="24"/>
        </w:rPr>
      </w:pPr>
      <w:r w:rsidRPr="00A04547">
        <w:rPr>
          <w:noProof/>
          <w:color w:val="000000" w:themeColor="text1"/>
          <w:szCs w:val="24"/>
        </w:rPr>
        <w:lastRenderedPageBreak/>
        <w:t>2021. -2024. gadā vispārējās valdības budžeta</w:t>
      </w:r>
      <w:r w:rsidRPr="00A04547">
        <w:rPr>
          <w:color w:val="000000" w:themeColor="text1"/>
          <w:szCs w:val="24"/>
        </w:rPr>
        <w:t xml:space="preserve"> deficīts</w:t>
      </w:r>
      <w:r>
        <w:rPr>
          <w:color w:val="000000" w:themeColor="text1"/>
          <w:szCs w:val="24"/>
        </w:rPr>
        <w:t>,</w:t>
      </w:r>
      <w:r w:rsidRPr="00A04547">
        <w:rPr>
          <w:color w:val="000000" w:themeColor="text1"/>
          <w:szCs w:val="24"/>
        </w:rPr>
        <w:t xml:space="preserve"> riska scenārijam iestājoties un saglabājoties nemainīgai valdības politikai</w:t>
      </w:r>
      <w:r>
        <w:rPr>
          <w:color w:val="000000" w:themeColor="text1"/>
          <w:szCs w:val="24"/>
        </w:rPr>
        <w:t>,</w:t>
      </w:r>
      <w:r w:rsidRPr="00A04547">
        <w:rPr>
          <w:color w:val="000000" w:themeColor="text1"/>
          <w:szCs w:val="24"/>
        </w:rPr>
        <w:t xml:space="preserve"> tiek prognozēts attiecīgi 9,5% no IKP 2021. gadā, 4,0% no IKP 2022. gadā, 2,2% no IKP 2023.</w:t>
      </w:r>
      <w:r>
        <w:rPr>
          <w:color w:val="000000" w:themeColor="text1"/>
          <w:szCs w:val="24"/>
        </w:rPr>
        <w:t> </w:t>
      </w:r>
      <w:r w:rsidRPr="00A04547">
        <w:rPr>
          <w:color w:val="000000" w:themeColor="text1"/>
          <w:szCs w:val="24"/>
        </w:rPr>
        <w:t>gadā un 1,3% no IKP 2024.</w:t>
      </w:r>
      <w:r>
        <w:rPr>
          <w:color w:val="000000" w:themeColor="text1"/>
          <w:szCs w:val="24"/>
        </w:rPr>
        <w:t> </w:t>
      </w:r>
      <w:r w:rsidRPr="00AF2E30">
        <w:rPr>
          <w:color w:val="000000" w:themeColor="text1"/>
          <w:szCs w:val="24"/>
        </w:rPr>
        <w:t xml:space="preserve">gadā. Pie šī scenārija bilances pasliktināšanos galvenokārt nosaka zemāki </w:t>
      </w:r>
      <w:r>
        <w:rPr>
          <w:color w:val="000000" w:themeColor="text1"/>
          <w:szCs w:val="24"/>
        </w:rPr>
        <w:t xml:space="preserve">kopbudžeta </w:t>
      </w:r>
      <w:r w:rsidRPr="00AF2E30">
        <w:rPr>
          <w:color w:val="000000" w:themeColor="text1"/>
          <w:szCs w:val="24"/>
        </w:rPr>
        <w:t xml:space="preserve">nodokļu </w:t>
      </w:r>
      <w:r w:rsidRPr="00E07751">
        <w:rPr>
          <w:color w:val="000000" w:themeColor="text1"/>
          <w:szCs w:val="24"/>
        </w:rPr>
        <w:t>ieņēmumi</w:t>
      </w:r>
      <w:r>
        <w:rPr>
          <w:color w:val="000000" w:themeColor="text1"/>
          <w:szCs w:val="24"/>
        </w:rPr>
        <w:t>.</w:t>
      </w:r>
    </w:p>
    <w:p w14:paraId="705A8269" w14:textId="5FA43FE3" w:rsidR="0038540C" w:rsidRPr="00E07751" w:rsidRDefault="0038540C" w:rsidP="00AD19DB">
      <w:pPr>
        <w:spacing w:before="60" w:after="60"/>
        <w:rPr>
          <w:color w:val="000000" w:themeColor="text1"/>
          <w:szCs w:val="24"/>
        </w:rPr>
      </w:pPr>
      <w:r w:rsidRPr="00E07751">
        <w:rPr>
          <w:color w:val="000000" w:themeColor="text1"/>
          <w:szCs w:val="24"/>
        </w:rPr>
        <w:t xml:space="preserve">Iestājoties riska scenārijam, vispārējās valdības budžeta </w:t>
      </w:r>
      <w:r w:rsidR="00B63881">
        <w:rPr>
          <w:color w:val="000000" w:themeColor="text1"/>
          <w:szCs w:val="24"/>
        </w:rPr>
        <w:t>deficīts</w:t>
      </w:r>
      <w:r w:rsidRPr="00E07751">
        <w:rPr>
          <w:color w:val="000000" w:themeColor="text1"/>
          <w:szCs w:val="24"/>
        </w:rPr>
        <w:t xml:space="preserve"> pasliktinātos 2021.</w:t>
      </w:r>
      <w:r>
        <w:rPr>
          <w:color w:val="000000" w:themeColor="text1"/>
          <w:szCs w:val="24"/>
        </w:rPr>
        <w:t> </w:t>
      </w:r>
      <w:r w:rsidRPr="00E07751">
        <w:rPr>
          <w:color w:val="000000" w:themeColor="text1"/>
          <w:szCs w:val="24"/>
        </w:rPr>
        <w:t>gadā par 0,3</w:t>
      </w:r>
      <w:r w:rsidR="00B63881">
        <w:rPr>
          <w:color w:val="000000" w:themeColor="text1"/>
          <w:szCs w:val="24"/>
        </w:rPr>
        <w:t> </w:t>
      </w:r>
      <w:r w:rsidRPr="00E07751">
        <w:rPr>
          <w:color w:val="000000" w:themeColor="text1"/>
          <w:szCs w:val="24"/>
        </w:rPr>
        <w:t xml:space="preserve">procentpunktiem </w:t>
      </w:r>
      <w:r w:rsidR="00B63881">
        <w:rPr>
          <w:color w:val="000000" w:themeColor="text1"/>
          <w:szCs w:val="24"/>
        </w:rPr>
        <w:t xml:space="preserve">līdz </w:t>
      </w:r>
      <w:r w:rsidRPr="00E07751">
        <w:rPr>
          <w:color w:val="000000" w:themeColor="text1"/>
          <w:szCs w:val="24"/>
        </w:rPr>
        <w:t>9,5% no IKP</w:t>
      </w:r>
      <w:r>
        <w:rPr>
          <w:color w:val="000000" w:themeColor="text1"/>
          <w:szCs w:val="24"/>
        </w:rPr>
        <w:t xml:space="preserve"> un turpmākajos gados </w:t>
      </w:r>
      <w:r w:rsidRPr="00E07751">
        <w:rPr>
          <w:color w:val="000000" w:themeColor="text1"/>
          <w:szCs w:val="24"/>
        </w:rPr>
        <w:t xml:space="preserve">par 1 procentpunktu </w:t>
      </w:r>
      <w:r>
        <w:rPr>
          <w:color w:val="000000" w:themeColor="text1"/>
          <w:szCs w:val="24"/>
        </w:rPr>
        <w:t xml:space="preserve">katru gadu, salīdzinot ar bāzes scenāriju, 2022. gadā </w:t>
      </w:r>
      <w:r w:rsidRPr="00E07751">
        <w:rPr>
          <w:color w:val="000000" w:themeColor="text1"/>
          <w:szCs w:val="24"/>
        </w:rPr>
        <w:t>deficīt</w:t>
      </w:r>
      <w:r>
        <w:rPr>
          <w:color w:val="000000" w:themeColor="text1"/>
          <w:szCs w:val="24"/>
        </w:rPr>
        <w:t>am veidojot</w:t>
      </w:r>
      <w:r w:rsidRPr="00E07751">
        <w:rPr>
          <w:color w:val="000000" w:themeColor="text1"/>
          <w:szCs w:val="24"/>
        </w:rPr>
        <w:t xml:space="preserve"> 4,0% no IKP, 2023. gadā 2,2% no IKP</w:t>
      </w:r>
      <w:r>
        <w:rPr>
          <w:color w:val="000000" w:themeColor="text1"/>
          <w:szCs w:val="24"/>
        </w:rPr>
        <w:t xml:space="preserve"> un </w:t>
      </w:r>
      <w:r w:rsidRPr="00E07751">
        <w:rPr>
          <w:color w:val="000000" w:themeColor="text1"/>
          <w:szCs w:val="24"/>
        </w:rPr>
        <w:t>2024.</w:t>
      </w:r>
      <w:r>
        <w:rPr>
          <w:color w:val="000000" w:themeColor="text1"/>
          <w:szCs w:val="24"/>
        </w:rPr>
        <w:t> </w:t>
      </w:r>
      <w:r w:rsidRPr="00E07751">
        <w:rPr>
          <w:color w:val="000000" w:themeColor="text1"/>
          <w:szCs w:val="24"/>
        </w:rPr>
        <w:t>gadā 1,3% no IKP.</w:t>
      </w:r>
    </w:p>
    <w:p w14:paraId="6C7E65C5" w14:textId="532F00E1" w:rsidR="00A3684A" w:rsidRPr="00AC55E4" w:rsidRDefault="00A3684A" w:rsidP="00A3684A">
      <w:pPr>
        <w:pStyle w:val="Heading1"/>
        <w:rPr>
          <w:highlight w:val="yellow"/>
        </w:rPr>
      </w:pPr>
      <w:r w:rsidRPr="00AC55E4">
        <w:rPr>
          <w:highlight w:val="yellow"/>
        </w:rPr>
        <w:br w:type="page"/>
      </w:r>
    </w:p>
    <w:p w14:paraId="3D9440CE" w14:textId="5BDE9217" w:rsidR="00B008E5" w:rsidRPr="00A83AAD" w:rsidRDefault="00B008E5" w:rsidP="00A83AAD">
      <w:pPr>
        <w:pStyle w:val="Heading1"/>
        <w:numPr>
          <w:ilvl w:val="0"/>
          <w:numId w:val="27"/>
        </w:numPr>
        <w:ind w:left="360"/>
      </w:pPr>
      <w:bookmarkStart w:id="10" w:name="_Toc80081215"/>
      <w:bookmarkStart w:id="11" w:name="_Toc16665007"/>
      <w:bookmarkStart w:id="12" w:name="_Toc403038748"/>
      <w:r w:rsidRPr="00A83AAD">
        <w:lastRenderedPageBreak/>
        <w:t>Fiskālās politikas nosacījumi</w:t>
      </w:r>
      <w:bookmarkEnd w:id="10"/>
      <w:r w:rsidR="004B6B5C">
        <w:t xml:space="preserve"> un</w:t>
      </w:r>
      <w:r w:rsidR="00E73727">
        <w:t xml:space="preserve"> </w:t>
      </w:r>
      <w:r w:rsidR="004B6B5C">
        <w:t>fiskālā telpa</w:t>
      </w:r>
      <w:r w:rsidR="00E73727">
        <w:br/>
      </w:r>
      <w:r w:rsidR="004B6B5C">
        <w:t>2022.-2024. gadam</w:t>
      </w:r>
      <w:r w:rsidRPr="00A83AAD">
        <w:t xml:space="preserve"> </w:t>
      </w:r>
      <w:bookmarkEnd w:id="11"/>
    </w:p>
    <w:p w14:paraId="01908E9E" w14:textId="306B6C0E" w:rsidR="004B6B5C" w:rsidRPr="004B6B5C" w:rsidRDefault="004B6B5C" w:rsidP="00E73727">
      <w:pPr>
        <w:spacing w:before="60" w:after="60"/>
        <w:rPr>
          <w:szCs w:val="20"/>
        </w:rPr>
      </w:pPr>
      <w:r w:rsidRPr="004B6B5C">
        <w:rPr>
          <w:szCs w:val="20"/>
        </w:rPr>
        <w:t>Ņemot vērā Eiropas Komisijas (turpmāk – EK) paziņojumu par vispārējās izņēmuma klauzulas saglabāšanu 2022.</w:t>
      </w:r>
      <w:r w:rsidR="00E73727">
        <w:rPr>
          <w:szCs w:val="20"/>
        </w:rPr>
        <w:t> </w:t>
      </w:r>
      <w:r w:rsidRPr="004B6B5C">
        <w:rPr>
          <w:szCs w:val="20"/>
        </w:rPr>
        <w:t>gadā, un to, ka vidējā termiņā EK atbalsta pakāpenisku budžeta deficīta samazinājumu, Covid-19 infekcijas izplatības seku pārvarēšanas likuma 33.</w:t>
      </w:r>
      <w:r w:rsidR="00E73727">
        <w:rPr>
          <w:szCs w:val="20"/>
        </w:rPr>
        <w:t> </w:t>
      </w:r>
      <w:r w:rsidRPr="004B6B5C">
        <w:rPr>
          <w:szCs w:val="20"/>
        </w:rPr>
        <w:t>pants atbilstoši Finanšu ministrijas priekšlikumam ir papildināts ar jaunu otro daļu:</w:t>
      </w:r>
    </w:p>
    <w:p w14:paraId="474B3F79" w14:textId="77777777" w:rsidR="004B6B5C" w:rsidRPr="00031896" w:rsidRDefault="004B6B5C" w:rsidP="00C755C1">
      <w:pPr>
        <w:pStyle w:val="tv213"/>
        <w:pBdr>
          <w:top w:val="single" w:sz="4" w:space="1" w:color="auto"/>
          <w:left w:val="single" w:sz="4" w:space="1" w:color="auto"/>
          <w:bottom w:val="single" w:sz="4" w:space="1" w:color="auto"/>
          <w:right w:val="single" w:sz="4" w:space="4" w:color="auto"/>
        </w:pBdr>
        <w:shd w:val="clear" w:color="auto" w:fill="FFFFFF"/>
        <w:spacing w:before="0" w:beforeAutospacing="0" w:after="120" w:afterAutospacing="0"/>
        <w:ind w:firstLine="300"/>
        <w:jc w:val="both"/>
        <w:rPr>
          <w:b/>
          <w:bCs/>
          <w:i/>
          <w:color w:val="414142"/>
        </w:rPr>
      </w:pPr>
      <w:r w:rsidRPr="00031896">
        <w:rPr>
          <w:i/>
        </w:rPr>
        <w:t>Covid-19 infekcijas izplatības seku pārvarēšanas likums</w:t>
      </w:r>
    </w:p>
    <w:p w14:paraId="180980FD" w14:textId="77777777" w:rsidR="004B6B5C" w:rsidRPr="00031896" w:rsidRDefault="004B6B5C" w:rsidP="00C755C1">
      <w:pPr>
        <w:pStyle w:val="tv213"/>
        <w:pBdr>
          <w:top w:val="single" w:sz="4" w:space="1" w:color="auto"/>
          <w:left w:val="single" w:sz="4" w:space="1" w:color="auto"/>
          <w:bottom w:val="single" w:sz="4" w:space="1" w:color="auto"/>
          <w:right w:val="single" w:sz="4" w:space="4" w:color="auto"/>
        </w:pBdr>
        <w:shd w:val="clear" w:color="auto" w:fill="FFFFFF"/>
        <w:spacing w:before="0" w:beforeAutospacing="0" w:after="120" w:afterAutospacing="0"/>
        <w:ind w:firstLine="300"/>
        <w:jc w:val="both"/>
        <w:rPr>
          <w:color w:val="414142"/>
        </w:rPr>
      </w:pPr>
      <w:r w:rsidRPr="00031896">
        <w:rPr>
          <w:b/>
          <w:bCs/>
          <w:color w:val="414142"/>
        </w:rPr>
        <w:t>33. pants. </w:t>
      </w:r>
      <w:r w:rsidRPr="00031896">
        <w:rPr>
          <w:color w:val="414142"/>
        </w:rPr>
        <w:t>(1) 2020. un 2021. gadā netiek piemēroti </w:t>
      </w:r>
      <w:hyperlink r:id="rId12" w:tgtFrame="_blank" w:history="1">
        <w:r w:rsidRPr="00031896">
          <w:rPr>
            <w:rStyle w:val="Hyperlink"/>
            <w:color w:val="16497B"/>
          </w:rPr>
          <w:t>Fiskālās disciplīnas likuma</w:t>
        </w:r>
      </w:hyperlink>
      <w:r w:rsidRPr="00031896">
        <w:rPr>
          <w:color w:val="414142"/>
        </w:rPr>
        <w:t> </w:t>
      </w:r>
      <w:hyperlink r:id="rId13" w:anchor="p7" w:tgtFrame="_blank" w:history="1">
        <w:r w:rsidRPr="00031896">
          <w:rPr>
            <w:rStyle w:val="Hyperlink"/>
            <w:color w:val="16497B"/>
          </w:rPr>
          <w:t>7. panta</w:t>
        </w:r>
      </w:hyperlink>
      <w:r w:rsidRPr="00031896">
        <w:rPr>
          <w:color w:val="414142"/>
        </w:rPr>
        <w:t> trešās daļas, </w:t>
      </w:r>
      <w:hyperlink r:id="rId14" w:anchor="p9" w:tgtFrame="_blank" w:history="1">
        <w:r w:rsidRPr="00031896">
          <w:rPr>
            <w:rStyle w:val="Hyperlink"/>
            <w:color w:val="16497B"/>
          </w:rPr>
          <w:t>9. panta</w:t>
        </w:r>
      </w:hyperlink>
      <w:r w:rsidRPr="00031896">
        <w:rPr>
          <w:color w:val="414142"/>
        </w:rPr>
        <w:t> un </w:t>
      </w:r>
      <w:hyperlink r:id="rId15" w:anchor="p12" w:tgtFrame="_blank" w:history="1">
        <w:r w:rsidRPr="00031896">
          <w:rPr>
            <w:rStyle w:val="Hyperlink"/>
            <w:color w:val="16497B"/>
          </w:rPr>
          <w:t>12. panta</w:t>
        </w:r>
      </w:hyperlink>
      <w:r w:rsidRPr="00031896">
        <w:rPr>
          <w:color w:val="414142"/>
        </w:rPr>
        <w:t> trešās daļas nosacījumi.</w:t>
      </w:r>
    </w:p>
    <w:p w14:paraId="5FCA195D" w14:textId="469BC6F7" w:rsidR="004B6B5C" w:rsidRPr="004B6B5C" w:rsidRDefault="004B6B5C" w:rsidP="00C755C1">
      <w:pPr>
        <w:pStyle w:val="tv213"/>
        <w:pBdr>
          <w:top w:val="single" w:sz="4" w:space="1" w:color="auto"/>
          <w:left w:val="single" w:sz="4" w:space="1" w:color="auto"/>
          <w:bottom w:val="single" w:sz="4" w:space="1" w:color="auto"/>
          <w:right w:val="single" w:sz="4" w:space="4" w:color="auto"/>
        </w:pBdr>
        <w:shd w:val="clear" w:color="auto" w:fill="FFFFFF"/>
        <w:spacing w:before="0" w:beforeAutospacing="0" w:after="120" w:afterAutospacing="0"/>
        <w:ind w:firstLine="300"/>
        <w:jc w:val="both"/>
        <w:rPr>
          <w:color w:val="414142"/>
        </w:rPr>
      </w:pPr>
      <w:r w:rsidRPr="00031896">
        <w:rPr>
          <w:color w:val="414142"/>
        </w:rPr>
        <w:t>(2) Izstrādājot likumprojektu "Par vidēja termiņa budžeta ietvaru 2022., 2023. un 2024. gadam" un likumprojektu "Par valsts budžetu 2022. gadam" un izpildot minētos likumus, netiek piemēroti </w:t>
      </w:r>
      <w:hyperlink r:id="rId16" w:tgtFrame="_blank" w:history="1">
        <w:r w:rsidRPr="00031896">
          <w:rPr>
            <w:rStyle w:val="Hyperlink"/>
            <w:color w:val="16497B"/>
          </w:rPr>
          <w:t>Fiskālās disciplīnas likuma</w:t>
        </w:r>
      </w:hyperlink>
      <w:r w:rsidRPr="00031896">
        <w:rPr>
          <w:color w:val="414142"/>
        </w:rPr>
        <w:t> </w:t>
      </w:r>
      <w:hyperlink r:id="rId17" w:anchor="p7" w:tgtFrame="_blank" w:history="1">
        <w:r w:rsidRPr="00031896">
          <w:rPr>
            <w:rStyle w:val="Hyperlink"/>
            <w:color w:val="16497B"/>
          </w:rPr>
          <w:t>7. panta</w:t>
        </w:r>
      </w:hyperlink>
      <w:r w:rsidRPr="00031896">
        <w:rPr>
          <w:color w:val="414142"/>
        </w:rPr>
        <w:t> trešās daļas un </w:t>
      </w:r>
      <w:hyperlink r:id="rId18" w:anchor="p9" w:tgtFrame="_blank" w:history="1">
        <w:r w:rsidRPr="00031896">
          <w:rPr>
            <w:rStyle w:val="Hyperlink"/>
            <w:color w:val="16497B"/>
          </w:rPr>
          <w:t>9.</w:t>
        </w:r>
      </w:hyperlink>
      <w:r w:rsidRPr="00031896">
        <w:rPr>
          <w:color w:val="414142"/>
        </w:rPr>
        <w:t>, </w:t>
      </w:r>
      <w:hyperlink r:id="rId19" w:anchor="p10" w:tgtFrame="_blank" w:history="1">
        <w:r w:rsidRPr="00031896">
          <w:rPr>
            <w:rStyle w:val="Hyperlink"/>
            <w:color w:val="16497B"/>
          </w:rPr>
          <w:t>10. </w:t>
        </w:r>
      </w:hyperlink>
      <w:r w:rsidRPr="00031896">
        <w:rPr>
          <w:color w:val="414142"/>
        </w:rPr>
        <w:t>un </w:t>
      </w:r>
      <w:hyperlink r:id="rId20" w:anchor="p13" w:tgtFrame="_blank" w:history="1">
        <w:r w:rsidRPr="00031896">
          <w:rPr>
            <w:rStyle w:val="Hyperlink"/>
            <w:color w:val="16497B"/>
          </w:rPr>
          <w:t>13. panta</w:t>
        </w:r>
      </w:hyperlink>
      <w:r w:rsidRPr="00031896">
        <w:rPr>
          <w:color w:val="414142"/>
        </w:rPr>
        <w:t> nosacījumi, bet tiek piemēroti saskaņā ar Padomes 1997. gada 7. jūlija regulas (EK) Nr. </w:t>
      </w:r>
      <w:hyperlink r:id="rId21" w:tgtFrame="_blank" w:history="1">
        <w:r w:rsidRPr="00031896">
          <w:rPr>
            <w:rStyle w:val="Hyperlink"/>
            <w:color w:val="16497B"/>
          </w:rPr>
          <w:t>1466/97</w:t>
        </w:r>
      </w:hyperlink>
      <w:r w:rsidRPr="00031896">
        <w:rPr>
          <w:color w:val="414142"/>
        </w:rPr>
        <w:t> par budžeta stāvokļa uzraudzības un ekonomikas politikas uzraudzības un koordinācijas stiprināšanu 5. panta otro daļu izdotā atzinuma nosacījumi.</w:t>
      </w:r>
    </w:p>
    <w:p w14:paraId="673BEA76" w14:textId="3FDF308A" w:rsidR="004B6B5C" w:rsidRPr="004B6B5C" w:rsidRDefault="004B6B5C" w:rsidP="00E73727">
      <w:pPr>
        <w:spacing w:before="60" w:after="60"/>
        <w:rPr>
          <w:szCs w:val="20"/>
        </w:rPr>
      </w:pPr>
      <w:r w:rsidRPr="004B6B5C">
        <w:rPr>
          <w:szCs w:val="20"/>
        </w:rPr>
        <w:t>Šis regulējums paredz, ka likumprojektu "Par vidēja termiņa budžeta ietvaru 2022., 2023. un 2024.</w:t>
      </w:r>
      <w:r w:rsidR="00E73727">
        <w:rPr>
          <w:szCs w:val="20"/>
        </w:rPr>
        <w:t> </w:t>
      </w:r>
      <w:r w:rsidRPr="004B6B5C">
        <w:rPr>
          <w:szCs w:val="20"/>
        </w:rPr>
        <w:t>gadam" un likumprojektu "Par valsts budžetu 2022.</w:t>
      </w:r>
      <w:r w:rsidR="00E73727">
        <w:rPr>
          <w:szCs w:val="20"/>
        </w:rPr>
        <w:t> </w:t>
      </w:r>
      <w:r w:rsidRPr="004B6B5C">
        <w:rPr>
          <w:szCs w:val="20"/>
        </w:rPr>
        <w:t>gadam" izstrādē un minēto likumu izpildē netiek piemēroti Fiskālās disciplīnas likuma fiskālie nosacījumi, tā vietā piemērojot ES Padomes rekomendācijas fiskālās politikas jomā.</w:t>
      </w:r>
    </w:p>
    <w:p w14:paraId="177ADAC0" w14:textId="690EF070" w:rsidR="004B6B5C" w:rsidRPr="004B6B5C" w:rsidRDefault="004B6B5C" w:rsidP="00E73727">
      <w:pPr>
        <w:spacing w:before="60" w:after="60"/>
        <w:rPr>
          <w:szCs w:val="20"/>
        </w:rPr>
      </w:pPr>
      <w:r w:rsidRPr="004B6B5C">
        <w:rPr>
          <w:szCs w:val="20"/>
        </w:rPr>
        <w:t>EK 2021.</w:t>
      </w:r>
      <w:r w:rsidR="00E73727">
        <w:rPr>
          <w:szCs w:val="20"/>
        </w:rPr>
        <w:t> </w:t>
      </w:r>
      <w:r w:rsidRPr="004B6B5C">
        <w:rPr>
          <w:szCs w:val="20"/>
        </w:rPr>
        <w:t>gada 2.</w:t>
      </w:r>
      <w:r w:rsidR="00E73727">
        <w:rPr>
          <w:szCs w:val="20"/>
        </w:rPr>
        <w:t> </w:t>
      </w:r>
      <w:r w:rsidRPr="004B6B5C">
        <w:rPr>
          <w:szCs w:val="20"/>
        </w:rPr>
        <w:t>jūnija fiskālās politikas rekomendācijas (ES Padome šīs rekomendācijas pieņēma š</w:t>
      </w:r>
      <w:r w:rsidR="00E73727">
        <w:rPr>
          <w:szCs w:val="20"/>
        </w:rPr>
        <w:t>ā gada</w:t>
      </w:r>
      <w:r w:rsidRPr="004B6B5C">
        <w:rPr>
          <w:szCs w:val="20"/>
        </w:rPr>
        <w:t xml:space="preserve"> 18.</w:t>
      </w:r>
      <w:r w:rsidR="00E73727">
        <w:rPr>
          <w:szCs w:val="20"/>
        </w:rPr>
        <w:t> </w:t>
      </w:r>
      <w:r w:rsidRPr="004B6B5C">
        <w:rPr>
          <w:szCs w:val="20"/>
        </w:rPr>
        <w:t>jūnijā) 2022.</w:t>
      </w:r>
      <w:r w:rsidR="00E73727">
        <w:rPr>
          <w:szCs w:val="20"/>
        </w:rPr>
        <w:t> </w:t>
      </w:r>
      <w:r w:rsidRPr="004B6B5C">
        <w:rPr>
          <w:szCs w:val="20"/>
        </w:rPr>
        <w:t>gada budžeta sagatavošanā atšķirībā no 2021.</w:t>
      </w:r>
      <w:r w:rsidR="00E73727">
        <w:rPr>
          <w:szCs w:val="20"/>
        </w:rPr>
        <w:t> </w:t>
      </w:r>
      <w:r w:rsidRPr="004B6B5C">
        <w:rPr>
          <w:szCs w:val="20"/>
        </w:rPr>
        <w:t>gada, kad no EK un Padomes puses tika pieļauta vispārējās valdības deficīta palielināšana tādā apmērā, kas nepieciešams Covid-19 krīzes mazināšanai, paredz jaunus nosacījumus:</w:t>
      </w:r>
    </w:p>
    <w:p w14:paraId="01D75493" w14:textId="647B077C" w:rsidR="004B6B5C" w:rsidRPr="0049438C" w:rsidRDefault="004B6B5C" w:rsidP="00E73727">
      <w:pPr>
        <w:pStyle w:val="ListParagraph"/>
        <w:numPr>
          <w:ilvl w:val="0"/>
          <w:numId w:val="28"/>
        </w:numPr>
        <w:spacing w:before="60" w:after="60"/>
        <w:ind w:left="714" w:hanging="357"/>
        <w:contextualSpacing w:val="0"/>
      </w:pPr>
      <w:r w:rsidRPr="00C55657">
        <w:rPr>
          <w:b/>
          <w:bCs/>
        </w:rPr>
        <w:t>Kārtējie izdevumi</w:t>
      </w:r>
      <w:r w:rsidRPr="00C55657">
        <w:t>.</w:t>
      </w:r>
      <w:r w:rsidRPr="00031896">
        <w:t xml:space="preserve"> Ir jākontrolē nacionāli finansēto primāro kārtējo izdevumu pieaugums. EK nacionāli finansētos primāros kārtējos izdevumus definē kā vispārējās valdības budžeta izdevumus, no kuriem atskaitīti parāda apkalpošanas izdevumi, kapitālie izdevumi, kārtējie ES fondu izdevumi (ES budžeta daļa), kā arī Covid-19 ārkārtas atbalsta izdevumi. Savukārt pieļaujamais izdevumu pieaugums kārtējā gadā tiek noteikts</w:t>
      </w:r>
      <w:r w:rsidR="00E73727">
        <w:t>,</w:t>
      </w:r>
      <w:r w:rsidRPr="00031896">
        <w:t xml:space="preserve"> </w:t>
      </w:r>
      <w:r w:rsidRPr="0049438C">
        <w:t>balstoties uz iepriekšējā gada kārtējo izdevumu apmēru, kas ņem vērā 10</w:t>
      </w:r>
      <w:r w:rsidR="00E73727">
        <w:t> </w:t>
      </w:r>
      <w:r w:rsidRPr="0049438C">
        <w:t>gadu vidējā potenciālā IKP pieaugumu, IKP</w:t>
      </w:r>
      <w:r w:rsidRPr="0049438C">
        <w:rPr>
          <w:noProof/>
        </w:rPr>
        <w:t xml:space="preserve"> deflatoru</w:t>
      </w:r>
      <w:r w:rsidRPr="0049438C">
        <w:t xml:space="preserve"> un </w:t>
      </w:r>
      <w:r w:rsidRPr="0049438C">
        <w:rPr>
          <w:noProof/>
        </w:rPr>
        <w:t>diskrecionāros ieņēmumu</w:t>
      </w:r>
      <w:r w:rsidRPr="0049438C">
        <w:t xml:space="preserve"> pasākumus;</w:t>
      </w:r>
    </w:p>
    <w:p w14:paraId="3CD43B35" w14:textId="77777777" w:rsidR="004B6B5C" w:rsidRPr="0049438C" w:rsidRDefault="004B6B5C" w:rsidP="00E73727">
      <w:pPr>
        <w:pStyle w:val="ListParagraph"/>
        <w:numPr>
          <w:ilvl w:val="0"/>
          <w:numId w:val="28"/>
        </w:numPr>
        <w:spacing w:before="60" w:after="60"/>
        <w:ind w:left="714" w:hanging="357"/>
        <w:contextualSpacing w:val="0"/>
      </w:pPr>
      <w:r w:rsidRPr="00C55657">
        <w:rPr>
          <w:b/>
          <w:bCs/>
        </w:rPr>
        <w:t>Covid-19 atbalsta pasākumi.</w:t>
      </w:r>
      <w:r w:rsidRPr="0049438C">
        <w:t xml:space="preserve"> Covid-19  ārkārtas vienreizējie pasākumi ir finansējami uz deficīta pieauguma rēķina atbilstoši nepieciešamībai bez kvantitatīva ierobežojuma;</w:t>
      </w:r>
    </w:p>
    <w:p w14:paraId="046469FB" w14:textId="04C7DC62" w:rsidR="004B6B5C" w:rsidRDefault="004B6B5C" w:rsidP="00E73727">
      <w:pPr>
        <w:pStyle w:val="ListParagraph"/>
        <w:numPr>
          <w:ilvl w:val="0"/>
          <w:numId w:val="28"/>
        </w:numPr>
        <w:spacing w:before="60" w:after="60"/>
        <w:ind w:left="714" w:hanging="357"/>
        <w:contextualSpacing w:val="0"/>
      </w:pPr>
      <w:r w:rsidRPr="00C55657">
        <w:rPr>
          <w:b/>
          <w:bCs/>
        </w:rPr>
        <w:t>Investīcijas.</w:t>
      </w:r>
      <w:r w:rsidRPr="0049438C">
        <w:t xml:space="preserve"> Nacionāli finansēto investīciju apjomu 2022.</w:t>
      </w:r>
      <w:r w:rsidR="00E73727">
        <w:t> </w:t>
      </w:r>
      <w:r w:rsidRPr="0049438C">
        <w:t>gadā ir jāsaglabā 2021.</w:t>
      </w:r>
      <w:r w:rsidR="00E73727">
        <w:t> </w:t>
      </w:r>
      <w:r w:rsidRPr="0049438C">
        <w:t>gada apjomā. Faktiski</w:t>
      </w:r>
      <w:r w:rsidRPr="00031896">
        <w:t xml:space="preserve"> nav noteikti ierobežojumi šī apjoma palielināšanai virs 2021.</w:t>
      </w:r>
      <w:r w:rsidR="00E73727">
        <w:t> </w:t>
      </w:r>
      <w:r w:rsidRPr="00031896">
        <w:t>gada līmeņa, ja vien tie ir vienreizēji projekti, kas tiek pabeigti vidējā termiņā.</w:t>
      </w:r>
    </w:p>
    <w:p w14:paraId="5BBCF2C5" w14:textId="3F37E25B" w:rsidR="004B6B5C" w:rsidRPr="004B6B5C" w:rsidRDefault="004B6B5C" w:rsidP="00E73727">
      <w:pPr>
        <w:spacing w:before="60" w:after="60"/>
        <w:rPr>
          <w:szCs w:val="20"/>
        </w:rPr>
      </w:pPr>
      <w:r w:rsidRPr="004B6B5C">
        <w:rPr>
          <w:szCs w:val="20"/>
        </w:rPr>
        <w:lastRenderedPageBreak/>
        <w:t>Vienlaikus pašreizējā brīdī pastāv liela nenoteiktība par fiskālo nosacījumu darbību 2023.</w:t>
      </w:r>
      <w:r w:rsidR="00E73727">
        <w:rPr>
          <w:szCs w:val="20"/>
        </w:rPr>
        <w:t> </w:t>
      </w:r>
      <w:r w:rsidRPr="004B6B5C">
        <w:rPr>
          <w:szCs w:val="20"/>
        </w:rPr>
        <w:t>gadā un turpmākajos gados, kas apgrūtina vidēja termiņa budžeta plānošanu. Vispārējā izņēmuma klauzula ar augstu varbūtību tiks atcelta 2023.</w:t>
      </w:r>
      <w:r w:rsidR="00E73727">
        <w:rPr>
          <w:szCs w:val="20"/>
        </w:rPr>
        <w:t> </w:t>
      </w:r>
      <w:r w:rsidRPr="004B6B5C">
        <w:rPr>
          <w:szCs w:val="20"/>
        </w:rPr>
        <w:t xml:space="preserve">gadā, bet saglabājas neskaidrība par to, kāda būs deficīta samazināšanas trajektorija un vai Stabilitātes un </w:t>
      </w:r>
      <w:r w:rsidRPr="004B6B5C">
        <w:rPr>
          <w:noProof/>
          <w:szCs w:val="20"/>
        </w:rPr>
        <w:t>izaugsmes pakta</w:t>
      </w:r>
      <w:r w:rsidRPr="004B6B5C">
        <w:rPr>
          <w:szCs w:val="20"/>
        </w:rPr>
        <w:t xml:space="preserve"> noteikumi līdz tam laikam netiks grozīti.</w:t>
      </w:r>
    </w:p>
    <w:p w14:paraId="490426A8" w14:textId="5EBC3F0F" w:rsidR="004B6B5C" w:rsidRDefault="004B6B5C" w:rsidP="00E73727">
      <w:pPr>
        <w:spacing w:before="60" w:after="60"/>
        <w:rPr>
          <w:szCs w:val="20"/>
        </w:rPr>
      </w:pPr>
      <w:r w:rsidRPr="004B6B5C">
        <w:rPr>
          <w:szCs w:val="20"/>
        </w:rPr>
        <w:t>Šādos apstākļos, kad deficīta samazināšanas trajektorija vidējā termiņā normatīvajā regulējumā nav noteikta, budžeta izstrādē par būtiskāko fiskālo rādītāju kļūst vispārējās valdības parāds, kas jau pie nemainīgas politikas 2022.</w:t>
      </w:r>
      <w:r w:rsidR="00E73727">
        <w:rPr>
          <w:szCs w:val="20"/>
        </w:rPr>
        <w:t> </w:t>
      </w:r>
      <w:r w:rsidRPr="004B6B5C">
        <w:rPr>
          <w:szCs w:val="20"/>
        </w:rPr>
        <w:t xml:space="preserve">gadā jau pārsniedz 50% no IKP.  </w:t>
      </w:r>
    </w:p>
    <w:p w14:paraId="5DE421A5" w14:textId="76CC1CE1" w:rsidR="004B6B5C" w:rsidRPr="00B26DBF" w:rsidRDefault="00E73727" w:rsidP="00B26DBF">
      <w:pPr>
        <w:spacing w:after="60"/>
        <w:jc w:val="center"/>
        <w:rPr>
          <w:rFonts w:eastAsia="Calibri" w:cs="Times New Roman"/>
          <w:b/>
          <w:sz w:val="24"/>
          <w:szCs w:val="24"/>
        </w:rPr>
      </w:pPr>
      <w:r>
        <w:rPr>
          <w:rFonts w:eastAsia="Calibri" w:cs="Times New Roman"/>
          <w:b/>
          <w:sz w:val="24"/>
          <w:szCs w:val="24"/>
        </w:rPr>
        <w:t>7</w:t>
      </w:r>
      <w:r w:rsidR="00B26DBF" w:rsidRPr="00B26DBF">
        <w:rPr>
          <w:rFonts w:eastAsia="Calibri" w:cs="Times New Roman"/>
          <w:b/>
          <w:sz w:val="24"/>
          <w:szCs w:val="24"/>
        </w:rPr>
        <w:t>.tabula.</w:t>
      </w:r>
      <w:r w:rsidR="004B6B5C" w:rsidRPr="00B26DBF">
        <w:rPr>
          <w:rFonts w:eastAsia="Calibri" w:cs="Times New Roman"/>
          <w:b/>
          <w:sz w:val="24"/>
          <w:szCs w:val="24"/>
        </w:rPr>
        <w:t xml:space="preserve">Vispārējās valdības parāda prognozes 2021.-2024. gadam, </w:t>
      </w:r>
      <w:r>
        <w:rPr>
          <w:rFonts w:eastAsia="Calibri" w:cs="Times New Roman"/>
          <w:b/>
          <w:sz w:val="24"/>
          <w:szCs w:val="24"/>
        </w:rPr>
        <w:br/>
      </w:r>
      <w:r w:rsidR="004B6B5C" w:rsidRPr="00B26DBF">
        <w:rPr>
          <w:rFonts w:eastAsia="Calibri" w:cs="Times New Roman"/>
          <w:b/>
          <w:sz w:val="24"/>
          <w:szCs w:val="24"/>
        </w:rPr>
        <w:t>nemainīgas politikas scenārijs</w:t>
      </w:r>
    </w:p>
    <w:tbl>
      <w:tblPr>
        <w:tblW w:w="9072" w:type="dxa"/>
        <w:tblInd w:w="-5" w:type="dxa"/>
        <w:tblLook w:val="04A0" w:firstRow="1" w:lastRow="0" w:firstColumn="1" w:lastColumn="0" w:noHBand="0" w:noVBand="1"/>
      </w:tblPr>
      <w:tblGrid>
        <w:gridCol w:w="4958"/>
        <w:gridCol w:w="1138"/>
        <w:gridCol w:w="992"/>
        <w:gridCol w:w="992"/>
        <w:gridCol w:w="992"/>
      </w:tblGrid>
      <w:tr w:rsidR="004B6B5C" w:rsidRPr="00E73727" w14:paraId="5EFCBEE4" w14:textId="77777777" w:rsidTr="00E73727">
        <w:trPr>
          <w:trHeight w:val="20"/>
        </w:trPr>
        <w:tc>
          <w:tcPr>
            <w:tcW w:w="49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A4CFF" w14:textId="77777777" w:rsidR="004B6B5C" w:rsidRPr="00E73727" w:rsidRDefault="004B6B5C" w:rsidP="004B6B5C">
            <w:pPr>
              <w:spacing w:before="0" w:after="0"/>
              <w:ind w:firstLine="0"/>
              <w:jc w:val="left"/>
              <w:rPr>
                <w:rFonts w:eastAsia="Times New Roman" w:cs="Times New Roman"/>
                <w:b/>
                <w:sz w:val="20"/>
                <w:szCs w:val="20"/>
                <w:lang w:eastAsia="lv-LV"/>
              </w:rPr>
            </w:pPr>
          </w:p>
        </w:tc>
        <w:tc>
          <w:tcPr>
            <w:tcW w:w="1138" w:type="dxa"/>
            <w:tcBorders>
              <w:top w:val="single" w:sz="4" w:space="0" w:color="auto"/>
              <w:left w:val="nil"/>
              <w:bottom w:val="single" w:sz="4" w:space="0" w:color="auto"/>
              <w:right w:val="single" w:sz="4" w:space="0" w:color="auto"/>
            </w:tcBorders>
            <w:shd w:val="clear" w:color="auto" w:fill="auto"/>
            <w:noWrap/>
          </w:tcPr>
          <w:p w14:paraId="1AF8C7C1" w14:textId="77777777" w:rsidR="004B6B5C" w:rsidRPr="00E73727" w:rsidRDefault="004B6B5C" w:rsidP="009930F8">
            <w:pPr>
              <w:spacing w:after="0"/>
              <w:ind w:firstLine="0"/>
              <w:jc w:val="center"/>
              <w:rPr>
                <w:rFonts w:eastAsia="Times New Roman" w:cs="Times New Roman"/>
                <w:b/>
                <w:sz w:val="20"/>
                <w:szCs w:val="20"/>
                <w:lang w:eastAsia="lv-LV"/>
              </w:rPr>
            </w:pPr>
            <w:r w:rsidRPr="00E73727">
              <w:rPr>
                <w:rFonts w:eastAsia="Times New Roman" w:cs="Times New Roman"/>
                <w:b/>
                <w:sz w:val="20"/>
                <w:szCs w:val="20"/>
                <w:lang w:eastAsia="lv-LV"/>
              </w:rPr>
              <w:t>2021</w:t>
            </w:r>
          </w:p>
        </w:tc>
        <w:tc>
          <w:tcPr>
            <w:tcW w:w="992" w:type="dxa"/>
            <w:tcBorders>
              <w:top w:val="single" w:sz="4" w:space="0" w:color="auto"/>
              <w:left w:val="nil"/>
              <w:bottom w:val="single" w:sz="4" w:space="0" w:color="auto"/>
              <w:right w:val="single" w:sz="4" w:space="0" w:color="auto"/>
            </w:tcBorders>
            <w:shd w:val="clear" w:color="auto" w:fill="auto"/>
            <w:noWrap/>
          </w:tcPr>
          <w:p w14:paraId="5513E6FE" w14:textId="77777777" w:rsidR="004B6B5C" w:rsidRPr="00E73727" w:rsidRDefault="004B6B5C" w:rsidP="009930F8">
            <w:pPr>
              <w:spacing w:after="0"/>
              <w:ind w:firstLine="0"/>
              <w:jc w:val="center"/>
              <w:rPr>
                <w:rFonts w:eastAsia="Times New Roman" w:cs="Times New Roman"/>
                <w:b/>
                <w:sz w:val="20"/>
                <w:szCs w:val="20"/>
                <w:lang w:eastAsia="lv-LV"/>
              </w:rPr>
            </w:pPr>
            <w:r w:rsidRPr="00E73727">
              <w:rPr>
                <w:rFonts w:eastAsia="Times New Roman" w:cs="Times New Roman"/>
                <w:b/>
                <w:sz w:val="20"/>
                <w:szCs w:val="20"/>
                <w:lang w:eastAsia="lv-LV"/>
              </w:rPr>
              <w:t>2022</w:t>
            </w:r>
          </w:p>
        </w:tc>
        <w:tc>
          <w:tcPr>
            <w:tcW w:w="992" w:type="dxa"/>
            <w:tcBorders>
              <w:top w:val="single" w:sz="4" w:space="0" w:color="auto"/>
              <w:left w:val="nil"/>
              <w:bottom w:val="single" w:sz="4" w:space="0" w:color="auto"/>
              <w:right w:val="single" w:sz="4" w:space="0" w:color="auto"/>
            </w:tcBorders>
            <w:shd w:val="clear" w:color="auto" w:fill="auto"/>
            <w:noWrap/>
          </w:tcPr>
          <w:p w14:paraId="77917ABB" w14:textId="77777777" w:rsidR="004B6B5C" w:rsidRPr="00E73727" w:rsidRDefault="004B6B5C" w:rsidP="009930F8">
            <w:pPr>
              <w:spacing w:after="0"/>
              <w:ind w:firstLine="0"/>
              <w:jc w:val="center"/>
              <w:rPr>
                <w:rFonts w:eastAsia="Times New Roman" w:cs="Times New Roman"/>
                <w:b/>
                <w:sz w:val="20"/>
                <w:szCs w:val="20"/>
                <w:lang w:eastAsia="lv-LV"/>
              </w:rPr>
            </w:pPr>
            <w:r w:rsidRPr="00E73727">
              <w:rPr>
                <w:rFonts w:eastAsia="Times New Roman" w:cs="Times New Roman"/>
                <w:b/>
                <w:sz w:val="20"/>
                <w:szCs w:val="20"/>
                <w:lang w:eastAsia="lv-LV"/>
              </w:rPr>
              <w:t>2023</w:t>
            </w:r>
          </w:p>
        </w:tc>
        <w:tc>
          <w:tcPr>
            <w:tcW w:w="992" w:type="dxa"/>
            <w:tcBorders>
              <w:top w:val="single" w:sz="4" w:space="0" w:color="auto"/>
              <w:left w:val="nil"/>
              <w:bottom w:val="single" w:sz="4" w:space="0" w:color="auto"/>
              <w:right w:val="single" w:sz="4" w:space="0" w:color="auto"/>
            </w:tcBorders>
            <w:shd w:val="clear" w:color="auto" w:fill="auto"/>
            <w:noWrap/>
          </w:tcPr>
          <w:p w14:paraId="231E5DAF" w14:textId="77777777" w:rsidR="004B6B5C" w:rsidRPr="00E73727" w:rsidRDefault="004B6B5C" w:rsidP="009930F8">
            <w:pPr>
              <w:spacing w:after="0"/>
              <w:ind w:firstLine="0"/>
              <w:jc w:val="center"/>
              <w:rPr>
                <w:rFonts w:eastAsia="Times New Roman" w:cs="Times New Roman"/>
                <w:b/>
                <w:sz w:val="20"/>
                <w:szCs w:val="20"/>
                <w:lang w:eastAsia="lv-LV"/>
              </w:rPr>
            </w:pPr>
            <w:r w:rsidRPr="00E73727">
              <w:rPr>
                <w:rFonts w:eastAsia="Times New Roman" w:cs="Times New Roman"/>
                <w:b/>
                <w:sz w:val="20"/>
                <w:szCs w:val="20"/>
                <w:lang w:eastAsia="lv-LV"/>
              </w:rPr>
              <w:t>2024</w:t>
            </w:r>
          </w:p>
        </w:tc>
      </w:tr>
      <w:tr w:rsidR="004B6B5C" w:rsidRPr="00E73727" w14:paraId="72BCF1BD" w14:textId="77777777" w:rsidTr="00E73727">
        <w:trPr>
          <w:trHeight w:val="20"/>
        </w:trPr>
        <w:tc>
          <w:tcPr>
            <w:tcW w:w="4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41323" w14:textId="3FC7EF96" w:rsidR="004B6B5C" w:rsidRPr="00E4507C" w:rsidRDefault="004B6B5C" w:rsidP="004B6B5C">
            <w:pPr>
              <w:spacing w:before="0" w:after="0"/>
              <w:ind w:firstLine="0"/>
              <w:jc w:val="right"/>
              <w:rPr>
                <w:rFonts w:eastAsia="Times New Roman" w:cs="Times New Roman"/>
                <w:bCs/>
                <w:noProof/>
                <w:sz w:val="20"/>
                <w:szCs w:val="20"/>
                <w:lang w:eastAsia="lv-LV"/>
              </w:rPr>
            </w:pPr>
            <w:r w:rsidRPr="00E4507C">
              <w:rPr>
                <w:rFonts w:eastAsia="Times New Roman" w:cs="Times New Roman"/>
                <w:bCs/>
                <w:noProof/>
                <w:sz w:val="20"/>
                <w:szCs w:val="20"/>
                <w:lang w:eastAsia="lv-LV"/>
              </w:rPr>
              <w:t xml:space="preserve">IKP, milj. </w:t>
            </w:r>
            <w:r w:rsidRPr="00E4507C">
              <w:rPr>
                <w:rFonts w:eastAsia="Times New Roman" w:cs="Times New Roman"/>
                <w:bCs/>
                <w:i/>
                <w:iCs/>
                <w:noProof/>
                <w:sz w:val="20"/>
                <w:szCs w:val="20"/>
                <w:lang w:eastAsia="lv-LV"/>
              </w:rPr>
              <w:t>euro</w:t>
            </w:r>
          </w:p>
        </w:tc>
        <w:tc>
          <w:tcPr>
            <w:tcW w:w="1138" w:type="dxa"/>
            <w:tcBorders>
              <w:top w:val="single" w:sz="4" w:space="0" w:color="auto"/>
              <w:left w:val="nil"/>
              <w:bottom w:val="single" w:sz="4" w:space="0" w:color="auto"/>
              <w:right w:val="single" w:sz="4" w:space="0" w:color="auto"/>
            </w:tcBorders>
            <w:shd w:val="clear" w:color="auto" w:fill="auto"/>
            <w:noWrap/>
            <w:hideMark/>
          </w:tcPr>
          <w:p w14:paraId="65CEE52D" w14:textId="77777777" w:rsidR="004B6B5C" w:rsidRPr="00E4507C" w:rsidRDefault="004B6B5C" w:rsidP="009930F8">
            <w:pPr>
              <w:spacing w:after="0"/>
              <w:ind w:firstLine="0"/>
              <w:jc w:val="center"/>
              <w:rPr>
                <w:rFonts w:eastAsia="Times New Roman" w:cs="Times New Roman"/>
                <w:bCs/>
                <w:sz w:val="20"/>
                <w:szCs w:val="20"/>
                <w:lang w:eastAsia="lv-LV"/>
              </w:rPr>
            </w:pPr>
            <w:r w:rsidRPr="00E4507C">
              <w:rPr>
                <w:rFonts w:eastAsia="Times New Roman" w:cs="Times New Roman"/>
                <w:bCs/>
                <w:sz w:val="20"/>
                <w:szCs w:val="20"/>
                <w:lang w:eastAsia="lv-LV"/>
              </w:rPr>
              <w:t>31 364</w:t>
            </w:r>
          </w:p>
        </w:tc>
        <w:tc>
          <w:tcPr>
            <w:tcW w:w="992" w:type="dxa"/>
            <w:tcBorders>
              <w:top w:val="single" w:sz="4" w:space="0" w:color="auto"/>
              <w:left w:val="nil"/>
              <w:bottom w:val="single" w:sz="4" w:space="0" w:color="auto"/>
              <w:right w:val="single" w:sz="4" w:space="0" w:color="auto"/>
            </w:tcBorders>
            <w:shd w:val="clear" w:color="auto" w:fill="auto"/>
            <w:noWrap/>
            <w:hideMark/>
          </w:tcPr>
          <w:p w14:paraId="4D3AE9C8" w14:textId="77777777" w:rsidR="004B6B5C" w:rsidRPr="00E73727" w:rsidRDefault="004B6B5C" w:rsidP="009930F8">
            <w:pPr>
              <w:spacing w:after="0"/>
              <w:ind w:firstLine="0"/>
              <w:jc w:val="center"/>
              <w:rPr>
                <w:rFonts w:eastAsia="Times New Roman" w:cs="Times New Roman"/>
                <w:bCs/>
                <w:sz w:val="20"/>
                <w:szCs w:val="20"/>
                <w:lang w:eastAsia="lv-LV"/>
              </w:rPr>
            </w:pPr>
            <w:r w:rsidRPr="00E73727">
              <w:rPr>
                <w:rFonts w:eastAsia="Times New Roman" w:cs="Times New Roman"/>
                <w:bCs/>
                <w:sz w:val="20"/>
                <w:szCs w:val="20"/>
                <w:lang w:eastAsia="lv-LV"/>
              </w:rPr>
              <w:t>34 022</w:t>
            </w:r>
          </w:p>
        </w:tc>
        <w:tc>
          <w:tcPr>
            <w:tcW w:w="992" w:type="dxa"/>
            <w:tcBorders>
              <w:top w:val="single" w:sz="4" w:space="0" w:color="auto"/>
              <w:left w:val="nil"/>
              <w:bottom w:val="single" w:sz="4" w:space="0" w:color="auto"/>
              <w:right w:val="single" w:sz="4" w:space="0" w:color="auto"/>
            </w:tcBorders>
            <w:shd w:val="clear" w:color="auto" w:fill="auto"/>
            <w:noWrap/>
            <w:hideMark/>
          </w:tcPr>
          <w:p w14:paraId="68276FDA" w14:textId="77777777" w:rsidR="004B6B5C" w:rsidRPr="00E73727" w:rsidRDefault="004B6B5C" w:rsidP="009930F8">
            <w:pPr>
              <w:spacing w:after="0"/>
              <w:ind w:firstLine="0"/>
              <w:jc w:val="center"/>
              <w:rPr>
                <w:rFonts w:eastAsia="Times New Roman" w:cs="Times New Roman"/>
                <w:bCs/>
                <w:sz w:val="20"/>
                <w:szCs w:val="20"/>
                <w:lang w:eastAsia="lv-LV"/>
              </w:rPr>
            </w:pPr>
            <w:r w:rsidRPr="00E73727">
              <w:rPr>
                <w:rFonts w:eastAsia="Times New Roman" w:cs="Times New Roman"/>
                <w:bCs/>
                <w:sz w:val="20"/>
                <w:szCs w:val="20"/>
                <w:lang w:eastAsia="lv-LV"/>
              </w:rPr>
              <w:t>36 115</w:t>
            </w:r>
          </w:p>
        </w:tc>
        <w:tc>
          <w:tcPr>
            <w:tcW w:w="992" w:type="dxa"/>
            <w:tcBorders>
              <w:top w:val="single" w:sz="4" w:space="0" w:color="auto"/>
              <w:left w:val="nil"/>
              <w:bottom w:val="single" w:sz="4" w:space="0" w:color="auto"/>
              <w:right w:val="single" w:sz="4" w:space="0" w:color="auto"/>
            </w:tcBorders>
            <w:shd w:val="clear" w:color="auto" w:fill="auto"/>
            <w:noWrap/>
            <w:hideMark/>
          </w:tcPr>
          <w:p w14:paraId="4BFAE200" w14:textId="77777777" w:rsidR="004B6B5C" w:rsidRPr="00E73727" w:rsidRDefault="004B6B5C" w:rsidP="009930F8">
            <w:pPr>
              <w:spacing w:after="0"/>
              <w:ind w:firstLine="0"/>
              <w:jc w:val="center"/>
              <w:rPr>
                <w:rFonts w:eastAsia="Times New Roman" w:cs="Times New Roman"/>
                <w:bCs/>
                <w:sz w:val="20"/>
                <w:szCs w:val="20"/>
                <w:lang w:eastAsia="lv-LV"/>
              </w:rPr>
            </w:pPr>
            <w:r w:rsidRPr="00E73727">
              <w:rPr>
                <w:rFonts w:eastAsia="Times New Roman" w:cs="Times New Roman"/>
                <w:bCs/>
                <w:sz w:val="20"/>
                <w:szCs w:val="20"/>
                <w:lang w:eastAsia="lv-LV"/>
              </w:rPr>
              <w:t>38 033</w:t>
            </w:r>
          </w:p>
        </w:tc>
      </w:tr>
      <w:tr w:rsidR="004B6B5C" w:rsidRPr="00E73727" w14:paraId="5CA2066F" w14:textId="77777777" w:rsidTr="00E73727">
        <w:trPr>
          <w:trHeight w:val="20"/>
        </w:trPr>
        <w:tc>
          <w:tcPr>
            <w:tcW w:w="49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2D466" w14:textId="4461825A" w:rsidR="004B6B5C" w:rsidRPr="00E4507C" w:rsidRDefault="004B6B5C" w:rsidP="004B6B5C">
            <w:pPr>
              <w:spacing w:before="0" w:after="0"/>
              <w:ind w:firstLine="0"/>
              <w:jc w:val="left"/>
              <w:rPr>
                <w:rFonts w:eastAsia="Times New Roman" w:cs="Times New Roman"/>
                <w:bCs/>
                <w:noProof/>
                <w:sz w:val="20"/>
                <w:szCs w:val="20"/>
                <w:lang w:eastAsia="lv-LV"/>
              </w:rPr>
            </w:pPr>
            <w:r w:rsidRPr="00E4507C">
              <w:rPr>
                <w:rFonts w:eastAsia="Times New Roman" w:cs="Times New Roman"/>
                <w:bCs/>
                <w:noProof/>
                <w:sz w:val="20"/>
                <w:szCs w:val="20"/>
                <w:lang w:eastAsia="lv-LV"/>
              </w:rPr>
              <w:t>Valsts budžeta bilance (pēc naudas plūsmas met</w:t>
            </w:r>
            <w:r w:rsidR="00E73727" w:rsidRPr="00E4507C">
              <w:rPr>
                <w:rFonts w:eastAsia="Times New Roman" w:cs="Times New Roman"/>
                <w:bCs/>
                <w:noProof/>
                <w:sz w:val="20"/>
                <w:szCs w:val="20"/>
                <w:lang w:eastAsia="lv-LV"/>
              </w:rPr>
              <w:t>odoloģijas</w:t>
            </w:r>
            <w:r w:rsidRPr="00E4507C">
              <w:rPr>
                <w:rFonts w:eastAsia="Times New Roman" w:cs="Times New Roman"/>
                <w:bCs/>
                <w:noProof/>
                <w:sz w:val="20"/>
                <w:szCs w:val="20"/>
                <w:lang w:eastAsia="lv-LV"/>
              </w:rPr>
              <w:t xml:space="preserve">), milj. </w:t>
            </w:r>
            <w:r w:rsidRPr="00E4507C">
              <w:rPr>
                <w:rFonts w:eastAsia="Times New Roman" w:cs="Times New Roman"/>
                <w:bCs/>
                <w:i/>
                <w:iCs/>
                <w:noProof/>
                <w:sz w:val="20"/>
                <w:szCs w:val="20"/>
                <w:lang w:eastAsia="lv-LV"/>
              </w:rPr>
              <w:t>euro</w:t>
            </w:r>
          </w:p>
        </w:tc>
        <w:tc>
          <w:tcPr>
            <w:tcW w:w="1138" w:type="dxa"/>
            <w:tcBorders>
              <w:top w:val="nil"/>
              <w:left w:val="nil"/>
              <w:bottom w:val="single" w:sz="4" w:space="0" w:color="auto"/>
              <w:right w:val="single" w:sz="4" w:space="0" w:color="auto"/>
            </w:tcBorders>
            <w:shd w:val="clear" w:color="auto" w:fill="auto"/>
            <w:noWrap/>
            <w:hideMark/>
          </w:tcPr>
          <w:p w14:paraId="7CEB26E4" w14:textId="77777777" w:rsidR="004B6B5C" w:rsidRPr="00E73727" w:rsidRDefault="004B6B5C" w:rsidP="009930F8">
            <w:pPr>
              <w:spacing w:after="0"/>
              <w:ind w:firstLine="0"/>
              <w:jc w:val="center"/>
              <w:rPr>
                <w:rFonts w:eastAsia="Times New Roman" w:cs="Times New Roman"/>
                <w:bCs/>
                <w:sz w:val="20"/>
                <w:szCs w:val="20"/>
                <w:lang w:eastAsia="lv-LV"/>
              </w:rPr>
            </w:pPr>
            <w:r w:rsidRPr="00E73727">
              <w:rPr>
                <w:rFonts w:eastAsia="Times New Roman" w:cs="Times New Roman"/>
                <w:bCs/>
                <w:sz w:val="20"/>
                <w:szCs w:val="20"/>
                <w:lang w:eastAsia="lv-LV"/>
              </w:rPr>
              <w:t>-2 842</w:t>
            </w:r>
          </w:p>
        </w:tc>
        <w:tc>
          <w:tcPr>
            <w:tcW w:w="992" w:type="dxa"/>
            <w:tcBorders>
              <w:top w:val="nil"/>
              <w:left w:val="nil"/>
              <w:bottom w:val="single" w:sz="4" w:space="0" w:color="auto"/>
              <w:right w:val="single" w:sz="4" w:space="0" w:color="auto"/>
            </w:tcBorders>
            <w:shd w:val="clear" w:color="auto" w:fill="auto"/>
            <w:noWrap/>
            <w:hideMark/>
          </w:tcPr>
          <w:p w14:paraId="643FF0DD" w14:textId="77777777" w:rsidR="004B6B5C" w:rsidRPr="00E73727" w:rsidRDefault="004B6B5C" w:rsidP="009930F8">
            <w:pPr>
              <w:spacing w:after="0"/>
              <w:ind w:firstLine="0"/>
              <w:jc w:val="center"/>
              <w:rPr>
                <w:rFonts w:eastAsia="Times New Roman" w:cs="Times New Roman"/>
                <w:bCs/>
                <w:sz w:val="20"/>
                <w:szCs w:val="20"/>
                <w:lang w:eastAsia="lv-LV"/>
              </w:rPr>
            </w:pPr>
            <w:r w:rsidRPr="00E73727">
              <w:rPr>
                <w:rFonts w:eastAsia="Times New Roman" w:cs="Times New Roman"/>
                <w:bCs/>
                <w:sz w:val="20"/>
                <w:szCs w:val="20"/>
                <w:lang w:eastAsia="lv-LV"/>
              </w:rPr>
              <w:t>-1 285</w:t>
            </w:r>
          </w:p>
        </w:tc>
        <w:tc>
          <w:tcPr>
            <w:tcW w:w="992" w:type="dxa"/>
            <w:tcBorders>
              <w:top w:val="nil"/>
              <w:left w:val="nil"/>
              <w:bottom w:val="single" w:sz="4" w:space="0" w:color="auto"/>
              <w:right w:val="single" w:sz="4" w:space="0" w:color="auto"/>
            </w:tcBorders>
            <w:shd w:val="clear" w:color="auto" w:fill="auto"/>
            <w:noWrap/>
            <w:hideMark/>
          </w:tcPr>
          <w:p w14:paraId="040827D4" w14:textId="77777777" w:rsidR="004B6B5C" w:rsidRPr="00E73727" w:rsidRDefault="004B6B5C" w:rsidP="009930F8">
            <w:pPr>
              <w:spacing w:after="0"/>
              <w:ind w:firstLine="0"/>
              <w:jc w:val="center"/>
              <w:rPr>
                <w:rFonts w:eastAsia="Times New Roman" w:cs="Times New Roman"/>
                <w:bCs/>
                <w:sz w:val="20"/>
                <w:szCs w:val="20"/>
                <w:lang w:eastAsia="lv-LV"/>
              </w:rPr>
            </w:pPr>
            <w:r w:rsidRPr="00E73727">
              <w:rPr>
                <w:rFonts w:eastAsia="Times New Roman" w:cs="Times New Roman"/>
                <w:bCs/>
                <w:sz w:val="20"/>
                <w:szCs w:val="20"/>
                <w:lang w:eastAsia="lv-LV"/>
              </w:rPr>
              <w:t>-125</w:t>
            </w:r>
          </w:p>
        </w:tc>
        <w:tc>
          <w:tcPr>
            <w:tcW w:w="992" w:type="dxa"/>
            <w:tcBorders>
              <w:top w:val="nil"/>
              <w:left w:val="nil"/>
              <w:bottom w:val="single" w:sz="4" w:space="0" w:color="auto"/>
              <w:right w:val="single" w:sz="4" w:space="0" w:color="auto"/>
            </w:tcBorders>
            <w:shd w:val="clear" w:color="auto" w:fill="auto"/>
            <w:noWrap/>
            <w:hideMark/>
          </w:tcPr>
          <w:p w14:paraId="47ECA5D0" w14:textId="77777777" w:rsidR="004B6B5C" w:rsidRPr="00E73727" w:rsidRDefault="004B6B5C" w:rsidP="009930F8">
            <w:pPr>
              <w:spacing w:after="0"/>
              <w:ind w:firstLine="0"/>
              <w:jc w:val="center"/>
              <w:rPr>
                <w:rFonts w:eastAsia="Times New Roman" w:cs="Times New Roman"/>
                <w:bCs/>
                <w:sz w:val="20"/>
                <w:szCs w:val="20"/>
                <w:lang w:eastAsia="lv-LV"/>
              </w:rPr>
            </w:pPr>
            <w:r w:rsidRPr="00E73727">
              <w:rPr>
                <w:rFonts w:eastAsia="Times New Roman" w:cs="Times New Roman"/>
                <w:bCs/>
                <w:sz w:val="20"/>
                <w:szCs w:val="20"/>
                <w:lang w:eastAsia="lv-LV"/>
              </w:rPr>
              <w:t>-77</w:t>
            </w:r>
          </w:p>
        </w:tc>
      </w:tr>
      <w:tr w:rsidR="004B6B5C" w:rsidRPr="00E73727" w14:paraId="4AB3695C" w14:textId="77777777" w:rsidTr="00E73727">
        <w:trPr>
          <w:trHeight w:val="20"/>
        </w:trPr>
        <w:tc>
          <w:tcPr>
            <w:tcW w:w="4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DC36A" w14:textId="77777777" w:rsidR="004B6B5C" w:rsidRPr="00E73727" w:rsidRDefault="004B6B5C" w:rsidP="004B6B5C">
            <w:pPr>
              <w:spacing w:before="0" w:after="0"/>
              <w:ind w:firstLine="0"/>
              <w:jc w:val="right"/>
              <w:rPr>
                <w:rFonts w:eastAsia="Times New Roman" w:cs="Times New Roman"/>
                <w:bCs/>
                <w:i/>
                <w:iCs/>
                <w:noProof/>
                <w:sz w:val="20"/>
                <w:szCs w:val="20"/>
                <w:lang w:eastAsia="lv-LV"/>
              </w:rPr>
            </w:pPr>
            <w:r w:rsidRPr="00E73727">
              <w:rPr>
                <w:rFonts w:eastAsia="Times New Roman" w:cs="Times New Roman"/>
                <w:bCs/>
                <w:i/>
                <w:iCs/>
                <w:noProof/>
                <w:sz w:val="20"/>
                <w:szCs w:val="20"/>
                <w:lang w:eastAsia="lv-LV"/>
              </w:rPr>
              <w:t>Valsts budžeta bilance, % no IKP</w:t>
            </w:r>
          </w:p>
        </w:tc>
        <w:tc>
          <w:tcPr>
            <w:tcW w:w="1138" w:type="dxa"/>
            <w:tcBorders>
              <w:top w:val="nil"/>
              <w:left w:val="nil"/>
              <w:bottom w:val="single" w:sz="4" w:space="0" w:color="auto"/>
              <w:right w:val="single" w:sz="4" w:space="0" w:color="auto"/>
            </w:tcBorders>
            <w:shd w:val="clear" w:color="auto" w:fill="auto"/>
            <w:noWrap/>
            <w:hideMark/>
          </w:tcPr>
          <w:p w14:paraId="2C9E9359" w14:textId="77777777" w:rsidR="004B6B5C" w:rsidRPr="00E73727" w:rsidRDefault="004B6B5C" w:rsidP="009930F8">
            <w:pPr>
              <w:spacing w:after="0"/>
              <w:ind w:firstLine="0"/>
              <w:jc w:val="center"/>
              <w:rPr>
                <w:rFonts w:eastAsia="Times New Roman" w:cs="Times New Roman"/>
                <w:bCs/>
                <w:i/>
                <w:iCs/>
                <w:sz w:val="20"/>
                <w:szCs w:val="20"/>
                <w:lang w:eastAsia="lv-LV"/>
              </w:rPr>
            </w:pPr>
            <w:r w:rsidRPr="00E73727">
              <w:rPr>
                <w:rFonts w:eastAsia="Times New Roman" w:cs="Times New Roman"/>
                <w:bCs/>
                <w:i/>
                <w:iCs/>
                <w:sz w:val="20"/>
                <w:szCs w:val="20"/>
                <w:lang w:eastAsia="lv-LV"/>
              </w:rPr>
              <w:t>-9,1%</w:t>
            </w:r>
          </w:p>
        </w:tc>
        <w:tc>
          <w:tcPr>
            <w:tcW w:w="992" w:type="dxa"/>
            <w:tcBorders>
              <w:top w:val="nil"/>
              <w:left w:val="nil"/>
              <w:bottom w:val="single" w:sz="4" w:space="0" w:color="auto"/>
              <w:right w:val="single" w:sz="4" w:space="0" w:color="auto"/>
            </w:tcBorders>
            <w:shd w:val="clear" w:color="auto" w:fill="auto"/>
            <w:noWrap/>
            <w:hideMark/>
          </w:tcPr>
          <w:p w14:paraId="5A878F01" w14:textId="77777777" w:rsidR="004B6B5C" w:rsidRPr="00E73727" w:rsidRDefault="004B6B5C" w:rsidP="009930F8">
            <w:pPr>
              <w:spacing w:after="0"/>
              <w:ind w:firstLine="0"/>
              <w:jc w:val="center"/>
              <w:rPr>
                <w:rFonts w:eastAsia="Times New Roman" w:cs="Times New Roman"/>
                <w:bCs/>
                <w:i/>
                <w:iCs/>
                <w:sz w:val="20"/>
                <w:szCs w:val="20"/>
                <w:lang w:eastAsia="lv-LV"/>
              </w:rPr>
            </w:pPr>
            <w:r w:rsidRPr="00E73727">
              <w:rPr>
                <w:rFonts w:eastAsia="Times New Roman" w:cs="Times New Roman"/>
                <w:bCs/>
                <w:i/>
                <w:iCs/>
                <w:sz w:val="20"/>
                <w:szCs w:val="20"/>
                <w:lang w:eastAsia="lv-LV"/>
              </w:rPr>
              <w:t>-3,8%</w:t>
            </w:r>
          </w:p>
        </w:tc>
        <w:tc>
          <w:tcPr>
            <w:tcW w:w="992" w:type="dxa"/>
            <w:tcBorders>
              <w:top w:val="nil"/>
              <w:left w:val="nil"/>
              <w:bottom w:val="single" w:sz="4" w:space="0" w:color="auto"/>
              <w:right w:val="single" w:sz="4" w:space="0" w:color="auto"/>
            </w:tcBorders>
            <w:shd w:val="clear" w:color="auto" w:fill="auto"/>
            <w:noWrap/>
            <w:hideMark/>
          </w:tcPr>
          <w:p w14:paraId="1D85F2C1" w14:textId="77777777" w:rsidR="004B6B5C" w:rsidRPr="00E73727" w:rsidRDefault="004B6B5C" w:rsidP="009930F8">
            <w:pPr>
              <w:spacing w:after="0"/>
              <w:ind w:firstLine="0"/>
              <w:jc w:val="center"/>
              <w:rPr>
                <w:rFonts w:eastAsia="Times New Roman" w:cs="Times New Roman"/>
                <w:bCs/>
                <w:i/>
                <w:iCs/>
                <w:sz w:val="20"/>
                <w:szCs w:val="20"/>
                <w:lang w:eastAsia="lv-LV"/>
              </w:rPr>
            </w:pPr>
            <w:r w:rsidRPr="00E73727">
              <w:rPr>
                <w:rFonts w:eastAsia="Times New Roman" w:cs="Times New Roman"/>
                <w:bCs/>
                <w:i/>
                <w:iCs/>
                <w:sz w:val="20"/>
                <w:szCs w:val="20"/>
                <w:lang w:eastAsia="lv-LV"/>
              </w:rPr>
              <w:t>-0,3%</w:t>
            </w:r>
          </w:p>
        </w:tc>
        <w:tc>
          <w:tcPr>
            <w:tcW w:w="992" w:type="dxa"/>
            <w:tcBorders>
              <w:top w:val="nil"/>
              <w:left w:val="nil"/>
              <w:bottom w:val="single" w:sz="4" w:space="0" w:color="auto"/>
              <w:right w:val="single" w:sz="4" w:space="0" w:color="auto"/>
            </w:tcBorders>
            <w:shd w:val="clear" w:color="auto" w:fill="auto"/>
            <w:noWrap/>
            <w:hideMark/>
          </w:tcPr>
          <w:p w14:paraId="36BEA457" w14:textId="77777777" w:rsidR="004B6B5C" w:rsidRPr="00E73727" w:rsidRDefault="004B6B5C" w:rsidP="009930F8">
            <w:pPr>
              <w:spacing w:after="0"/>
              <w:ind w:firstLine="0"/>
              <w:jc w:val="center"/>
              <w:rPr>
                <w:rFonts w:eastAsia="Times New Roman" w:cs="Times New Roman"/>
                <w:bCs/>
                <w:i/>
                <w:iCs/>
                <w:sz w:val="20"/>
                <w:szCs w:val="20"/>
                <w:lang w:eastAsia="lv-LV"/>
              </w:rPr>
            </w:pPr>
            <w:r w:rsidRPr="00E73727">
              <w:rPr>
                <w:rFonts w:eastAsia="Times New Roman" w:cs="Times New Roman"/>
                <w:bCs/>
                <w:i/>
                <w:iCs/>
                <w:sz w:val="20"/>
                <w:szCs w:val="20"/>
                <w:lang w:eastAsia="lv-LV"/>
              </w:rPr>
              <w:t>-0,2%</w:t>
            </w:r>
          </w:p>
        </w:tc>
      </w:tr>
      <w:tr w:rsidR="004B6B5C" w:rsidRPr="00E73727" w14:paraId="4B633557" w14:textId="77777777" w:rsidTr="00E73727">
        <w:trPr>
          <w:trHeight w:val="20"/>
        </w:trPr>
        <w:tc>
          <w:tcPr>
            <w:tcW w:w="49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DF5FB" w14:textId="55AD8D9D" w:rsidR="004B6B5C" w:rsidRPr="00E73727" w:rsidRDefault="004B6B5C" w:rsidP="004B6B5C">
            <w:pPr>
              <w:spacing w:before="0" w:after="0"/>
              <w:ind w:firstLine="0"/>
              <w:jc w:val="left"/>
              <w:rPr>
                <w:rFonts w:eastAsia="Times New Roman" w:cs="Times New Roman"/>
                <w:b/>
                <w:noProof/>
                <w:sz w:val="20"/>
                <w:szCs w:val="20"/>
                <w:lang w:eastAsia="lv-LV"/>
              </w:rPr>
            </w:pPr>
            <w:r w:rsidRPr="00E73727">
              <w:rPr>
                <w:rFonts w:eastAsia="Times New Roman" w:cs="Times New Roman"/>
                <w:b/>
                <w:noProof/>
                <w:sz w:val="20"/>
                <w:szCs w:val="20"/>
                <w:lang w:eastAsia="lv-LV"/>
              </w:rPr>
              <w:t>Vispārējās valdības parāda prognoze</w:t>
            </w:r>
            <w:r w:rsidR="00B26DBF" w:rsidRPr="00E73727">
              <w:rPr>
                <w:rStyle w:val="FootnoteReference"/>
                <w:rFonts w:eastAsia="Times New Roman" w:cs="Times New Roman"/>
                <w:b/>
                <w:noProof/>
                <w:sz w:val="20"/>
                <w:szCs w:val="20"/>
                <w:lang w:eastAsia="lv-LV"/>
              </w:rPr>
              <w:footnoteReference w:id="2"/>
            </w:r>
            <w:r w:rsidRPr="00E73727">
              <w:rPr>
                <w:rFonts w:eastAsia="Times New Roman" w:cs="Times New Roman"/>
                <w:b/>
                <w:noProof/>
                <w:sz w:val="20"/>
                <w:szCs w:val="20"/>
                <w:lang w:eastAsia="lv-LV"/>
              </w:rPr>
              <w:t xml:space="preserve">, </w:t>
            </w:r>
          </w:p>
          <w:p w14:paraId="5FDDBA66" w14:textId="7440B231" w:rsidR="004B6B5C" w:rsidRPr="00E73727" w:rsidRDefault="004B6B5C" w:rsidP="004B6B5C">
            <w:pPr>
              <w:spacing w:before="0" w:after="0"/>
              <w:ind w:firstLine="0"/>
              <w:jc w:val="left"/>
              <w:rPr>
                <w:rFonts w:eastAsia="Times New Roman" w:cs="Times New Roman"/>
                <w:b/>
                <w:noProof/>
                <w:sz w:val="20"/>
                <w:szCs w:val="20"/>
                <w:lang w:eastAsia="lv-LV"/>
              </w:rPr>
            </w:pPr>
            <w:r w:rsidRPr="00E73727">
              <w:rPr>
                <w:rFonts w:eastAsia="Times New Roman" w:cs="Times New Roman"/>
                <w:b/>
                <w:noProof/>
                <w:sz w:val="20"/>
                <w:szCs w:val="20"/>
                <w:lang w:eastAsia="lv-LV"/>
              </w:rPr>
              <w:t xml:space="preserve">milj. </w:t>
            </w:r>
            <w:r w:rsidRPr="00E73727">
              <w:rPr>
                <w:rFonts w:eastAsia="Times New Roman" w:cs="Times New Roman"/>
                <w:b/>
                <w:i/>
                <w:iCs/>
                <w:noProof/>
                <w:sz w:val="20"/>
                <w:szCs w:val="20"/>
                <w:lang w:eastAsia="lv-LV"/>
              </w:rPr>
              <w:t>euro</w:t>
            </w:r>
          </w:p>
        </w:tc>
        <w:tc>
          <w:tcPr>
            <w:tcW w:w="1138" w:type="dxa"/>
            <w:tcBorders>
              <w:top w:val="nil"/>
              <w:left w:val="nil"/>
              <w:bottom w:val="single" w:sz="4" w:space="0" w:color="auto"/>
              <w:right w:val="single" w:sz="4" w:space="0" w:color="auto"/>
            </w:tcBorders>
            <w:shd w:val="clear" w:color="auto" w:fill="auto"/>
            <w:noWrap/>
            <w:hideMark/>
          </w:tcPr>
          <w:p w14:paraId="5844BBF0" w14:textId="77777777" w:rsidR="004B6B5C" w:rsidRPr="00E4507C" w:rsidRDefault="004B6B5C" w:rsidP="009930F8">
            <w:pPr>
              <w:spacing w:after="0"/>
              <w:ind w:firstLine="0"/>
              <w:jc w:val="center"/>
              <w:rPr>
                <w:rFonts w:eastAsia="Times New Roman" w:cs="Times New Roman"/>
                <w:bCs/>
                <w:sz w:val="20"/>
                <w:szCs w:val="20"/>
                <w:lang w:eastAsia="lv-LV"/>
              </w:rPr>
            </w:pPr>
            <w:r w:rsidRPr="00E4507C">
              <w:rPr>
                <w:rFonts w:eastAsia="Times New Roman" w:cs="Times New Roman"/>
                <w:bCs/>
                <w:sz w:val="20"/>
                <w:szCs w:val="20"/>
                <w:lang w:eastAsia="lv-LV"/>
              </w:rPr>
              <w:t>15 566</w:t>
            </w:r>
          </w:p>
        </w:tc>
        <w:tc>
          <w:tcPr>
            <w:tcW w:w="992" w:type="dxa"/>
            <w:tcBorders>
              <w:top w:val="nil"/>
              <w:left w:val="nil"/>
              <w:bottom w:val="single" w:sz="4" w:space="0" w:color="auto"/>
              <w:right w:val="single" w:sz="4" w:space="0" w:color="auto"/>
            </w:tcBorders>
            <w:shd w:val="clear" w:color="auto" w:fill="auto"/>
            <w:noWrap/>
            <w:hideMark/>
          </w:tcPr>
          <w:p w14:paraId="5FEABAB4" w14:textId="77777777" w:rsidR="004B6B5C" w:rsidRPr="00E73727" w:rsidRDefault="004B6B5C" w:rsidP="009930F8">
            <w:pPr>
              <w:spacing w:after="0"/>
              <w:ind w:firstLine="0"/>
              <w:jc w:val="center"/>
              <w:rPr>
                <w:rFonts w:eastAsia="Times New Roman" w:cs="Times New Roman"/>
                <w:b/>
                <w:sz w:val="20"/>
                <w:szCs w:val="20"/>
                <w:lang w:eastAsia="lv-LV"/>
              </w:rPr>
            </w:pPr>
            <w:r w:rsidRPr="00E73727">
              <w:rPr>
                <w:rFonts w:eastAsia="Times New Roman" w:cs="Times New Roman"/>
                <w:b/>
                <w:sz w:val="20"/>
                <w:szCs w:val="20"/>
                <w:lang w:eastAsia="lv-LV"/>
              </w:rPr>
              <w:t>17 015</w:t>
            </w:r>
          </w:p>
        </w:tc>
        <w:tc>
          <w:tcPr>
            <w:tcW w:w="992" w:type="dxa"/>
            <w:tcBorders>
              <w:top w:val="nil"/>
              <w:left w:val="nil"/>
              <w:bottom w:val="single" w:sz="4" w:space="0" w:color="auto"/>
              <w:right w:val="single" w:sz="4" w:space="0" w:color="auto"/>
            </w:tcBorders>
            <w:shd w:val="clear" w:color="auto" w:fill="auto"/>
            <w:noWrap/>
            <w:hideMark/>
          </w:tcPr>
          <w:p w14:paraId="4B098766" w14:textId="77777777" w:rsidR="004B6B5C" w:rsidRPr="00E73727" w:rsidRDefault="004B6B5C" w:rsidP="009930F8">
            <w:pPr>
              <w:spacing w:after="0"/>
              <w:ind w:firstLine="0"/>
              <w:jc w:val="center"/>
              <w:rPr>
                <w:rFonts w:eastAsia="Times New Roman" w:cs="Times New Roman"/>
                <w:b/>
                <w:sz w:val="20"/>
                <w:szCs w:val="20"/>
                <w:lang w:eastAsia="lv-LV"/>
              </w:rPr>
            </w:pPr>
            <w:r w:rsidRPr="00E73727">
              <w:rPr>
                <w:rFonts w:eastAsia="Times New Roman" w:cs="Times New Roman"/>
                <w:b/>
                <w:sz w:val="20"/>
                <w:szCs w:val="20"/>
                <w:lang w:eastAsia="lv-LV"/>
              </w:rPr>
              <w:t>17 369</w:t>
            </w:r>
          </w:p>
        </w:tc>
        <w:tc>
          <w:tcPr>
            <w:tcW w:w="992" w:type="dxa"/>
            <w:tcBorders>
              <w:top w:val="nil"/>
              <w:left w:val="nil"/>
              <w:bottom w:val="single" w:sz="4" w:space="0" w:color="auto"/>
              <w:right w:val="single" w:sz="4" w:space="0" w:color="auto"/>
            </w:tcBorders>
            <w:shd w:val="clear" w:color="auto" w:fill="auto"/>
            <w:noWrap/>
            <w:hideMark/>
          </w:tcPr>
          <w:p w14:paraId="479C1F22" w14:textId="77777777" w:rsidR="004B6B5C" w:rsidRPr="00E73727" w:rsidRDefault="004B6B5C" w:rsidP="009930F8">
            <w:pPr>
              <w:spacing w:after="0"/>
              <w:ind w:firstLine="0"/>
              <w:jc w:val="center"/>
              <w:rPr>
                <w:rFonts w:eastAsia="Times New Roman" w:cs="Times New Roman"/>
                <w:b/>
                <w:sz w:val="20"/>
                <w:szCs w:val="20"/>
                <w:lang w:eastAsia="lv-LV"/>
              </w:rPr>
            </w:pPr>
            <w:r w:rsidRPr="00E73727">
              <w:rPr>
                <w:rFonts w:eastAsia="Times New Roman" w:cs="Times New Roman"/>
                <w:b/>
                <w:sz w:val="20"/>
                <w:szCs w:val="20"/>
                <w:lang w:eastAsia="lv-LV"/>
              </w:rPr>
              <w:t>18 088</w:t>
            </w:r>
          </w:p>
        </w:tc>
      </w:tr>
      <w:tr w:rsidR="004B6B5C" w:rsidRPr="00E73727" w14:paraId="485C6A49" w14:textId="77777777" w:rsidTr="00E73727">
        <w:trPr>
          <w:trHeight w:val="20"/>
        </w:trPr>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22A37" w14:textId="77777777" w:rsidR="004B6B5C" w:rsidRPr="00E73727" w:rsidRDefault="004B6B5C" w:rsidP="004B6B5C">
            <w:pPr>
              <w:spacing w:before="0" w:after="0"/>
              <w:ind w:firstLine="0"/>
              <w:jc w:val="left"/>
              <w:rPr>
                <w:rFonts w:eastAsia="Times New Roman" w:cs="Times New Roman"/>
                <w:b/>
                <w:noProof/>
                <w:sz w:val="20"/>
                <w:szCs w:val="20"/>
                <w:lang w:eastAsia="lv-LV"/>
              </w:rPr>
            </w:pPr>
            <w:r w:rsidRPr="00E73727">
              <w:rPr>
                <w:rFonts w:eastAsia="Times New Roman" w:cs="Times New Roman"/>
                <w:b/>
                <w:noProof/>
                <w:sz w:val="20"/>
                <w:szCs w:val="20"/>
                <w:lang w:eastAsia="lv-LV"/>
              </w:rPr>
              <w:t xml:space="preserve">Vispārējās valdības parāda plānotais pieaugums pret iepriekšējo gadu, milj. </w:t>
            </w:r>
            <w:r w:rsidRPr="00E73727">
              <w:rPr>
                <w:rFonts w:eastAsia="Times New Roman" w:cs="Times New Roman"/>
                <w:b/>
                <w:i/>
                <w:iCs/>
                <w:noProof/>
                <w:sz w:val="20"/>
                <w:szCs w:val="20"/>
                <w:lang w:eastAsia="lv-LV"/>
              </w:rPr>
              <w:t>euro</w:t>
            </w:r>
          </w:p>
        </w:tc>
        <w:tc>
          <w:tcPr>
            <w:tcW w:w="1138" w:type="dxa"/>
            <w:tcBorders>
              <w:top w:val="nil"/>
              <w:left w:val="nil"/>
              <w:bottom w:val="single" w:sz="4" w:space="0" w:color="auto"/>
              <w:right w:val="single" w:sz="4" w:space="0" w:color="auto"/>
            </w:tcBorders>
            <w:shd w:val="clear" w:color="auto" w:fill="auto"/>
            <w:noWrap/>
            <w:hideMark/>
          </w:tcPr>
          <w:p w14:paraId="461A5121" w14:textId="188B0DD7" w:rsidR="004B6B5C" w:rsidRPr="00E73727" w:rsidRDefault="004B6B5C" w:rsidP="009930F8">
            <w:pPr>
              <w:spacing w:after="0"/>
              <w:jc w:val="center"/>
              <w:rPr>
                <w:rFonts w:eastAsia="Times New Roman" w:cs="Times New Roman"/>
                <w:b/>
                <w:sz w:val="20"/>
                <w:szCs w:val="20"/>
                <w:lang w:eastAsia="lv-LV"/>
              </w:rPr>
            </w:pPr>
          </w:p>
        </w:tc>
        <w:tc>
          <w:tcPr>
            <w:tcW w:w="992" w:type="dxa"/>
            <w:tcBorders>
              <w:top w:val="nil"/>
              <w:left w:val="nil"/>
              <w:bottom w:val="single" w:sz="4" w:space="0" w:color="auto"/>
              <w:right w:val="single" w:sz="4" w:space="0" w:color="auto"/>
            </w:tcBorders>
            <w:shd w:val="clear" w:color="auto" w:fill="auto"/>
            <w:noWrap/>
            <w:hideMark/>
          </w:tcPr>
          <w:p w14:paraId="7AA72DF6" w14:textId="77777777" w:rsidR="004B6B5C" w:rsidRPr="00E73727" w:rsidRDefault="004B6B5C" w:rsidP="009930F8">
            <w:pPr>
              <w:spacing w:after="0"/>
              <w:ind w:firstLine="0"/>
              <w:jc w:val="center"/>
              <w:rPr>
                <w:rFonts w:eastAsia="Times New Roman" w:cs="Times New Roman"/>
                <w:b/>
                <w:sz w:val="20"/>
                <w:szCs w:val="20"/>
                <w:lang w:eastAsia="lv-LV"/>
              </w:rPr>
            </w:pPr>
            <w:r w:rsidRPr="00E73727">
              <w:rPr>
                <w:rFonts w:eastAsia="Times New Roman" w:cs="Times New Roman"/>
                <w:b/>
                <w:sz w:val="20"/>
                <w:szCs w:val="20"/>
                <w:lang w:eastAsia="lv-LV"/>
              </w:rPr>
              <w:t>1 449</w:t>
            </w:r>
          </w:p>
        </w:tc>
        <w:tc>
          <w:tcPr>
            <w:tcW w:w="992" w:type="dxa"/>
            <w:tcBorders>
              <w:top w:val="nil"/>
              <w:left w:val="nil"/>
              <w:bottom w:val="single" w:sz="4" w:space="0" w:color="auto"/>
              <w:right w:val="single" w:sz="4" w:space="0" w:color="auto"/>
            </w:tcBorders>
            <w:shd w:val="clear" w:color="auto" w:fill="auto"/>
            <w:noWrap/>
            <w:hideMark/>
          </w:tcPr>
          <w:p w14:paraId="7A9B2170" w14:textId="77777777" w:rsidR="004B6B5C" w:rsidRPr="00E73727" w:rsidRDefault="004B6B5C" w:rsidP="009930F8">
            <w:pPr>
              <w:spacing w:after="0"/>
              <w:ind w:firstLine="0"/>
              <w:jc w:val="center"/>
              <w:rPr>
                <w:rFonts w:eastAsia="Times New Roman" w:cs="Times New Roman"/>
                <w:b/>
                <w:sz w:val="20"/>
                <w:szCs w:val="20"/>
                <w:lang w:eastAsia="lv-LV"/>
              </w:rPr>
            </w:pPr>
            <w:r w:rsidRPr="00E73727">
              <w:rPr>
                <w:rFonts w:eastAsia="Times New Roman" w:cs="Times New Roman"/>
                <w:b/>
                <w:sz w:val="20"/>
                <w:szCs w:val="20"/>
                <w:lang w:eastAsia="lv-LV"/>
              </w:rPr>
              <w:t>354</w:t>
            </w:r>
          </w:p>
        </w:tc>
        <w:tc>
          <w:tcPr>
            <w:tcW w:w="992" w:type="dxa"/>
            <w:tcBorders>
              <w:top w:val="nil"/>
              <w:left w:val="nil"/>
              <w:bottom w:val="single" w:sz="4" w:space="0" w:color="auto"/>
              <w:right w:val="single" w:sz="4" w:space="0" w:color="auto"/>
            </w:tcBorders>
            <w:shd w:val="clear" w:color="auto" w:fill="auto"/>
            <w:noWrap/>
            <w:hideMark/>
          </w:tcPr>
          <w:p w14:paraId="2C5EB542" w14:textId="77777777" w:rsidR="004B6B5C" w:rsidRPr="00E73727" w:rsidRDefault="004B6B5C" w:rsidP="009930F8">
            <w:pPr>
              <w:spacing w:after="0"/>
              <w:ind w:firstLine="0"/>
              <w:jc w:val="center"/>
              <w:rPr>
                <w:rFonts w:eastAsia="Times New Roman" w:cs="Times New Roman"/>
                <w:b/>
                <w:sz w:val="20"/>
                <w:szCs w:val="20"/>
                <w:lang w:eastAsia="lv-LV"/>
              </w:rPr>
            </w:pPr>
            <w:r w:rsidRPr="00E73727">
              <w:rPr>
                <w:rFonts w:eastAsia="Times New Roman" w:cs="Times New Roman"/>
                <w:b/>
                <w:sz w:val="20"/>
                <w:szCs w:val="20"/>
                <w:lang w:eastAsia="lv-LV"/>
              </w:rPr>
              <w:t>720</w:t>
            </w:r>
          </w:p>
        </w:tc>
      </w:tr>
      <w:tr w:rsidR="004B6B5C" w:rsidRPr="00E73727" w14:paraId="16449056" w14:textId="77777777" w:rsidTr="00E73727">
        <w:trPr>
          <w:trHeight w:val="20"/>
        </w:trPr>
        <w:tc>
          <w:tcPr>
            <w:tcW w:w="49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664D09" w14:textId="77777777" w:rsidR="004B6B5C" w:rsidRPr="00E73727" w:rsidRDefault="004B6B5C" w:rsidP="004B6B5C">
            <w:pPr>
              <w:spacing w:before="0" w:after="0"/>
              <w:ind w:firstLine="0"/>
              <w:jc w:val="right"/>
              <w:rPr>
                <w:rFonts w:eastAsia="Times New Roman" w:cs="Times New Roman"/>
                <w:bCs/>
                <w:i/>
                <w:iCs/>
                <w:sz w:val="20"/>
                <w:szCs w:val="20"/>
                <w:lang w:eastAsia="lv-LV"/>
              </w:rPr>
            </w:pPr>
            <w:r w:rsidRPr="00E73727">
              <w:rPr>
                <w:rFonts w:eastAsia="Times New Roman" w:cs="Times New Roman"/>
                <w:bCs/>
                <w:i/>
                <w:iCs/>
                <w:sz w:val="20"/>
                <w:szCs w:val="20"/>
                <w:lang w:eastAsia="lv-LV"/>
              </w:rPr>
              <w:t>Vispārējās valdības parāda prognoze, % no IKP</w:t>
            </w:r>
          </w:p>
        </w:tc>
        <w:tc>
          <w:tcPr>
            <w:tcW w:w="1138" w:type="dxa"/>
            <w:tcBorders>
              <w:top w:val="nil"/>
              <w:left w:val="nil"/>
              <w:bottom w:val="single" w:sz="4" w:space="0" w:color="auto"/>
              <w:right w:val="single" w:sz="4" w:space="0" w:color="auto"/>
            </w:tcBorders>
            <w:shd w:val="clear" w:color="auto" w:fill="auto"/>
            <w:noWrap/>
            <w:vAlign w:val="center"/>
            <w:hideMark/>
          </w:tcPr>
          <w:p w14:paraId="1BA615EF" w14:textId="77777777" w:rsidR="004B6B5C" w:rsidRPr="00E4507C" w:rsidRDefault="004B6B5C" w:rsidP="009930F8">
            <w:pPr>
              <w:spacing w:after="0"/>
              <w:ind w:firstLine="0"/>
              <w:jc w:val="center"/>
              <w:rPr>
                <w:rFonts w:eastAsia="Times New Roman" w:cs="Times New Roman"/>
                <w:bCs/>
                <w:color w:val="FF0000"/>
                <w:sz w:val="20"/>
                <w:szCs w:val="20"/>
                <w:lang w:eastAsia="lv-LV"/>
              </w:rPr>
            </w:pPr>
            <w:r w:rsidRPr="00E4507C">
              <w:rPr>
                <w:rFonts w:eastAsia="Times New Roman" w:cs="Times New Roman"/>
                <w:bCs/>
                <w:sz w:val="20"/>
                <w:szCs w:val="20"/>
                <w:lang w:eastAsia="lv-LV"/>
              </w:rPr>
              <w:t>49,6%</w:t>
            </w:r>
          </w:p>
        </w:tc>
        <w:tc>
          <w:tcPr>
            <w:tcW w:w="992" w:type="dxa"/>
            <w:tcBorders>
              <w:top w:val="nil"/>
              <w:left w:val="nil"/>
              <w:bottom w:val="single" w:sz="4" w:space="0" w:color="auto"/>
              <w:right w:val="single" w:sz="4" w:space="0" w:color="auto"/>
            </w:tcBorders>
            <w:shd w:val="clear" w:color="auto" w:fill="auto"/>
            <w:noWrap/>
            <w:vAlign w:val="center"/>
            <w:hideMark/>
          </w:tcPr>
          <w:p w14:paraId="4DA42620" w14:textId="77777777" w:rsidR="004B6B5C" w:rsidRPr="00E73727" w:rsidRDefault="004B6B5C" w:rsidP="009930F8">
            <w:pPr>
              <w:spacing w:after="0"/>
              <w:ind w:firstLine="0"/>
              <w:jc w:val="center"/>
              <w:rPr>
                <w:rFonts w:eastAsia="Times New Roman" w:cs="Times New Roman"/>
                <w:b/>
                <w:color w:val="FF0000"/>
                <w:sz w:val="20"/>
                <w:szCs w:val="20"/>
                <w:lang w:eastAsia="lv-LV"/>
              </w:rPr>
            </w:pPr>
            <w:r w:rsidRPr="00E73727">
              <w:rPr>
                <w:rFonts w:eastAsia="Times New Roman" w:cs="Times New Roman"/>
                <w:b/>
                <w:color w:val="FF0000"/>
                <w:sz w:val="20"/>
                <w:szCs w:val="20"/>
                <w:lang w:eastAsia="lv-LV"/>
              </w:rPr>
              <w:t>50,0%</w:t>
            </w:r>
          </w:p>
        </w:tc>
        <w:tc>
          <w:tcPr>
            <w:tcW w:w="992" w:type="dxa"/>
            <w:tcBorders>
              <w:top w:val="nil"/>
              <w:left w:val="nil"/>
              <w:bottom w:val="single" w:sz="4" w:space="0" w:color="auto"/>
              <w:right w:val="single" w:sz="4" w:space="0" w:color="auto"/>
            </w:tcBorders>
            <w:shd w:val="clear" w:color="auto" w:fill="auto"/>
            <w:noWrap/>
            <w:vAlign w:val="center"/>
            <w:hideMark/>
          </w:tcPr>
          <w:p w14:paraId="2D576B39" w14:textId="77777777" w:rsidR="004B6B5C" w:rsidRPr="00E73727" w:rsidRDefault="004B6B5C" w:rsidP="009930F8">
            <w:pPr>
              <w:spacing w:after="0"/>
              <w:ind w:firstLine="0"/>
              <w:jc w:val="center"/>
              <w:rPr>
                <w:rFonts w:eastAsia="Times New Roman" w:cs="Times New Roman"/>
                <w:b/>
                <w:color w:val="FF0000"/>
                <w:sz w:val="20"/>
                <w:szCs w:val="20"/>
                <w:lang w:eastAsia="lv-LV"/>
              </w:rPr>
            </w:pPr>
            <w:r w:rsidRPr="00E73727">
              <w:rPr>
                <w:rFonts w:eastAsia="Times New Roman" w:cs="Times New Roman"/>
                <w:b/>
                <w:color w:val="FF0000"/>
                <w:sz w:val="20"/>
                <w:szCs w:val="20"/>
                <w:lang w:eastAsia="lv-LV"/>
              </w:rPr>
              <w:t>48,1%</w:t>
            </w:r>
          </w:p>
        </w:tc>
        <w:tc>
          <w:tcPr>
            <w:tcW w:w="992" w:type="dxa"/>
            <w:tcBorders>
              <w:top w:val="nil"/>
              <w:left w:val="nil"/>
              <w:bottom w:val="single" w:sz="4" w:space="0" w:color="auto"/>
              <w:right w:val="single" w:sz="4" w:space="0" w:color="auto"/>
            </w:tcBorders>
            <w:shd w:val="clear" w:color="auto" w:fill="auto"/>
            <w:noWrap/>
            <w:vAlign w:val="center"/>
            <w:hideMark/>
          </w:tcPr>
          <w:p w14:paraId="0DB93C22" w14:textId="77777777" w:rsidR="004B6B5C" w:rsidRPr="00E73727" w:rsidRDefault="004B6B5C" w:rsidP="009930F8">
            <w:pPr>
              <w:spacing w:after="0"/>
              <w:ind w:firstLine="0"/>
              <w:jc w:val="center"/>
              <w:rPr>
                <w:rFonts w:eastAsia="Times New Roman" w:cs="Times New Roman"/>
                <w:b/>
                <w:color w:val="FF0000"/>
                <w:sz w:val="20"/>
                <w:szCs w:val="20"/>
                <w:lang w:eastAsia="lv-LV"/>
              </w:rPr>
            </w:pPr>
            <w:r w:rsidRPr="00E73727">
              <w:rPr>
                <w:rFonts w:eastAsia="Times New Roman" w:cs="Times New Roman"/>
                <w:b/>
                <w:color w:val="FF0000"/>
                <w:sz w:val="20"/>
                <w:szCs w:val="20"/>
                <w:lang w:eastAsia="lv-LV"/>
              </w:rPr>
              <w:t>47,6%</w:t>
            </w:r>
          </w:p>
        </w:tc>
      </w:tr>
    </w:tbl>
    <w:p w14:paraId="214C92D2" w14:textId="04840409" w:rsidR="0049438C" w:rsidRPr="0049438C" w:rsidRDefault="004B6B5C" w:rsidP="00E73727">
      <w:pPr>
        <w:spacing w:before="240" w:after="60"/>
        <w:jc w:val="left"/>
        <w:rPr>
          <w:b/>
          <w:bCs/>
          <w:szCs w:val="20"/>
        </w:rPr>
      </w:pPr>
      <w:r w:rsidRPr="00B26DBF">
        <w:rPr>
          <w:b/>
          <w:bCs/>
          <w:szCs w:val="20"/>
        </w:rPr>
        <w:t>Fiskālā telpa 2022.</w:t>
      </w:r>
      <w:r w:rsidR="00E73727">
        <w:rPr>
          <w:b/>
          <w:bCs/>
          <w:szCs w:val="20"/>
        </w:rPr>
        <w:t> </w:t>
      </w:r>
      <w:r w:rsidRPr="00B26DBF">
        <w:rPr>
          <w:b/>
          <w:bCs/>
          <w:szCs w:val="20"/>
        </w:rPr>
        <w:t>gadam un turpmākajiem gadiem</w:t>
      </w:r>
    </w:p>
    <w:p w14:paraId="038EA723" w14:textId="374E3784" w:rsidR="004B6B5C" w:rsidRPr="004B6B5C" w:rsidRDefault="004B6B5C" w:rsidP="0049438C">
      <w:pPr>
        <w:spacing w:before="0"/>
        <w:rPr>
          <w:szCs w:val="20"/>
        </w:rPr>
      </w:pPr>
      <w:r w:rsidRPr="004B6B5C">
        <w:rPr>
          <w:szCs w:val="20"/>
        </w:rPr>
        <w:t>Ņemot vērā iepriekš definētos fiskālos nosacījumus un vispārējās valdības parāda prognozes pie nemainīgas valdības politikas, fiskālās telpas noteikšanā 2022.</w:t>
      </w:r>
      <w:r w:rsidR="00E73727">
        <w:rPr>
          <w:szCs w:val="20"/>
        </w:rPr>
        <w:t> </w:t>
      </w:r>
      <w:r w:rsidRPr="004B6B5C">
        <w:rPr>
          <w:szCs w:val="20"/>
        </w:rPr>
        <w:t>gadam un turpmākajiem gadiem tiek pielietots scenārijs, kas paredz vispārējās valdības parādu līmeni tuvu 50% no IKP</w:t>
      </w:r>
      <w:r w:rsidR="00E73727">
        <w:rPr>
          <w:szCs w:val="20"/>
        </w:rPr>
        <w:t>,</w:t>
      </w:r>
      <w:r w:rsidRPr="004B6B5C">
        <w:rPr>
          <w:szCs w:val="20"/>
        </w:rPr>
        <w:t xml:space="preserve"> t.i.</w:t>
      </w:r>
      <w:r w:rsidR="00E73727">
        <w:rPr>
          <w:szCs w:val="20"/>
        </w:rPr>
        <w:t>,</w:t>
      </w:r>
      <w:r w:rsidRPr="004B6B5C">
        <w:rPr>
          <w:szCs w:val="20"/>
        </w:rPr>
        <w:t xml:space="preserve"> parāda mērķa vērtība 2022.</w:t>
      </w:r>
      <w:r w:rsidR="00E73727">
        <w:rPr>
          <w:szCs w:val="20"/>
        </w:rPr>
        <w:t> </w:t>
      </w:r>
      <w:r w:rsidRPr="004B6B5C">
        <w:rPr>
          <w:szCs w:val="20"/>
        </w:rPr>
        <w:t>gadā tiek noteikta 50,9% no IKP, savukārt turpmākajos gados parāda līmenis samazinās zem 50% no IKP.</w:t>
      </w:r>
    </w:p>
    <w:p w14:paraId="2DF6A0A2" w14:textId="40F54EF5" w:rsidR="00C755C1" w:rsidRPr="00C755C1" w:rsidRDefault="00E73727" w:rsidP="00C755C1">
      <w:pPr>
        <w:spacing w:before="60" w:after="60"/>
        <w:jc w:val="center"/>
        <w:rPr>
          <w:b/>
          <w:bCs/>
          <w:sz w:val="24"/>
          <w:szCs w:val="24"/>
        </w:rPr>
      </w:pPr>
      <w:r>
        <w:rPr>
          <w:b/>
          <w:bCs/>
          <w:sz w:val="24"/>
          <w:szCs w:val="24"/>
        </w:rPr>
        <w:t>8</w:t>
      </w:r>
      <w:r w:rsidR="00B26DBF" w:rsidRPr="009930F8">
        <w:rPr>
          <w:b/>
          <w:bCs/>
          <w:sz w:val="24"/>
          <w:szCs w:val="24"/>
        </w:rPr>
        <w:t>.tabula.</w:t>
      </w:r>
      <w:r w:rsidR="004B6B5C" w:rsidRPr="009930F8">
        <w:rPr>
          <w:b/>
          <w:bCs/>
          <w:sz w:val="24"/>
          <w:szCs w:val="24"/>
        </w:rPr>
        <w:t>Vispārējās</w:t>
      </w:r>
      <w:r w:rsidR="004B6B5C" w:rsidRPr="00B26DBF">
        <w:rPr>
          <w:b/>
          <w:bCs/>
          <w:sz w:val="24"/>
          <w:szCs w:val="24"/>
        </w:rPr>
        <w:t xml:space="preserve"> valdības parāda prognozes 2021.-2024. gadam,</w:t>
      </w:r>
      <w:r w:rsidR="00E4507C">
        <w:rPr>
          <w:b/>
          <w:bCs/>
          <w:sz w:val="24"/>
          <w:szCs w:val="24"/>
        </w:rPr>
        <w:br/>
      </w:r>
      <w:r w:rsidR="004B6B5C" w:rsidRPr="00B26DBF">
        <w:rPr>
          <w:b/>
          <w:bCs/>
          <w:sz w:val="24"/>
          <w:szCs w:val="24"/>
        </w:rPr>
        <w:t xml:space="preserve">scenārijs </w:t>
      </w:r>
      <w:r w:rsidR="00E4507C">
        <w:rPr>
          <w:b/>
          <w:bCs/>
          <w:sz w:val="24"/>
          <w:szCs w:val="24"/>
        </w:rPr>
        <w:t>“</w:t>
      </w:r>
      <w:r w:rsidR="004B6B5C" w:rsidRPr="00B26DBF">
        <w:rPr>
          <w:b/>
          <w:bCs/>
          <w:sz w:val="24"/>
          <w:szCs w:val="24"/>
        </w:rPr>
        <w:t>50,9% no IKP</w:t>
      </w:r>
      <w:r w:rsidR="00E4507C">
        <w:rPr>
          <w:b/>
          <w:bCs/>
          <w:sz w:val="24"/>
          <w:szCs w:val="24"/>
        </w:rPr>
        <w:t>”</w:t>
      </w:r>
      <w:r w:rsidR="004B6B5C" w:rsidRPr="00B26DBF">
        <w:rPr>
          <w:b/>
          <w:bCs/>
          <w:sz w:val="24"/>
          <w:szCs w:val="24"/>
        </w:rPr>
        <w:t xml:space="preserve"> 2022.</w:t>
      </w:r>
      <w:r w:rsidR="00E4507C">
        <w:rPr>
          <w:b/>
          <w:bCs/>
          <w:sz w:val="24"/>
          <w:szCs w:val="24"/>
        </w:rPr>
        <w:t> </w:t>
      </w:r>
      <w:r w:rsidR="004B6B5C" w:rsidRPr="00B26DBF">
        <w:rPr>
          <w:b/>
          <w:bCs/>
          <w:sz w:val="24"/>
          <w:szCs w:val="24"/>
        </w:rPr>
        <w:t>gadā</w:t>
      </w:r>
    </w:p>
    <w:tbl>
      <w:tblPr>
        <w:tblW w:w="9214" w:type="dxa"/>
        <w:tblInd w:w="137" w:type="dxa"/>
        <w:tblCellMar>
          <w:left w:w="0" w:type="dxa"/>
          <w:right w:w="0" w:type="dxa"/>
        </w:tblCellMar>
        <w:tblLook w:val="0600" w:firstRow="0" w:lastRow="0" w:firstColumn="0" w:lastColumn="0" w:noHBand="1" w:noVBand="1"/>
      </w:tblPr>
      <w:tblGrid>
        <w:gridCol w:w="2194"/>
        <w:gridCol w:w="2264"/>
        <w:gridCol w:w="1189"/>
        <w:gridCol w:w="1189"/>
        <w:gridCol w:w="1189"/>
        <w:gridCol w:w="1189"/>
      </w:tblGrid>
      <w:tr w:rsidR="004B6B5C" w:rsidRPr="00E4507C" w14:paraId="65192086" w14:textId="77777777" w:rsidTr="00E4507C">
        <w:trPr>
          <w:trHeight w:val="2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F3D37DA" w14:textId="77777777" w:rsidR="004B6B5C" w:rsidRPr="00E4507C" w:rsidRDefault="004B6B5C" w:rsidP="004B6B5C">
            <w:pPr>
              <w:spacing w:before="60" w:after="60"/>
              <w:rPr>
                <w:noProof/>
                <w:sz w:val="20"/>
                <w:szCs w:val="20"/>
              </w:rPr>
            </w:pPr>
            <w:r w:rsidRPr="00E4507C">
              <w:rPr>
                <w:noProof/>
                <w:sz w:val="20"/>
                <w:szCs w:val="20"/>
              </w:rPr>
              <w:t>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A947A32" w14:textId="3A4CFE0F" w:rsidR="004B6B5C" w:rsidRPr="00E4507C" w:rsidRDefault="004B6B5C" w:rsidP="004B6B5C">
            <w:pPr>
              <w:spacing w:before="60" w:after="60"/>
              <w:rPr>
                <w:b/>
                <w:bCs/>
                <w:noProof/>
                <w:sz w:val="20"/>
                <w:szCs w:val="20"/>
              </w:rPr>
            </w:pPr>
            <w:r w:rsidRPr="00E4507C">
              <w:rPr>
                <w:b/>
                <w:bCs/>
                <w:noProof/>
                <w:sz w:val="20"/>
                <w:szCs w:val="20"/>
              </w:rPr>
              <w:t>50</w:t>
            </w:r>
            <w:r w:rsidR="00E4507C" w:rsidRPr="00E4507C">
              <w:rPr>
                <w:b/>
                <w:bCs/>
                <w:noProof/>
                <w:sz w:val="20"/>
                <w:szCs w:val="20"/>
              </w:rPr>
              <w:t>,</w:t>
            </w:r>
            <w:r w:rsidRPr="00E4507C">
              <w:rPr>
                <w:b/>
                <w:bCs/>
                <w:noProof/>
                <w:sz w:val="20"/>
                <w:szCs w:val="20"/>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D207506" w14:textId="77777777" w:rsidR="004B6B5C" w:rsidRPr="00E4507C" w:rsidRDefault="004B6B5C" w:rsidP="00B26DBF">
            <w:pPr>
              <w:spacing w:before="60" w:after="60"/>
              <w:ind w:firstLine="0"/>
              <w:jc w:val="center"/>
              <w:rPr>
                <w:b/>
                <w:bCs/>
                <w:noProof/>
                <w:sz w:val="20"/>
                <w:szCs w:val="20"/>
              </w:rPr>
            </w:pPr>
            <w:r w:rsidRPr="00E4507C">
              <w:rPr>
                <w:b/>
                <w:bCs/>
                <w:noProof/>
                <w:sz w:val="20"/>
                <w:szCs w:val="20"/>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1367578" w14:textId="77777777" w:rsidR="004B6B5C" w:rsidRPr="00E4507C" w:rsidRDefault="004B6B5C" w:rsidP="00B26DBF">
            <w:pPr>
              <w:spacing w:before="60" w:after="60"/>
              <w:ind w:firstLine="0"/>
              <w:jc w:val="center"/>
              <w:rPr>
                <w:b/>
                <w:bCs/>
                <w:noProof/>
                <w:sz w:val="20"/>
                <w:szCs w:val="20"/>
              </w:rPr>
            </w:pPr>
            <w:r w:rsidRPr="00E4507C">
              <w:rPr>
                <w:b/>
                <w:bCs/>
                <w:noProof/>
                <w:sz w:val="20"/>
                <w:szCs w:val="20"/>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45540A" w14:textId="77777777" w:rsidR="004B6B5C" w:rsidRPr="00E4507C" w:rsidRDefault="004B6B5C" w:rsidP="00B26DBF">
            <w:pPr>
              <w:spacing w:before="60" w:after="60"/>
              <w:ind w:firstLine="0"/>
              <w:jc w:val="center"/>
              <w:rPr>
                <w:b/>
                <w:bCs/>
                <w:noProof/>
                <w:sz w:val="20"/>
                <w:szCs w:val="20"/>
              </w:rPr>
            </w:pPr>
            <w:r w:rsidRPr="00E4507C">
              <w:rPr>
                <w:b/>
                <w:bCs/>
                <w:noProof/>
                <w:sz w:val="20"/>
                <w:szCs w:val="20"/>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BB5B622" w14:textId="77777777" w:rsidR="004B6B5C" w:rsidRPr="00E4507C" w:rsidRDefault="004B6B5C" w:rsidP="00B26DBF">
            <w:pPr>
              <w:spacing w:before="60" w:after="60"/>
              <w:ind w:firstLine="0"/>
              <w:jc w:val="center"/>
              <w:rPr>
                <w:b/>
                <w:bCs/>
                <w:noProof/>
                <w:sz w:val="20"/>
                <w:szCs w:val="20"/>
              </w:rPr>
            </w:pPr>
            <w:r w:rsidRPr="00E4507C">
              <w:rPr>
                <w:b/>
                <w:bCs/>
                <w:noProof/>
                <w:sz w:val="20"/>
                <w:szCs w:val="20"/>
              </w:rPr>
              <w:t>2024</w:t>
            </w:r>
          </w:p>
        </w:tc>
      </w:tr>
      <w:tr w:rsidR="004B6B5C" w:rsidRPr="00E4507C" w14:paraId="4D3DB94B" w14:textId="77777777" w:rsidTr="00E4507C">
        <w:trPr>
          <w:trHeight w:val="20"/>
        </w:trPr>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001A8BF" w14:textId="0D04A947" w:rsidR="004B6B5C" w:rsidRPr="00E4507C" w:rsidRDefault="004B6B5C" w:rsidP="00B26DBF">
            <w:pPr>
              <w:spacing w:before="60" w:after="60"/>
              <w:ind w:firstLine="0"/>
              <w:jc w:val="center"/>
              <w:rPr>
                <w:noProof/>
                <w:sz w:val="20"/>
                <w:szCs w:val="20"/>
              </w:rPr>
            </w:pPr>
            <w:r w:rsidRPr="00E4507C">
              <w:rPr>
                <w:noProof/>
                <w:sz w:val="20"/>
                <w:szCs w:val="20"/>
              </w:rPr>
              <w:t>Vispārējās valdības parāds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AB368BA" w14:textId="77777777" w:rsidR="004B6B5C" w:rsidRPr="00E4507C" w:rsidRDefault="004B6B5C" w:rsidP="004B6B5C">
            <w:pPr>
              <w:spacing w:before="60" w:after="60"/>
              <w:rPr>
                <w:noProof/>
                <w:sz w:val="20"/>
                <w:szCs w:val="20"/>
              </w:rPr>
            </w:pPr>
            <w:r w:rsidRPr="00E4507C">
              <w:rPr>
                <w:noProof/>
                <w:sz w:val="20"/>
                <w:szCs w:val="20"/>
              </w:rPr>
              <w:t xml:space="preserve">milj. </w:t>
            </w:r>
            <w:r w:rsidRPr="00E4507C">
              <w:rPr>
                <w:i/>
                <w:iCs/>
                <w:noProof/>
                <w:sz w:val="20"/>
                <w:szCs w:val="20"/>
              </w:rPr>
              <w:t>euro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FC56A08" w14:textId="77777777" w:rsidR="004B6B5C" w:rsidRPr="00E4507C" w:rsidRDefault="004B6B5C" w:rsidP="00B26DBF">
            <w:pPr>
              <w:spacing w:before="60" w:after="60"/>
              <w:ind w:firstLine="0"/>
              <w:jc w:val="center"/>
              <w:rPr>
                <w:noProof/>
                <w:sz w:val="20"/>
                <w:szCs w:val="20"/>
              </w:rPr>
            </w:pPr>
            <w:r w:rsidRPr="00E4507C">
              <w:rPr>
                <w:noProof/>
                <w:sz w:val="20"/>
                <w:szCs w:val="20"/>
              </w:rPr>
              <w:t>15 566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381932B" w14:textId="77777777" w:rsidR="004B6B5C" w:rsidRPr="00E4507C" w:rsidRDefault="004B6B5C" w:rsidP="00B26DBF">
            <w:pPr>
              <w:spacing w:before="60" w:after="60"/>
              <w:ind w:firstLine="0"/>
              <w:jc w:val="center"/>
              <w:rPr>
                <w:noProof/>
                <w:sz w:val="20"/>
                <w:szCs w:val="20"/>
              </w:rPr>
            </w:pPr>
            <w:r w:rsidRPr="00E4507C">
              <w:rPr>
                <w:noProof/>
                <w:sz w:val="20"/>
                <w:szCs w:val="20"/>
              </w:rPr>
              <w:t>17 317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CF79F6D" w14:textId="77777777" w:rsidR="004B6B5C" w:rsidRPr="00E4507C" w:rsidRDefault="004B6B5C" w:rsidP="00B26DBF">
            <w:pPr>
              <w:spacing w:before="60" w:after="60"/>
              <w:ind w:firstLine="0"/>
              <w:jc w:val="center"/>
              <w:rPr>
                <w:noProof/>
                <w:sz w:val="20"/>
                <w:szCs w:val="20"/>
              </w:rPr>
            </w:pPr>
            <w:r w:rsidRPr="00E4507C">
              <w:rPr>
                <w:noProof/>
                <w:sz w:val="20"/>
                <w:szCs w:val="20"/>
              </w:rPr>
              <w:t>17 973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2AC0B63" w14:textId="77777777" w:rsidR="004B6B5C" w:rsidRPr="00E4507C" w:rsidRDefault="004B6B5C" w:rsidP="00B26DBF">
            <w:pPr>
              <w:spacing w:before="60" w:after="60"/>
              <w:ind w:firstLine="0"/>
              <w:jc w:val="center"/>
              <w:rPr>
                <w:noProof/>
                <w:sz w:val="20"/>
                <w:szCs w:val="20"/>
              </w:rPr>
            </w:pPr>
            <w:r w:rsidRPr="00E4507C">
              <w:rPr>
                <w:noProof/>
                <w:sz w:val="20"/>
                <w:szCs w:val="20"/>
              </w:rPr>
              <w:t>18 994</w:t>
            </w:r>
          </w:p>
        </w:tc>
      </w:tr>
      <w:tr w:rsidR="004B6B5C" w:rsidRPr="00E4507C" w14:paraId="2751A3CE" w14:textId="77777777" w:rsidTr="00E4507C">
        <w:trPr>
          <w:trHeight w:val="20"/>
        </w:trPr>
        <w:tc>
          <w:tcPr>
            <w:tcW w:w="2093" w:type="dxa"/>
            <w:vMerge/>
            <w:tcBorders>
              <w:top w:val="single" w:sz="4" w:space="0" w:color="000000"/>
              <w:left w:val="single" w:sz="4" w:space="0" w:color="000000"/>
              <w:bottom w:val="single" w:sz="4" w:space="0" w:color="000000"/>
              <w:right w:val="single" w:sz="4" w:space="0" w:color="000000"/>
            </w:tcBorders>
            <w:vAlign w:val="center"/>
            <w:hideMark/>
          </w:tcPr>
          <w:p w14:paraId="53FA547A" w14:textId="77777777" w:rsidR="004B6B5C" w:rsidRPr="00E4507C" w:rsidRDefault="004B6B5C" w:rsidP="004B6B5C">
            <w:pPr>
              <w:spacing w:before="60" w:after="60"/>
              <w:rPr>
                <w:noProof/>
                <w:sz w:val="20"/>
                <w:szCs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587AB2E" w14:textId="77777777" w:rsidR="004B6B5C" w:rsidRPr="00E4507C" w:rsidRDefault="004B6B5C" w:rsidP="004B6B5C">
            <w:pPr>
              <w:spacing w:before="60" w:after="60"/>
              <w:rPr>
                <w:noProof/>
                <w:sz w:val="20"/>
                <w:szCs w:val="20"/>
              </w:rPr>
            </w:pPr>
            <w:r w:rsidRPr="00E4507C">
              <w:rPr>
                <w:noProof/>
                <w:sz w:val="20"/>
                <w:szCs w:val="20"/>
              </w:rPr>
              <w:t>% no IKP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0BEDBE8" w14:textId="77777777" w:rsidR="004B6B5C" w:rsidRPr="00E4507C" w:rsidRDefault="004B6B5C" w:rsidP="00B26DBF">
            <w:pPr>
              <w:spacing w:before="60" w:after="60"/>
              <w:ind w:firstLine="0"/>
              <w:jc w:val="center"/>
              <w:rPr>
                <w:noProof/>
                <w:sz w:val="20"/>
                <w:szCs w:val="20"/>
              </w:rPr>
            </w:pPr>
            <w:r w:rsidRPr="00E4507C">
              <w:rPr>
                <w:noProof/>
                <w:sz w:val="20"/>
                <w:szCs w:val="20"/>
              </w:rPr>
              <w:t>49,6%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506FEBE" w14:textId="77777777" w:rsidR="004B6B5C" w:rsidRPr="00E4507C" w:rsidRDefault="004B6B5C" w:rsidP="00B26DBF">
            <w:pPr>
              <w:spacing w:before="60" w:after="60"/>
              <w:ind w:firstLine="0"/>
              <w:jc w:val="center"/>
              <w:rPr>
                <w:b/>
                <w:bCs/>
                <w:noProof/>
                <w:color w:val="FF0000"/>
                <w:sz w:val="20"/>
                <w:szCs w:val="20"/>
              </w:rPr>
            </w:pPr>
            <w:r w:rsidRPr="00E4507C">
              <w:rPr>
                <w:b/>
                <w:bCs/>
                <w:noProof/>
                <w:color w:val="FF0000"/>
                <w:sz w:val="20"/>
                <w:szCs w:val="20"/>
              </w:rPr>
              <w:t>50,9%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8677FFC" w14:textId="77777777" w:rsidR="004B6B5C" w:rsidRPr="00E4507C" w:rsidRDefault="004B6B5C" w:rsidP="00B26DBF">
            <w:pPr>
              <w:spacing w:before="60" w:after="60"/>
              <w:ind w:firstLine="0"/>
              <w:jc w:val="center"/>
              <w:rPr>
                <w:b/>
                <w:bCs/>
                <w:noProof/>
                <w:color w:val="FF0000"/>
                <w:sz w:val="20"/>
                <w:szCs w:val="20"/>
              </w:rPr>
            </w:pPr>
            <w:r w:rsidRPr="00E4507C">
              <w:rPr>
                <w:b/>
                <w:bCs/>
                <w:noProof/>
                <w:color w:val="FF0000"/>
                <w:sz w:val="20"/>
                <w:szCs w:val="20"/>
              </w:rPr>
              <w:t>49,8%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5A5DE65" w14:textId="77777777" w:rsidR="004B6B5C" w:rsidRPr="00E4507C" w:rsidRDefault="004B6B5C" w:rsidP="00B26DBF">
            <w:pPr>
              <w:spacing w:before="60" w:after="60"/>
              <w:ind w:firstLine="0"/>
              <w:jc w:val="center"/>
              <w:rPr>
                <w:b/>
                <w:bCs/>
                <w:noProof/>
                <w:color w:val="FF0000"/>
                <w:sz w:val="20"/>
                <w:szCs w:val="20"/>
              </w:rPr>
            </w:pPr>
            <w:r w:rsidRPr="00E4507C">
              <w:rPr>
                <w:b/>
                <w:bCs/>
                <w:noProof/>
                <w:color w:val="FF0000"/>
                <w:sz w:val="20"/>
                <w:szCs w:val="20"/>
              </w:rPr>
              <w:t>49,9%</w:t>
            </w:r>
          </w:p>
        </w:tc>
      </w:tr>
      <w:tr w:rsidR="004B6B5C" w:rsidRPr="00E4507C" w14:paraId="12570676" w14:textId="77777777" w:rsidTr="00E4507C">
        <w:trPr>
          <w:trHeight w:val="20"/>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C9C9C9"/>
            <w:tcMar>
              <w:top w:w="10" w:type="dxa"/>
              <w:left w:w="10" w:type="dxa"/>
              <w:bottom w:w="0" w:type="dxa"/>
              <w:right w:w="10" w:type="dxa"/>
            </w:tcMar>
            <w:vAlign w:val="center"/>
            <w:hideMark/>
          </w:tcPr>
          <w:p w14:paraId="0205EAE2" w14:textId="27520B2B" w:rsidR="004B6B5C" w:rsidRPr="00E4507C" w:rsidRDefault="004B6B5C" w:rsidP="0049438C">
            <w:pPr>
              <w:spacing w:before="60" w:after="60"/>
              <w:ind w:firstLine="0"/>
              <w:jc w:val="center"/>
              <w:rPr>
                <w:noProof/>
                <w:sz w:val="20"/>
                <w:szCs w:val="20"/>
              </w:rPr>
            </w:pPr>
            <w:r w:rsidRPr="00E4507C">
              <w:rPr>
                <w:noProof/>
                <w:sz w:val="20"/>
                <w:szCs w:val="20"/>
              </w:rPr>
              <w:t>Pieļaujamais parāda pieaugums attiecīgajā gadā līdz mērķim, milj.</w:t>
            </w:r>
            <w:r w:rsidR="0049438C" w:rsidRPr="00E4507C">
              <w:rPr>
                <w:noProof/>
                <w:sz w:val="20"/>
                <w:szCs w:val="20"/>
              </w:rPr>
              <w:t xml:space="preserve"> </w:t>
            </w:r>
            <w:r w:rsidRPr="00E4507C">
              <w:rPr>
                <w:i/>
                <w:iCs/>
                <w:noProof/>
                <w:sz w:val="20"/>
                <w:szCs w:val="20"/>
              </w:rPr>
              <w:t>euro</w:t>
            </w:r>
          </w:p>
        </w:tc>
        <w:tc>
          <w:tcPr>
            <w:tcW w:w="1134" w:type="dxa"/>
            <w:tcBorders>
              <w:top w:val="single" w:sz="4" w:space="0" w:color="000000"/>
              <w:left w:val="single" w:sz="4" w:space="0" w:color="000000"/>
              <w:bottom w:val="single" w:sz="4" w:space="0" w:color="000000"/>
              <w:right w:val="single" w:sz="4" w:space="0" w:color="000000"/>
            </w:tcBorders>
            <w:shd w:val="clear" w:color="auto" w:fill="C9C9C9"/>
            <w:tcMar>
              <w:top w:w="10" w:type="dxa"/>
              <w:left w:w="10" w:type="dxa"/>
              <w:bottom w:w="0" w:type="dxa"/>
              <w:right w:w="10" w:type="dxa"/>
            </w:tcMar>
            <w:vAlign w:val="center"/>
            <w:hideMark/>
          </w:tcPr>
          <w:p w14:paraId="381099CC" w14:textId="5ABCADB9" w:rsidR="004B6B5C" w:rsidRPr="00E4507C" w:rsidRDefault="004B6B5C" w:rsidP="00B26DBF">
            <w:pPr>
              <w:spacing w:before="60" w:after="60"/>
              <w:jc w:val="center"/>
              <w:rPr>
                <w:noProof/>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C9C9C9"/>
            <w:tcMar>
              <w:top w:w="10" w:type="dxa"/>
              <w:left w:w="10" w:type="dxa"/>
              <w:bottom w:w="0" w:type="dxa"/>
              <w:right w:w="10" w:type="dxa"/>
            </w:tcMar>
            <w:vAlign w:val="center"/>
            <w:hideMark/>
          </w:tcPr>
          <w:p w14:paraId="6FE8FBB4" w14:textId="77777777" w:rsidR="004B6B5C" w:rsidRPr="00E4507C" w:rsidRDefault="004B6B5C" w:rsidP="00B26DBF">
            <w:pPr>
              <w:spacing w:before="60" w:after="60"/>
              <w:ind w:firstLine="0"/>
              <w:jc w:val="center"/>
              <w:rPr>
                <w:b/>
                <w:bCs/>
                <w:noProof/>
                <w:sz w:val="20"/>
                <w:szCs w:val="20"/>
              </w:rPr>
            </w:pPr>
            <w:r w:rsidRPr="00E4507C">
              <w:rPr>
                <w:b/>
                <w:bCs/>
                <w:noProof/>
                <w:sz w:val="20"/>
                <w:szCs w:val="20"/>
              </w:rPr>
              <w:t>1 751</w:t>
            </w:r>
          </w:p>
        </w:tc>
        <w:tc>
          <w:tcPr>
            <w:tcW w:w="1134" w:type="dxa"/>
            <w:tcBorders>
              <w:top w:val="single" w:sz="4" w:space="0" w:color="000000"/>
              <w:left w:val="single" w:sz="4" w:space="0" w:color="000000"/>
              <w:bottom w:val="single" w:sz="4" w:space="0" w:color="000000"/>
              <w:right w:val="single" w:sz="4" w:space="0" w:color="000000"/>
            </w:tcBorders>
            <w:shd w:val="clear" w:color="auto" w:fill="C9C9C9"/>
            <w:tcMar>
              <w:top w:w="10" w:type="dxa"/>
              <w:left w:w="10" w:type="dxa"/>
              <w:bottom w:w="0" w:type="dxa"/>
              <w:right w:w="10" w:type="dxa"/>
            </w:tcMar>
            <w:vAlign w:val="center"/>
            <w:hideMark/>
          </w:tcPr>
          <w:p w14:paraId="580D1C01" w14:textId="1361727E" w:rsidR="004B6B5C" w:rsidRPr="00E4507C" w:rsidRDefault="004B6B5C" w:rsidP="00B26DBF">
            <w:pPr>
              <w:spacing w:before="60" w:after="60"/>
              <w:jc w:val="center"/>
              <w:rPr>
                <w:noProof/>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C9C9C9"/>
            <w:tcMar>
              <w:top w:w="10" w:type="dxa"/>
              <w:left w:w="10" w:type="dxa"/>
              <w:bottom w:w="0" w:type="dxa"/>
              <w:right w:w="10" w:type="dxa"/>
            </w:tcMar>
            <w:vAlign w:val="center"/>
            <w:hideMark/>
          </w:tcPr>
          <w:p w14:paraId="09F836B2" w14:textId="1C720EE9" w:rsidR="004B6B5C" w:rsidRPr="00E4507C" w:rsidRDefault="004B6B5C" w:rsidP="00B26DBF">
            <w:pPr>
              <w:spacing w:before="60" w:after="60"/>
              <w:jc w:val="center"/>
              <w:rPr>
                <w:noProof/>
                <w:sz w:val="20"/>
                <w:szCs w:val="20"/>
              </w:rPr>
            </w:pPr>
          </w:p>
        </w:tc>
      </w:tr>
      <w:tr w:rsidR="004B6B5C" w:rsidRPr="00E4507C" w14:paraId="3B826AE8" w14:textId="77777777" w:rsidTr="00E4507C">
        <w:trPr>
          <w:trHeight w:val="20"/>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F9F8E65" w14:textId="77777777" w:rsidR="004B6B5C" w:rsidRPr="00E4507C" w:rsidRDefault="004B6B5C" w:rsidP="004B6B5C">
            <w:pPr>
              <w:spacing w:before="60" w:after="60"/>
              <w:rPr>
                <w:noProof/>
                <w:sz w:val="20"/>
                <w:szCs w:val="20"/>
              </w:rPr>
            </w:pPr>
            <w:r w:rsidRPr="00E4507C">
              <w:rPr>
                <w:noProof/>
                <w:sz w:val="20"/>
                <w:szCs w:val="20"/>
              </w:rPr>
              <w:t xml:space="preserve">t.sk. plānotais pieaugums pie nemainīgas politikas, milj. </w:t>
            </w:r>
            <w:r w:rsidRPr="00E4507C">
              <w:rPr>
                <w:i/>
                <w:iCs/>
                <w:noProof/>
                <w:sz w:val="20"/>
                <w:szCs w:val="20"/>
              </w:rPr>
              <w:t>euro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7269502" w14:textId="5EB2D0E4" w:rsidR="004B6B5C" w:rsidRPr="00E4507C" w:rsidRDefault="004B6B5C" w:rsidP="00B26DBF">
            <w:pPr>
              <w:spacing w:before="60" w:after="60"/>
              <w:jc w:val="center"/>
              <w:rPr>
                <w:noProof/>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E2F18D0" w14:textId="77777777" w:rsidR="004B6B5C" w:rsidRPr="00E4507C" w:rsidRDefault="004B6B5C" w:rsidP="00B26DBF">
            <w:pPr>
              <w:spacing w:before="60" w:after="60"/>
              <w:ind w:firstLine="0"/>
              <w:jc w:val="center"/>
              <w:rPr>
                <w:noProof/>
                <w:sz w:val="20"/>
                <w:szCs w:val="20"/>
              </w:rPr>
            </w:pPr>
            <w:r w:rsidRPr="00E4507C">
              <w:rPr>
                <w:noProof/>
                <w:sz w:val="20"/>
                <w:szCs w:val="20"/>
              </w:rPr>
              <w:t>1 449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FD7A80C" w14:textId="77777777" w:rsidR="004B6B5C" w:rsidRPr="00E4507C" w:rsidRDefault="004B6B5C" w:rsidP="00B26DBF">
            <w:pPr>
              <w:spacing w:before="60" w:after="60"/>
              <w:ind w:firstLine="0"/>
              <w:jc w:val="center"/>
              <w:rPr>
                <w:noProof/>
                <w:sz w:val="20"/>
                <w:szCs w:val="20"/>
              </w:rPr>
            </w:pPr>
            <w:r w:rsidRPr="00E4507C">
              <w:rPr>
                <w:noProof/>
                <w:sz w:val="20"/>
                <w:szCs w:val="20"/>
              </w:rPr>
              <w:t>354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F56AEF2" w14:textId="77777777" w:rsidR="004B6B5C" w:rsidRPr="00E4507C" w:rsidRDefault="004B6B5C" w:rsidP="00B26DBF">
            <w:pPr>
              <w:spacing w:before="60" w:after="60"/>
              <w:ind w:firstLine="0"/>
              <w:jc w:val="center"/>
              <w:rPr>
                <w:noProof/>
                <w:sz w:val="20"/>
                <w:szCs w:val="20"/>
              </w:rPr>
            </w:pPr>
            <w:r w:rsidRPr="00E4507C">
              <w:rPr>
                <w:noProof/>
                <w:sz w:val="20"/>
                <w:szCs w:val="20"/>
              </w:rPr>
              <w:t>720</w:t>
            </w:r>
          </w:p>
        </w:tc>
      </w:tr>
      <w:tr w:rsidR="004B6B5C" w:rsidRPr="00E4507C" w14:paraId="3EEAF5D2" w14:textId="77777777" w:rsidTr="00E4507C">
        <w:trPr>
          <w:trHeight w:val="20"/>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54C1CD4" w14:textId="77777777" w:rsidR="004B6B5C" w:rsidRPr="00E4507C" w:rsidRDefault="004B6B5C" w:rsidP="004B6B5C">
            <w:pPr>
              <w:spacing w:before="60" w:after="60"/>
              <w:rPr>
                <w:noProof/>
                <w:sz w:val="20"/>
                <w:szCs w:val="20"/>
              </w:rPr>
            </w:pPr>
            <w:r w:rsidRPr="00E4507C">
              <w:rPr>
                <w:noProof/>
                <w:sz w:val="20"/>
                <w:szCs w:val="20"/>
              </w:rPr>
              <w:t xml:space="preserve">Fiskālā telpa, milj. </w:t>
            </w:r>
            <w:r w:rsidRPr="00E4507C">
              <w:rPr>
                <w:i/>
                <w:iCs/>
                <w:noProof/>
                <w:sz w:val="20"/>
                <w:szCs w:val="20"/>
              </w:rPr>
              <w:t>euro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3FA9CA0" w14:textId="77777777" w:rsidR="004B6B5C" w:rsidRPr="00E4507C" w:rsidRDefault="004B6B5C" w:rsidP="00B26DBF">
            <w:pPr>
              <w:spacing w:before="60" w:after="60"/>
              <w:jc w:val="center"/>
              <w:rPr>
                <w:noProof/>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0577506" w14:textId="77777777" w:rsidR="004B6B5C" w:rsidRPr="00E4507C" w:rsidRDefault="004B6B5C" w:rsidP="00B26DBF">
            <w:pPr>
              <w:spacing w:before="60" w:after="60"/>
              <w:ind w:firstLine="0"/>
              <w:jc w:val="center"/>
              <w:rPr>
                <w:b/>
                <w:bCs/>
                <w:noProof/>
                <w:color w:val="FF0000"/>
                <w:sz w:val="20"/>
                <w:szCs w:val="20"/>
              </w:rPr>
            </w:pPr>
            <w:r w:rsidRPr="00E4507C">
              <w:rPr>
                <w:b/>
                <w:bCs/>
                <w:noProof/>
                <w:color w:val="FF0000"/>
                <w:sz w:val="20"/>
                <w:szCs w:val="20"/>
              </w:rPr>
              <w:t>302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6314B49" w14:textId="77777777" w:rsidR="004B6B5C" w:rsidRPr="00E4507C" w:rsidRDefault="004B6B5C" w:rsidP="00B26DBF">
            <w:pPr>
              <w:spacing w:before="60" w:after="60"/>
              <w:ind w:firstLine="0"/>
              <w:jc w:val="center"/>
              <w:rPr>
                <w:b/>
                <w:bCs/>
                <w:noProof/>
                <w:color w:val="FF0000"/>
                <w:sz w:val="20"/>
                <w:szCs w:val="20"/>
              </w:rPr>
            </w:pPr>
            <w:r w:rsidRPr="00E4507C">
              <w:rPr>
                <w:b/>
                <w:bCs/>
                <w:noProof/>
                <w:color w:val="FF0000"/>
                <w:sz w:val="20"/>
                <w:szCs w:val="20"/>
              </w:rPr>
              <w:t>302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C21FCC4" w14:textId="77777777" w:rsidR="004B6B5C" w:rsidRPr="00E4507C" w:rsidRDefault="004B6B5C" w:rsidP="00B26DBF">
            <w:pPr>
              <w:spacing w:before="60" w:after="60"/>
              <w:ind w:firstLine="0"/>
              <w:jc w:val="center"/>
              <w:rPr>
                <w:b/>
                <w:bCs/>
                <w:noProof/>
                <w:color w:val="FF0000"/>
                <w:sz w:val="20"/>
                <w:szCs w:val="20"/>
              </w:rPr>
            </w:pPr>
            <w:r w:rsidRPr="00E4507C">
              <w:rPr>
                <w:b/>
                <w:bCs/>
                <w:noProof/>
                <w:color w:val="FF0000"/>
                <w:sz w:val="20"/>
                <w:szCs w:val="20"/>
              </w:rPr>
              <w:t>302</w:t>
            </w:r>
          </w:p>
        </w:tc>
      </w:tr>
    </w:tbl>
    <w:p w14:paraId="03C2E74E" w14:textId="77777777" w:rsidR="004B6B5C" w:rsidRPr="004B6B5C" w:rsidRDefault="004B6B5C" w:rsidP="00C755C1">
      <w:pPr>
        <w:spacing w:before="60" w:after="60"/>
        <w:ind w:firstLine="0"/>
        <w:rPr>
          <w:szCs w:val="20"/>
        </w:rPr>
      </w:pPr>
    </w:p>
    <w:p w14:paraId="3885A919" w14:textId="77777777" w:rsidR="00E4507C" w:rsidRDefault="00E4507C">
      <w:pPr>
        <w:spacing w:before="0" w:after="0"/>
        <w:ind w:firstLine="0"/>
        <w:jc w:val="left"/>
        <w:rPr>
          <w:b/>
          <w:bCs/>
          <w:szCs w:val="20"/>
        </w:rPr>
      </w:pPr>
      <w:r>
        <w:rPr>
          <w:b/>
          <w:bCs/>
          <w:szCs w:val="20"/>
        </w:rPr>
        <w:br w:type="page"/>
      </w:r>
    </w:p>
    <w:p w14:paraId="422160AF" w14:textId="72296146" w:rsidR="004B6B5C" w:rsidRPr="00C755C1" w:rsidRDefault="004B6B5C" w:rsidP="00E4507C">
      <w:pPr>
        <w:spacing w:before="60" w:after="60"/>
        <w:rPr>
          <w:b/>
          <w:bCs/>
          <w:szCs w:val="20"/>
        </w:rPr>
      </w:pPr>
      <w:r w:rsidRPr="00C755C1">
        <w:rPr>
          <w:b/>
          <w:bCs/>
          <w:szCs w:val="20"/>
        </w:rPr>
        <w:lastRenderedPageBreak/>
        <w:t>Scenārija nosacījumi:</w:t>
      </w:r>
    </w:p>
    <w:p w14:paraId="1586F98F" w14:textId="40A38B35" w:rsidR="004B6B5C" w:rsidRPr="0049438C" w:rsidRDefault="004B6B5C" w:rsidP="00E4507C">
      <w:pPr>
        <w:pStyle w:val="ListParagraph"/>
        <w:numPr>
          <w:ilvl w:val="0"/>
          <w:numId w:val="30"/>
        </w:numPr>
        <w:spacing w:before="60" w:after="60"/>
        <w:ind w:left="714" w:hanging="357"/>
        <w:contextualSpacing w:val="0"/>
        <w:rPr>
          <w:rFonts w:eastAsia="Times New Roman" w:cs="Times New Roman"/>
          <w:noProof/>
          <w:color w:val="000000"/>
          <w:szCs w:val="28"/>
        </w:rPr>
      </w:pPr>
      <w:r w:rsidRPr="0049438C">
        <w:rPr>
          <w:rFonts w:eastAsia="Times New Roman" w:cs="Times New Roman"/>
          <w:color w:val="000000"/>
          <w:szCs w:val="28"/>
        </w:rPr>
        <w:t xml:space="preserve">Fiskālā telpa </w:t>
      </w:r>
      <w:r w:rsidRPr="0049438C">
        <w:rPr>
          <w:rFonts w:eastAsia="Times New Roman" w:cs="Times New Roman"/>
          <w:noProof/>
          <w:color w:val="000000"/>
          <w:szCs w:val="28"/>
        </w:rPr>
        <w:t>primāriem kārtējiem nacionāli finansētajiem izdevumiem 2022.</w:t>
      </w:r>
      <w:r w:rsidR="00E4507C">
        <w:rPr>
          <w:rFonts w:eastAsia="Times New Roman" w:cs="Times New Roman"/>
          <w:noProof/>
          <w:color w:val="000000"/>
          <w:szCs w:val="28"/>
        </w:rPr>
        <w:t> </w:t>
      </w:r>
      <w:r w:rsidRPr="0049438C">
        <w:rPr>
          <w:rFonts w:eastAsia="Times New Roman" w:cs="Times New Roman"/>
          <w:noProof/>
          <w:color w:val="000000"/>
          <w:szCs w:val="28"/>
        </w:rPr>
        <w:t xml:space="preserve">gadā ir 302 milj. </w:t>
      </w:r>
      <w:r w:rsidRPr="0049438C">
        <w:rPr>
          <w:rFonts w:eastAsia="Times New Roman" w:cs="Times New Roman"/>
          <w:i/>
          <w:iCs/>
          <w:noProof/>
          <w:color w:val="000000"/>
          <w:szCs w:val="28"/>
        </w:rPr>
        <w:t>euro</w:t>
      </w:r>
      <w:r w:rsidRPr="0049438C">
        <w:rPr>
          <w:rFonts w:eastAsia="Times New Roman" w:cs="Times New Roman"/>
          <w:noProof/>
          <w:color w:val="000000"/>
          <w:szCs w:val="28"/>
        </w:rPr>
        <w:t xml:space="preserve">. Fiskālā telpa tiek koriģēta atbilstoši ieņēmumu politikas iespējamām izmaiņām;  </w:t>
      </w:r>
    </w:p>
    <w:p w14:paraId="7620B092" w14:textId="77777777" w:rsidR="004B6B5C" w:rsidRPr="0049438C" w:rsidRDefault="004B6B5C" w:rsidP="00E4507C">
      <w:pPr>
        <w:pStyle w:val="ListParagraph"/>
        <w:numPr>
          <w:ilvl w:val="0"/>
          <w:numId w:val="30"/>
        </w:numPr>
        <w:spacing w:before="60" w:after="60"/>
        <w:ind w:left="714" w:hanging="357"/>
        <w:contextualSpacing w:val="0"/>
        <w:rPr>
          <w:noProof/>
          <w:szCs w:val="20"/>
        </w:rPr>
      </w:pPr>
      <w:r w:rsidRPr="0049438C">
        <w:rPr>
          <w:noProof/>
          <w:szCs w:val="20"/>
        </w:rPr>
        <w:t xml:space="preserve">Fiskālā telpa ietver: potenciālos papildus kārtējos izdevumus valsts pamatbudžetā, speciālā budžetā, pašvaldību budžetos un pieklasificēto kapitālsabiedrību bilancēs, kā arī potenciālos ieņēmumus samazinošos nodokļu politikas pasākumus;  </w:t>
      </w:r>
    </w:p>
    <w:p w14:paraId="5F22D822" w14:textId="63412AD7" w:rsidR="004B6B5C" w:rsidRPr="0049438C" w:rsidRDefault="004B6B5C" w:rsidP="00E4507C">
      <w:pPr>
        <w:pStyle w:val="ListParagraph"/>
        <w:numPr>
          <w:ilvl w:val="0"/>
          <w:numId w:val="30"/>
        </w:numPr>
        <w:spacing w:before="60" w:after="60"/>
        <w:ind w:left="714" w:hanging="357"/>
        <w:contextualSpacing w:val="0"/>
        <w:rPr>
          <w:noProof/>
          <w:szCs w:val="20"/>
        </w:rPr>
      </w:pPr>
      <w:r w:rsidRPr="0049438C">
        <w:rPr>
          <w:noProof/>
          <w:szCs w:val="20"/>
        </w:rPr>
        <w:t>Papildus var atbalstīt investīciju projektus, kuru būtiskākā fiskālā ietekme ir 2022.</w:t>
      </w:r>
      <w:r w:rsidR="00E4507C">
        <w:rPr>
          <w:noProof/>
          <w:szCs w:val="20"/>
        </w:rPr>
        <w:t> </w:t>
      </w:r>
      <w:r w:rsidRPr="0049438C">
        <w:rPr>
          <w:noProof/>
          <w:szCs w:val="20"/>
        </w:rPr>
        <w:t>gadā, bet mazākā ietekmes daļa ir 2023. un 2024.</w:t>
      </w:r>
      <w:r w:rsidR="00E4507C">
        <w:rPr>
          <w:noProof/>
          <w:szCs w:val="20"/>
        </w:rPr>
        <w:t> </w:t>
      </w:r>
      <w:r w:rsidRPr="0049438C">
        <w:rPr>
          <w:noProof/>
          <w:szCs w:val="20"/>
        </w:rPr>
        <w:t>gadā;</w:t>
      </w:r>
    </w:p>
    <w:p w14:paraId="56CA7D5F" w14:textId="3F001459" w:rsidR="004B6B5C" w:rsidRPr="0049438C" w:rsidRDefault="004B6B5C" w:rsidP="00E4507C">
      <w:pPr>
        <w:pStyle w:val="ListParagraph"/>
        <w:numPr>
          <w:ilvl w:val="0"/>
          <w:numId w:val="30"/>
        </w:numPr>
        <w:spacing w:before="60" w:after="60"/>
        <w:ind w:left="714" w:hanging="357"/>
        <w:contextualSpacing w:val="0"/>
        <w:rPr>
          <w:noProof/>
          <w:szCs w:val="20"/>
        </w:rPr>
      </w:pPr>
      <w:r w:rsidRPr="0049438C">
        <w:rPr>
          <w:noProof/>
          <w:szCs w:val="20"/>
        </w:rPr>
        <w:t>Covi</w:t>
      </w:r>
      <w:r w:rsidR="00E4507C">
        <w:rPr>
          <w:noProof/>
          <w:szCs w:val="20"/>
        </w:rPr>
        <w:t>d-</w:t>
      </w:r>
      <w:r w:rsidRPr="0049438C">
        <w:rPr>
          <w:noProof/>
          <w:szCs w:val="20"/>
        </w:rPr>
        <w:t xml:space="preserve">19 ārkārtas atbalsta pasākumus var īstenot atbilstoši nepieciešamībai;   </w:t>
      </w:r>
    </w:p>
    <w:p w14:paraId="3642D8FA" w14:textId="01195E12" w:rsidR="00C755C1" w:rsidRDefault="004B6B5C" w:rsidP="00E4507C">
      <w:pPr>
        <w:pStyle w:val="ListParagraph"/>
        <w:numPr>
          <w:ilvl w:val="0"/>
          <w:numId w:val="30"/>
        </w:numPr>
        <w:spacing w:before="60" w:after="60"/>
        <w:ind w:left="714" w:hanging="357"/>
        <w:contextualSpacing w:val="0"/>
        <w:rPr>
          <w:szCs w:val="20"/>
        </w:rPr>
      </w:pPr>
      <w:r w:rsidRPr="0049438C">
        <w:rPr>
          <w:noProof/>
          <w:szCs w:val="20"/>
        </w:rPr>
        <w:t>Scenārijs nodrošina, ka vispārējās valdības parāda līmeni palielina virs 50,9% tikai tad, ja papildus tiek</w:t>
      </w:r>
      <w:r w:rsidRPr="0049438C">
        <w:rPr>
          <w:szCs w:val="20"/>
        </w:rPr>
        <w:t xml:space="preserve"> ņemti aizņēmumi investīcijām vai arī nepieciešami papildus izdevumi</w:t>
      </w:r>
      <w:r w:rsidRPr="00C755C1">
        <w:rPr>
          <w:szCs w:val="20"/>
        </w:rPr>
        <w:t xml:space="preserve"> Covid-19 trešajam vilnim;</w:t>
      </w:r>
    </w:p>
    <w:p w14:paraId="4992AC08" w14:textId="6B9E62D8" w:rsidR="00B008E5" w:rsidRPr="00C755C1" w:rsidRDefault="004B6B5C" w:rsidP="00E4507C">
      <w:pPr>
        <w:pStyle w:val="ListParagraph"/>
        <w:numPr>
          <w:ilvl w:val="0"/>
          <w:numId w:val="30"/>
        </w:numPr>
        <w:spacing w:before="60" w:after="60"/>
        <w:ind w:left="714" w:hanging="357"/>
        <w:contextualSpacing w:val="0"/>
        <w:rPr>
          <w:szCs w:val="20"/>
        </w:rPr>
      </w:pPr>
      <w:r w:rsidRPr="00C755C1">
        <w:rPr>
          <w:szCs w:val="20"/>
        </w:rPr>
        <w:t xml:space="preserve">Scenārijs ir saskaņā ar ES fiskālo rekomendāciju.    </w:t>
      </w:r>
      <w:r w:rsidR="00B008E5" w:rsidRPr="00C755C1">
        <w:rPr>
          <w:szCs w:val="20"/>
        </w:rPr>
        <w:t xml:space="preserve">  </w:t>
      </w:r>
    </w:p>
    <w:p w14:paraId="197C66F5" w14:textId="5CADBBA7" w:rsidR="00C1151A" w:rsidRPr="00AC55E4" w:rsidRDefault="00C1151A" w:rsidP="00C755C1">
      <w:pPr>
        <w:spacing w:before="60"/>
        <w:rPr>
          <w:highlight w:val="yellow"/>
        </w:rPr>
      </w:pPr>
      <w:r w:rsidRPr="004B6B5C">
        <w:rPr>
          <w:szCs w:val="20"/>
        </w:rPr>
        <w:br w:type="page"/>
      </w:r>
    </w:p>
    <w:p w14:paraId="5486715C" w14:textId="77777777" w:rsidR="00E96CDD" w:rsidRPr="009C20A6" w:rsidRDefault="00043218" w:rsidP="00A83AAD">
      <w:pPr>
        <w:pStyle w:val="Heading1"/>
        <w:ind w:left="360"/>
      </w:pPr>
      <w:bookmarkStart w:id="13" w:name="_Toc80081216"/>
      <w:r w:rsidRPr="009C20A6">
        <w:lastRenderedPageBreak/>
        <w:t>Turpmākā rīcība</w:t>
      </w:r>
      <w:bookmarkEnd w:id="12"/>
      <w:bookmarkEnd w:id="13"/>
    </w:p>
    <w:p w14:paraId="44B7C4A4" w14:textId="0A0E02A2" w:rsidR="005F7872" w:rsidRPr="009C20A6" w:rsidRDefault="00C33828" w:rsidP="00AD19DB">
      <w:pPr>
        <w:spacing w:before="60" w:after="60"/>
      </w:pPr>
      <w:r w:rsidRPr="009C20A6">
        <w:t xml:space="preserve">Lai turpinātu </w:t>
      </w:r>
      <w:r w:rsidR="00622435" w:rsidRPr="009C20A6">
        <w:t xml:space="preserve">likumprojekta </w:t>
      </w:r>
      <w:r w:rsidR="006B3507" w:rsidRPr="009C20A6">
        <w:t>“Par vid</w:t>
      </w:r>
      <w:r w:rsidR="009C20A6" w:rsidRPr="009C20A6">
        <w:t>ēja termiņa budžeta ietvaru 2022., 2023. un 2024</w:t>
      </w:r>
      <w:r w:rsidR="006B3507" w:rsidRPr="009C20A6">
        <w:t xml:space="preserve">.gadam”, kā arī likumprojekta </w:t>
      </w:r>
      <w:r w:rsidR="00622435" w:rsidRPr="009C20A6">
        <w:t>“Par valsts budžetu 20</w:t>
      </w:r>
      <w:r w:rsidR="009C20A6" w:rsidRPr="009C20A6">
        <w:t>22</w:t>
      </w:r>
      <w:r w:rsidR="00622435" w:rsidRPr="009C20A6">
        <w:t>.</w:t>
      </w:r>
      <w:r w:rsidR="00B70C8F" w:rsidRPr="009C20A6">
        <w:t> </w:t>
      </w:r>
      <w:r w:rsidR="00622435" w:rsidRPr="009C20A6">
        <w:t>gadam”</w:t>
      </w:r>
      <w:r w:rsidR="00B56632" w:rsidRPr="009C20A6">
        <w:t xml:space="preserve"> </w:t>
      </w:r>
      <w:r w:rsidRPr="009C20A6">
        <w:t xml:space="preserve">sagatavošanu, </w:t>
      </w:r>
      <w:r w:rsidR="00883DFA" w:rsidRPr="009C20A6">
        <w:rPr>
          <w:rFonts w:cs="Times New Roman"/>
          <w:bCs/>
          <w:iCs/>
          <w:szCs w:val="28"/>
        </w:rPr>
        <w:t>nepieciešams:</w:t>
      </w:r>
      <w:r w:rsidR="00883DFA" w:rsidRPr="009C20A6">
        <w:t xml:space="preserve"> </w:t>
      </w:r>
    </w:p>
    <w:p w14:paraId="5F2812F3" w14:textId="77777777" w:rsidR="00CD626F" w:rsidRPr="00BE402C" w:rsidRDefault="00CD626F" w:rsidP="00CD626F">
      <w:pPr>
        <w:pStyle w:val="ListParagraph"/>
        <w:numPr>
          <w:ilvl w:val="0"/>
          <w:numId w:val="13"/>
        </w:numPr>
        <w:tabs>
          <w:tab w:val="left" w:pos="1134"/>
        </w:tabs>
        <w:spacing w:before="0"/>
        <w:ind w:left="714" w:hanging="357"/>
        <w:contextualSpacing w:val="0"/>
        <w:rPr>
          <w:szCs w:val="28"/>
        </w:rPr>
      </w:pPr>
      <w:r w:rsidRPr="00BE402C">
        <w:rPr>
          <w:szCs w:val="28"/>
        </w:rPr>
        <w:t>Pieņemt zināšanai finanšu ministr</w:t>
      </w:r>
      <w:r w:rsidRPr="00BE402C">
        <w:rPr>
          <w:color w:val="000000" w:themeColor="text1"/>
          <w:szCs w:val="28"/>
        </w:rPr>
        <w:t>a</w:t>
      </w:r>
      <w:r w:rsidRPr="00BE402C">
        <w:rPr>
          <w:szCs w:val="28"/>
        </w:rPr>
        <w:t xml:space="preserve"> iesniegto informatīvo ziņojumu „Par makroekonomisko rādītāju, ieņēmumu un vispārējās valdības budžeta bilances prognozēm 2022.-2024.gadā”.</w:t>
      </w:r>
    </w:p>
    <w:p w14:paraId="1F6BCB59" w14:textId="77777777" w:rsidR="00CD626F" w:rsidRPr="00BE402C" w:rsidRDefault="00CD626F" w:rsidP="00CD626F">
      <w:pPr>
        <w:pStyle w:val="ListParagraph"/>
        <w:numPr>
          <w:ilvl w:val="0"/>
          <w:numId w:val="13"/>
        </w:numPr>
        <w:spacing w:before="0"/>
        <w:ind w:left="714" w:hanging="357"/>
        <w:contextualSpacing w:val="0"/>
        <w:rPr>
          <w:noProof/>
          <w:szCs w:val="28"/>
        </w:rPr>
      </w:pPr>
      <w:r w:rsidRPr="00BE402C">
        <w:rPr>
          <w:szCs w:val="28"/>
        </w:rPr>
        <w:t xml:space="preserve">Pieņemt zināšanai, ka vispārējās valdības budžeta bilances prognožu pamatā ir Finanšu ministrijas izstrādātās un Fiskālās disciplīnas padomes 2021. gada 14. jūnijā apstiprinātās makroekonomisko rādītāju prognozes: iekšzemes kopprodukta pieaugums salīdzināmās cenās 2021. gadā 3,7%, 2022. gadā 5,0%, 2023. gadā 3,5% un 2024. gadā 3,4%; iekšzemes kopprodukta pieaugums faktiskajās cenās 2021. gadā 6,9%, 2022. gadā 8,5%, 2023. gadā 6,2% un 2024. gadā 5,3%; nominālais </w:t>
      </w:r>
      <w:r w:rsidRPr="00BE402C">
        <w:rPr>
          <w:noProof/>
          <w:szCs w:val="28"/>
        </w:rPr>
        <w:t xml:space="preserve">iekšzemes kopprodukts 2021. gadā 31 364 milj. </w:t>
      </w:r>
      <w:r w:rsidRPr="00BE402C">
        <w:rPr>
          <w:i/>
          <w:noProof/>
          <w:szCs w:val="28"/>
        </w:rPr>
        <w:t>euro,</w:t>
      </w:r>
      <w:r w:rsidRPr="00BE402C">
        <w:rPr>
          <w:noProof/>
          <w:szCs w:val="28"/>
        </w:rPr>
        <w:t xml:space="preserve"> 2022. gadā 34 022 milj. </w:t>
      </w:r>
      <w:r w:rsidRPr="00BE402C">
        <w:rPr>
          <w:i/>
          <w:noProof/>
          <w:szCs w:val="28"/>
        </w:rPr>
        <w:t>euro</w:t>
      </w:r>
      <w:r w:rsidRPr="00BE402C">
        <w:rPr>
          <w:noProof/>
          <w:szCs w:val="28"/>
        </w:rPr>
        <w:t>, 2023. gadā 36 115 milj. </w:t>
      </w:r>
      <w:r w:rsidRPr="00BE402C">
        <w:rPr>
          <w:i/>
          <w:noProof/>
          <w:szCs w:val="28"/>
        </w:rPr>
        <w:t>euro</w:t>
      </w:r>
      <w:r w:rsidRPr="00BE402C">
        <w:rPr>
          <w:noProof/>
          <w:szCs w:val="28"/>
        </w:rPr>
        <w:t xml:space="preserve"> un 2024. gadā 38 033 milj. </w:t>
      </w:r>
      <w:r w:rsidRPr="00BE402C">
        <w:rPr>
          <w:i/>
          <w:noProof/>
          <w:szCs w:val="28"/>
        </w:rPr>
        <w:t>euro</w:t>
      </w:r>
      <w:r w:rsidRPr="00BE402C">
        <w:rPr>
          <w:noProof/>
          <w:szCs w:val="28"/>
        </w:rPr>
        <w:t xml:space="preserve">; </w:t>
      </w:r>
      <w:r w:rsidRPr="00BE402C">
        <w:rPr>
          <w:szCs w:val="28"/>
        </w:rPr>
        <w:t xml:space="preserve">patēriņa cenu izmaiņas salīdzinājumā ar iepriekšējo gadu 2021. gadā 2,0%, 2022. gadā 2,4%, 2023. gadā 2,2% un 2024. gadā 2,0%; nodarbinātības izmaiņas 2021. gadā -1,1%, 2022. gadā 1,8%, 2023. gadā 0,3% un 2024. gadā  0,0%. </w:t>
      </w:r>
    </w:p>
    <w:p w14:paraId="0564CB5C" w14:textId="77777777" w:rsidR="00CD626F" w:rsidRPr="00BE402C" w:rsidRDefault="00CD626F" w:rsidP="00CD626F">
      <w:pPr>
        <w:pStyle w:val="ListParagraph"/>
        <w:numPr>
          <w:ilvl w:val="0"/>
          <w:numId w:val="13"/>
        </w:numPr>
        <w:spacing w:before="0"/>
        <w:ind w:left="714" w:hanging="357"/>
        <w:contextualSpacing w:val="0"/>
        <w:rPr>
          <w:noProof/>
          <w:szCs w:val="28"/>
        </w:rPr>
      </w:pPr>
      <w:r w:rsidRPr="00BE402C">
        <w:rPr>
          <w:szCs w:val="28"/>
        </w:rPr>
        <w:t xml:space="preserve">Pieņemt zināšanai, ka vispārējās valdības budžeta bilance pie nemainīgas politikas tiek prognozēta 2022. gadā  -1 000,1 milj. </w:t>
      </w:r>
      <w:r w:rsidRPr="00BE402C">
        <w:rPr>
          <w:i/>
          <w:noProof/>
          <w:szCs w:val="28"/>
        </w:rPr>
        <w:t>euro</w:t>
      </w:r>
      <w:r w:rsidRPr="00BE402C">
        <w:rPr>
          <w:szCs w:val="28"/>
        </w:rPr>
        <w:t xml:space="preserve"> jeb -2,9% no IKP, 2023. gadā ir -443,8 milj. </w:t>
      </w:r>
      <w:r w:rsidRPr="00BE402C">
        <w:rPr>
          <w:i/>
          <w:noProof/>
          <w:szCs w:val="28"/>
        </w:rPr>
        <w:t>euro</w:t>
      </w:r>
      <w:r w:rsidRPr="00BE402C">
        <w:rPr>
          <w:szCs w:val="28"/>
        </w:rPr>
        <w:t xml:space="preserve"> jeb -1,2% no IKP un 2024. gadā ir</w:t>
      </w:r>
      <w:r w:rsidRPr="00BE402C">
        <w:rPr>
          <w:szCs w:val="28"/>
        </w:rPr>
        <w:br/>
        <w:t xml:space="preserve">-130,6 milj. </w:t>
      </w:r>
      <w:r w:rsidRPr="00BE402C">
        <w:rPr>
          <w:i/>
          <w:noProof/>
          <w:szCs w:val="28"/>
        </w:rPr>
        <w:t>euro</w:t>
      </w:r>
      <w:r w:rsidRPr="00BE402C">
        <w:rPr>
          <w:noProof/>
          <w:szCs w:val="28"/>
        </w:rPr>
        <w:t xml:space="preserve"> jeb</w:t>
      </w:r>
      <w:r w:rsidRPr="00BE402C">
        <w:rPr>
          <w:i/>
          <w:noProof/>
          <w:szCs w:val="28"/>
        </w:rPr>
        <w:t xml:space="preserve"> </w:t>
      </w:r>
      <w:r w:rsidRPr="00BE402C">
        <w:rPr>
          <w:noProof/>
          <w:szCs w:val="28"/>
        </w:rPr>
        <w:t>-0,3% no IKP.</w:t>
      </w:r>
    </w:p>
    <w:p w14:paraId="06DA3A7A" w14:textId="77777777" w:rsidR="00CD626F" w:rsidRPr="00BE402C" w:rsidRDefault="00CD626F" w:rsidP="00CD626F">
      <w:pPr>
        <w:pStyle w:val="ListParagraph"/>
        <w:numPr>
          <w:ilvl w:val="0"/>
          <w:numId w:val="13"/>
        </w:numPr>
        <w:spacing w:before="0"/>
        <w:ind w:left="714" w:hanging="357"/>
        <w:contextualSpacing w:val="0"/>
        <w:rPr>
          <w:noProof/>
          <w:szCs w:val="28"/>
        </w:rPr>
      </w:pPr>
      <w:r w:rsidRPr="00BE402C">
        <w:rPr>
          <w:noProof/>
          <w:szCs w:val="28"/>
        </w:rPr>
        <w:t>Noteikt, ka indikatīvā fiskālā telpa primārajiem kārtējiem nacionāli finansētajiem  izdevumiem 2022., 2023. un 2024. gadā ir 302 000 000 EUR.</w:t>
      </w:r>
    </w:p>
    <w:p w14:paraId="7D021AAE" w14:textId="77777777" w:rsidR="00CD626F" w:rsidRPr="00BE402C" w:rsidRDefault="00CD626F" w:rsidP="00CD626F">
      <w:pPr>
        <w:pStyle w:val="ListParagraph"/>
        <w:numPr>
          <w:ilvl w:val="0"/>
          <w:numId w:val="13"/>
        </w:numPr>
        <w:spacing w:before="0"/>
        <w:ind w:left="714" w:hanging="357"/>
        <w:contextualSpacing w:val="0"/>
        <w:rPr>
          <w:noProof/>
          <w:szCs w:val="28"/>
        </w:rPr>
      </w:pPr>
      <w:r w:rsidRPr="00BE402C">
        <w:rPr>
          <w:szCs w:val="28"/>
        </w:rPr>
        <w:t>Pieņemt zināšanai, ka vispārējās valdības budžeta bilances prognozēs 2022.-2024. gadam Finanšu ministrijai ir iekļauti plānotie maksājumi Eiropas Savienības budžetā pēc naudas plūsmas 2022. gadam 371 790 000 EUR, 2023. gadam 362 830 000 EUR un 2024. gadam 368 850 000 EUR. Finanšu ministrijai precizēt izdevumus 2022., 2023. un 2024. gadam budžeta apakšprogrammā 41.01.00 “Iemaksas Eiropas Savienības budžetā”, palielinot kārtējos maksājumus Eiropas Savienības budžetā 2022. gadam par 11 460 000 EUR un samazinot kārtējos maksājumus Eiropas Savienības budžetā 2023. gadam par 2 250 000 EUR un 2024. gadam par 12 830 000 EUR</w:t>
      </w:r>
      <w:r>
        <w:rPr>
          <w:szCs w:val="28"/>
        </w:rPr>
        <w:t>.</w:t>
      </w:r>
      <w:r w:rsidRPr="00BE402C">
        <w:rPr>
          <w:szCs w:val="28"/>
        </w:rPr>
        <w:t xml:space="preserve"> </w:t>
      </w:r>
    </w:p>
    <w:p w14:paraId="54C68689" w14:textId="77777777" w:rsidR="00CD626F" w:rsidRPr="00BE402C" w:rsidRDefault="00CD626F" w:rsidP="00CD626F">
      <w:pPr>
        <w:pStyle w:val="ListParagraph"/>
        <w:numPr>
          <w:ilvl w:val="0"/>
          <w:numId w:val="13"/>
        </w:numPr>
        <w:spacing w:before="0"/>
        <w:ind w:left="714" w:hanging="357"/>
        <w:contextualSpacing w:val="0"/>
        <w:rPr>
          <w:noProof/>
          <w:szCs w:val="28"/>
        </w:rPr>
      </w:pPr>
      <w:r w:rsidRPr="00BE402C">
        <w:rPr>
          <w:szCs w:val="28"/>
        </w:rPr>
        <w:t xml:space="preserve">Pieņemt zināšanai, ka vispārējās valdības budžeta bilances prognozēs 2022. gadam ir iekļauts plānotais maksājums </w:t>
      </w:r>
      <w:r w:rsidRPr="00BE402C">
        <w:rPr>
          <w:color w:val="212121"/>
          <w:szCs w:val="28"/>
        </w:rPr>
        <w:t>Starptautiskās Attīstības asociācijas resursu 20. papildināšanai un par EUR 5 970 000 palielināti vispārējās valdības budžeta izdevumi.</w:t>
      </w:r>
    </w:p>
    <w:p w14:paraId="5F242363" w14:textId="77777777" w:rsidR="00CD626F" w:rsidRPr="00BE402C" w:rsidRDefault="00CD626F" w:rsidP="00CD626F">
      <w:pPr>
        <w:pStyle w:val="ListParagraph"/>
        <w:numPr>
          <w:ilvl w:val="0"/>
          <w:numId w:val="13"/>
        </w:numPr>
        <w:spacing w:before="0"/>
        <w:ind w:left="714" w:hanging="357"/>
        <w:contextualSpacing w:val="0"/>
        <w:rPr>
          <w:noProof/>
          <w:szCs w:val="28"/>
        </w:rPr>
      </w:pPr>
      <w:r w:rsidRPr="00BE402C">
        <w:rPr>
          <w:noProof/>
          <w:szCs w:val="28"/>
        </w:rPr>
        <w:lastRenderedPageBreak/>
        <w:t xml:space="preserve">Pieņemt zināšanai Finanšu ministrijas izstrādāto makroekonomiskās attīstības pesimistisko jeb “Covid-19 trešā viļņa” scenāriju, kas paredz </w:t>
      </w:r>
      <w:r w:rsidRPr="00BE402C">
        <w:rPr>
          <w:szCs w:val="28"/>
        </w:rPr>
        <w:t>iekšzemes kopprodukta pieaugumu salīdzināmās cenās 2021. gadā 3,0%, 2022. gadā 2,5%, 2023. gadā 3,4% un 2024. gadā 3,4%.</w:t>
      </w:r>
    </w:p>
    <w:p w14:paraId="02EB59BA" w14:textId="014D612D" w:rsidR="001655EA" w:rsidRDefault="001655EA" w:rsidP="00622435">
      <w:pPr>
        <w:tabs>
          <w:tab w:val="left" w:pos="709"/>
          <w:tab w:val="left" w:pos="6946"/>
        </w:tabs>
        <w:spacing w:before="0" w:after="0"/>
        <w:ind w:firstLine="0"/>
        <w:jc w:val="left"/>
        <w:rPr>
          <w:bCs/>
          <w:szCs w:val="28"/>
          <w:highlight w:val="yellow"/>
        </w:rPr>
      </w:pPr>
    </w:p>
    <w:p w14:paraId="343C37D5" w14:textId="77777777" w:rsidR="001655EA" w:rsidRPr="00AC55E4" w:rsidRDefault="001655EA" w:rsidP="00622435">
      <w:pPr>
        <w:tabs>
          <w:tab w:val="left" w:pos="709"/>
          <w:tab w:val="left" w:pos="6946"/>
        </w:tabs>
        <w:spacing w:before="0" w:after="0"/>
        <w:ind w:firstLine="0"/>
        <w:jc w:val="left"/>
        <w:rPr>
          <w:bCs/>
          <w:szCs w:val="28"/>
          <w:highlight w:val="yellow"/>
        </w:rPr>
      </w:pPr>
    </w:p>
    <w:p w14:paraId="5352D5C7" w14:textId="6688017C" w:rsidR="007343B2" w:rsidRDefault="00B7536F" w:rsidP="004805D0">
      <w:pPr>
        <w:tabs>
          <w:tab w:val="left" w:pos="709"/>
          <w:tab w:val="left" w:pos="6946"/>
        </w:tabs>
        <w:spacing w:before="0" w:after="0"/>
        <w:ind w:firstLine="0"/>
        <w:jc w:val="left"/>
        <w:rPr>
          <w:rFonts w:cs="Times New Roman"/>
          <w:sz w:val="16"/>
          <w:szCs w:val="16"/>
        </w:rPr>
      </w:pPr>
      <w:r w:rsidRPr="009D6A84">
        <w:rPr>
          <w:bCs/>
          <w:szCs w:val="28"/>
        </w:rPr>
        <w:tab/>
      </w:r>
      <w:r w:rsidR="00E96CDD" w:rsidRPr="009D6A84">
        <w:rPr>
          <w:bCs/>
          <w:szCs w:val="28"/>
        </w:rPr>
        <w:t>Finanšu ministrs</w:t>
      </w:r>
      <w:r w:rsidR="00622435" w:rsidRPr="009D6A84">
        <w:rPr>
          <w:bCs/>
          <w:szCs w:val="28"/>
        </w:rPr>
        <w:tab/>
      </w:r>
      <w:r w:rsidR="00622435" w:rsidRPr="009D6A84">
        <w:rPr>
          <w:bCs/>
          <w:szCs w:val="28"/>
        </w:rPr>
        <w:tab/>
      </w:r>
      <w:r w:rsidR="00622435" w:rsidRPr="009D6A84">
        <w:rPr>
          <w:bCs/>
          <w:szCs w:val="28"/>
        </w:rPr>
        <w:tab/>
      </w:r>
      <w:r w:rsidR="00C832FF" w:rsidRPr="009D6A84">
        <w:rPr>
          <w:bCs/>
          <w:szCs w:val="28"/>
        </w:rPr>
        <w:t>J.</w:t>
      </w:r>
      <w:r w:rsidR="00ED378F" w:rsidRPr="009D6A84">
        <w:rPr>
          <w:bCs/>
          <w:szCs w:val="28"/>
        </w:rPr>
        <w:t xml:space="preserve"> </w:t>
      </w:r>
      <w:r w:rsidR="00C832FF" w:rsidRPr="009D6A84">
        <w:rPr>
          <w:bCs/>
          <w:szCs w:val="28"/>
        </w:rPr>
        <w:t>Reirs</w:t>
      </w:r>
    </w:p>
    <w:p w14:paraId="4DFB8C32" w14:textId="24C1E409" w:rsidR="007343B2" w:rsidRDefault="007343B2" w:rsidP="00EC544D">
      <w:pPr>
        <w:spacing w:before="0" w:after="0"/>
        <w:rPr>
          <w:rFonts w:cs="Times New Roman"/>
          <w:sz w:val="16"/>
          <w:szCs w:val="16"/>
        </w:rPr>
      </w:pPr>
    </w:p>
    <w:p w14:paraId="3D55FD85" w14:textId="6C9C85D9" w:rsidR="002655BC" w:rsidRDefault="002655BC" w:rsidP="00EC544D">
      <w:pPr>
        <w:spacing w:before="0" w:after="0"/>
        <w:rPr>
          <w:rFonts w:cs="Times New Roman"/>
          <w:sz w:val="16"/>
          <w:szCs w:val="16"/>
        </w:rPr>
      </w:pPr>
    </w:p>
    <w:p w14:paraId="4BC7C600" w14:textId="77AC7FF9" w:rsidR="002655BC" w:rsidRDefault="002655BC" w:rsidP="00EC544D">
      <w:pPr>
        <w:spacing w:before="0" w:after="0"/>
        <w:rPr>
          <w:rFonts w:cs="Times New Roman"/>
          <w:sz w:val="16"/>
          <w:szCs w:val="16"/>
        </w:rPr>
      </w:pPr>
    </w:p>
    <w:p w14:paraId="2FB67D1A" w14:textId="25F764C3" w:rsidR="002655BC" w:rsidRDefault="002655BC" w:rsidP="00EC544D">
      <w:pPr>
        <w:spacing w:before="0" w:after="0"/>
        <w:rPr>
          <w:rFonts w:cs="Times New Roman"/>
          <w:sz w:val="16"/>
          <w:szCs w:val="16"/>
        </w:rPr>
      </w:pPr>
    </w:p>
    <w:p w14:paraId="1EE1463D" w14:textId="755F6F85" w:rsidR="002655BC" w:rsidRDefault="002655BC" w:rsidP="00EC544D">
      <w:pPr>
        <w:spacing w:before="0" w:after="0"/>
        <w:rPr>
          <w:rFonts w:cs="Times New Roman"/>
          <w:sz w:val="16"/>
          <w:szCs w:val="16"/>
        </w:rPr>
      </w:pPr>
    </w:p>
    <w:p w14:paraId="69462C29" w14:textId="5AB4048A" w:rsidR="00400397" w:rsidRDefault="00400397" w:rsidP="00EC544D">
      <w:pPr>
        <w:spacing w:before="0" w:after="0"/>
        <w:rPr>
          <w:rFonts w:cs="Times New Roman"/>
          <w:sz w:val="16"/>
          <w:szCs w:val="16"/>
        </w:rPr>
      </w:pPr>
    </w:p>
    <w:p w14:paraId="471EF8C0" w14:textId="78DABCFB" w:rsidR="00400397" w:rsidRDefault="00400397" w:rsidP="00EC544D">
      <w:pPr>
        <w:spacing w:before="0" w:after="0"/>
        <w:rPr>
          <w:rFonts w:cs="Times New Roman"/>
          <w:sz w:val="16"/>
          <w:szCs w:val="16"/>
        </w:rPr>
      </w:pPr>
    </w:p>
    <w:p w14:paraId="7A90DBE5" w14:textId="6B43F7AD" w:rsidR="00400397" w:rsidRDefault="00400397" w:rsidP="00EC544D">
      <w:pPr>
        <w:spacing w:before="0" w:after="0"/>
        <w:rPr>
          <w:rFonts w:cs="Times New Roman"/>
          <w:sz w:val="16"/>
          <w:szCs w:val="16"/>
        </w:rPr>
      </w:pPr>
    </w:p>
    <w:p w14:paraId="29818F66" w14:textId="1DEA5F96" w:rsidR="00160035" w:rsidRDefault="00160035" w:rsidP="00EC544D">
      <w:pPr>
        <w:spacing w:before="0" w:after="0"/>
        <w:rPr>
          <w:rFonts w:cs="Times New Roman"/>
          <w:sz w:val="16"/>
          <w:szCs w:val="16"/>
        </w:rPr>
      </w:pPr>
    </w:p>
    <w:p w14:paraId="4361D10A" w14:textId="484AC6A1" w:rsidR="00160035" w:rsidRDefault="00160035" w:rsidP="00EC544D">
      <w:pPr>
        <w:spacing w:before="0" w:after="0"/>
        <w:rPr>
          <w:rFonts w:cs="Times New Roman"/>
          <w:sz w:val="16"/>
          <w:szCs w:val="16"/>
        </w:rPr>
      </w:pPr>
    </w:p>
    <w:p w14:paraId="77B2F271" w14:textId="7EEC5357" w:rsidR="00160035" w:rsidRDefault="00160035" w:rsidP="00EC544D">
      <w:pPr>
        <w:spacing w:before="0" w:after="0"/>
        <w:rPr>
          <w:rFonts w:cs="Times New Roman"/>
          <w:sz w:val="16"/>
          <w:szCs w:val="16"/>
        </w:rPr>
      </w:pPr>
    </w:p>
    <w:p w14:paraId="4B4624AB" w14:textId="0ACE891E" w:rsidR="00160035" w:rsidRDefault="00160035" w:rsidP="00EC544D">
      <w:pPr>
        <w:spacing w:before="0" w:after="0"/>
        <w:rPr>
          <w:rFonts w:cs="Times New Roman"/>
          <w:sz w:val="16"/>
          <w:szCs w:val="16"/>
        </w:rPr>
      </w:pPr>
    </w:p>
    <w:p w14:paraId="306EF01B" w14:textId="4644FED3" w:rsidR="00160035" w:rsidRDefault="00160035" w:rsidP="00EC544D">
      <w:pPr>
        <w:spacing w:before="0" w:after="0"/>
        <w:rPr>
          <w:rFonts w:cs="Times New Roman"/>
          <w:sz w:val="16"/>
          <w:szCs w:val="16"/>
        </w:rPr>
      </w:pPr>
    </w:p>
    <w:p w14:paraId="5FF0CB87" w14:textId="284C1131" w:rsidR="00160035" w:rsidRDefault="00160035" w:rsidP="00EC544D">
      <w:pPr>
        <w:spacing w:before="0" w:after="0"/>
        <w:rPr>
          <w:rFonts w:cs="Times New Roman"/>
          <w:sz w:val="16"/>
          <w:szCs w:val="16"/>
        </w:rPr>
      </w:pPr>
    </w:p>
    <w:p w14:paraId="093C5115" w14:textId="06EAC046" w:rsidR="00160035" w:rsidRDefault="00160035" w:rsidP="00EC544D">
      <w:pPr>
        <w:spacing w:before="0" w:after="0"/>
        <w:rPr>
          <w:rFonts w:cs="Times New Roman"/>
          <w:sz w:val="16"/>
          <w:szCs w:val="16"/>
        </w:rPr>
      </w:pPr>
    </w:p>
    <w:p w14:paraId="76DEE67D" w14:textId="7C215811" w:rsidR="00160035" w:rsidRDefault="00160035" w:rsidP="00EC544D">
      <w:pPr>
        <w:spacing w:before="0" w:after="0"/>
        <w:rPr>
          <w:rFonts w:cs="Times New Roman"/>
          <w:sz w:val="16"/>
          <w:szCs w:val="16"/>
        </w:rPr>
      </w:pPr>
    </w:p>
    <w:p w14:paraId="263C70AD" w14:textId="4B05D631" w:rsidR="00160035" w:rsidRDefault="00160035" w:rsidP="00EC544D">
      <w:pPr>
        <w:spacing w:before="0" w:after="0"/>
        <w:rPr>
          <w:rFonts w:cs="Times New Roman"/>
          <w:sz w:val="16"/>
          <w:szCs w:val="16"/>
        </w:rPr>
      </w:pPr>
    </w:p>
    <w:p w14:paraId="39F6FD81" w14:textId="36529986" w:rsidR="00160035" w:rsidRDefault="00160035" w:rsidP="00EC544D">
      <w:pPr>
        <w:spacing w:before="0" w:after="0"/>
        <w:rPr>
          <w:rFonts w:cs="Times New Roman"/>
          <w:sz w:val="16"/>
          <w:szCs w:val="16"/>
        </w:rPr>
      </w:pPr>
    </w:p>
    <w:p w14:paraId="19D88BD7" w14:textId="592065BF" w:rsidR="00160035" w:rsidRDefault="00160035" w:rsidP="00EC544D">
      <w:pPr>
        <w:spacing w:before="0" w:after="0"/>
        <w:rPr>
          <w:rFonts w:cs="Times New Roman"/>
          <w:sz w:val="16"/>
          <w:szCs w:val="16"/>
        </w:rPr>
      </w:pPr>
    </w:p>
    <w:p w14:paraId="4AEC4161" w14:textId="79DC66C9" w:rsidR="00160035" w:rsidRDefault="00160035" w:rsidP="00EC544D">
      <w:pPr>
        <w:spacing w:before="0" w:after="0"/>
        <w:rPr>
          <w:rFonts w:cs="Times New Roman"/>
          <w:sz w:val="16"/>
          <w:szCs w:val="16"/>
        </w:rPr>
      </w:pPr>
    </w:p>
    <w:p w14:paraId="176037A4" w14:textId="35249161" w:rsidR="00160035" w:rsidRDefault="00160035" w:rsidP="00EC544D">
      <w:pPr>
        <w:spacing w:before="0" w:after="0"/>
        <w:rPr>
          <w:rFonts w:cs="Times New Roman"/>
          <w:sz w:val="16"/>
          <w:szCs w:val="16"/>
        </w:rPr>
      </w:pPr>
    </w:p>
    <w:p w14:paraId="56EA07FC" w14:textId="1C95B785" w:rsidR="00160035" w:rsidRDefault="00160035" w:rsidP="00EC544D">
      <w:pPr>
        <w:spacing w:before="0" w:after="0"/>
        <w:rPr>
          <w:rFonts w:cs="Times New Roman"/>
          <w:sz w:val="16"/>
          <w:szCs w:val="16"/>
        </w:rPr>
      </w:pPr>
    </w:p>
    <w:p w14:paraId="36AE19B9" w14:textId="5E4AF9C6" w:rsidR="00160035" w:rsidRDefault="00160035" w:rsidP="00EC544D">
      <w:pPr>
        <w:spacing w:before="0" w:after="0"/>
        <w:rPr>
          <w:rFonts w:cs="Times New Roman"/>
          <w:sz w:val="16"/>
          <w:szCs w:val="16"/>
        </w:rPr>
      </w:pPr>
    </w:p>
    <w:p w14:paraId="7D5D01BC" w14:textId="6A37D1C6" w:rsidR="00160035" w:rsidRDefault="00160035" w:rsidP="00EC544D">
      <w:pPr>
        <w:spacing w:before="0" w:after="0"/>
        <w:rPr>
          <w:rFonts w:cs="Times New Roman"/>
          <w:sz w:val="16"/>
          <w:szCs w:val="16"/>
        </w:rPr>
      </w:pPr>
    </w:p>
    <w:p w14:paraId="7A778B7E" w14:textId="50F22082" w:rsidR="00160035" w:rsidRDefault="00160035" w:rsidP="00EC544D">
      <w:pPr>
        <w:spacing w:before="0" w:after="0"/>
        <w:rPr>
          <w:rFonts w:cs="Times New Roman"/>
          <w:sz w:val="16"/>
          <w:szCs w:val="16"/>
        </w:rPr>
      </w:pPr>
    </w:p>
    <w:p w14:paraId="73D60074" w14:textId="0E8D15F9" w:rsidR="00160035" w:rsidRDefault="00160035" w:rsidP="00EC544D">
      <w:pPr>
        <w:spacing w:before="0" w:after="0"/>
        <w:rPr>
          <w:rFonts w:cs="Times New Roman"/>
          <w:sz w:val="16"/>
          <w:szCs w:val="16"/>
        </w:rPr>
      </w:pPr>
    </w:p>
    <w:p w14:paraId="55909D10" w14:textId="64E4B917" w:rsidR="00160035" w:rsidRDefault="00160035" w:rsidP="00EC544D">
      <w:pPr>
        <w:spacing w:before="0" w:after="0"/>
        <w:rPr>
          <w:rFonts w:cs="Times New Roman"/>
          <w:sz w:val="16"/>
          <w:szCs w:val="16"/>
        </w:rPr>
      </w:pPr>
    </w:p>
    <w:p w14:paraId="359D8371" w14:textId="174B94E2" w:rsidR="00160035" w:rsidRDefault="00160035" w:rsidP="00EC544D">
      <w:pPr>
        <w:spacing w:before="0" w:after="0"/>
        <w:rPr>
          <w:rFonts w:cs="Times New Roman"/>
          <w:sz w:val="16"/>
          <w:szCs w:val="16"/>
        </w:rPr>
      </w:pPr>
    </w:p>
    <w:p w14:paraId="6DC6F097" w14:textId="26ADAB6C" w:rsidR="00160035" w:rsidRDefault="00160035" w:rsidP="005F1E51">
      <w:pPr>
        <w:spacing w:before="0" w:after="0"/>
        <w:ind w:firstLine="0"/>
        <w:rPr>
          <w:rFonts w:cs="Times New Roman"/>
          <w:sz w:val="16"/>
          <w:szCs w:val="16"/>
        </w:rPr>
      </w:pPr>
    </w:p>
    <w:p w14:paraId="740BE4CB" w14:textId="59FBB96F" w:rsidR="00160035" w:rsidRDefault="00160035" w:rsidP="00EC544D">
      <w:pPr>
        <w:spacing w:before="0" w:after="0"/>
        <w:rPr>
          <w:rFonts w:cs="Times New Roman"/>
          <w:sz w:val="16"/>
          <w:szCs w:val="16"/>
        </w:rPr>
      </w:pPr>
    </w:p>
    <w:p w14:paraId="2905B9B5" w14:textId="57D19C38" w:rsidR="00160035" w:rsidRDefault="00160035" w:rsidP="00EC544D">
      <w:pPr>
        <w:spacing w:before="0" w:after="0"/>
        <w:rPr>
          <w:rFonts w:cs="Times New Roman"/>
          <w:sz w:val="16"/>
          <w:szCs w:val="16"/>
        </w:rPr>
      </w:pPr>
    </w:p>
    <w:p w14:paraId="134F2D11" w14:textId="421BABDB" w:rsidR="00160035" w:rsidRDefault="00160035" w:rsidP="00EC544D">
      <w:pPr>
        <w:spacing w:before="0" w:after="0"/>
        <w:rPr>
          <w:rFonts w:cs="Times New Roman"/>
          <w:sz w:val="16"/>
          <w:szCs w:val="16"/>
        </w:rPr>
      </w:pPr>
    </w:p>
    <w:p w14:paraId="2A1051A1" w14:textId="2809101D" w:rsidR="00160035" w:rsidRDefault="00160035" w:rsidP="00EC544D">
      <w:pPr>
        <w:spacing w:before="0" w:after="0"/>
        <w:rPr>
          <w:rFonts w:cs="Times New Roman"/>
          <w:sz w:val="16"/>
          <w:szCs w:val="16"/>
        </w:rPr>
      </w:pPr>
    </w:p>
    <w:p w14:paraId="7EBBF27C" w14:textId="52579FEF" w:rsidR="00160035" w:rsidRDefault="00160035" w:rsidP="00EC544D">
      <w:pPr>
        <w:spacing w:before="0" w:after="0"/>
        <w:rPr>
          <w:rFonts w:cs="Times New Roman"/>
          <w:sz w:val="16"/>
          <w:szCs w:val="16"/>
        </w:rPr>
      </w:pPr>
    </w:p>
    <w:p w14:paraId="069F8545" w14:textId="5CDDA711" w:rsidR="00160035" w:rsidRDefault="00160035" w:rsidP="00EC544D">
      <w:pPr>
        <w:spacing w:before="0" w:after="0"/>
        <w:rPr>
          <w:rFonts w:cs="Times New Roman"/>
          <w:sz w:val="16"/>
          <w:szCs w:val="16"/>
        </w:rPr>
      </w:pPr>
    </w:p>
    <w:p w14:paraId="3E5F0E3E" w14:textId="09CDFA2C" w:rsidR="00160035" w:rsidRDefault="00160035" w:rsidP="00EC544D">
      <w:pPr>
        <w:spacing w:before="0" w:after="0"/>
        <w:rPr>
          <w:rFonts w:cs="Times New Roman"/>
          <w:sz w:val="16"/>
          <w:szCs w:val="16"/>
        </w:rPr>
      </w:pPr>
    </w:p>
    <w:p w14:paraId="3E032BEC" w14:textId="212D5431" w:rsidR="00160035" w:rsidRDefault="00160035" w:rsidP="00EC544D">
      <w:pPr>
        <w:spacing w:before="0" w:after="0"/>
        <w:rPr>
          <w:rFonts w:cs="Times New Roman"/>
          <w:sz w:val="16"/>
          <w:szCs w:val="16"/>
        </w:rPr>
      </w:pPr>
    </w:p>
    <w:p w14:paraId="6303A6A7" w14:textId="4AC3489F" w:rsidR="00160035" w:rsidRDefault="00160035" w:rsidP="00EC544D">
      <w:pPr>
        <w:spacing w:before="0" w:after="0"/>
        <w:rPr>
          <w:rFonts w:cs="Times New Roman"/>
          <w:sz w:val="16"/>
          <w:szCs w:val="16"/>
        </w:rPr>
      </w:pPr>
    </w:p>
    <w:p w14:paraId="40C5C63E" w14:textId="6C2838C1" w:rsidR="00160035" w:rsidRDefault="00160035" w:rsidP="00EC544D">
      <w:pPr>
        <w:spacing w:before="0" w:after="0"/>
        <w:rPr>
          <w:rFonts w:cs="Times New Roman"/>
          <w:sz w:val="16"/>
          <w:szCs w:val="16"/>
        </w:rPr>
      </w:pPr>
    </w:p>
    <w:p w14:paraId="5E16249F" w14:textId="77777777" w:rsidR="00160035" w:rsidRDefault="00160035" w:rsidP="00EC544D">
      <w:pPr>
        <w:spacing w:before="0" w:after="0"/>
        <w:rPr>
          <w:rFonts w:cs="Times New Roman"/>
          <w:sz w:val="16"/>
          <w:szCs w:val="16"/>
        </w:rPr>
      </w:pPr>
    </w:p>
    <w:p w14:paraId="02CB3BD7" w14:textId="77777777" w:rsidR="002655BC" w:rsidRDefault="002655BC" w:rsidP="00EC544D">
      <w:pPr>
        <w:spacing w:before="0" w:after="0"/>
        <w:rPr>
          <w:rFonts w:cs="Times New Roman"/>
          <w:sz w:val="16"/>
          <w:szCs w:val="16"/>
        </w:rPr>
      </w:pPr>
    </w:p>
    <w:p w14:paraId="3B04FAC9" w14:textId="77777777" w:rsidR="004805D0" w:rsidRDefault="004805D0" w:rsidP="004805D0">
      <w:pPr>
        <w:spacing w:before="0" w:after="0"/>
        <w:ind w:firstLine="0"/>
        <w:rPr>
          <w:rFonts w:cs="Times New Roman"/>
          <w:sz w:val="16"/>
          <w:szCs w:val="16"/>
        </w:rPr>
      </w:pPr>
    </w:p>
    <w:p w14:paraId="3BEBF9AE" w14:textId="77777777" w:rsidR="004805D0" w:rsidRDefault="004805D0" w:rsidP="004805D0">
      <w:pPr>
        <w:spacing w:before="0" w:after="0"/>
        <w:ind w:firstLine="0"/>
        <w:rPr>
          <w:rFonts w:cs="Times New Roman"/>
          <w:color w:val="000000" w:themeColor="text1"/>
          <w:sz w:val="16"/>
          <w:szCs w:val="16"/>
        </w:rPr>
      </w:pPr>
      <w:r>
        <w:rPr>
          <w:rFonts w:cs="Times New Roman"/>
          <w:sz w:val="16"/>
          <w:szCs w:val="16"/>
        </w:rPr>
        <w:t xml:space="preserve">Gavrovska </w:t>
      </w:r>
      <w:r>
        <w:rPr>
          <w:rFonts w:cs="Times New Roman"/>
          <w:color w:val="000000" w:themeColor="text1"/>
          <w:sz w:val="16"/>
          <w:szCs w:val="16"/>
        </w:rPr>
        <w:t>67095465,</w:t>
      </w:r>
    </w:p>
    <w:p w14:paraId="6A316262" w14:textId="4FE269BF" w:rsidR="007343B2" w:rsidRDefault="00CF4097" w:rsidP="004805D0">
      <w:pPr>
        <w:spacing w:before="0" w:after="0"/>
        <w:ind w:firstLine="0"/>
        <w:rPr>
          <w:rFonts w:cs="Times New Roman"/>
          <w:sz w:val="16"/>
          <w:szCs w:val="16"/>
        </w:rPr>
      </w:pPr>
      <w:r>
        <w:rPr>
          <w:rFonts w:cs="Times New Roman"/>
          <w:sz w:val="16"/>
          <w:szCs w:val="16"/>
        </w:rPr>
        <w:t>Krist</w:t>
      </w:r>
      <w:r w:rsidR="004805D0" w:rsidRPr="004805D0">
        <w:rPr>
          <w:rFonts w:cs="Times New Roman"/>
          <w:sz w:val="16"/>
          <w:szCs w:val="16"/>
        </w:rPr>
        <w:t>ine.Gavrovska@fm.gov.lv</w:t>
      </w:r>
    </w:p>
    <w:sectPr w:rsidR="007343B2" w:rsidSect="000D2B7A">
      <w:headerReference w:type="default" r:id="rId22"/>
      <w:footerReference w:type="default" r:id="rId23"/>
      <w:headerReference w:type="first" r:id="rId24"/>
      <w:footerReference w:type="first" r:id="rId25"/>
      <w:pgSz w:w="11906" w:h="16838"/>
      <w:pgMar w:top="822" w:right="1134" w:bottom="851" w:left="1701" w:header="709" w:footer="506"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2DE43" w14:textId="77777777" w:rsidR="000E2E49" w:rsidRDefault="000E2E49" w:rsidP="00043218">
      <w:pPr>
        <w:spacing w:before="0" w:after="0"/>
      </w:pPr>
      <w:r>
        <w:separator/>
      </w:r>
    </w:p>
  </w:endnote>
  <w:endnote w:type="continuationSeparator" w:id="0">
    <w:p w14:paraId="6A563F08" w14:textId="77777777" w:rsidR="000E2E49" w:rsidRDefault="000E2E49" w:rsidP="000432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511A4" w14:textId="51848A6F" w:rsidR="000E2E49" w:rsidRPr="00EC6A33" w:rsidRDefault="000E2E49" w:rsidP="005361F1">
    <w:pPr>
      <w:ind w:firstLine="0"/>
      <w:rPr>
        <w:sz w:val="22"/>
        <w:szCs w:val="32"/>
      </w:rPr>
    </w:pPr>
    <w:r w:rsidRPr="00EC6A33">
      <w:rPr>
        <w:sz w:val="22"/>
        <w:szCs w:val="32"/>
      </w:rPr>
      <w:fldChar w:fldCharType="begin"/>
    </w:r>
    <w:r w:rsidRPr="00EC6A33">
      <w:rPr>
        <w:sz w:val="22"/>
        <w:szCs w:val="32"/>
      </w:rPr>
      <w:instrText xml:space="preserve"> FILENAME   \* MERGEFORMAT </w:instrText>
    </w:r>
    <w:r w:rsidRPr="00EC6A33">
      <w:rPr>
        <w:sz w:val="22"/>
        <w:szCs w:val="32"/>
      </w:rPr>
      <w:fldChar w:fldCharType="separate"/>
    </w:r>
    <w:r>
      <w:rPr>
        <w:noProof/>
        <w:sz w:val="22"/>
        <w:szCs w:val="32"/>
      </w:rPr>
      <w:t>FMZin_190821_Makro.docx</w:t>
    </w:r>
    <w:r w:rsidRPr="00EC6A33">
      <w:rPr>
        <w:sz w:val="22"/>
        <w:szCs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A83E5" w14:textId="35549D41" w:rsidR="000E2E49" w:rsidRPr="00EC6A33" w:rsidRDefault="000E2E49" w:rsidP="003E2800">
    <w:pPr>
      <w:ind w:firstLine="0"/>
      <w:rPr>
        <w:sz w:val="22"/>
        <w:szCs w:val="32"/>
      </w:rPr>
    </w:pPr>
    <w:r>
      <w:rPr>
        <w:sz w:val="22"/>
        <w:szCs w:val="32"/>
      </w:rPr>
      <w:t>FMZin_190821_Makro</w:t>
    </w:r>
  </w:p>
  <w:p w14:paraId="7848ECD0" w14:textId="6F3DD7FB" w:rsidR="000E2E49" w:rsidRPr="00EC6A33" w:rsidRDefault="000E2E49" w:rsidP="007C2EB9">
    <w:pPr>
      <w:ind w:firstLine="0"/>
      <w:rPr>
        <w:sz w:val="2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680D2" w14:textId="77777777" w:rsidR="000E2E49" w:rsidRDefault="000E2E49" w:rsidP="00043218">
      <w:pPr>
        <w:spacing w:before="0" w:after="0"/>
      </w:pPr>
      <w:r>
        <w:separator/>
      </w:r>
    </w:p>
  </w:footnote>
  <w:footnote w:type="continuationSeparator" w:id="0">
    <w:p w14:paraId="55D52371" w14:textId="77777777" w:rsidR="000E2E49" w:rsidRDefault="000E2E49" w:rsidP="00043218">
      <w:pPr>
        <w:spacing w:before="0" w:after="0"/>
      </w:pPr>
      <w:r>
        <w:continuationSeparator/>
      </w:r>
    </w:p>
  </w:footnote>
  <w:footnote w:id="1">
    <w:p w14:paraId="4E2AE995" w14:textId="6631A9F8" w:rsidR="000E2E49" w:rsidRPr="00E73727" w:rsidRDefault="000E2E49" w:rsidP="000840BA">
      <w:pPr>
        <w:pStyle w:val="FootnoteText"/>
        <w:ind w:firstLine="0"/>
        <w:rPr>
          <w:noProof/>
          <w:sz w:val="18"/>
          <w:szCs w:val="18"/>
        </w:rPr>
      </w:pPr>
      <w:r w:rsidRPr="00E73727">
        <w:rPr>
          <w:rStyle w:val="FootnoteReference"/>
          <w:noProof/>
          <w:sz w:val="18"/>
          <w:szCs w:val="18"/>
        </w:rPr>
        <w:footnoteRef/>
      </w:r>
      <w:r w:rsidRPr="00E73727">
        <w:rPr>
          <w:noProof/>
          <w:sz w:val="18"/>
          <w:szCs w:val="18"/>
        </w:rPr>
        <w:t xml:space="preserve"> Bez iemaksām valsts fondēto pensiju shēmā, 3.pensiju līmenī un bez vienotajā nodokļu kontā ieskaitītajiem, bet nesadalītajiem nodokļu ieņēmumiem 264,4 milj. </w:t>
      </w:r>
      <w:r w:rsidRPr="00E73727">
        <w:rPr>
          <w:i/>
          <w:iCs/>
          <w:noProof/>
          <w:sz w:val="18"/>
          <w:szCs w:val="18"/>
        </w:rPr>
        <w:t xml:space="preserve">euro </w:t>
      </w:r>
      <w:r w:rsidRPr="00E73727">
        <w:rPr>
          <w:iCs/>
          <w:noProof/>
          <w:sz w:val="18"/>
          <w:szCs w:val="18"/>
        </w:rPr>
        <w:t>apmērā</w:t>
      </w:r>
      <w:r w:rsidRPr="00E73727">
        <w:rPr>
          <w:noProof/>
          <w:sz w:val="18"/>
          <w:szCs w:val="18"/>
        </w:rPr>
        <w:t>, kas tiks attiecināti uz konkrētajiem nodokļu veidiem un attiecīgajiem budžeta līmeņiem turpmākajos mēnešos, rodoties atbilstošām nodokļu saistībām.</w:t>
      </w:r>
    </w:p>
  </w:footnote>
  <w:footnote w:id="2">
    <w:p w14:paraId="7E1EA4CF" w14:textId="4B547623" w:rsidR="000E2E49" w:rsidRPr="00E73727" w:rsidRDefault="000E2E49" w:rsidP="00E73727">
      <w:pPr>
        <w:ind w:firstLine="0"/>
        <w:jc w:val="left"/>
        <w:rPr>
          <w:bCs/>
          <w:sz w:val="18"/>
          <w:szCs w:val="18"/>
        </w:rPr>
      </w:pPr>
      <w:r w:rsidRPr="00E73727">
        <w:rPr>
          <w:rStyle w:val="FootnoteReference"/>
          <w:sz w:val="18"/>
          <w:szCs w:val="18"/>
        </w:rPr>
        <w:footnoteRef/>
      </w:r>
      <w:r w:rsidRPr="00E73727">
        <w:rPr>
          <w:sz w:val="18"/>
          <w:szCs w:val="18"/>
        </w:rPr>
        <w:t xml:space="preserve"> </w:t>
      </w:r>
      <w:r w:rsidR="00E73727" w:rsidRPr="00E73727">
        <w:rPr>
          <w:bCs/>
          <w:sz w:val="18"/>
          <w:szCs w:val="18"/>
        </w:rPr>
        <w:t>Ņ</w:t>
      </w:r>
      <w:r w:rsidRPr="00E73727">
        <w:rPr>
          <w:bCs/>
          <w:sz w:val="18"/>
          <w:szCs w:val="18"/>
        </w:rPr>
        <w:t>emot vērā FM valsts budžeta bilances prognozi, valsts parāda atmaksas grafiku, pieņemtos lēmumus par valsts atbalsta sniegšanu uzņēmumiem (ieguldījumi p/k), valsts aizdevumu prognozi u.c. plūsmas Valsts kases kontos</w:t>
      </w:r>
      <w:r w:rsidR="00E73727">
        <w:rPr>
          <w:b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8083279"/>
      <w:docPartObj>
        <w:docPartGallery w:val="Page Numbers (Top of Page)"/>
        <w:docPartUnique/>
      </w:docPartObj>
    </w:sdtPr>
    <w:sdtEndPr>
      <w:rPr>
        <w:noProof/>
      </w:rPr>
    </w:sdtEndPr>
    <w:sdtContent>
      <w:p w14:paraId="4458F683" w14:textId="40C665D7" w:rsidR="000E2E49" w:rsidRDefault="000E2E49" w:rsidP="005361F1">
        <w:pPr>
          <w:pStyle w:val="Header"/>
          <w:jc w:val="center"/>
          <w:rPr>
            <w:noProof/>
          </w:rPr>
        </w:pPr>
        <w:r>
          <w:fldChar w:fldCharType="begin"/>
        </w:r>
        <w:r>
          <w:instrText xml:space="preserve"> PAGE   \* MERGEFORMAT </w:instrText>
        </w:r>
        <w:r>
          <w:fldChar w:fldCharType="separate"/>
        </w:r>
        <w:r>
          <w:rPr>
            <w:noProof/>
          </w:rPr>
          <w:t>2</w:t>
        </w:r>
        <w:r>
          <w:rPr>
            <w:noProof/>
          </w:rPr>
          <w:t>7</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BEAAA" w14:textId="77777777" w:rsidR="000E2E49" w:rsidRDefault="000E2E4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8401B"/>
    <w:multiLevelType w:val="hybridMultilevel"/>
    <w:tmpl w:val="39DC1EDC"/>
    <w:lvl w:ilvl="0" w:tplc="3D6CADAA">
      <w:start w:val="1"/>
      <w:numFmt w:val="bullet"/>
      <w:lvlText w:val="•"/>
      <w:lvlJc w:val="left"/>
      <w:pPr>
        <w:tabs>
          <w:tab w:val="num" w:pos="720"/>
        </w:tabs>
        <w:ind w:left="720" w:hanging="360"/>
      </w:pPr>
      <w:rPr>
        <w:rFonts w:ascii="Arial" w:hAnsi="Arial" w:hint="default"/>
      </w:rPr>
    </w:lvl>
    <w:lvl w:ilvl="1" w:tplc="DDEC431A" w:tentative="1">
      <w:start w:val="1"/>
      <w:numFmt w:val="bullet"/>
      <w:lvlText w:val="•"/>
      <w:lvlJc w:val="left"/>
      <w:pPr>
        <w:tabs>
          <w:tab w:val="num" w:pos="1440"/>
        </w:tabs>
        <w:ind w:left="1440" w:hanging="360"/>
      </w:pPr>
      <w:rPr>
        <w:rFonts w:ascii="Arial" w:hAnsi="Arial" w:hint="default"/>
      </w:rPr>
    </w:lvl>
    <w:lvl w:ilvl="2" w:tplc="A65A3DBC" w:tentative="1">
      <w:start w:val="1"/>
      <w:numFmt w:val="bullet"/>
      <w:lvlText w:val="•"/>
      <w:lvlJc w:val="left"/>
      <w:pPr>
        <w:tabs>
          <w:tab w:val="num" w:pos="2160"/>
        </w:tabs>
        <w:ind w:left="2160" w:hanging="360"/>
      </w:pPr>
      <w:rPr>
        <w:rFonts w:ascii="Arial" w:hAnsi="Arial" w:hint="default"/>
      </w:rPr>
    </w:lvl>
    <w:lvl w:ilvl="3" w:tplc="BE925C4A" w:tentative="1">
      <w:start w:val="1"/>
      <w:numFmt w:val="bullet"/>
      <w:lvlText w:val="•"/>
      <w:lvlJc w:val="left"/>
      <w:pPr>
        <w:tabs>
          <w:tab w:val="num" w:pos="2880"/>
        </w:tabs>
        <w:ind w:left="2880" w:hanging="360"/>
      </w:pPr>
      <w:rPr>
        <w:rFonts w:ascii="Arial" w:hAnsi="Arial" w:hint="default"/>
      </w:rPr>
    </w:lvl>
    <w:lvl w:ilvl="4" w:tplc="12F8FCDE" w:tentative="1">
      <w:start w:val="1"/>
      <w:numFmt w:val="bullet"/>
      <w:lvlText w:val="•"/>
      <w:lvlJc w:val="left"/>
      <w:pPr>
        <w:tabs>
          <w:tab w:val="num" w:pos="3600"/>
        </w:tabs>
        <w:ind w:left="3600" w:hanging="360"/>
      </w:pPr>
      <w:rPr>
        <w:rFonts w:ascii="Arial" w:hAnsi="Arial" w:hint="default"/>
      </w:rPr>
    </w:lvl>
    <w:lvl w:ilvl="5" w:tplc="612C5D8C" w:tentative="1">
      <w:start w:val="1"/>
      <w:numFmt w:val="bullet"/>
      <w:lvlText w:val="•"/>
      <w:lvlJc w:val="left"/>
      <w:pPr>
        <w:tabs>
          <w:tab w:val="num" w:pos="4320"/>
        </w:tabs>
        <w:ind w:left="4320" w:hanging="360"/>
      </w:pPr>
      <w:rPr>
        <w:rFonts w:ascii="Arial" w:hAnsi="Arial" w:hint="default"/>
      </w:rPr>
    </w:lvl>
    <w:lvl w:ilvl="6" w:tplc="3A46EE9C" w:tentative="1">
      <w:start w:val="1"/>
      <w:numFmt w:val="bullet"/>
      <w:lvlText w:val="•"/>
      <w:lvlJc w:val="left"/>
      <w:pPr>
        <w:tabs>
          <w:tab w:val="num" w:pos="5040"/>
        </w:tabs>
        <w:ind w:left="5040" w:hanging="360"/>
      </w:pPr>
      <w:rPr>
        <w:rFonts w:ascii="Arial" w:hAnsi="Arial" w:hint="default"/>
      </w:rPr>
    </w:lvl>
    <w:lvl w:ilvl="7" w:tplc="668CA372" w:tentative="1">
      <w:start w:val="1"/>
      <w:numFmt w:val="bullet"/>
      <w:lvlText w:val="•"/>
      <w:lvlJc w:val="left"/>
      <w:pPr>
        <w:tabs>
          <w:tab w:val="num" w:pos="5760"/>
        </w:tabs>
        <w:ind w:left="5760" w:hanging="360"/>
      </w:pPr>
      <w:rPr>
        <w:rFonts w:ascii="Arial" w:hAnsi="Arial" w:hint="default"/>
      </w:rPr>
    </w:lvl>
    <w:lvl w:ilvl="8" w:tplc="FAA081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670409"/>
    <w:multiLevelType w:val="hybridMultilevel"/>
    <w:tmpl w:val="FC2A8632"/>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0FD628C"/>
    <w:multiLevelType w:val="hybridMultilevel"/>
    <w:tmpl w:val="285A82DE"/>
    <w:lvl w:ilvl="0" w:tplc="A6D6E706">
      <w:start w:val="1"/>
      <w:numFmt w:val="decimal"/>
      <w:lvlText w:val="%1."/>
      <w:lvlJc w:val="left"/>
      <w:pPr>
        <w:ind w:left="720" w:hanging="360"/>
      </w:pPr>
      <w:rPr>
        <w:i w:val="0"/>
        <w:sz w:val="28"/>
        <w:szCs w:val="28"/>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10FACD0A">
      <w:start w:val="1"/>
      <w:numFmt w:val="decimal"/>
      <w:lvlText w:val="%4."/>
      <w:lvlJc w:val="left"/>
      <w:pPr>
        <w:ind w:left="2880" w:hanging="360"/>
      </w:pPr>
      <w:rPr>
        <w:rFonts w:ascii="Times New Roman" w:eastAsia="Calibri" w:hAnsi="Times New Roman" w:cs="Times New Roman"/>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7A3C4D"/>
    <w:multiLevelType w:val="hybridMultilevel"/>
    <w:tmpl w:val="283E3A8E"/>
    <w:lvl w:ilvl="0" w:tplc="552A82E2">
      <w:start w:val="1"/>
      <w:numFmt w:val="decimal"/>
      <w:lvlText w:val="%1."/>
      <w:lvlJc w:val="left"/>
      <w:pPr>
        <w:ind w:left="1440" w:hanging="360"/>
      </w:pPr>
      <w:rPr>
        <w:rFonts w:ascii="Times New Roman" w:hAnsi="Times New Roman" w:cs="Times New Roman" w:hint="default"/>
        <w:sz w:val="28"/>
        <w:szCs w:val="28"/>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68528B3"/>
    <w:multiLevelType w:val="hybridMultilevel"/>
    <w:tmpl w:val="2C7C1D46"/>
    <w:lvl w:ilvl="0" w:tplc="046E5138">
      <w:start w:val="4"/>
      <w:numFmt w:val="decimal"/>
      <w:lvlText w:val="%1."/>
      <w:lvlJc w:val="left"/>
      <w:pPr>
        <w:ind w:left="720" w:hanging="360"/>
      </w:pPr>
      <w:rPr>
        <w:rFonts w:hint="default"/>
        <w:i w:val="0"/>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E63C66"/>
    <w:multiLevelType w:val="hybridMultilevel"/>
    <w:tmpl w:val="AC7EEB32"/>
    <w:lvl w:ilvl="0" w:tplc="88A8FCCA">
      <w:start w:val="1"/>
      <w:numFmt w:val="decimal"/>
      <w:lvlText w:val="(%1)"/>
      <w:lvlJc w:val="left"/>
      <w:pPr>
        <w:tabs>
          <w:tab w:val="num" w:pos="786"/>
        </w:tabs>
        <w:ind w:left="786" w:hanging="360"/>
      </w:pPr>
    </w:lvl>
    <w:lvl w:ilvl="1" w:tplc="9C563F2C" w:tentative="1">
      <w:start w:val="1"/>
      <w:numFmt w:val="decimal"/>
      <w:lvlText w:val="(%2)"/>
      <w:lvlJc w:val="left"/>
      <w:pPr>
        <w:tabs>
          <w:tab w:val="num" w:pos="1506"/>
        </w:tabs>
        <w:ind w:left="1506" w:hanging="360"/>
      </w:pPr>
    </w:lvl>
    <w:lvl w:ilvl="2" w:tplc="F2F08754" w:tentative="1">
      <w:start w:val="1"/>
      <w:numFmt w:val="decimal"/>
      <w:lvlText w:val="(%3)"/>
      <w:lvlJc w:val="left"/>
      <w:pPr>
        <w:tabs>
          <w:tab w:val="num" w:pos="2226"/>
        </w:tabs>
        <w:ind w:left="2226" w:hanging="360"/>
      </w:pPr>
    </w:lvl>
    <w:lvl w:ilvl="3" w:tplc="153639CC" w:tentative="1">
      <w:start w:val="1"/>
      <w:numFmt w:val="decimal"/>
      <w:lvlText w:val="(%4)"/>
      <w:lvlJc w:val="left"/>
      <w:pPr>
        <w:tabs>
          <w:tab w:val="num" w:pos="2946"/>
        </w:tabs>
        <w:ind w:left="2946" w:hanging="360"/>
      </w:pPr>
    </w:lvl>
    <w:lvl w:ilvl="4" w:tplc="C44E9326" w:tentative="1">
      <w:start w:val="1"/>
      <w:numFmt w:val="decimal"/>
      <w:lvlText w:val="(%5)"/>
      <w:lvlJc w:val="left"/>
      <w:pPr>
        <w:tabs>
          <w:tab w:val="num" w:pos="3666"/>
        </w:tabs>
        <w:ind w:left="3666" w:hanging="360"/>
      </w:pPr>
    </w:lvl>
    <w:lvl w:ilvl="5" w:tplc="8F58A0C4" w:tentative="1">
      <w:start w:val="1"/>
      <w:numFmt w:val="decimal"/>
      <w:lvlText w:val="(%6)"/>
      <w:lvlJc w:val="left"/>
      <w:pPr>
        <w:tabs>
          <w:tab w:val="num" w:pos="4386"/>
        </w:tabs>
        <w:ind w:left="4386" w:hanging="360"/>
      </w:pPr>
    </w:lvl>
    <w:lvl w:ilvl="6" w:tplc="147A0688" w:tentative="1">
      <w:start w:val="1"/>
      <w:numFmt w:val="decimal"/>
      <w:lvlText w:val="(%7)"/>
      <w:lvlJc w:val="left"/>
      <w:pPr>
        <w:tabs>
          <w:tab w:val="num" w:pos="5106"/>
        </w:tabs>
        <w:ind w:left="5106" w:hanging="360"/>
      </w:pPr>
    </w:lvl>
    <w:lvl w:ilvl="7" w:tplc="12AA4EF4" w:tentative="1">
      <w:start w:val="1"/>
      <w:numFmt w:val="decimal"/>
      <w:lvlText w:val="(%8)"/>
      <w:lvlJc w:val="left"/>
      <w:pPr>
        <w:tabs>
          <w:tab w:val="num" w:pos="5826"/>
        </w:tabs>
        <w:ind w:left="5826" w:hanging="360"/>
      </w:pPr>
    </w:lvl>
    <w:lvl w:ilvl="8" w:tplc="6646205E" w:tentative="1">
      <w:start w:val="1"/>
      <w:numFmt w:val="decimal"/>
      <w:lvlText w:val="(%9)"/>
      <w:lvlJc w:val="left"/>
      <w:pPr>
        <w:tabs>
          <w:tab w:val="num" w:pos="6546"/>
        </w:tabs>
        <w:ind w:left="6546" w:hanging="360"/>
      </w:pPr>
    </w:lvl>
  </w:abstractNum>
  <w:abstractNum w:abstractNumId="6" w15:restartNumberingAfterBreak="0">
    <w:nsid w:val="1BFD7CD0"/>
    <w:multiLevelType w:val="hybridMultilevel"/>
    <w:tmpl w:val="F09650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F792FC2"/>
    <w:multiLevelType w:val="multilevel"/>
    <w:tmpl w:val="B0123828"/>
    <w:lvl w:ilvl="0">
      <w:start w:val="1"/>
      <w:numFmt w:val="decimal"/>
      <w:pStyle w:val="Heading1"/>
      <w:lvlText w:val="%1."/>
      <w:lvlJc w:val="left"/>
      <w:pPr>
        <w:ind w:left="2203"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C1903D2"/>
    <w:multiLevelType w:val="hybridMultilevel"/>
    <w:tmpl w:val="82B01038"/>
    <w:lvl w:ilvl="0" w:tplc="C43E399A">
      <w:start w:val="1"/>
      <w:numFmt w:val="decimal"/>
      <w:pStyle w:val="Heading2"/>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207461"/>
    <w:multiLevelType w:val="hybridMultilevel"/>
    <w:tmpl w:val="FA24CD6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0" w15:restartNumberingAfterBreak="0">
    <w:nsid w:val="3BFA2405"/>
    <w:multiLevelType w:val="hybridMultilevel"/>
    <w:tmpl w:val="A91E7E2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663DF9"/>
    <w:multiLevelType w:val="hybridMultilevel"/>
    <w:tmpl w:val="55FABFC8"/>
    <w:lvl w:ilvl="0" w:tplc="F2A8A3E4">
      <w:start w:val="1"/>
      <w:numFmt w:val="bullet"/>
      <w:lvlText w:val="•"/>
      <w:lvlJc w:val="left"/>
      <w:pPr>
        <w:tabs>
          <w:tab w:val="num" w:pos="720"/>
        </w:tabs>
        <w:ind w:left="720" w:hanging="360"/>
      </w:pPr>
      <w:rPr>
        <w:rFonts w:ascii="Arial" w:hAnsi="Arial" w:hint="default"/>
      </w:rPr>
    </w:lvl>
    <w:lvl w:ilvl="1" w:tplc="D2B60868" w:tentative="1">
      <w:start w:val="1"/>
      <w:numFmt w:val="bullet"/>
      <w:lvlText w:val="•"/>
      <w:lvlJc w:val="left"/>
      <w:pPr>
        <w:tabs>
          <w:tab w:val="num" w:pos="1440"/>
        </w:tabs>
        <w:ind w:left="1440" w:hanging="360"/>
      </w:pPr>
      <w:rPr>
        <w:rFonts w:ascii="Arial" w:hAnsi="Arial" w:hint="default"/>
      </w:rPr>
    </w:lvl>
    <w:lvl w:ilvl="2" w:tplc="FF7493E2" w:tentative="1">
      <w:start w:val="1"/>
      <w:numFmt w:val="bullet"/>
      <w:lvlText w:val="•"/>
      <w:lvlJc w:val="left"/>
      <w:pPr>
        <w:tabs>
          <w:tab w:val="num" w:pos="2160"/>
        </w:tabs>
        <w:ind w:left="2160" w:hanging="360"/>
      </w:pPr>
      <w:rPr>
        <w:rFonts w:ascii="Arial" w:hAnsi="Arial" w:hint="default"/>
      </w:rPr>
    </w:lvl>
    <w:lvl w:ilvl="3" w:tplc="CCFC75FC" w:tentative="1">
      <w:start w:val="1"/>
      <w:numFmt w:val="bullet"/>
      <w:lvlText w:val="•"/>
      <w:lvlJc w:val="left"/>
      <w:pPr>
        <w:tabs>
          <w:tab w:val="num" w:pos="2880"/>
        </w:tabs>
        <w:ind w:left="2880" w:hanging="360"/>
      </w:pPr>
      <w:rPr>
        <w:rFonts w:ascii="Arial" w:hAnsi="Arial" w:hint="default"/>
      </w:rPr>
    </w:lvl>
    <w:lvl w:ilvl="4" w:tplc="D8C0DD28" w:tentative="1">
      <w:start w:val="1"/>
      <w:numFmt w:val="bullet"/>
      <w:lvlText w:val="•"/>
      <w:lvlJc w:val="left"/>
      <w:pPr>
        <w:tabs>
          <w:tab w:val="num" w:pos="3600"/>
        </w:tabs>
        <w:ind w:left="3600" w:hanging="360"/>
      </w:pPr>
      <w:rPr>
        <w:rFonts w:ascii="Arial" w:hAnsi="Arial" w:hint="default"/>
      </w:rPr>
    </w:lvl>
    <w:lvl w:ilvl="5" w:tplc="C12A0062" w:tentative="1">
      <w:start w:val="1"/>
      <w:numFmt w:val="bullet"/>
      <w:lvlText w:val="•"/>
      <w:lvlJc w:val="left"/>
      <w:pPr>
        <w:tabs>
          <w:tab w:val="num" w:pos="4320"/>
        </w:tabs>
        <w:ind w:left="4320" w:hanging="360"/>
      </w:pPr>
      <w:rPr>
        <w:rFonts w:ascii="Arial" w:hAnsi="Arial" w:hint="default"/>
      </w:rPr>
    </w:lvl>
    <w:lvl w:ilvl="6" w:tplc="2B18934E" w:tentative="1">
      <w:start w:val="1"/>
      <w:numFmt w:val="bullet"/>
      <w:lvlText w:val="•"/>
      <w:lvlJc w:val="left"/>
      <w:pPr>
        <w:tabs>
          <w:tab w:val="num" w:pos="5040"/>
        </w:tabs>
        <w:ind w:left="5040" w:hanging="360"/>
      </w:pPr>
      <w:rPr>
        <w:rFonts w:ascii="Arial" w:hAnsi="Arial" w:hint="default"/>
      </w:rPr>
    </w:lvl>
    <w:lvl w:ilvl="7" w:tplc="7BCA54BC" w:tentative="1">
      <w:start w:val="1"/>
      <w:numFmt w:val="bullet"/>
      <w:lvlText w:val="•"/>
      <w:lvlJc w:val="left"/>
      <w:pPr>
        <w:tabs>
          <w:tab w:val="num" w:pos="5760"/>
        </w:tabs>
        <w:ind w:left="5760" w:hanging="360"/>
      </w:pPr>
      <w:rPr>
        <w:rFonts w:ascii="Arial" w:hAnsi="Arial" w:hint="default"/>
      </w:rPr>
    </w:lvl>
    <w:lvl w:ilvl="8" w:tplc="0BE0E9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E719B2"/>
    <w:multiLevelType w:val="hybridMultilevel"/>
    <w:tmpl w:val="C8FCE4B4"/>
    <w:lvl w:ilvl="0" w:tplc="04260001">
      <w:start w:val="1"/>
      <w:numFmt w:val="bullet"/>
      <w:lvlText w:val=""/>
      <w:lvlJc w:val="left"/>
      <w:pPr>
        <w:ind w:left="3076" w:hanging="360"/>
      </w:pPr>
      <w:rPr>
        <w:rFonts w:ascii="Symbol" w:hAnsi="Symbol" w:hint="default"/>
      </w:rPr>
    </w:lvl>
    <w:lvl w:ilvl="1" w:tplc="04260003">
      <w:start w:val="1"/>
      <w:numFmt w:val="bullet"/>
      <w:lvlText w:val="o"/>
      <w:lvlJc w:val="left"/>
      <w:pPr>
        <w:ind w:left="3796" w:hanging="360"/>
      </w:pPr>
      <w:rPr>
        <w:rFonts w:ascii="Courier New" w:hAnsi="Courier New" w:cs="Courier New" w:hint="default"/>
      </w:rPr>
    </w:lvl>
    <w:lvl w:ilvl="2" w:tplc="04260001">
      <w:start w:val="1"/>
      <w:numFmt w:val="bullet"/>
      <w:lvlText w:val=""/>
      <w:lvlJc w:val="left"/>
      <w:pPr>
        <w:ind w:left="4516" w:hanging="360"/>
      </w:pPr>
      <w:rPr>
        <w:rFonts w:ascii="Symbol" w:hAnsi="Symbol" w:hint="default"/>
      </w:rPr>
    </w:lvl>
    <w:lvl w:ilvl="3" w:tplc="04260001" w:tentative="1">
      <w:start w:val="1"/>
      <w:numFmt w:val="bullet"/>
      <w:lvlText w:val=""/>
      <w:lvlJc w:val="left"/>
      <w:pPr>
        <w:ind w:left="5236" w:hanging="360"/>
      </w:pPr>
      <w:rPr>
        <w:rFonts w:ascii="Symbol" w:hAnsi="Symbol" w:hint="default"/>
      </w:rPr>
    </w:lvl>
    <w:lvl w:ilvl="4" w:tplc="04260003" w:tentative="1">
      <w:start w:val="1"/>
      <w:numFmt w:val="bullet"/>
      <w:lvlText w:val="o"/>
      <w:lvlJc w:val="left"/>
      <w:pPr>
        <w:ind w:left="5956" w:hanging="360"/>
      </w:pPr>
      <w:rPr>
        <w:rFonts w:ascii="Courier New" w:hAnsi="Courier New" w:cs="Courier New" w:hint="default"/>
      </w:rPr>
    </w:lvl>
    <w:lvl w:ilvl="5" w:tplc="04260005" w:tentative="1">
      <w:start w:val="1"/>
      <w:numFmt w:val="bullet"/>
      <w:lvlText w:val=""/>
      <w:lvlJc w:val="left"/>
      <w:pPr>
        <w:ind w:left="6676" w:hanging="360"/>
      </w:pPr>
      <w:rPr>
        <w:rFonts w:ascii="Wingdings" w:hAnsi="Wingdings" w:hint="default"/>
      </w:rPr>
    </w:lvl>
    <w:lvl w:ilvl="6" w:tplc="04260001" w:tentative="1">
      <w:start w:val="1"/>
      <w:numFmt w:val="bullet"/>
      <w:lvlText w:val=""/>
      <w:lvlJc w:val="left"/>
      <w:pPr>
        <w:ind w:left="7396" w:hanging="360"/>
      </w:pPr>
      <w:rPr>
        <w:rFonts w:ascii="Symbol" w:hAnsi="Symbol" w:hint="default"/>
      </w:rPr>
    </w:lvl>
    <w:lvl w:ilvl="7" w:tplc="04260003" w:tentative="1">
      <w:start w:val="1"/>
      <w:numFmt w:val="bullet"/>
      <w:lvlText w:val="o"/>
      <w:lvlJc w:val="left"/>
      <w:pPr>
        <w:ind w:left="8116" w:hanging="360"/>
      </w:pPr>
      <w:rPr>
        <w:rFonts w:ascii="Courier New" w:hAnsi="Courier New" w:cs="Courier New" w:hint="default"/>
      </w:rPr>
    </w:lvl>
    <w:lvl w:ilvl="8" w:tplc="04260005" w:tentative="1">
      <w:start w:val="1"/>
      <w:numFmt w:val="bullet"/>
      <w:lvlText w:val=""/>
      <w:lvlJc w:val="left"/>
      <w:pPr>
        <w:ind w:left="8836" w:hanging="360"/>
      </w:pPr>
      <w:rPr>
        <w:rFonts w:ascii="Wingdings" w:hAnsi="Wingdings" w:hint="default"/>
      </w:rPr>
    </w:lvl>
  </w:abstractNum>
  <w:abstractNum w:abstractNumId="13" w15:restartNumberingAfterBreak="0">
    <w:nsid w:val="49824539"/>
    <w:multiLevelType w:val="hybridMultilevel"/>
    <w:tmpl w:val="3230C182"/>
    <w:lvl w:ilvl="0" w:tplc="A6D6E706">
      <w:start w:val="1"/>
      <w:numFmt w:val="decimal"/>
      <w:lvlText w:val="%1."/>
      <w:lvlJc w:val="left"/>
      <w:pPr>
        <w:ind w:left="720" w:hanging="360"/>
      </w:pPr>
      <w:rPr>
        <w:i w:val="0"/>
        <w:sz w:val="28"/>
        <w:szCs w:val="28"/>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10FACD0A">
      <w:start w:val="1"/>
      <w:numFmt w:val="decimal"/>
      <w:lvlText w:val="%4."/>
      <w:lvlJc w:val="left"/>
      <w:pPr>
        <w:ind w:left="2880" w:hanging="360"/>
      </w:pPr>
      <w:rPr>
        <w:rFonts w:ascii="Times New Roman" w:eastAsia="Calibri" w:hAnsi="Times New Roman" w:cs="Times New Roman"/>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F830B7E"/>
    <w:multiLevelType w:val="hybridMultilevel"/>
    <w:tmpl w:val="76F28026"/>
    <w:lvl w:ilvl="0" w:tplc="0C0218B2">
      <w:start w:val="1"/>
      <w:numFmt w:val="decimal"/>
      <w:lvlText w:val="%1."/>
      <w:lvlJc w:val="left"/>
      <w:pPr>
        <w:ind w:left="720" w:hanging="360"/>
      </w:pPr>
      <w:rPr>
        <w:sz w:val="28"/>
        <w:szCs w:val="28"/>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10FACD0A">
      <w:start w:val="1"/>
      <w:numFmt w:val="decimal"/>
      <w:lvlText w:val="%4."/>
      <w:lvlJc w:val="left"/>
      <w:pPr>
        <w:ind w:left="2880" w:hanging="360"/>
      </w:pPr>
      <w:rPr>
        <w:rFonts w:ascii="Times New Roman" w:eastAsia="Calibri" w:hAnsi="Times New Roman" w:cs="Times New Roman"/>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F284EC8"/>
    <w:multiLevelType w:val="hybridMultilevel"/>
    <w:tmpl w:val="C0147A48"/>
    <w:lvl w:ilvl="0" w:tplc="552A82E2">
      <w:start w:val="1"/>
      <w:numFmt w:val="decimal"/>
      <w:lvlText w:val="%1."/>
      <w:lvlJc w:val="left"/>
      <w:pPr>
        <w:ind w:left="720" w:hanging="360"/>
      </w:pPr>
      <w:rPr>
        <w:rFonts w:ascii="Times New Roman" w:hAnsi="Times New Roman" w:cs="Times New Roman" w:hint="default"/>
        <w:sz w:val="28"/>
        <w:szCs w:val="28"/>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316A4B"/>
    <w:multiLevelType w:val="hybridMultilevel"/>
    <w:tmpl w:val="FB9E88FE"/>
    <w:lvl w:ilvl="0" w:tplc="1B9C6E3A">
      <w:start w:val="1"/>
      <w:numFmt w:val="bullet"/>
      <w:lvlText w:val="•"/>
      <w:lvlJc w:val="left"/>
      <w:pPr>
        <w:tabs>
          <w:tab w:val="num" w:pos="720"/>
        </w:tabs>
        <w:ind w:left="720" w:hanging="360"/>
      </w:pPr>
      <w:rPr>
        <w:rFonts w:ascii="Arial" w:hAnsi="Arial" w:hint="default"/>
      </w:rPr>
    </w:lvl>
    <w:lvl w:ilvl="1" w:tplc="07D60C78" w:tentative="1">
      <w:start w:val="1"/>
      <w:numFmt w:val="bullet"/>
      <w:lvlText w:val="•"/>
      <w:lvlJc w:val="left"/>
      <w:pPr>
        <w:tabs>
          <w:tab w:val="num" w:pos="1440"/>
        </w:tabs>
        <w:ind w:left="1440" w:hanging="360"/>
      </w:pPr>
      <w:rPr>
        <w:rFonts w:ascii="Arial" w:hAnsi="Arial" w:hint="default"/>
      </w:rPr>
    </w:lvl>
    <w:lvl w:ilvl="2" w:tplc="ACD877CC" w:tentative="1">
      <w:start w:val="1"/>
      <w:numFmt w:val="bullet"/>
      <w:lvlText w:val="•"/>
      <w:lvlJc w:val="left"/>
      <w:pPr>
        <w:tabs>
          <w:tab w:val="num" w:pos="2160"/>
        </w:tabs>
        <w:ind w:left="2160" w:hanging="360"/>
      </w:pPr>
      <w:rPr>
        <w:rFonts w:ascii="Arial" w:hAnsi="Arial" w:hint="default"/>
      </w:rPr>
    </w:lvl>
    <w:lvl w:ilvl="3" w:tplc="62E69512" w:tentative="1">
      <w:start w:val="1"/>
      <w:numFmt w:val="bullet"/>
      <w:lvlText w:val="•"/>
      <w:lvlJc w:val="left"/>
      <w:pPr>
        <w:tabs>
          <w:tab w:val="num" w:pos="2880"/>
        </w:tabs>
        <w:ind w:left="2880" w:hanging="360"/>
      </w:pPr>
      <w:rPr>
        <w:rFonts w:ascii="Arial" w:hAnsi="Arial" w:hint="default"/>
      </w:rPr>
    </w:lvl>
    <w:lvl w:ilvl="4" w:tplc="6062F77A" w:tentative="1">
      <w:start w:val="1"/>
      <w:numFmt w:val="bullet"/>
      <w:lvlText w:val="•"/>
      <w:lvlJc w:val="left"/>
      <w:pPr>
        <w:tabs>
          <w:tab w:val="num" w:pos="3600"/>
        </w:tabs>
        <w:ind w:left="3600" w:hanging="360"/>
      </w:pPr>
      <w:rPr>
        <w:rFonts w:ascii="Arial" w:hAnsi="Arial" w:hint="default"/>
      </w:rPr>
    </w:lvl>
    <w:lvl w:ilvl="5" w:tplc="C0FCFC8C" w:tentative="1">
      <w:start w:val="1"/>
      <w:numFmt w:val="bullet"/>
      <w:lvlText w:val="•"/>
      <w:lvlJc w:val="left"/>
      <w:pPr>
        <w:tabs>
          <w:tab w:val="num" w:pos="4320"/>
        </w:tabs>
        <w:ind w:left="4320" w:hanging="360"/>
      </w:pPr>
      <w:rPr>
        <w:rFonts w:ascii="Arial" w:hAnsi="Arial" w:hint="default"/>
      </w:rPr>
    </w:lvl>
    <w:lvl w:ilvl="6" w:tplc="2766E544" w:tentative="1">
      <w:start w:val="1"/>
      <w:numFmt w:val="bullet"/>
      <w:lvlText w:val="•"/>
      <w:lvlJc w:val="left"/>
      <w:pPr>
        <w:tabs>
          <w:tab w:val="num" w:pos="5040"/>
        </w:tabs>
        <w:ind w:left="5040" w:hanging="360"/>
      </w:pPr>
      <w:rPr>
        <w:rFonts w:ascii="Arial" w:hAnsi="Arial" w:hint="default"/>
      </w:rPr>
    </w:lvl>
    <w:lvl w:ilvl="7" w:tplc="F3B2A980" w:tentative="1">
      <w:start w:val="1"/>
      <w:numFmt w:val="bullet"/>
      <w:lvlText w:val="•"/>
      <w:lvlJc w:val="left"/>
      <w:pPr>
        <w:tabs>
          <w:tab w:val="num" w:pos="5760"/>
        </w:tabs>
        <w:ind w:left="5760" w:hanging="360"/>
      </w:pPr>
      <w:rPr>
        <w:rFonts w:ascii="Arial" w:hAnsi="Arial" w:hint="default"/>
      </w:rPr>
    </w:lvl>
    <w:lvl w:ilvl="8" w:tplc="2646CE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124485"/>
    <w:multiLevelType w:val="hybridMultilevel"/>
    <w:tmpl w:val="AF84DB8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70012FB7"/>
    <w:multiLevelType w:val="hybridMultilevel"/>
    <w:tmpl w:val="93AE1A3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73E6081F"/>
    <w:multiLevelType w:val="hybridMultilevel"/>
    <w:tmpl w:val="71F418D4"/>
    <w:lvl w:ilvl="0" w:tplc="04260001">
      <w:start w:val="1"/>
      <w:numFmt w:val="bullet"/>
      <w:lvlText w:val=""/>
      <w:lvlJc w:val="left"/>
      <w:pPr>
        <w:ind w:left="1440" w:hanging="360"/>
      </w:pPr>
      <w:rPr>
        <w:rFonts w:ascii="Symbol" w:hAnsi="Symbol" w:hint="default"/>
      </w:rPr>
    </w:lvl>
    <w:lvl w:ilvl="1" w:tplc="F7889D16">
      <w:numFmt w:val="bullet"/>
      <w:lvlText w:val="-"/>
      <w:lvlJc w:val="left"/>
      <w:pPr>
        <w:ind w:left="2160" w:hanging="360"/>
      </w:pPr>
      <w:rPr>
        <w:rFonts w:ascii="Times New Roman" w:eastAsiaTheme="minorEastAsia" w:hAnsi="Times New Roman" w:cs="Times New Roman"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78D146FC"/>
    <w:multiLevelType w:val="hybridMultilevel"/>
    <w:tmpl w:val="CE74D1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7B0954A4"/>
    <w:multiLevelType w:val="hybridMultilevel"/>
    <w:tmpl w:val="ACBE9B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B2B66E5"/>
    <w:multiLevelType w:val="hybridMultilevel"/>
    <w:tmpl w:val="732CFE90"/>
    <w:lvl w:ilvl="0" w:tplc="96AA6B9E">
      <w:start w:val="1"/>
      <w:numFmt w:val="bullet"/>
      <w:lvlText w:val="•"/>
      <w:lvlJc w:val="left"/>
      <w:pPr>
        <w:tabs>
          <w:tab w:val="num" w:pos="720"/>
        </w:tabs>
        <w:ind w:left="720" w:hanging="360"/>
      </w:pPr>
      <w:rPr>
        <w:rFonts w:ascii="Arial" w:hAnsi="Arial" w:hint="default"/>
      </w:rPr>
    </w:lvl>
    <w:lvl w:ilvl="1" w:tplc="F9C000D8" w:tentative="1">
      <w:start w:val="1"/>
      <w:numFmt w:val="bullet"/>
      <w:lvlText w:val="•"/>
      <w:lvlJc w:val="left"/>
      <w:pPr>
        <w:tabs>
          <w:tab w:val="num" w:pos="1440"/>
        </w:tabs>
        <w:ind w:left="1440" w:hanging="360"/>
      </w:pPr>
      <w:rPr>
        <w:rFonts w:ascii="Arial" w:hAnsi="Arial" w:hint="default"/>
      </w:rPr>
    </w:lvl>
    <w:lvl w:ilvl="2" w:tplc="A87E9A40" w:tentative="1">
      <w:start w:val="1"/>
      <w:numFmt w:val="bullet"/>
      <w:lvlText w:val="•"/>
      <w:lvlJc w:val="left"/>
      <w:pPr>
        <w:tabs>
          <w:tab w:val="num" w:pos="2160"/>
        </w:tabs>
        <w:ind w:left="2160" w:hanging="360"/>
      </w:pPr>
      <w:rPr>
        <w:rFonts w:ascii="Arial" w:hAnsi="Arial" w:hint="default"/>
      </w:rPr>
    </w:lvl>
    <w:lvl w:ilvl="3" w:tplc="24C296F0" w:tentative="1">
      <w:start w:val="1"/>
      <w:numFmt w:val="bullet"/>
      <w:lvlText w:val="•"/>
      <w:lvlJc w:val="left"/>
      <w:pPr>
        <w:tabs>
          <w:tab w:val="num" w:pos="2880"/>
        </w:tabs>
        <w:ind w:left="2880" w:hanging="360"/>
      </w:pPr>
      <w:rPr>
        <w:rFonts w:ascii="Arial" w:hAnsi="Arial" w:hint="default"/>
      </w:rPr>
    </w:lvl>
    <w:lvl w:ilvl="4" w:tplc="0BA06994" w:tentative="1">
      <w:start w:val="1"/>
      <w:numFmt w:val="bullet"/>
      <w:lvlText w:val="•"/>
      <w:lvlJc w:val="left"/>
      <w:pPr>
        <w:tabs>
          <w:tab w:val="num" w:pos="3600"/>
        </w:tabs>
        <w:ind w:left="3600" w:hanging="360"/>
      </w:pPr>
      <w:rPr>
        <w:rFonts w:ascii="Arial" w:hAnsi="Arial" w:hint="default"/>
      </w:rPr>
    </w:lvl>
    <w:lvl w:ilvl="5" w:tplc="E326C838" w:tentative="1">
      <w:start w:val="1"/>
      <w:numFmt w:val="bullet"/>
      <w:lvlText w:val="•"/>
      <w:lvlJc w:val="left"/>
      <w:pPr>
        <w:tabs>
          <w:tab w:val="num" w:pos="4320"/>
        </w:tabs>
        <w:ind w:left="4320" w:hanging="360"/>
      </w:pPr>
      <w:rPr>
        <w:rFonts w:ascii="Arial" w:hAnsi="Arial" w:hint="default"/>
      </w:rPr>
    </w:lvl>
    <w:lvl w:ilvl="6" w:tplc="B6CEAC0A" w:tentative="1">
      <w:start w:val="1"/>
      <w:numFmt w:val="bullet"/>
      <w:lvlText w:val="•"/>
      <w:lvlJc w:val="left"/>
      <w:pPr>
        <w:tabs>
          <w:tab w:val="num" w:pos="5040"/>
        </w:tabs>
        <w:ind w:left="5040" w:hanging="360"/>
      </w:pPr>
      <w:rPr>
        <w:rFonts w:ascii="Arial" w:hAnsi="Arial" w:hint="default"/>
      </w:rPr>
    </w:lvl>
    <w:lvl w:ilvl="7" w:tplc="9E3CCB46" w:tentative="1">
      <w:start w:val="1"/>
      <w:numFmt w:val="bullet"/>
      <w:lvlText w:val="•"/>
      <w:lvlJc w:val="left"/>
      <w:pPr>
        <w:tabs>
          <w:tab w:val="num" w:pos="5760"/>
        </w:tabs>
        <w:ind w:left="5760" w:hanging="360"/>
      </w:pPr>
      <w:rPr>
        <w:rFonts w:ascii="Arial" w:hAnsi="Arial" w:hint="default"/>
      </w:rPr>
    </w:lvl>
    <w:lvl w:ilvl="8" w:tplc="C9264CB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8"/>
  </w:num>
  <w:num w:numId="3">
    <w:abstractNumId w:val="14"/>
  </w:num>
  <w:num w:numId="4">
    <w:abstractNumId w:val="2"/>
  </w:num>
  <w:num w:numId="5">
    <w:abstractNumId w:val="1"/>
  </w:num>
  <w:num w:numId="6">
    <w:abstractNumId w:val="12"/>
  </w:num>
  <w:num w:numId="7">
    <w:abstractNumId w:val="17"/>
  </w:num>
  <w:num w:numId="8">
    <w:abstractNumId w:val="6"/>
  </w:num>
  <w:num w:numId="9">
    <w:abstractNumId w:val="18"/>
  </w:num>
  <w:num w:numId="10">
    <w:abstractNumId w:val="9"/>
  </w:num>
  <w:num w:numId="11">
    <w:abstractNumId w:val="19"/>
  </w:num>
  <w:num w:numId="12">
    <w:abstractNumId w:val="20"/>
  </w:num>
  <w:num w:numId="13">
    <w:abstractNumId w:val="15"/>
  </w:num>
  <w:num w:numId="14">
    <w:abstractNumId w:val="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1"/>
  </w:num>
  <w:num w:numId="21">
    <w:abstractNumId w:val="16"/>
  </w:num>
  <w:num w:numId="22">
    <w:abstractNumId w:val="0"/>
  </w:num>
  <w:num w:numId="23">
    <w:abstractNumId w:val="22"/>
  </w:num>
  <w:num w:numId="24">
    <w:abstractNumId w:val="7"/>
  </w:num>
  <w:num w:numId="25">
    <w:abstractNumId w:val="7"/>
    <w:lvlOverride w:ilvl="0">
      <w:startOverride w:val="7"/>
    </w:lvlOverride>
  </w:num>
  <w:num w:numId="26">
    <w:abstractNumId w:val="7"/>
  </w:num>
  <w:num w:numId="27">
    <w:abstractNumId w:val="7"/>
    <w:lvlOverride w:ilvl="0">
      <w:startOverride w:val="7"/>
    </w:lvlOverride>
  </w:num>
  <w:num w:numId="28">
    <w:abstractNumId w:val="21"/>
  </w:num>
  <w:num w:numId="29">
    <w:abstractNumId w:val="5"/>
  </w:num>
  <w:num w:numId="3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95"/>
    <w:rsid w:val="00003DBC"/>
    <w:rsid w:val="00006604"/>
    <w:rsid w:val="0001357D"/>
    <w:rsid w:val="00014584"/>
    <w:rsid w:val="00014BD8"/>
    <w:rsid w:val="00016BE0"/>
    <w:rsid w:val="00016DC5"/>
    <w:rsid w:val="0001732F"/>
    <w:rsid w:val="00017C7B"/>
    <w:rsid w:val="0002163E"/>
    <w:rsid w:val="00021AC4"/>
    <w:rsid w:val="00023A74"/>
    <w:rsid w:val="00024979"/>
    <w:rsid w:val="0003311F"/>
    <w:rsid w:val="00033640"/>
    <w:rsid w:val="00033772"/>
    <w:rsid w:val="00033E8A"/>
    <w:rsid w:val="00035A91"/>
    <w:rsid w:val="00037B8E"/>
    <w:rsid w:val="00042CB7"/>
    <w:rsid w:val="00043218"/>
    <w:rsid w:val="00046225"/>
    <w:rsid w:val="000471E1"/>
    <w:rsid w:val="00047DD8"/>
    <w:rsid w:val="00050670"/>
    <w:rsid w:val="00051B1E"/>
    <w:rsid w:val="00053507"/>
    <w:rsid w:val="00053525"/>
    <w:rsid w:val="0005447E"/>
    <w:rsid w:val="00054574"/>
    <w:rsid w:val="000546FB"/>
    <w:rsid w:val="000550FF"/>
    <w:rsid w:val="000552D2"/>
    <w:rsid w:val="00055316"/>
    <w:rsid w:val="00060C0F"/>
    <w:rsid w:val="000619F5"/>
    <w:rsid w:val="00061D8D"/>
    <w:rsid w:val="00065587"/>
    <w:rsid w:val="000656C6"/>
    <w:rsid w:val="0006744D"/>
    <w:rsid w:val="00071E47"/>
    <w:rsid w:val="00072CC4"/>
    <w:rsid w:val="0007311A"/>
    <w:rsid w:val="00073183"/>
    <w:rsid w:val="00073D49"/>
    <w:rsid w:val="00074F1B"/>
    <w:rsid w:val="0007720E"/>
    <w:rsid w:val="00077A89"/>
    <w:rsid w:val="00083EB1"/>
    <w:rsid w:val="000840BA"/>
    <w:rsid w:val="000871CE"/>
    <w:rsid w:val="00091993"/>
    <w:rsid w:val="00092EE3"/>
    <w:rsid w:val="000A1CF7"/>
    <w:rsid w:val="000A647B"/>
    <w:rsid w:val="000A6ED3"/>
    <w:rsid w:val="000B06BB"/>
    <w:rsid w:val="000B7445"/>
    <w:rsid w:val="000C3C95"/>
    <w:rsid w:val="000C4A14"/>
    <w:rsid w:val="000C4B93"/>
    <w:rsid w:val="000C5374"/>
    <w:rsid w:val="000D0C1F"/>
    <w:rsid w:val="000D2A10"/>
    <w:rsid w:val="000D2AEA"/>
    <w:rsid w:val="000D2B7A"/>
    <w:rsid w:val="000D3F63"/>
    <w:rsid w:val="000E1CB3"/>
    <w:rsid w:val="000E22C0"/>
    <w:rsid w:val="000E296E"/>
    <w:rsid w:val="000E2E49"/>
    <w:rsid w:val="000E5004"/>
    <w:rsid w:val="000E6A0A"/>
    <w:rsid w:val="000E7920"/>
    <w:rsid w:val="000E7FD6"/>
    <w:rsid w:val="000F10E6"/>
    <w:rsid w:val="000F2299"/>
    <w:rsid w:val="000F5874"/>
    <w:rsid w:val="000F7313"/>
    <w:rsid w:val="000F7E92"/>
    <w:rsid w:val="0010112A"/>
    <w:rsid w:val="0010269F"/>
    <w:rsid w:val="00106699"/>
    <w:rsid w:val="00110606"/>
    <w:rsid w:val="00112AA4"/>
    <w:rsid w:val="00114A5D"/>
    <w:rsid w:val="00115AF7"/>
    <w:rsid w:val="00121499"/>
    <w:rsid w:val="0012254A"/>
    <w:rsid w:val="00123CE6"/>
    <w:rsid w:val="00124751"/>
    <w:rsid w:val="00124F7A"/>
    <w:rsid w:val="00130505"/>
    <w:rsid w:val="0013226B"/>
    <w:rsid w:val="00132748"/>
    <w:rsid w:val="00137E2E"/>
    <w:rsid w:val="00140AD0"/>
    <w:rsid w:val="00140F9E"/>
    <w:rsid w:val="00146825"/>
    <w:rsid w:val="00146EDF"/>
    <w:rsid w:val="00153A21"/>
    <w:rsid w:val="00154E61"/>
    <w:rsid w:val="00154F10"/>
    <w:rsid w:val="001571F4"/>
    <w:rsid w:val="00160035"/>
    <w:rsid w:val="00161109"/>
    <w:rsid w:val="0016466F"/>
    <w:rsid w:val="001655EA"/>
    <w:rsid w:val="00166041"/>
    <w:rsid w:val="00166054"/>
    <w:rsid w:val="00172009"/>
    <w:rsid w:val="001729AF"/>
    <w:rsid w:val="00173F0C"/>
    <w:rsid w:val="00174A9D"/>
    <w:rsid w:val="00175039"/>
    <w:rsid w:val="00183A5E"/>
    <w:rsid w:val="00185678"/>
    <w:rsid w:val="0018741F"/>
    <w:rsid w:val="001878AB"/>
    <w:rsid w:val="0019035F"/>
    <w:rsid w:val="00191556"/>
    <w:rsid w:val="00192862"/>
    <w:rsid w:val="00193284"/>
    <w:rsid w:val="00196533"/>
    <w:rsid w:val="001A0AA2"/>
    <w:rsid w:val="001A2913"/>
    <w:rsid w:val="001A392D"/>
    <w:rsid w:val="001A52C5"/>
    <w:rsid w:val="001A7AD7"/>
    <w:rsid w:val="001B01B7"/>
    <w:rsid w:val="001B2316"/>
    <w:rsid w:val="001B26B6"/>
    <w:rsid w:val="001B2DF8"/>
    <w:rsid w:val="001B6C13"/>
    <w:rsid w:val="001B7D68"/>
    <w:rsid w:val="001C4676"/>
    <w:rsid w:val="001C52BD"/>
    <w:rsid w:val="001C542A"/>
    <w:rsid w:val="001C7C5B"/>
    <w:rsid w:val="001D3FB0"/>
    <w:rsid w:val="001D4B70"/>
    <w:rsid w:val="001E3D6B"/>
    <w:rsid w:val="001E5FAE"/>
    <w:rsid w:val="001E697E"/>
    <w:rsid w:val="001F1561"/>
    <w:rsid w:val="001F16F5"/>
    <w:rsid w:val="001F4187"/>
    <w:rsid w:val="001F43BC"/>
    <w:rsid w:val="001F4876"/>
    <w:rsid w:val="001F72BE"/>
    <w:rsid w:val="001F7F6A"/>
    <w:rsid w:val="00201B11"/>
    <w:rsid w:val="00202623"/>
    <w:rsid w:val="0020365C"/>
    <w:rsid w:val="00204BC4"/>
    <w:rsid w:val="00212036"/>
    <w:rsid w:val="00213596"/>
    <w:rsid w:val="00215A7F"/>
    <w:rsid w:val="0021735A"/>
    <w:rsid w:val="0022193F"/>
    <w:rsid w:val="00223BAD"/>
    <w:rsid w:val="00230360"/>
    <w:rsid w:val="00230A10"/>
    <w:rsid w:val="0023182D"/>
    <w:rsid w:val="00234FB7"/>
    <w:rsid w:val="00243912"/>
    <w:rsid w:val="00245196"/>
    <w:rsid w:val="002465EA"/>
    <w:rsid w:val="00251765"/>
    <w:rsid w:val="00255E5B"/>
    <w:rsid w:val="00256648"/>
    <w:rsid w:val="00261FC9"/>
    <w:rsid w:val="00262536"/>
    <w:rsid w:val="0026255D"/>
    <w:rsid w:val="0026289D"/>
    <w:rsid w:val="00265550"/>
    <w:rsid w:val="002655BC"/>
    <w:rsid w:val="00267C4F"/>
    <w:rsid w:val="00270F88"/>
    <w:rsid w:val="00275ACB"/>
    <w:rsid w:val="00276CB6"/>
    <w:rsid w:val="00280003"/>
    <w:rsid w:val="002801C0"/>
    <w:rsid w:val="00282A55"/>
    <w:rsid w:val="0029392C"/>
    <w:rsid w:val="002946A0"/>
    <w:rsid w:val="002A1232"/>
    <w:rsid w:val="002A23E0"/>
    <w:rsid w:val="002A25A9"/>
    <w:rsid w:val="002A3A8A"/>
    <w:rsid w:val="002A4C23"/>
    <w:rsid w:val="002B23A5"/>
    <w:rsid w:val="002B34A2"/>
    <w:rsid w:val="002B506F"/>
    <w:rsid w:val="002B6A9A"/>
    <w:rsid w:val="002C066A"/>
    <w:rsid w:val="002C283C"/>
    <w:rsid w:val="002C779D"/>
    <w:rsid w:val="002D012B"/>
    <w:rsid w:val="002D1426"/>
    <w:rsid w:val="002D2C99"/>
    <w:rsid w:val="002D57A0"/>
    <w:rsid w:val="002D6873"/>
    <w:rsid w:val="002D7D76"/>
    <w:rsid w:val="002E3A00"/>
    <w:rsid w:val="002E696E"/>
    <w:rsid w:val="002E768B"/>
    <w:rsid w:val="002F1162"/>
    <w:rsid w:val="002F2BDC"/>
    <w:rsid w:val="002F55A6"/>
    <w:rsid w:val="002F637C"/>
    <w:rsid w:val="002F65E3"/>
    <w:rsid w:val="002F694F"/>
    <w:rsid w:val="002F6D54"/>
    <w:rsid w:val="002F7FFC"/>
    <w:rsid w:val="003037CF"/>
    <w:rsid w:val="00306832"/>
    <w:rsid w:val="00313214"/>
    <w:rsid w:val="0031754C"/>
    <w:rsid w:val="00317AFA"/>
    <w:rsid w:val="003238FD"/>
    <w:rsid w:val="00325942"/>
    <w:rsid w:val="00326BE8"/>
    <w:rsid w:val="00327D75"/>
    <w:rsid w:val="0033073D"/>
    <w:rsid w:val="0033160A"/>
    <w:rsid w:val="003421DE"/>
    <w:rsid w:val="00345011"/>
    <w:rsid w:val="0034589E"/>
    <w:rsid w:val="00345965"/>
    <w:rsid w:val="00351742"/>
    <w:rsid w:val="00352A94"/>
    <w:rsid w:val="00352ED0"/>
    <w:rsid w:val="00353FA8"/>
    <w:rsid w:val="00354D1A"/>
    <w:rsid w:val="00357D09"/>
    <w:rsid w:val="00360884"/>
    <w:rsid w:val="00361468"/>
    <w:rsid w:val="003622F9"/>
    <w:rsid w:val="003627A0"/>
    <w:rsid w:val="00364987"/>
    <w:rsid w:val="00364E24"/>
    <w:rsid w:val="003670DB"/>
    <w:rsid w:val="0037113B"/>
    <w:rsid w:val="0037413E"/>
    <w:rsid w:val="00374AAF"/>
    <w:rsid w:val="0037512D"/>
    <w:rsid w:val="00375F29"/>
    <w:rsid w:val="00377CA0"/>
    <w:rsid w:val="00381BDA"/>
    <w:rsid w:val="00382303"/>
    <w:rsid w:val="003827A0"/>
    <w:rsid w:val="003827A9"/>
    <w:rsid w:val="0038540C"/>
    <w:rsid w:val="00391D20"/>
    <w:rsid w:val="00393275"/>
    <w:rsid w:val="003939D9"/>
    <w:rsid w:val="0039478E"/>
    <w:rsid w:val="003952E5"/>
    <w:rsid w:val="003A0176"/>
    <w:rsid w:val="003A0ADE"/>
    <w:rsid w:val="003A1074"/>
    <w:rsid w:val="003A2018"/>
    <w:rsid w:val="003A4135"/>
    <w:rsid w:val="003A5AA7"/>
    <w:rsid w:val="003A5F20"/>
    <w:rsid w:val="003B0328"/>
    <w:rsid w:val="003B0442"/>
    <w:rsid w:val="003B3630"/>
    <w:rsid w:val="003B55F5"/>
    <w:rsid w:val="003B5AA2"/>
    <w:rsid w:val="003C1802"/>
    <w:rsid w:val="003C2413"/>
    <w:rsid w:val="003D6507"/>
    <w:rsid w:val="003E23DA"/>
    <w:rsid w:val="003E266E"/>
    <w:rsid w:val="003E2800"/>
    <w:rsid w:val="003E3BBF"/>
    <w:rsid w:val="003E5E45"/>
    <w:rsid w:val="003E7032"/>
    <w:rsid w:val="003E77CA"/>
    <w:rsid w:val="003F4753"/>
    <w:rsid w:val="003F4D34"/>
    <w:rsid w:val="003F6C1B"/>
    <w:rsid w:val="00400397"/>
    <w:rsid w:val="00402385"/>
    <w:rsid w:val="004058CC"/>
    <w:rsid w:val="004111D1"/>
    <w:rsid w:val="00411678"/>
    <w:rsid w:val="00412905"/>
    <w:rsid w:val="00413516"/>
    <w:rsid w:val="00413760"/>
    <w:rsid w:val="004229DB"/>
    <w:rsid w:val="004255AC"/>
    <w:rsid w:val="00426556"/>
    <w:rsid w:val="00433B1D"/>
    <w:rsid w:val="004350A4"/>
    <w:rsid w:val="0043608C"/>
    <w:rsid w:val="00436665"/>
    <w:rsid w:val="004414C2"/>
    <w:rsid w:val="00445456"/>
    <w:rsid w:val="00452536"/>
    <w:rsid w:val="004525D4"/>
    <w:rsid w:val="0045403A"/>
    <w:rsid w:val="00454159"/>
    <w:rsid w:val="0045573A"/>
    <w:rsid w:val="00460582"/>
    <w:rsid w:val="00463080"/>
    <w:rsid w:val="0046451C"/>
    <w:rsid w:val="0046565F"/>
    <w:rsid w:val="00475EA0"/>
    <w:rsid w:val="004805D0"/>
    <w:rsid w:val="004827CC"/>
    <w:rsid w:val="004828D5"/>
    <w:rsid w:val="00487989"/>
    <w:rsid w:val="00491065"/>
    <w:rsid w:val="00493AD4"/>
    <w:rsid w:val="0049419C"/>
    <w:rsid w:val="0049438C"/>
    <w:rsid w:val="004943BC"/>
    <w:rsid w:val="0049539B"/>
    <w:rsid w:val="00495E5B"/>
    <w:rsid w:val="004B112D"/>
    <w:rsid w:val="004B15F2"/>
    <w:rsid w:val="004B300C"/>
    <w:rsid w:val="004B30FC"/>
    <w:rsid w:val="004B43B5"/>
    <w:rsid w:val="004B6B5C"/>
    <w:rsid w:val="004B6E65"/>
    <w:rsid w:val="004C14E6"/>
    <w:rsid w:val="004C1B95"/>
    <w:rsid w:val="004C1CAD"/>
    <w:rsid w:val="004C7A32"/>
    <w:rsid w:val="004D30DB"/>
    <w:rsid w:val="004D5E82"/>
    <w:rsid w:val="004D62CB"/>
    <w:rsid w:val="004D647E"/>
    <w:rsid w:val="004D68B8"/>
    <w:rsid w:val="004F02B8"/>
    <w:rsid w:val="004F3062"/>
    <w:rsid w:val="004F4F2F"/>
    <w:rsid w:val="004F5DAB"/>
    <w:rsid w:val="004F7EC3"/>
    <w:rsid w:val="0050080F"/>
    <w:rsid w:val="00500AAB"/>
    <w:rsid w:val="005024B0"/>
    <w:rsid w:val="00511E4F"/>
    <w:rsid w:val="00512708"/>
    <w:rsid w:val="005159F7"/>
    <w:rsid w:val="00516562"/>
    <w:rsid w:val="00516C4B"/>
    <w:rsid w:val="0052013B"/>
    <w:rsid w:val="0052320A"/>
    <w:rsid w:val="00526F27"/>
    <w:rsid w:val="00533284"/>
    <w:rsid w:val="005344EB"/>
    <w:rsid w:val="005361F1"/>
    <w:rsid w:val="00540841"/>
    <w:rsid w:val="00540DD8"/>
    <w:rsid w:val="00540E8C"/>
    <w:rsid w:val="00542A69"/>
    <w:rsid w:val="00542E18"/>
    <w:rsid w:val="00545E8E"/>
    <w:rsid w:val="00551416"/>
    <w:rsid w:val="00552758"/>
    <w:rsid w:val="00553194"/>
    <w:rsid w:val="00557F7C"/>
    <w:rsid w:val="005715AA"/>
    <w:rsid w:val="0057415A"/>
    <w:rsid w:val="00574301"/>
    <w:rsid w:val="005753C9"/>
    <w:rsid w:val="00575531"/>
    <w:rsid w:val="00576D1F"/>
    <w:rsid w:val="005778D4"/>
    <w:rsid w:val="00577BDD"/>
    <w:rsid w:val="005854EF"/>
    <w:rsid w:val="005865A6"/>
    <w:rsid w:val="00590F3A"/>
    <w:rsid w:val="005913C7"/>
    <w:rsid w:val="00591C1E"/>
    <w:rsid w:val="005922CA"/>
    <w:rsid w:val="005922DE"/>
    <w:rsid w:val="00594018"/>
    <w:rsid w:val="00594E33"/>
    <w:rsid w:val="00595DC7"/>
    <w:rsid w:val="00596949"/>
    <w:rsid w:val="005977A6"/>
    <w:rsid w:val="005A0A50"/>
    <w:rsid w:val="005A2459"/>
    <w:rsid w:val="005A30DB"/>
    <w:rsid w:val="005A7AFF"/>
    <w:rsid w:val="005B1259"/>
    <w:rsid w:val="005B1278"/>
    <w:rsid w:val="005B288E"/>
    <w:rsid w:val="005B3D38"/>
    <w:rsid w:val="005B3DA9"/>
    <w:rsid w:val="005B466B"/>
    <w:rsid w:val="005B72C2"/>
    <w:rsid w:val="005B7C71"/>
    <w:rsid w:val="005C0587"/>
    <w:rsid w:val="005C06ED"/>
    <w:rsid w:val="005C5C42"/>
    <w:rsid w:val="005D014F"/>
    <w:rsid w:val="005D0688"/>
    <w:rsid w:val="005D10EA"/>
    <w:rsid w:val="005D5E03"/>
    <w:rsid w:val="005E05F9"/>
    <w:rsid w:val="005E2D6D"/>
    <w:rsid w:val="005E369E"/>
    <w:rsid w:val="005E4570"/>
    <w:rsid w:val="005E5C2A"/>
    <w:rsid w:val="005E69B6"/>
    <w:rsid w:val="005E777F"/>
    <w:rsid w:val="005E779E"/>
    <w:rsid w:val="005F19E0"/>
    <w:rsid w:val="005F1E51"/>
    <w:rsid w:val="005F2194"/>
    <w:rsid w:val="005F638E"/>
    <w:rsid w:val="005F67A6"/>
    <w:rsid w:val="005F7872"/>
    <w:rsid w:val="00600D63"/>
    <w:rsid w:val="00603C53"/>
    <w:rsid w:val="0060460E"/>
    <w:rsid w:val="00604F9B"/>
    <w:rsid w:val="006128F1"/>
    <w:rsid w:val="0061348E"/>
    <w:rsid w:val="00613CB5"/>
    <w:rsid w:val="006152E0"/>
    <w:rsid w:val="00617C79"/>
    <w:rsid w:val="00622435"/>
    <w:rsid w:val="00622C39"/>
    <w:rsid w:val="0062337F"/>
    <w:rsid w:val="0062445A"/>
    <w:rsid w:val="006249DA"/>
    <w:rsid w:val="00627462"/>
    <w:rsid w:val="006314B4"/>
    <w:rsid w:val="006336B6"/>
    <w:rsid w:val="0063475B"/>
    <w:rsid w:val="00637198"/>
    <w:rsid w:val="0064512A"/>
    <w:rsid w:val="00645EE7"/>
    <w:rsid w:val="00650798"/>
    <w:rsid w:val="00650F44"/>
    <w:rsid w:val="00655CC0"/>
    <w:rsid w:val="006574D7"/>
    <w:rsid w:val="006626C7"/>
    <w:rsid w:val="0066332A"/>
    <w:rsid w:val="00666568"/>
    <w:rsid w:val="00667BD5"/>
    <w:rsid w:val="00674703"/>
    <w:rsid w:val="00682304"/>
    <w:rsid w:val="0068270C"/>
    <w:rsid w:val="0068453F"/>
    <w:rsid w:val="00691E26"/>
    <w:rsid w:val="00694725"/>
    <w:rsid w:val="00696604"/>
    <w:rsid w:val="00696F50"/>
    <w:rsid w:val="00697B5F"/>
    <w:rsid w:val="006A07BE"/>
    <w:rsid w:val="006A502B"/>
    <w:rsid w:val="006A5502"/>
    <w:rsid w:val="006B0DF9"/>
    <w:rsid w:val="006B1B83"/>
    <w:rsid w:val="006B3507"/>
    <w:rsid w:val="006B5F40"/>
    <w:rsid w:val="006C2607"/>
    <w:rsid w:val="006C2C05"/>
    <w:rsid w:val="006C33AE"/>
    <w:rsid w:val="006C4857"/>
    <w:rsid w:val="006C6B7C"/>
    <w:rsid w:val="006D19C6"/>
    <w:rsid w:val="006D1BF5"/>
    <w:rsid w:val="006D2DCA"/>
    <w:rsid w:val="006D4E3C"/>
    <w:rsid w:val="006D58B9"/>
    <w:rsid w:val="006E0164"/>
    <w:rsid w:val="006E189E"/>
    <w:rsid w:val="006E4106"/>
    <w:rsid w:val="006E4A17"/>
    <w:rsid w:val="006E6A20"/>
    <w:rsid w:val="006E72BA"/>
    <w:rsid w:val="006F0243"/>
    <w:rsid w:val="006F42CA"/>
    <w:rsid w:val="006F7F16"/>
    <w:rsid w:val="00702E77"/>
    <w:rsid w:val="00712187"/>
    <w:rsid w:val="007156B3"/>
    <w:rsid w:val="0071757C"/>
    <w:rsid w:val="00717822"/>
    <w:rsid w:val="00721B10"/>
    <w:rsid w:val="0072401C"/>
    <w:rsid w:val="007260A1"/>
    <w:rsid w:val="0073260D"/>
    <w:rsid w:val="007343B2"/>
    <w:rsid w:val="00736AD3"/>
    <w:rsid w:val="00740A15"/>
    <w:rsid w:val="007417D0"/>
    <w:rsid w:val="00741EED"/>
    <w:rsid w:val="007422FA"/>
    <w:rsid w:val="007424CD"/>
    <w:rsid w:val="007458A9"/>
    <w:rsid w:val="0076471E"/>
    <w:rsid w:val="00770348"/>
    <w:rsid w:val="007719B1"/>
    <w:rsid w:val="00771EE8"/>
    <w:rsid w:val="0077256E"/>
    <w:rsid w:val="00781E2C"/>
    <w:rsid w:val="007841BC"/>
    <w:rsid w:val="00784505"/>
    <w:rsid w:val="0078567C"/>
    <w:rsid w:val="007933A0"/>
    <w:rsid w:val="007949F5"/>
    <w:rsid w:val="00796636"/>
    <w:rsid w:val="007A2A39"/>
    <w:rsid w:val="007A324F"/>
    <w:rsid w:val="007A4AFA"/>
    <w:rsid w:val="007A5244"/>
    <w:rsid w:val="007B1024"/>
    <w:rsid w:val="007B2C65"/>
    <w:rsid w:val="007B2FBF"/>
    <w:rsid w:val="007B66FB"/>
    <w:rsid w:val="007B6871"/>
    <w:rsid w:val="007B6A8C"/>
    <w:rsid w:val="007C2EB9"/>
    <w:rsid w:val="007C314C"/>
    <w:rsid w:val="007C32E3"/>
    <w:rsid w:val="007C5CA4"/>
    <w:rsid w:val="007C6097"/>
    <w:rsid w:val="007C678C"/>
    <w:rsid w:val="007C6FA4"/>
    <w:rsid w:val="007D76E2"/>
    <w:rsid w:val="007E0A9F"/>
    <w:rsid w:val="007E0E15"/>
    <w:rsid w:val="007E417B"/>
    <w:rsid w:val="007E42B5"/>
    <w:rsid w:val="007E641C"/>
    <w:rsid w:val="007E7CBB"/>
    <w:rsid w:val="007F117D"/>
    <w:rsid w:val="007F2887"/>
    <w:rsid w:val="007F3EAB"/>
    <w:rsid w:val="007F60AA"/>
    <w:rsid w:val="007F72CF"/>
    <w:rsid w:val="007F75CA"/>
    <w:rsid w:val="00800CBC"/>
    <w:rsid w:val="00802324"/>
    <w:rsid w:val="00803E3E"/>
    <w:rsid w:val="00813490"/>
    <w:rsid w:val="00813B15"/>
    <w:rsid w:val="0081448D"/>
    <w:rsid w:val="00814D12"/>
    <w:rsid w:val="00815EAE"/>
    <w:rsid w:val="008178D1"/>
    <w:rsid w:val="00822D29"/>
    <w:rsid w:val="00822F87"/>
    <w:rsid w:val="008230DE"/>
    <w:rsid w:val="00831519"/>
    <w:rsid w:val="00834C52"/>
    <w:rsid w:val="0083515C"/>
    <w:rsid w:val="00840954"/>
    <w:rsid w:val="008417FB"/>
    <w:rsid w:val="00844932"/>
    <w:rsid w:val="0084619B"/>
    <w:rsid w:val="008478B8"/>
    <w:rsid w:val="008523F4"/>
    <w:rsid w:val="008528CD"/>
    <w:rsid w:val="00855D8A"/>
    <w:rsid w:val="008573E9"/>
    <w:rsid w:val="00860E19"/>
    <w:rsid w:val="00864A9B"/>
    <w:rsid w:val="008654AD"/>
    <w:rsid w:val="00867CCB"/>
    <w:rsid w:val="00870603"/>
    <w:rsid w:val="00874F32"/>
    <w:rsid w:val="008813B8"/>
    <w:rsid w:val="008834DF"/>
    <w:rsid w:val="008838BD"/>
    <w:rsid w:val="00883DFA"/>
    <w:rsid w:val="00884F4A"/>
    <w:rsid w:val="00884FC9"/>
    <w:rsid w:val="008852F6"/>
    <w:rsid w:val="008863AC"/>
    <w:rsid w:val="0088711A"/>
    <w:rsid w:val="00890A5F"/>
    <w:rsid w:val="00891456"/>
    <w:rsid w:val="00891A7A"/>
    <w:rsid w:val="00892E9C"/>
    <w:rsid w:val="00894C1E"/>
    <w:rsid w:val="008A2933"/>
    <w:rsid w:val="008A406D"/>
    <w:rsid w:val="008A626C"/>
    <w:rsid w:val="008B4EFE"/>
    <w:rsid w:val="008B508B"/>
    <w:rsid w:val="008B50D6"/>
    <w:rsid w:val="008C07C3"/>
    <w:rsid w:val="008C08A2"/>
    <w:rsid w:val="008D1B72"/>
    <w:rsid w:val="008D47C3"/>
    <w:rsid w:val="008D6EB0"/>
    <w:rsid w:val="008E0304"/>
    <w:rsid w:val="008E110E"/>
    <w:rsid w:val="008E5743"/>
    <w:rsid w:val="008E6B68"/>
    <w:rsid w:val="008F0C29"/>
    <w:rsid w:val="008F1658"/>
    <w:rsid w:val="008F2113"/>
    <w:rsid w:val="008F6119"/>
    <w:rsid w:val="008F6FBD"/>
    <w:rsid w:val="00902B01"/>
    <w:rsid w:val="00902E7C"/>
    <w:rsid w:val="00910211"/>
    <w:rsid w:val="00914406"/>
    <w:rsid w:val="00915391"/>
    <w:rsid w:val="009160F9"/>
    <w:rsid w:val="00917F86"/>
    <w:rsid w:val="0092615A"/>
    <w:rsid w:val="0093024E"/>
    <w:rsid w:val="009306F9"/>
    <w:rsid w:val="00937A76"/>
    <w:rsid w:val="00941065"/>
    <w:rsid w:val="009433D8"/>
    <w:rsid w:val="009459DA"/>
    <w:rsid w:val="00945B5F"/>
    <w:rsid w:val="00945DF3"/>
    <w:rsid w:val="00945E68"/>
    <w:rsid w:val="00950A78"/>
    <w:rsid w:val="00960145"/>
    <w:rsid w:val="0096417C"/>
    <w:rsid w:val="00964CAC"/>
    <w:rsid w:val="00965E15"/>
    <w:rsid w:val="0097202C"/>
    <w:rsid w:val="009728D3"/>
    <w:rsid w:val="009735E6"/>
    <w:rsid w:val="00974B6B"/>
    <w:rsid w:val="00974C6A"/>
    <w:rsid w:val="00983904"/>
    <w:rsid w:val="00987EDF"/>
    <w:rsid w:val="00991853"/>
    <w:rsid w:val="009919E6"/>
    <w:rsid w:val="009930F8"/>
    <w:rsid w:val="00994ABA"/>
    <w:rsid w:val="00994F25"/>
    <w:rsid w:val="00995488"/>
    <w:rsid w:val="00996134"/>
    <w:rsid w:val="0099717F"/>
    <w:rsid w:val="009A2E34"/>
    <w:rsid w:val="009A5249"/>
    <w:rsid w:val="009A6A99"/>
    <w:rsid w:val="009A7F95"/>
    <w:rsid w:val="009B0C41"/>
    <w:rsid w:val="009B1649"/>
    <w:rsid w:val="009B1C84"/>
    <w:rsid w:val="009B5BCA"/>
    <w:rsid w:val="009B7199"/>
    <w:rsid w:val="009C20A6"/>
    <w:rsid w:val="009C4DD4"/>
    <w:rsid w:val="009D13E2"/>
    <w:rsid w:val="009D18DE"/>
    <w:rsid w:val="009D1E2E"/>
    <w:rsid w:val="009D2706"/>
    <w:rsid w:val="009D3AFD"/>
    <w:rsid w:val="009D459F"/>
    <w:rsid w:val="009D6A84"/>
    <w:rsid w:val="009E1C32"/>
    <w:rsid w:val="009E7575"/>
    <w:rsid w:val="009F3CED"/>
    <w:rsid w:val="009F3F7B"/>
    <w:rsid w:val="009F51AF"/>
    <w:rsid w:val="009F53E8"/>
    <w:rsid w:val="009F5663"/>
    <w:rsid w:val="009F6A7F"/>
    <w:rsid w:val="009F6D00"/>
    <w:rsid w:val="00A01C7C"/>
    <w:rsid w:val="00A0438C"/>
    <w:rsid w:val="00A04547"/>
    <w:rsid w:val="00A05835"/>
    <w:rsid w:val="00A1128A"/>
    <w:rsid w:val="00A12632"/>
    <w:rsid w:val="00A15E0B"/>
    <w:rsid w:val="00A21C1E"/>
    <w:rsid w:val="00A25184"/>
    <w:rsid w:val="00A25912"/>
    <w:rsid w:val="00A30566"/>
    <w:rsid w:val="00A32F1E"/>
    <w:rsid w:val="00A33F4E"/>
    <w:rsid w:val="00A3556C"/>
    <w:rsid w:val="00A3684A"/>
    <w:rsid w:val="00A416F2"/>
    <w:rsid w:val="00A47392"/>
    <w:rsid w:val="00A4770E"/>
    <w:rsid w:val="00A51E64"/>
    <w:rsid w:val="00A5448F"/>
    <w:rsid w:val="00A54F38"/>
    <w:rsid w:val="00A63CAE"/>
    <w:rsid w:val="00A64D14"/>
    <w:rsid w:val="00A66799"/>
    <w:rsid w:val="00A707EC"/>
    <w:rsid w:val="00A7263B"/>
    <w:rsid w:val="00A72D7A"/>
    <w:rsid w:val="00A73009"/>
    <w:rsid w:val="00A7702F"/>
    <w:rsid w:val="00A83AAD"/>
    <w:rsid w:val="00A85876"/>
    <w:rsid w:val="00A86A32"/>
    <w:rsid w:val="00A86FF9"/>
    <w:rsid w:val="00A90872"/>
    <w:rsid w:val="00A96A0D"/>
    <w:rsid w:val="00A96F9C"/>
    <w:rsid w:val="00AA3BB4"/>
    <w:rsid w:val="00AA4E8A"/>
    <w:rsid w:val="00AA57B4"/>
    <w:rsid w:val="00AB2128"/>
    <w:rsid w:val="00AB555E"/>
    <w:rsid w:val="00AB5AEA"/>
    <w:rsid w:val="00AB6320"/>
    <w:rsid w:val="00AC2B6C"/>
    <w:rsid w:val="00AC55E4"/>
    <w:rsid w:val="00AC5F18"/>
    <w:rsid w:val="00AC6185"/>
    <w:rsid w:val="00AC7276"/>
    <w:rsid w:val="00AD19DB"/>
    <w:rsid w:val="00AD2E32"/>
    <w:rsid w:val="00AE03D8"/>
    <w:rsid w:val="00AE113E"/>
    <w:rsid w:val="00AE4C7E"/>
    <w:rsid w:val="00AE51FA"/>
    <w:rsid w:val="00AE543F"/>
    <w:rsid w:val="00AE6136"/>
    <w:rsid w:val="00AF2E30"/>
    <w:rsid w:val="00AF3171"/>
    <w:rsid w:val="00AF74C3"/>
    <w:rsid w:val="00B00457"/>
    <w:rsid w:val="00B008E5"/>
    <w:rsid w:val="00B07828"/>
    <w:rsid w:val="00B11A50"/>
    <w:rsid w:val="00B16063"/>
    <w:rsid w:val="00B20883"/>
    <w:rsid w:val="00B21621"/>
    <w:rsid w:val="00B23700"/>
    <w:rsid w:val="00B26DA4"/>
    <w:rsid w:val="00B26DBF"/>
    <w:rsid w:val="00B3179A"/>
    <w:rsid w:val="00B412A2"/>
    <w:rsid w:val="00B47634"/>
    <w:rsid w:val="00B5181E"/>
    <w:rsid w:val="00B535B1"/>
    <w:rsid w:val="00B56632"/>
    <w:rsid w:val="00B57FC2"/>
    <w:rsid w:val="00B61211"/>
    <w:rsid w:val="00B61511"/>
    <w:rsid w:val="00B62206"/>
    <w:rsid w:val="00B63881"/>
    <w:rsid w:val="00B67358"/>
    <w:rsid w:val="00B705BA"/>
    <w:rsid w:val="00B70C8F"/>
    <w:rsid w:val="00B70CF8"/>
    <w:rsid w:val="00B7344B"/>
    <w:rsid w:val="00B7536F"/>
    <w:rsid w:val="00B77AEE"/>
    <w:rsid w:val="00B85DA6"/>
    <w:rsid w:val="00B861B6"/>
    <w:rsid w:val="00B870EA"/>
    <w:rsid w:val="00B87BD6"/>
    <w:rsid w:val="00B90F50"/>
    <w:rsid w:val="00B90F95"/>
    <w:rsid w:val="00B93FA6"/>
    <w:rsid w:val="00B9536B"/>
    <w:rsid w:val="00BA1885"/>
    <w:rsid w:val="00BA18D4"/>
    <w:rsid w:val="00BA72FC"/>
    <w:rsid w:val="00BB0308"/>
    <w:rsid w:val="00BB6E0C"/>
    <w:rsid w:val="00BB7057"/>
    <w:rsid w:val="00BB729F"/>
    <w:rsid w:val="00BC41CB"/>
    <w:rsid w:val="00BC5A8C"/>
    <w:rsid w:val="00BC690A"/>
    <w:rsid w:val="00BC769E"/>
    <w:rsid w:val="00BC7A1F"/>
    <w:rsid w:val="00BC7EB5"/>
    <w:rsid w:val="00BD1670"/>
    <w:rsid w:val="00BD1B41"/>
    <w:rsid w:val="00BD2801"/>
    <w:rsid w:val="00BD40B2"/>
    <w:rsid w:val="00BD4DAA"/>
    <w:rsid w:val="00BD57BA"/>
    <w:rsid w:val="00BD5C8E"/>
    <w:rsid w:val="00BD765D"/>
    <w:rsid w:val="00BE0CC6"/>
    <w:rsid w:val="00BE11FF"/>
    <w:rsid w:val="00BE446A"/>
    <w:rsid w:val="00BF00F7"/>
    <w:rsid w:val="00BF0240"/>
    <w:rsid w:val="00BF14DB"/>
    <w:rsid w:val="00BF1F94"/>
    <w:rsid w:val="00BF4369"/>
    <w:rsid w:val="00BF50AA"/>
    <w:rsid w:val="00BF5E06"/>
    <w:rsid w:val="00BF6744"/>
    <w:rsid w:val="00C011C5"/>
    <w:rsid w:val="00C012DA"/>
    <w:rsid w:val="00C0214A"/>
    <w:rsid w:val="00C030ED"/>
    <w:rsid w:val="00C0433D"/>
    <w:rsid w:val="00C1151A"/>
    <w:rsid w:val="00C11683"/>
    <w:rsid w:val="00C1285B"/>
    <w:rsid w:val="00C17F02"/>
    <w:rsid w:val="00C240DC"/>
    <w:rsid w:val="00C24BF5"/>
    <w:rsid w:val="00C264EB"/>
    <w:rsid w:val="00C26623"/>
    <w:rsid w:val="00C314EA"/>
    <w:rsid w:val="00C31E87"/>
    <w:rsid w:val="00C33828"/>
    <w:rsid w:val="00C338C8"/>
    <w:rsid w:val="00C34219"/>
    <w:rsid w:val="00C36121"/>
    <w:rsid w:val="00C37808"/>
    <w:rsid w:val="00C43D48"/>
    <w:rsid w:val="00C456BD"/>
    <w:rsid w:val="00C45C16"/>
    <w:rsid w:val="00C46BBB"/>
    <w:rsid w:val="00C50325"/>
    <w:rsid w:val="00C51AF0"/>
    <w:rsid w:val="00C530BD"/>
    <w:rsid w:val="00C53A90"/>
    <w:rsid w:val="00C55657"/>
    <w:rsid w:val="00C60723"/>
    <w:rsid w:val="00C61C6C"/>
    <w:rsid w:val="00C63777"/>
    <w:rsid w:val="00C64DA8"/>
    <w:rsid w:val="00C64FC9"/>
    <w:rsid w:val="00C6797C"/>
    <w:rsid w:val="00C72B0A"/>
    <w:rsid w:val="00C73888"/>
    <w:rsid w:val="00C745CA"/>
    <w:rsid w:val="00C755C1"/>
    <w:rsid w:val="00C75F65"/>
    <w:rsid w:val="00C77954"/>
    <w:rsid w:val="00C80A5F"/>
    <w:rsid w:val="00C82983"/>
    <w:rsid w:val="00C83279"/>
    <w:rsid w:val="00C832FF"/>
    <w:rsid w:val="00C84FF3"/>
    <w:rsid w:val="00C87137"/>
    <w:rsid w:val="00C91852"/>
    <w:rsid w:val="00C91CA1"/>
    <w:rsid w:val="00C920AC"/>
    <w:rsid w:val="00C94C7B"/>
    <w:rsid w:val="00C9565F"/>
    <w:rsid w:val="00C970BA"/>
    <w:rsid w:val="00CA2D3D"/>
    <w:rsid w:val="00CA30D2"/>
    <w:rsid w:val="00CA49B1"/>
    <w:rsid w:val="00CA7CBE"/>
    <w:rsid w:val="00CB000E"/>
    <w:rsid w:val="00CB301E"/>
    <w:rsid w:val="00CB5C81"/>
    <w:rsid w:val="00CC5D65"/>
    <w:rsid w:val="00CD1649"/>
    <w:rsid w:val="00CD2F78"/>
    <w:rsid w:val="00CD4822"/>
    <w:rsid w:val="00CD5528"/>
    <w:rsid w:val="00CD626F"/>
    <w:rsid w:val="00CE1FBD"/>
    <w:rsid w:val="00CE4C32"/>
    <w:rsid w:val="00CE6103"/>
    <w:rsid w:val="00CE6B38"/>
    <w:rsid w:val="00CF0E51"/>
    <w:rsid w:val="00CF25B6"/>
    <w:rsid w:val="00CF2834"/>
    <w:rsid w:val="00CF4097"/>
    <w:rsid w:val="00CF45C7"/>
    <w:rsid w:val="00CF4B49"/>
    <w:rsid w:val="00CF7F05"/>
    <w:rsid w:val="00D029A7"/>
    <w:rsid w:val="00D053A5"/>
    <w:rsid w:val="00D05E8B"/>
    <w:rsid w:val="00D14659"/>
    <w:rsid w:val="00D20E96"/>
    <w:rsid w:val="00D21586"/>
    <w:rsid w:val="00D23CB7"/>
    <w:rsid w:val="00D24127"/>
    <w:rsid w:val="00D24589"/>
    <w:rsid w:val="00D3036C"/>
    <w:rsid w:val="00D315CD"/>
    <w:rsid w:val="00D31602"/>
    <w:rsid w:val="00D33E06"/>
    <w:rsid w:val="00D350A9"/>
    <w:rsid w:val="00D4231E"/>
    <w:rsid w:val="00D42EA7"/>
    <w:rsid w:val="00D44744"/>
    <w:rsid w:val="00D53FFE"/>
    <w:rsid w:val="00D61B82"/>
    <w:rsid w:val="00D663D4"/>
    <w:rsid w:val="00D66569"/>
    <w:rsid w:val="00D66AD1"/>
    <w:rsid w:val="00D67F05"/>
    <w:rsid w:val="00D73807"/>
    <w:rsid w:val="00D739DB"/>
    <w:rsid w:val="00D814D0"/>
    <w:rsid w:val="00D84CB3"/>
    <w:rsid w:val="00D86186"/>
    <w:rsid w:val="00D91682"/>
    <w:rsid w:val="00D939A2"/>
    <w:rsid w:val="00DA79AD"/>
    <w:rsid w:val="00DA7EC7"/>
    <w:rsid w:val="00DB02E4"/>
    <w:rsid w:val="00DB073C"/>
    <w:rsid w:val="00DB3FBD"/>
    <w:rsid w:val="00DB539D"/>
    <w:rsid w:val="00DB710B"/>
    <w:rsid w:val="00DC0147"/>
    <w:rsid w:val="00DC01BB"/>
    <w:rsid w:val="00DC21A3"/>
    <w:rsid w:val="00DC2ECB"/>
    <w:rsid w:val="00DC4129"/>
    <w:rsid w:val="00DC61D9"/>
    <w:rsid w:val="00DD3889"/>
    <w:rsid w:val="00DE0048"/>
    <w:rsid w:val="00DE100D"/>
    <w:rsid w:val="00DE3B2D"/>
    <w:rsid w:val="00DE6C2A"/>
    <w:rsid w:val="00DE7B05"/>
    <w:rsid w:val="00E01F39"/>
    <w:rsid w:val="00E02680"/>
    <w:rsid w:val="00E0497D"/>
    <w:rsid w:val="00E07751"/>
    <w:rsid w:val="00E115C6"/>
    <w:rsid w:val="00E12BF2"/>
    <w:rsid w:val="00E15707"/>
    <w:rsid w:val="00E16293"/>
    <w:rsid w:val="00E20FC8"/>
    <w:rsid w:val="00E218EF"/>
    <w:rsid w:val="00E225B0"/>
    <w:rsid w:val="00E22FBA"/>
    <w:rsid w:val="00E246C9"/>
    <w:rsid w:val="00E2549F"/>
    <w:rsid w:val="00E312A3"/>
    <w:rsid w:val="00E35F81"/>
    <w:rsid w:val="00E37CEC"/>
    <w:rsid w:val="00E37DCA"/>
    <w:rsid w:val="00E423EE"/>
    <w:rsid w:val="00E4507C"/>
    <w:rsid w:val="00E45886"/>
    <w:rsid w:val="00E47E75"/>
    <w:rsid w:val="00E52188"/>
    <w:rsid w:val="00E54B33"/>
    <w:rsid w:val="00E5574C"/>
    <w:rsid w:val="00E653CD"/>
    <w:rsid w:val="00E65B76"/>
    <w:rsid w:val="00E672D8"/>
    <w:rsid w:val="00E73124"/>
    <w:rsid w:val="00E73727"/>
    <w:rsid w:val="00E7761A"/>
    <w:rsid w:val="00E805DA"/>
    <w:rsid w:val="00E80F34"/>
    <w:rsid w:val="00E84C40"/>
    <w:rsid w:val="00E871CD"/>
    <w:rsid w:val="00E92BC1"/>
    <w:rsid w:val="00E9597C"/>
    <w:rsid w:val="00E967E2"/>
    <w:rsid w:val="00E96CDD"/>
    <w:rsid w:val="00E9769B"/>
    <w:rsid w:val="00E97C84"/>
    <w:rsid w:val="00EA015A"/>
    <w:rsid w:val="00EA126F"/>
    <w:rsid w:val="00EB2218"/>
    <w:rsid w:val="00EB241E"/>
    <w:rsid w:val="00EB3674"/>
    <w:rsid w:val="00EB36B8"/>
    <w:rsid w:val="00EB6371"/>
    <w:rsid w:val="00EB6782"/>
    <w:rsid w:val="00EB7152"/>
    <w:rsid w:val="00EC075D"/>
    <w:rsid w:val="00EC1B76"/>
    <w:rsid w:val="00EC544D"/>
    <w:rsid w:val="00EC735C"/>
    <w:rsid w:val="00ED378F"/>
    <w:rsid w:val="00ED3FF5"/>
    <w:rsid w:val="00ED7772"/>
    <w:rsid w:val="00EE1BEA"/>
    <w:rsid w:val="00EE6B00"/>
    <w:rsid w:val="00EF1AB2"/>
    <w:rsid w:val="00EF5BDA"/>
    <w:rsid w:val="00EF6F8C"/>
    <w:rsid w:val="00EF73A2"/>
    <w:rsid w:val="00F02C8F"/>
    <w:rsid w:val="00F02D39"/>
    <w:rsid w:val="00F0505E"/>
    <w:rsid w:val="00F13A8F"/>
    <w:rsid w:val="00F159BA"/>
    <w:rsid w:val="00F16011"/>
    <w:rsid w:val="00F17120"/>
    <w:rsid w:val="00F17266"/>
    <w:rsid w:val="00F20378"/>
    <w:rsid w:val="00F21891"/>
    <w:rsid w:val="00F25226"/>
    <w:rsid w:val="00F258FE"/>
    <w:rsid w:val="00F25905"/>
    <w:rsid w:val="00F25B8A"/>
    <w:rsid w:val="00F2617A"/>
    <w:rsid w:val="00F26616"/>
    <w:rsid w:val="00F272E0"/>
    <w:rsid w:val="00F30679"/>
    <w:rsid w:val="00F36DD0"/>
    <w:rsid w:val="00F36FF6"/>
    <w:rsid w:val="00F40A32"/>
    <w:rsid w:val="00F41FE2"/>
    <w:rsid w:val="00F4443A"/>
    <w:rsid w:val="00F447DB"/>
    <w:rsid w:val="00F44836"/>
    <w:rsid w:val="00F44FB5"/>
    <w:rsid w:val="00F50017"/>
    <w:rsid w:val="00F508F2"/>
    <w:rsid w:val="00F50F4C"/>
    <w:rsid w:val="00F5179E"/>
    <w:rsid w:val="00F522CA"/>
    <w:rsid w:val="00F55244"/>
    <w:rsid w:val="00F55C45"/>
    <w:rsid w:val="00F569F6"/>
    <w:rsid w:val="00F5702E"/>
    <w:rsid w:val="00F61E10"/>
    <w:rsid w:val="00F6297B"/>
    <w:rsid w:val="00F656B9"/>
    <w:rsid w:val="00F65849"/>
    <w:rsid w:val="00F65F62"/>
    <w:rsid w:val="00F67BBB"/>
    <w:rsid w:val="00F8153B"/>
    <w:rsid w:val="00F86E73"/>
    <w:rsid w:val="00F90AEB"/>
    <w:rsid w:val="00F92193"/>
    <w:rsid w:val="00F95886"/>
    <w:rsid w:val="00FA68BA"/>
    <w:rsid w:val="00FA77C4"/>
    <w:rsid w:val="00FB005A"/>
    <w:rsid w:val="00FB1FBF"/>
    <w:rsid w:val="00FB48BA"/>
    <w:rsid w:val="00FB51E2"/>
    <w:rsid w:val="00FB6DA3"/>
    <w:rsid w:val="00FC3E8C"/>
    <w:rsid w:val="00FC686A"/>
    <w:rsid w:val="00FD2957"/>
    <w:rsid w:val="00FD48C9"/>
    <w:rsid w:val="00FD62A3"/>
    <w:rsid w:val="00FD62D8"/>
    <w:rsid w:val="00FD7CC9"/>
    <w:rsid w:val="00FE33EC"/>
    <w:rsid w:val="00FE4826"/>
    <w:rsid w:val="00FE4C87"/>
    <w:rsid w:val="00FE50AE"/>
    <w:rsid w:val="00FE5301"/>
    <w:rsid w:val="00FE7ABB"/>
    <w:rsid w:val="00FF7D26"/>
    <w:rsid w:val="00FF7E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4A05EDA"/>
  <w15:docId w15:val="{9D278873-7330-4354-BF71-9C98E292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218"/>
    <w:pPr>
      <w:spacing w:before="120" w:after="120"/>
      <w:ind w:firstLine="720"/>
      <w:jc w:val="both"/>
    </w:pPr>
    <w:rPr>
      <w:sz w:val="28"/>
    </w:rPr>
  </w:style>
  <w:style w:type="paragraph" w:styleId="Heading1">
    <w:name w:val="heading 1"/>
    <w:basedOn w:val="Normal"/>
    <w:next w:val="Normal"/>
    <w:link w:val="Heading1Char"/>
    <w:uiPriority w:val="9"/>
    <w:qFormat/>
    <w:rsid w:val="00043218"/>
    <w:pPr>
      <w:keepNext/>
      <w:keepLines/>
      <w:numPr>
        <w:numId w:val="1"/>
      </w:numPr>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unhideWhenUsed/>
    <w:qFormat/>
    <w:rsid w:val="00043218"/>
    <w:pPr>
      <w:keepNext/>
      <w:numPr>
        <w:numId w:val="2"/>
      </w:numPr>
      <w:spacing w:before="240" w:after="60"/>
      <w:jc w:val="center"/>
      <w:outlineLvl w:val="1"/>
    </w:pPr>
    <w:rPr>
      <w:rFonts w:eastAsia="Times New Roman" w:cs="Times New Roman"/>
      <w:b/>
      <w:bCs/>
      <w:iCs/>
      <w:szCs w:val="28"/>
    </w:rPr>
  </w:style>
  <w:style w:type="paragraph" w:styleId="Heading3">
    <w:name w:val="heading 3"/>
    <w:basedOn w:val="Normal"/>
    <w:next w:val="Normal"/>
    <w:link w:val="Heading3Char"/>
    <w:uiPriority w:val="9"/>
    <w:unhideWhenUsed/>
    <w:qFormat/>
    <w:rsid w:val="008F61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218"/>
    <w:rPr>
      <w:rFonts w:eastAsiaTheme="majorEastAsia" w:cstheme="majorBidi"/>
      <w:b/>
      <w:sz w:val="32"/>
      <w:szCs w:val="32"/>
    </w:rPr>
  </w:style>
  <w:style w:type="character" w:customStyle="1" w:styleId="Heading2Char">
    <w:name w:val="Heading 2 Char"/>
    <w:basedOn w:val="DefaultParagraphFont"/>
    <w:link w:val="Heading2"/>
    <w:rsid w:val="00043218"/>
    <w:rPr>
      <w:rFonts w:eastAsia="Times New Roman" w:cs="Times New Roman"/>
      <w:b/>
      <w:bCs/>
      <w:iCs/>
      <w:sz w:val="28"/>
      <w:szCs w:val="28"/>
    </w:r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Akapit z listą BS"/>
    <w:basedOn w:val="Normal"/>
    <w:link w:val="ListParagraphChar"/>
    <w:uiPriority w:val="34"/>
    <w:qFormat/>
    <w:rsid w:val="00043218"/>
    <w:pPr>
      <w:ind w:left="720"/>
      <w:contextualSpacing/>
    </w:pPr>
  </w:style>
  <w:style w:type="paragraph" w:styleId="BalloonText">
    <w:name w:val="Balloon Text"/>
    <w:basedOn w:val="Normal"/>
    <w:link w:val="BalloonTextChar"/>
    <w:uiPriority w:val="99"/>
    <w:semiHidden/>
    <w:unhideWhenUsed/>
    <w:rsid w:val="00043218"/>
    <w:rPr>
      <w:rFonts w:ascii="Tahoma" w:hAnsi="Tahoma" w:cs="Tahoma"/>
      <w:sz w:val="16"/>
      <w:szCs w:val="16"/>
    </w:rPr>
  </w:style>
  <w:style w:type="character" w:customStyle="1" w:styleId="BalloonTextChar">
    <w:name w:val="Balloon Text Char"/>
    <w:basedOn w:val="DefaultParagraphFont"/>
    <w:link w:val="BalloonText"/>
    <w:uiPriority w:val="99"/>
    <w:semiHidden/>
    <w:rsid w:val="00043218"/>
    <w:rPr>
      <w:rFonts w:ascii="Tahoma" w:hAnsi="Tahoma" w:cs="Tahoma"/>
      <w:sz w:val="16"/>
      <w:szCs w:val="16"/>
    </w:rPr>
  </w:style>
  <w:style w:type="paragraph" w:styleId="BodyTextIndent">
    <w:name w:val="Body Text Indent"/>
    <w:basedOn w:val="Normal"/>
    <w:link w:val="BodyTextIndentChar"/>
    <w:rsid w:val="00043218"/>
    <w:pPr>
      <w:ind w:left="283"/>
    </w:pPr>
    <w:rPr>
      <w:rFonts w:eastAsia="Times New Roman" w:cs="Times New Roman"/>
      <w:sz w:val="24"/>
      <w:szCs w:val="24"/>
      <w:lang w:eastAsia="lv-LV"/>
    </w:rPr>
  </w:style>
  <w:style w:type="character" w:customStyle="1" w:styleId="BodyTextIndentChar">
    <w:name w:val="Body Text Indent Char"/>
    <w:basedOn w:val="DefaultParagraphFont"/>
    <w:link w:val="BodyTextIndent"/>
    <w:rsid w:val="00043218"/>
    <w:rPr>
      <w:rFonts w:eastAsia="Times New Roman" w:cs="Times New Roman"/>
      <w:szCs w:val="24"/>
      <w:lang w:eastAsia="lv-LV"/>
    </w:rPr>
  </w:style>
  <w:style w:type="character" w:customStyle="1" w:styleId="spelle">
    <w:name w:val="spelle"/>
    <w:basedOn w:val="DefaultParagraphFont"/>
    <w:rsid w:val="00043218"/>
  </w:style>
  <w:style w:type="paragraph" w:styleId="FootnoteText">
    <w:name w:val="footnote text"/>
    <w:aliases w:val="Footnote,Fußnote,Fußnote Char Char Char"/>
    <w:basedOn w:val="Normal"/>
    <w:link w:val="FootnoteTextChar"/>
    <w:uiPriority w:val="99"/>
    <w:unhideWhenUsed/>
    <w:rsid w:val="00043218"/>
    <w:rPr>
      <w:rFonts w:eastAsia="Times New Roman" w:cs="Times New Roman"/>
      <w:sz w:val="20"/>
      <w:szCs w:val="20"/>
    </w:rPr>
  </w:style>
  <w:style w:type="character" w:customStyle="1" w:styleId="FootnoteTextChar">
    <w:name w:val="Footnote Text Char"/>
    <w:aliases w:val="Footnote Char,Fußnote Char,Fußnote Char Char Char Char"/>
    <w:basedOn w:val="DefaultParagraphFont"/>
    <w:link w:val="FootnoteText"/>
    <w:uiPriority w:val="99"/>
    <w:rsid w:val="00043218"/>
    <w:rPr>
      <w:rFonts w:eastAsia="Times New Roman" w:cs="Times New Roman"/>
      <w:sz w:val="20"/>
      <w:szCs w:val="20"/>
    </w:rPr>
  </w:style>
  <w:style w:type="character" w:styleId="FootnoteReference">
    <w:name w:val="footnote reference"/>
    <w:aliases w:val="Footnote Reference Number"/>
    <w:basedOn w:val="DefaultParagraphFont"/>
    <w:uiPriority w:val="99"/>
    <w:unhideWhenUsed/>
    <w:rsid w:val="00043218"/>
    <w:rPr>
      <w:vertAlign w:val="superscript"/>
    </w:rPr>
  </w:style>
  <w:style w:type="paragraph" w:styleId="Header">
    <w:name w:val="header"/>
    <w:basedOn w:val="Normal"/>
    <w:link w:val="HeaderChar"/>
    <w:uiPriority w:val="99"/>
    <w:unhideWhenUsed/>
    <w:rsid w:val="00043218"/>
    <w:pPr>
      <w:tabs>
        <w:tab w:val="center" w:pos="4153"/>
        <w:tab w:val="right" w:pos="8306"/>
      </w:tabs>
    </w:pPr>
  </w:style>
  <w:style w:type="character" w:customStyle="1" w:styleId="HeaderChar">
    <w:name w:val="Header Char"/>
    <w:basedOn w:val="DefaultParagraphFont"/>
    <w:link w:val="Header"/>
    <w:uiPriority w:val="99"/>
    <w:rsid w:val="00043218"/>
    <w:rPr>
      <w:sz w:val="28"/>
    </w:rPr>
  </w:style>
  <w:style w:type="paragraph" w:styleId="Footer">
    <w:name w:val="footer"/>
    <w:basedOn w:val="Normal"/>
    <w:link w:val="FooterChar"/>
    <w:uiPriority w:val="99"/>
    <w:unhideWhenUsed/>
    <w:rsid w:val="00043218"/>
    <w:pPr>
      <w:tabs>
        <w:tab w:val="center" w:pos="4153"/>
        <w:tab w:val="right" w:pos="8306"/>
      </w:tabs>
    </w:pPr>
  </w:style>
  <w:style w:type="character" w:customStyle="1" w:styleId="FooterChar">
    <w:name w:val="Footer Char"/>
    <w:basedOn w:val="DefaultParagraphFont"/>
    <w:link w:val="Footer"/>
    <w:uiPriority w:val="99"/>
    <w:rsid w:val="00043218"/>
    <w:rPr>
      <w:sz w:val="28"/>
    </w:rPr>
  </w:style>
  <w:style w:type="paragraph" w:customStyle="1" w:styleId="H1">
    <w:name w:val="H1"/>
    <w:rsid w:val="00043218"/>
    <w:pPr>
      <w:spacing w:before="120" w:after="120"/>
      <w:ind w:left="284" w:firstLine="720"/>
      <w:jc w:val="center"/>
      <w:outlineLvl w:val="0"/>
    </w:pPr>
    <w:rPr>
      <w:rFonts w:eastAsia="Times New Roman" w:cs="Times New Roman"/>
      <w:b/>
      <w:sz w:val="44"/>
      <w:szCs w:val="20"/>
    </w:rPr>
  </w:style>
  <w:style w:type="paragraph" w:customStyle="1" w:styleId="H2">
    <w:name w:val="H2"/>
    <w:rsid w:val="00043218"/>
    <w:pPr>
      <w:spacing w:before="120" w:after="120"/>
      <w:ind w:left="284" w:firstLine="720"/>
      <w:jc w:val="center"/>
      <w:outlineLvl w:val="1"/>
    </w:pPr>
    <w:rPr>
      <w:rFonts w:eastAsia="Times New Roman" w:cs="Times New Roman"/>
      <w:b/>
      <w:sz w:val="36"/>
      <w:szCs w:val="20"/>
    </w:rPr>
  </w:style>
  <w:style w:type="table" w:styleId="TableGrid">
    <w:name w:val="Table Grid"/>
    <w:basedOn w:val="TableNormal"/>
    <w:uiPriority w:val="39"/>
    <w:rsid w:val="00043218"/>
    <w:pPr>
      <w:spacing w:before="120" w:after="120"/>
      <w:ind w:left="284" w:firstLine="720"/>
      <w:jc w:val="both"/>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3218"/>
    <w:rPr>
      <w:rFonts w:ascii="Garamond" w:hAnsi="Garamond"/>
      <w:noProof w:val="0"/>
      <w:color w:val="0000FF"/>
      <w:u w:val="single"/>
      <w:lang w:val="lv-LV"/>
    </w:rPr>
  </w:style>
  <w:style w:type="paragraph" w:customStyle="1" w:styleId="Default">
    <w:name w:val="Default"/>
    <w:rsid w:val="00043218"/>
    <w:pPr>
      <w:autoSpaceDE w:val="0"/>
      <w:autoSpaceDN w:val="0"/>
      <w:adjustRightInd w:val="0"/>
      <w:spacing w:before="120" w:after="120"/>
      <w:ind w:left="284" w:firstLine="720"/>
      <w:jc w:val="both"/>
    </w:pPr>
    <w:rPr>
      <w:rFonts w:eastAsia="Times New Roman" w:cs="Times New Roman"/>
      <w:color w:val="000000"/>
      <w:szCs w:val="24"/>
      <w:lang w:eastAsia="lv-LV"/>
    </w:rPr>
  </w:style>
  <w:style w:type="paragraph" w:customStyle="1" w:styleId="teksts">
    <w:name w:val="teksts"/>
    <w:rsid w:val="00043218"/>
    <w:pPr>
      <w:spacing w:before="120" w:after="120"/>
      <w:ind w:left="284" w:firstLine="720"/>
      <w:jc w:val="both"/>
    </w:pPr>
    <w:rPr>
      <w:rFonts w:ascii="Garamond" w:eastAsia="Times New Roman" w:hAnsi="Garamond" w:cs="Times New Roman"/>
      <w:szCs w:val="20"/>
    </w:rPr>
  </w:style>
  <w:style w:type="paragraph" w:customStyle="1" w:styleId="CM1">
    <w:name w:val="CM1"/>
    <w:basedOn w:val="Default"/>
    <w:next w:val="Default"/>
    <w:uiPriority w:val="99"/>
    <w:rsid w:val="00043218"/>
    <w:rPr>
      <w:rFonts w:ascii="EUAlbertina" w:eastAsia="Calibri" w:hAnsi="EUAlbertina"/>
      <w:color w:val="auto"/>
      <w:lang w:val="en-GB" w:eastAsia="en-GB"/>
    </w:rPr>
  </w:style>
  <w:style w:type="character" w:styleId="CommentReference">
    <w:name w:val="annotation reference"/>
    <w:basedOn w:val="DefaultParagraphFont"/>
    <w:uiPriority w:val="99"/>
    <w:semiHidden/>
    <w:unhideWhenUsed/>
    <w:rsid w:val="00043218"/>
    <w:rPr>
      <w:sz w:val="16"/>
      <w:szCs w:val="16"/>
    </w:rPr>
  </w:style>
  <w:style w:type="paragraph" w:styleId="CommentText">
    <w:name w:val="annotation text"/>
    <w:basedOn w:val="Normal"/>
    <w:link w:val="CommentTextChar"/>
    <w:uiPriority w:val="99"/>
    <w:unhideWhenUsed/>
    <w:rsid w:val="00043218"/>
    <w:rPr>
      <w:sz w:val="20"/>
      <w:szCs w:val="20"/>
    </w:rPr>
  </w:style>
  <w:style w:type="character" w:customStyle="1" w:styleId="CommentTextChar">
    <w:name w:val="Comment Text Char"/>
    <w:basedOn w:val="DefaultParagraphFont"/>
    <w:link w:val="CommentText"/>
    <w:uiPriority w:val="99"/>
    <w:rsid w:val="00043218"/>
    <w:rPr>
      <w:sz w:val="20"/>
      <w:szCs w:val="20"/>
    </w:rPr>
  </w:style>
  <w:style w:type="paragraph" w:styleId="CommentSubject">
    <w:name w:val="annotation subject"/>
    <w:basedOn w:val="CommentText"/>
    <w:next w:val="CommentText"/>
    <w:link w:val="CommentSubjectChar"/>
    <w:uiPriority w:val="99"/>
    <w:semiHidden/>
    <w:unhideWhenUsed/>
    <w:rsid w:val="00043218"/>
    <w:rPr>
      <w:b/>
      <w:bCs/>
    </w:rPr>
  </w:style>
  <w:style w:type="character" w:customStyle="1" w:styleId="CommentSubjectChar">
    <w:name w:val="Comment Subject Char"/>
    <w:basedOn w:val="CommentTextChar"/>
    <w:link w:val="CommentSubject"/>
    <w:uiPriority w:val="99"/>
    <w:semiHidden/>
    <w:rsid w:val="00043218"/>
    <w:rPr>
      <w:b/>
      <w:bCs/>
      <w:sz w:val="20"/>
      <w:szCs w:val="20"/>
    </w:rPr>
  </w:style>
  <w:style w:type="paragraph" w:styleId="NormalWeb">
    <w:name w:val="Normal (Web)"/>
    <w:basedOn w:val="Normal"/>
    <w:uiPriority w:val="99"/>
    <w:unhideWhenUsed/>
    <w:rsid w:val="00043218"/>
    <w:pPr>
      <w:spacing w:before="100" w:beforeAutospacing="1" w:after="100" w:afterAutospacing="1"/>
    </w:pPr>
    <w:rPr>
      <w:rFonts w:eastAsia="Times New Roman" w:cs="Times New Roman"/>
      <w:sz w:val="24"/>
      <w:szCs w:val="24"/>
      <w:lang w:eastAsia="lv-LV"/>
    </w:rPr>
  </w:style>
  <w:style w:type="paragraph" w:styleId="TOC2">
    <w:name w:val="toc 2"/>
    <w:basedOn w:val="Normal"/>
    <w:next w:val="Normal"/>
    <w:autoRedefine/>
    <w:uiPriority w:val="39"/>
    <w:unhideWhenUsed/>
    <w:rsid w:val="00043218"/>
    <w:pPr>
      <w:tabs>
        <w:tab w:val="right" w:pos="1701"/>
        <w:tab w:val="right" w:leader="dot" w:pos="9061"/>
      </w:tabs>
      <w:ind w:left="1134" w:firstLine="0"/>
    </w:pPr>
  </w:style>
  <w:style w:type="paragraph" w:styleId="TOC1">
    <w:name w:val="toc 1"/>
    <w:basedOn w:val="Normal"/>
    <w:next w:val="Normal"/>
    <w:autoRedefine/>
    <w:uiPriority w:val="39"/>
    <w:unhideWhenUsed/>
    <w:rsid w:val="00043218"/>
    <w:pPr>
      <w:tabs>
        <w:tab w:val="right" w:pos="1134"/>
        <w:tab w:val="right" w:leader="dot" w:pos="9061"/>
      </w:tabs>
      <w:spacing w:after="100"/>
      <w:ind w:firstLine="0"/>
    </w:pPr>
  </w:style>
  <w:style w:type="paragraph" w:styleId="NoSpacing">
    <w:name w:val="No Spacing"/>
    <w:link w:val="NoSpacingChar"/>
    <w:uiPriority w:val="1"/>
    <w:qFormat/>
    <w:rsid w:val="00043218"/>
    <w:pPr>
      <w:ind w:firstLine="567"/>
      <w:jc w:val="both"/>
    </w:pPr>
    <w:rPr>
      <w:rFonts w:eastAsia="Times New Roman" w:cs="Times New Roman"/>
      <w:szCs w:val="20"/>
    </w:rPr>
  </w:style>
  <w:style w:type="character" w:customStyle="1" w:styleId="NoSpacingChar">
    <w:name w:val="No Spacing Char"/>
    <w:basedOn w:val="DefaultParagraphFont"/>
    <w:link w:val="NoSpacing"/>
    <w:uiPriority w:val="1"/>
    <w:rsid w:val="00043218"/>
    <w:rPr>
      <w:rFonts w:eastAsia="Times New Roman" w:cs="Times New Roman"/>
      <w:szCs w:val="20"/>
    </w:rPr>
  </w:style>
  <w:style w:type="paragraph" w:styleId="BodyText2">
    <w:name w:val="Body Text 2"/>
    <w:basedOn w:val="Normal"/>
    <w:link w:val="BodyText2Char"/>
    <w:uiPriority w:val="99"/>
    <w:semiHidden/>
    <w:unhideWhenUsed/>
    <w:rsid w:val="00043218"/>
    <w:pPr>
      <w:spacing w:line="480" w:lineRule="auto"/>
    </w:pPr>
  </w:style>
  <w:style w:type="character" w:customStyle="1" w:styleId="BodyText2Char">
    <w:name w:val="Body Text 2 Char"/>
    <w:basedOn w:val="DefaultParagraphFont"/>
    <w:link w:val="BodyText2"/>
    <w:uiPriority w:val="99"/>
    <w:semiHidden/>
    <w:rsid w:val="00043218"/>
    <w:rPr>
      <w:sz w:val="28"/>
    </w:rPr>
  </w:style>
  <w:style w:type="character" w:styleId="Strong">
    <w:name w:val="Strong"/>
    <w:uiPriority w:val="22"/>
    <w:qFormat/>
    <w:rsid w:val="006C6B7C"/>
    <w:rPr>
      <w:b/>
      <w:bCs/>
    </w:r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3A0ADE"/>
    <w:rPr>
      <w:sz w:val="28"/>
    </w:rPr>
  </w:style>
  <w:style w:type="character" w:customStyle="1" w:styleId="Heading3Char">
    <w:name w:val="Heading 3 Char"/>
    <w:basedOn w:val="DefaultParagraphFont"/>
    <w:link w:val="Heading3"/>
    <w:uiPriority w:val="9"/>
    <w:rsid w:val="008F6119"/>
    <w:rPr>
      <w:rFonts w:asciiTheme="majorHAnsi" w:eastAsiaTheme="majorEastAsia" w:hAnsiTheme="majorHAnsi" w:cstheme="majorBidi"/>
      <w:color w:val="1F4D78" w:themeColor="accent1" w:themeShade="7F"/>
      <w:szCs w:val="24"/>
    </w:rPr>
  </w:style>
  <w:style w:type="table" w:customStyle="1" w:styleId="GridTable6Colorful-Accent11">
    <w:name w:val="Grid Table 6 Colorful - Accent 11"/>
    <w:basedOn w:val="TableNormal"/>
    <w:uiPriority w:val="51"/>
    <w:rsid w:val="008F2113"/>
    <w:rPr>
      <w:rFonts w:asciiTheme="minorHAnsi" w:eastAsiaTheme="minorEastAsia" w:hAnsiTheme="minorHAnsi"/>
      <w:color w:val="2E74B5" w:themeColor="accent1" w:themeShade="BF"/>
      <w:sz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next w:val="TableGrid"/>
    <w:uiPriority w:val="39"/>
    <w:rsid w:val="00FA77C4"/>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4B6B5C"/>
    <w:pPr>
      <w:spacing w:before="100" w:beforeAutospacing="1" w:after="100" w:afterAutospacing="1"/>
      <w:ind w:firstLine="0"/>
      <w:jc w:val="left"/>
    </w:pPr>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0046">
      <w:bodyDiv w:val="1"/>
      <w:marLeft w:val="0"/>
      <w:marRight w:val="0"/>
      <w:marTop w:val="0"/>
      <w:marBottom w:val="0"/>
      <w:divBdr>
        <w:top w:val="none" w:sz="0" w:space="0" w:color="auto"/>
        <w:left w:val="none" w:sz="0" w:space="0" w:color="auto"/>
        <w:bottom w:val="none" w:sz="0" w:space="0" w:color="auto"/>
        <w:right w:val="none" w:sz="0" w:space="0" w:color="auto"/>
      </w:divBdr>
      <w:divsChild>
        <w:div w:id="56322290">
          <w:marLeft w:val="547"/>
          <w:marRight w:val="0"/>
          <w:marTop w:val="0"/>
          <w:marBottom w:val="0"/>
          <w:divBdr>
            <w:top w:val="none" w:sz="0" w:space="0" w:color="auto"/>
            <w:left w:val="none" w:sz="0" w:space="0" w:color="auto"/>
            <w:bottom w:val="none" w:sz="0" w:space="0" w:color="auto"/>
            <w:right w:val="none" w:sz="0" w:space="0" w:color="auto"/>
          </w:divBdr>
        </w:div>
        <w:div w:id="729618049">
          <w:marLeft w:val="547"/>
          <w:marRight w:val="0"/>
          <w:marTop w:val="0"/>
          <w:marBottom w:val="0"/>
          <w:divBdr>
            <w:top w:val="none" w:sz="0" w:space="0" w:color="auto"/>
            <w:left w:val="none" w:sz="0" w:space="0" w:color="auto"/>
            <w:bottom w:val="none" w:sz="0" w:space="0" w:color="auto"/>
            <w:right w:val="none" w:sz="0" w:space="0" w:color="auto"/>
          </w:divBdr>
        </w:div>
        <w:div w:id="1444423293">
          <w:marLeft w:val="547"/>
          <w:marRight w:val="0"/>
          <w:marTop w:val="0"/>
          <w:marBottom w:val="0"/>
          <w:divBdr>
            <w:top w:val="none" w:sz="0" w:space="0" w:color="auto"/>
            <w:left w:val="none" w:sz="0" w:space="0" w:color="auto"/>
            <w:bottom w:val="none" w:sz="0" w:space="0" w:color="auto"/>
            <w:right w:val="none" w:sz="0" w:space="0" w:color="auto"/>
          </w:divBdr>
        </w:div>
        <w:div w:id="1444642798">
          <w:marLeft w:val="547"/>
          <w:marRight w:val="0"/>
          <w:marTop w:val="0"/>
          <w:marBottom w:val="0"/>
          <w:divBdr>
            <w:top w:val="none" w:sz="0" w:space="0" w:color="auto"/>
            <w:left w:val="none" w:sz="0" w:space="0" w:color="auto"/>
            <w:bottom w:val="none" w:sz="0" w:space="0" w:color="auto"/>
            <w:right w:val="none" w:sz="0" w:space="0" w:color="auto"/>
          </w:divBdr>
        </w:div>
        <w:div w:id="2097483203">
          <w:marLeft w:val="547"/>
          <w:marRight w:val="0"/>
          <w:marTop w:val="0"/>
          <w:marBottom w:val="0"/>
          <w:divBdr>
            <w:top w:val="none" w:sz="0" w:space="0" w:color="auto"/>
            <w:left w:val="none" w:sz="0" w:space="0" w:color="auto"/>
            <w:bottom w:val="none" w:sz="0" w:space="0" w:color="auto"/>
            <w:right w:val="none" w:sz="0" w:space="0" w:color="auto"/>
          </w:divBdr>
        </w:div>
      </w:divsChild>
    </w:div>
    <w:div w:id="104889721">
      <w:bodyDiv w:val="1"/>
      <w:marLeft w:val="0"/>
      <w:marRight w:val="0"/>
      <w:marTop w:val="0"/>
      <w:marBottom w:val="0"/>
      <w:divBdr>
        <w:top w:val="none" w:sz="0" w:space="0" w:color="auto"/>
        <w:left w:val="none" w:sz="0" w:space="0" w:color="auto"/>
        <w:bottom w:val="none" w:sz="0" w:space="0" w:color="auto"/>
        <w:right w:val="none" w:sz="0" w:space="0" w:color="auto"/>
      </w:divBdr>
    </w:div>
    <w:div w:id="714161117">
      <w:bodyDiv w:val="1"/>
      <w:marLeft w:val="0"/>
      <w:marRight w:val="0"/>
      <w:marTop w:val="0"/>
      <w:marBottom w:val="0"/>
      <w:divBdr>
        <w:top w:val="none" w:sz="0" w:space="0" w:color="auto"/>
        <w:left w:val="none" w:sz="0" w:space="0" w:color="auto"/>
        <w:bottom w:val="none" w:sz="0" w:space="0" w:color="auto"/>
        <w:right w:val="none" w:sz="0" w:space="0" w:color="auto"/>
      </w:divBdr>
    </w:div>
    <w:div w:id="1120608448">
      <w:bodyDiv w:val="1"/>
      <w:marLeft w:val="0"/>
      <w:marRight w:val="0"/>
      <w:marTop w:val="0"/>
      <w:marBottom w:val="0"/>
      <w:divBdr>
        <w:top w:val="none" w:sz="0" w:space="0" w:color="auto"/>
        <w:left w:val="none" w:sz="0" w:space="0" w:color="auto"/>
        <w:bottom w:val="none" w:sz="0" w:space="0" w:color="auto"/>
        <w:right w:val="none" w:sz="0" w:space="0" w:color="auto"/>
      </w:divBdr>
    </w:div>
    <w:div w:id="1176923717">
      <w:bodyDiv w:val="1"/>
      <w:marLeft w:val="0"/>
      <w:marRight w:val="0"/>
      <w:marTop w:val="0"/>
      <w:marBottom w:val="0"/>
      <w:divBdr>
        <w:top w:val="none" w:sz="0" w:space="0" w:color="auto"/>
        <w:left w:val="none" w:sz="0" w:space="0" w:color="auto"/>
        <w:bottom w:val="none" w:sz="0" w:space="0" w:color="auto"/>
        <w:right w:val="none" w:sz="0" w:space="0" w:color="auto"/>
      </w:divBdr>
      <w:divsChild>
        <w:div w:id="786043279">
          <w:marLeft w:val="547"/>
          <w:marRight w:val="0"/>
          <w:marTop w:val="0"/>
          <w:marBottom w:val="0"/>
          <w:divBdr>
            <w:top w:val="none" w:sz="0" w:space="0" w:color="auto"/>
            <w:left w:val="none" w:sz="0" w:space="0" w:color="auto"/>
            <w:bottom w:val="none" w:sz="0" w:space="0" w:color="auto"/>
            <w:right w:val="none" w:sz="0" w:space="0" w:color="auto"/>
          </w:divBdr>
        </w:div>
        <w:div w:id="1671986151">
          <w:marLeft w:val="547"/>
          <w:marRight w:val="0"/>
          <w:marTop w:val="0"/>
          <w:marBottom w:val="0"/>
          <w:divBdr>
            <w:top w:val="none" w:sz="0" w:space="0" w:color="auto"/>
            <w:left w:val="none" w:sz="0" w:space="0" w:color="auto"/>
            <w:bottom w:val="none" w:sz="0" w:space="0" w:color="auto"/>
            <w:right w:val="none" w:sz="0" w:space="0" w:color="auto"/>
          </w:divBdr>
        </w:div>
        <w:div w:id="1878930635">
          <w:marLeft w:val="547"/>
          <w:marRight w:val="0"/>
          <w:marTop w:val="0"/>
          <w:marBottom w:val="0"/>
          <w:divBdr>
            <w:top w:val="none" w:sz="0" w:space="0" w:color="auto"/>
            <w:left w:val="none" w:sz="0" w:space="0" w:color="auto"/>
            <w:bottom w:val="none" w:sz="0" w:space="0" w:color="auto"/>
            <w:right w:val="none" w:sz="0" w:space="0" w:color="auto"/>
          </w:divBdr>
        </w:div>
        <w:div w:id="1174105188">
          <w:marLeft w:val="547"/>
          <w:marRight w:val="0"/>
          <w:marTop w:val="0"/>
          <w:marBottom w:val="0"/>
          <w:divBdr>
            <w:top w:val="none" w:sz="0" w:space="0" w:color="auto"/>
            <w:left w:val="none" w:sz="0" w:space="0" w:color="auto"/>
            <w:bottom w:val="none" w:sz="0" w:space="0" w:color="auto"/>
            <w:right w:val="none" w:sz="0" w:space="0" w:color="auto"/>
          </w:divBdr>
        </w:div>
        <w:div w:id="1506481869">
          <w:marLeft w:val="547"/>
          <w:marRight w:val="0"/>
          <w:marTop w:val="0"/>
          <w:marBottom w:val="0"/>
          <w:divBdr>
            <w:top w:val="none" w:sz="0" w:space="0" w:color="auto"/>
            <w:left w:val="none" w:sz="0" w:space="0" w:color="auto"/>
            <w:bottom w:val="none" w:sz="0" w:space="0" w:color="auto"/>
            <w:right w:val="none" w:sz="0" w:space="0" w:color="auto"/>
          </w:divBdr>
        </w:div>
      </w:divsChild>
    </w:div>
    <w:div w:id="1375305263">
      <w:bodyDiv w:val="1"/>
      <w:marLeft w:val="0"/>
      <w:marRight w:val="0"/>
      <w:marTop w:val="0"/>
      <w:marBottom w:val="0"/>
      <w:divBdr>
        <w:top w:val="none" w:sz="0" w:space="0" w:color="auto"/>
        <w:left w:val="none" w:sz="0" w:space="0" w:color="auto"/>
        <w:bottom w:val="none" w:sz="0" w:space="0" w:color="auto"/>
        <w:right w:val="none" w:sz="0" w:space="0" w:color="auto"/>
      </w:divBdr>
    </w:div>
    <w:div w:id="1553039012">
      <w:bodyDiv w:val="1"/>
      <w:marLeft w:val="0"/>
      <w:marRight w:val="0"/>
      <w:marTop w:val="0"/>
      <w:marBottom w:val="0"/>
      <w:divBdr>
        <w:top w:val="none" w:sz="0" w:space="0" w:color="auto"/>
        <w:left w:val="none" w:sz="0" w:space="0" w:color="auto"/>
        <w:bottom w:val="none" w:sz="0" w:space="0" w:color="auto"/>
        <w:right w:val="none" w:sz="0" w:space="0" w:color="auto"/>
      </w:divBdr>
    </w:div>
    <w:div w:id="1608191670">
      <w:bodyDiv w:val="1"/>
      <w:marLeft w:val="0"/>
      <w:marRight w:val="0"/>
      <w:marTop w:val="0"/>
      <w:marBottom w:val="0"/>
      <w:divBdr>
        <w:top w:val="none" w:sz="0" w:space="0" w:color="auto"/>
        <w:left w:val="none" w:sz="0" w:space="0" w:color="auto"/>
        <w:bottom w:val="none" w:sz="0" w:space="0" w:color="auto"/>
        <w:right w:val="none" w:sz="0" w:space="0" w:color="auto"/>
      </w:divBdr>
    </w:div>
    <w:div w:id="18731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ikumi.lv/ta/id/254896-fiskalas-disciplinas-likums" TargetMode="External"/><Relationship Id="rId18" Type="http://schemas.openxmlformats.org/officeDocument/2006/relationships/hyperlink" Target="https://likumi.lv/ta/id/254896-fiskalas-disciplinas-likum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ur-lex.europa.eu/eli/reg/1997/1466/oj/?locale=LV" TargetMode="External"/><Relationship Id="rId7" Type="http://schemas.openxmlformats.org/officeDocument/2006/relationships/endnotes" Target="endnotes.xml"/><Relationship Id="rId12" Type="http://schemas.openxmlformats.org/officeDocument/2006/relationships/hyperlink" Target="https://likumi.lv/ta/id/254896-fiskalas-disciplinas-likums" TargetMode="External"/><Relationship Id="rId17" Type="http://schemas.openxmlformats.org/officeDocument/2006/relationships/hyperlink" Target="https://likumi.lv/ta/id/254896-fiskalas-disciplinas-likum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ikumi.lv/ta/id/254896-fiskalas-disciplinas-likums" TargetMode="External"/><Relationship Id="rId20" Type="http://schemas.openxmlformats.org/officeDocument/2006/relationships/hyperlink" Target="https://likumi.lv/ta/id/254896-fiskalas-disciplinas-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ikumi.lv/ta/id/254896-fiskalas-disciplinas-likums"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likumi.lv/ta/id/254896-fiskalas-disciplinas-likum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likumi.lv/ta/id/254896-fiskalas-disciplinas-likums"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05C71-7E6C-4712-B4D0-3CBD36A2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4644</TotalTime>
  <Pages>38</Pages>
  <Words>59329</Words>
  <Characters>33819</Characters>
  <Application>Microsoft Office Word</Application>
  <DocSecurity>0</DocSecurity>
  <Lines>281</Lines>
  <Paragraphs>185</Paragraphs>
  <ScaleCrop>false</ScaleCrop>
  <HeadingPairs>
    <vt:vector size="2" baseType="variant">
      <vt:variant>
        <vt:lpstr>Title</vt:lpstr>
      </vt:variant>
      <vt:variant>
        <vt:i4>1</vt:i4>
      </vt:variant>
    </vt:vector>
  </HeadingPairs>
  <TitlesOfParts>
    <vt:vector size="1" baseType="lpstr">
      <vt:lpstr>„Par makroekonomisko rādītāju, ieņēmumu un vispārējās valdības budžeta bilances prognozēm 2022.-2024.gadā”</vt:lpstr>
    </vt:vector>
  </TitlesOfParts>
  <Company>Finanšu ministrija</Company>
  <LinksUpToDate>false</LinksUpToDate>
  <CharactersWithSpaces>92963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makroekonomisko rādītāju, ieņēmumu un vispārējās valdības budžeta bilances prognozēm 2022.-2024.gadā”</dc:title>
  <dc:subject>Informatīvais ziņojums</dc:subject>
  <dc:creator>Kristīne Gvarovska</dc:creator>
  <cp:keywords/>
  <dc:description>Kristīne Gavrovska_x000d_
67095465, Kristīne.Gavrovska@fm.gov.lv</dc:description>
  <cp:lastModifiedBy>Jūlija Burģe</cp:lastModifiedBy>
  <cp:revision>917</cp:revision>
  <cp:lastPrinted>2019-08-14T12:23:00Z</cp:lastPrinted>
  <dcterms:created xsi:type="dcterms:W3CDTF">2016-07-21T10:57:00Z</dcterms:created>
  <dcterms:modified xsi:type="dcterms:W3CDTF">2021-08-17T10:07:00Z</dcterms:modified>
</cp:coreProperties>
</file>