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654" w:rsidRPr="00F03935" w:rsidRDefault="00A17654" w:rsidP="00D70B68">
      <w:pPr>
        <w:ind w:left="720" w:right="819"/>
        <w:jc w:val="center"/>
        <w:rPr>
          <w:b/>
        </w:rPr>
      </w:pPr>
      <w:bookmarkStart w:id="0" w:name="_GoBack"/>
      <w:bookmarkEnd w:id="0"/>
      <w:r w:rsidRPr="00F03935">
        <w:rPr>
          <w:b/>
        </w:rPr>
        <w:t>Likum</w:t>
      </w:r>
      <w:r w:rsidR="003908DB" w:rsidRPr="00F03935">
        <w:rPr>
          <w:b/>
        </w:rPr>
        <w:t>projekta</w:t>
      </w:r>
      <w:r w:rsidRPr="00F03935">
        <w:rPr>
          <w:b/>
        </w:rPr>
        <w:t xml:space="preserve"> </w:t>
      </w:r>
      <w:r w:rsidR="003908DB" w:rsidRPr="00F03935">
        <w:rPr>
          <w:b/>
        </w:rPr>
        <w:t>„</w:t>
      </w:r>
      <w:r w:rsidRPr="00F03935">
        <w:rPr>
          <w:b/>
        </w:rPr>
        <w:t xml:space="preserve">Izslēdzošā ieskaita </w:t>
      </w:r>
      <w:r w:rsidR="00BA3FB1">
        <w:rPr>
          <w:b/>
        </w:rPr>
        <w:t xml:space="preserve">piemērošanas atvasināto finanšu instrumentu darījumos </w:t>
      </w:r>
      <w:r w:rsidRPr="00F03935">
        <w:rPr>
          <w:b/>
        </w:rPr>
        <w:t>likums</w:t>
      </w:r>
      <w:r w:rsidR="000C51E4">
        <w:rPr>
          <w:b/>
        </w:rPr>
        <w:t>”</w:t>
      </w:r>
    </w:p>
    <w:p w:rsidR="003908DB" w:rsidRPr="00F03935" w:rsidRDefault="003908DB" w:rsidP="00D70B68">
      <w:pPr>
        <w:spacing w:after="120"/>
        <w:ind w:left="720" w:right="819"/>
        <w:jc w:val="center"/>
        <w:rPr>
          <w:b/>
        </w:rPr>
      </w:pPr>
      <w:r w:rsidRPr="00F03935">
        <w:rPr>
          <w:b/>
        </w:rPr>
        <w:t>sākotnējās ietekmes novērtējuma ziņojums (anotācija)</w:t>
      </w:r>
    </w:p>
    <w:p w:rsidR="00100631" w:rsidRPr="00F03935" w:rsidRDefault="00100631" w:rsidP="002B6636">
      <w:pPr>
        <w:spacing w:after="120"/>
        <w:jc w:val="center"/>
      </w:pPr>
    </w:p>
    <w:tbl>
      <w:tblPr>
        <w:tblW w:w="5000" w:type="pct"/>
        <w:tblInd w:w="-60"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320"/>
        <w:gridCol w:w="6763"/>
      </w:tblGrid>
      <w:tr w:rsidR="00AE33BF" w:rsidRPr="00F03935" w:rsidTr="000C51E4">
        <w:tc>
          <w:tcPr>
            <w:tcW w:w="50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33BF" w:rsidRPr="00F03935" w:rsidRDefault="00AE33BF" w:rsidP="00AE33BF">
            <w:pPr>
              <w:spacing w:before="100" w:beforeAutospacing="1" w:after="100" w:afterAutospacing="1" w:line="293" w:lineRule="atLeast"/>
              <w:jc w:val="center"/>
              <w:rPr>
                <w:rFonts w:eastAsia="Times New Roman"/>
                <w:b/>
                <w:bCs/>
              </w:rPr>
            </w:pPr>
            <w:r w:rsidRPr="00F03935">
              <w:rPr>
                <w:rFonts w:eastAsia="Times New Roman"/>
                <w:b/>
                <w:bCs/>
              </w:rPr>
              <w:t>Tiesību akta projekta anotācijas kopsavilkums</w:t>
            </w:r>
          </w:p>
        </w:tc>
      </w:tr>
      <w:tr w:rsidR="00AE33BF" w:rsidRPr="00F03935" w:rsidTr="000C51E4">
        <w:tc>
          <w:tcPr>
            <w:tcW w:w="1277" w:type="pct"/>
            <w:tcBorders>
              <w:top w:val="outset" w:sz="6" w:space="0" w:color="414142"/>
              <w:left w:val="outset" w:sz="6" w:space="0" w:color="414142"/>
              <w:bottom w:val="outset" w:sz="6" w:space="0" w:color="414142"/>
              <w:right w:val="outset" w:sz="6" w:space="0" w:color="414142"/>
            </w:tcBorders>
            <w:shd w:val="clear" w:color="auto" w:fill="FFFFFF"/>
            <w:hideMark/>
          </w:tcPr>
          <w:p w:rsidR="00AE33BF" w:rsidRPr="00F03935" w:rsidRDefault="00AE33BF" w:rsidP="00AE33BF">
            <w:pPr>
              <w:rPr>
                <w:rFonts w:eastAsia="Times New Roman"/>
              </w:rPr>
            </w:pPr>
            <w:r w:rsidRPr="00F03935">
              <w:rPr>
                <w:rFonts w:eastAsia="Times New Roman"/>
              </w:rPr>
              <w:t>Mērķis, risinājums un projekta spēkā stāšanās laiks (500 zīmes bez atstarpēm)</w:t>
            </w:r>
          </w:p>
        </w:tc>
        <w:tc>
          <w:tcPr>
            <w:tcW w:w="3723" w:type="pct"/>
            <w:tcBorders>
              <w:top w:val="outset" w:sz="6" w:space="0" w:color="414142"/>
              <w:left w:val="outset" w:sz="6" w:space="0" w:color="414142"/>
              <w:bottom w:val="outset" w:sz="6" w:space="0" w:color="414142"/>
              <w:right w:val="outset" w:sz="6" w:space="0" w:color="414142"/>
            </w:tcBorders>
            <w:shd w:val="clear" w:color="auto" w:fill="FFFFFF"/>
            <w:hideMark/>
          </w:tcPr>
          <w:p w:rsidR="00231B9D" w:rsidRPr="00F03935" w:rsidRDefault="00CC408C" w:rsidP="00813AA1">
            <w:pPr>
              <w:ind w:right="150" w:firstLine="346"/>
              <w:jc w:val="both"/>
            </w:pPr>
            <w:r w:rsidRPr="00F03935">
              <w:rPr>
                <w:szCs w:val="20"/>
              </w:rPr>
              <w:t xml:space="preserve">Likumprojekta „Izslēdzošā ieskaita </w:t>
            </w:r>
            <w:r w:rsidR="00BA3FB1">
              <w:rPr>
                <w:szCs w:val="20"/>
              </w:rPr>
              <w:t xml:space="preserve">piemērošanas atvasināto finanšu instrumentu darījumos </w:t>
            </w:r>
            <w:r w:rsidRPr="00F03935">
              <w:rPr>
                <w:szCs w:val="20"/>
              </w:rPr>
              <w:t xml:space="preserve">likums” (turpmāk – </w:t>
            </w:r>
            <w:r w:rsidRPr="00F03935">
              <w:rPr>
                <w:b/>
                <w:szCs w:val="20"/>
              </w:rPr>
              <w:t>Likumprojekts</w:t>
            </w:r>
            <w:r w:rsidRPr="00F03935">
              <w:rPr>
                <w:szCs w:val="20"/>
              </w:rPr>
              <w:t xml:space="preserve">) mērķis ir </w:t>
            </w:r>
            <w:r w:rsidR="00231B9D" w:rsidRPr="00F03935">
              <w:rPr>
                <w:szCs w:val="20"/>
              </w:rPr>
              <w:t xml:space="preserve">izveidot </w:t>
            </w:r>
            <w:r w:rsidR="00DA446C" w:rsidRPr="00F03935">
              <w:rPr>
                <w:szCs w:val="20"/>
              </w:rPr>
              <w:t xml:space="preserve">izslēdzošā ieskaita tiesisko </w:t>
            </w:r>
            <w:r w:rsidR="00DA3BCC" w:rsidRPr="00F03935">
              <w:rPr>
                <w:szCs w:val="20"/>
              </w:rPr>
              <w:t xml:space="preserve">regulējumu </w:t>
            </w:r>
            <w:r w:rsidR="006E7C82" w:rsidRPr="00F03935">
              <w:rPr>
                <w:szCs w:val="20"/>
              </w:rPr>
              <w:t xml:space="preserve">atvasināto finanšu instrumentu </w:t>
            </w:r>
            <w:r w:rsidR="006E7C82" w:rsidRPr="00F03935">
              <w:t xml:space="preserve">darījumiem </w:t>
            </w:r>
            <w:r w:rsidR="00DA446C" w:rsidRPr="00F03935">
              <w:t xml:space="preserve">un </w:t>
            </w:r>
            <w:r w:rsidRPr="00F03935">
              <w:t xml:space="preserve">nodrošināt izslēdzošā ieskaita piemērošanu, nostiprinot tā vispārīgos principus, </w:t>
            </w:r>
            <w:r w:rsidR="004B3A07" w:rsidRPr="00F03935">
              <w:t xml:space="preserve">tādējādi </w:t>
            </w:r>
            <w:r w:rsidR="00DA446C" w:rsidRPr="00F03935">
              <w:t>veicin</w:t>
            </w:r>
            <w:r w:rsidR="004B3A07" w:rsidRPr="00F03935">
              <w:t>ot</w:t>
            </w:r>
            <w:r w:rsidRPr="00F03935">
              <w:t xml:space="preserve"> </w:t>
            </w:r>
            <w:r w:rsidR="006E7C82" w:rsidRPr="00F03935">
              <w:t xml:space="preserve">finanšu </w:t>
            </w:r>
            <w:r w:rsidR="008C1305" w:rsidRPr="00F03935">
              <w:t xml:space="preserve">instrumentu </w:t>
            </w:r>
            <w:r w:rsidRPr="00F03935">
              <w:t>tirgus attīstīb</w:t>
            </w:r>
            <w:r w:rsidR="00DA446C" w:rsidRPr="00F03935">
              <w:t>u</w:t>
            </w:r>
            <w:r w:rsidRPr="00F03935">
              <w:t xml:space="preserve"> Latvijā.</w:t>
            </w:r>
          </w:p>
          <w:p w:rsidR="0093414D" w:rsidRPr="00F03935" w:rsidRDefault="00231B9D" w:rsidP="00813AA1">
            <w:pPr>
              <w:ind w:right="150" w:firstLine="346"/>
              <w:jc w:val="both"/>
            </w:pPr>
            <w:r w:rsidRPr="00F03935">
              <w:t xml:space="preserve">Likumprojektā paredzētais izslēdzošā ieskaita regulējums </w:t>
            </w:r>
            <w:r w:rsidRPr="00F03935">
              <w:rPr>
                <w:rFonts w:cs="Arial"/>
              </w:rPr>
              <w:t xml:space="preserve">nodrošinās finanšu tirgus stabilitāti, ierobežojot sistēmisko risku, ko varētu radīt tiesiskās aizsardzības, maksātnespējas vai likvidācijas process pret </w:t>
            </w:r>
            <w:r w:rsidR="00BA3FB1">
              <w:rPr>
                <w:rFonts w:cs="Arial"/>
              </w:rPr>
              <w:t>t</w:t>
            </w:r>
            <w:r w:rsidR="00BA3FB1" w:rsidRPr="00F03935">
              <w:rPr>
                <w:rFonts w:cs="Arial"/>
              </w:rPr>
              <w:t xml:space="preserve">ādu </w:t>
            </w:r>
            <w:r w:rsidRPr="00F03935">
              <w:rPr>
                <w:rFonts w:cs="Arial"/>
              </w:rPr>
              <w:t>tirgus dalībnieku</w:t>
            </w:r>
            <w:r w:rsidR="00BA3FB1">
              <w:rPr>
                <w:rFonts w:cs="Arial"/>
              </w:rPr>
              <w:t xml:space="preserve"> (izslēdzošā ieskaita līguma pusi), kas ir šī likumprojekta subjekts</w:t>
            </w:r>
            <w:r w:rsidRPr="00F03935">
              <w:rPr>
                <w:rFonts w:cs="Arial"/>
              </w:rPr>
              <w:t>.</w:t>
            </w:r>
          </w:p>
          <w:p w:rsidR="00AE33BF" w:rsidRPr="00F03935" w:rsidRDefault="0093414D" w:rsidP="00166D60">
            <w:pPr>
              <w:ind w:right="150" w:firstLine="346"/>
              <w:jc w:val="both"/>
              <w:rPr>
                <w:rFonts w:eastAsia="Times New Roman"/>
              </w:rPr>
            </w:pPr>
            <w:r w:rsidRPr="00F03935">
              <w:rPr>
                <w:szCs w:val="20"/>
              </w:rPr>
              <w:t>Likumprojekts stāsies spēkā pēc tā</w:t>
            </w:r>
            <w:r w:rsidR="00166D60">
              <w:rPr>
                <w:szCs w:val="20"/>
              </w:rPr>
              <w:t xml:space="preserve"> pieņemšanas vispārējā kārtībā.</w:t>
            </w:r>
          </w:p>
        </w:tc>
      </w:tr>
    </w:tbl>
    <w:p w:rsidR="00AE33BF" w:rsidRPr="00F03935" w:rsidRDefault="00AE33BF" w:rsidP="002B6636">
      <w:pPr>
        <w:spacing w:after="120"/>
        <w:jc w:val="cente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955"/>
        <w:gridCol w:w="6822"/>
      </w:tblGrid>
      <w:tr w:rsidR="00C61A59" w:rsidRPr="00F03935" w:rsidTr="00E40706">
        <w:tc>
          <w:tcPr>
            <w:tcW w:w="9198" w:type="dxa"/>
            <w:gridSpan w:val="3"/>
            <w:tcBorders>
              <w:top w:val="single" w:sz="4" w:space="0" w:color="auto"/>
              <w:left w:val="single" w:sz="4" w:space="0" w:color="auto"/>
              <w:bottom w:val="single" w:sz="4" w:space="0" w:color="auto"/>
              <w:right w:val="single" w:sz="4" w:space="0" w:color="auto"/>
            </w:tcBorders>
            <w:shd w:val="clear" w:color="auto" w:fill="auto"/>
            <w:hideMark/>
          </w:tcPr>
          <w:p w:rsidR="00C61A59" w:rsidRPr="00F03935" w:rsidRDefault="00C61A59" w:rsidP="00155D30">
            <w:pPr>
              <w:pStyle w:val="ListParagraph"/>
              <w:tabs>
                <w:tab w:val="left" w:pos="2268"/>
                <w:tab w:val="left" w:pos="2410"/>
              </w:tabs>
              <w:ind w:left="1080"/>
              <w:jc w:val="center"/>
              <w:rPr>
                <w:b/>
                <w:sz w:val="24"/>
                <w:szCs w:val="24"/>
                <w:lang w:eastAsia="en-US"/>
              </w:rPr>
            </w:pPr>
            <w:r w:rsidRPr="00F03935">
              <w:rPr>
                <w:b/>
                <w:bCs/>
                <w:sz w:val="24"/>
                <w:szCs w:val="24"/>
              </w:rPr>
              <w:t>I. Tiesību akta projekta izstrādes nepieciešamība</w:t>
            </w:r>
          </w:p>
        </w:tc>
      </w:tr>
      <w:tr w:rsidR="00C61A59" w:rsidRPr="00F03935" w:rsidTr="00E40706">
        <w:tc>
          <w:tcPr>
            <w:tcW w:w="421" w:type="dxa"/>
            <w:tcBorders>
              <w:top w:val="single" w:sz="4" w:space="0" w:color="auto"/>
              <w:left w:val="single" w:sz="4" w:space="0" w:color="auto"/>
              <w:bottom w:val="single" w:sz="4" w:space="0" w:color="auto"/>
              <w:right w:val="single" w:sz="4" w:space="0" w:color="auto"/>
            </w:tcBorders>
            <w:shd w:val="clear" w:color="auto" w:fill="auto"/>
            <w:hideMark/>
          </w:tcPr>
          <w:p w:rsidR="00C61A59" w:rsidRPr="00F03935" w:rsidRDefault="00C61A59" w:rsidP="00155D30">
            <w:pPr>
              <w:jc w:val="center"/>
              <w:rPr>
                <w:lang w:eastAsia="en-US"/>
              </w:rPr>
            </w:pPr>
            <w:r w:rsidRPr="00F03935">
              <w:t>1.</w:t>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rsidR="00C61A59" w:rsidRPr="00F03935" w:rsidRDefault="00C61A59" w:rsidP="00155D30">
            <w:pPr>
              <w:tabs>
                <w:tab w:val="left" w:pos="1904"/>
              </w:tabs>
              <w:rPr>
                <w:lang w:eastAsia="en-US"/>
              </w:rPr>
            </w:pPr>
            <w:r w:rsidRPr="00F03935">
              <w:t>Pamatojums</w:t>
            </w:r>
          </w:p>
        </w:tc>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421" w:rsidRPr="005A721A" w:rsidRDefault="00CC408C" w:rsidP="006828E6">
            <w:pPr>
              <w:pStyle w:val="ListParagraph"/>
              <w:tabs>
                <w:tab w:val="left" w:pos="317"/>
              </w:tabs>
              <w:spacing w:before="60" w:after="60"/>
              <w:ind w:left="34" w:firstLine="311"/>
              <w:jc w:val="both"/>
              <w:rPr>
                <w:sz w:val="24"/>
                <w:szCs w:val="24"/>
                <w:shd w:val="clear" w:color="auto" w:fill="FFFFFF"/>
              </w:rPr>
            </w:pPr>
            <w:r w:rsidRPr="00F03935">
              <w:rPr>
                <w:sz w:val="24"/>
                <w:szCs w:val="24"/>
                <w:shd w:val="clear" w:color="auto" w:fill="FFFFFF"/>
              </w:rPr>
              <w:t xml:space="preserve">Likumprojekts ir </w:t>
            </w:r>
            <w:r w:rsidR="003D5485" w:rsidRPr="00E1238F">
              <w:rPr>
                <w:sz w:val="24"/>
                <w:szCs w:val="24"/>
                <w:shd w:val="clear" w:color="auto" w:fill="FFFFFF"/>
              </w:rPr>
              <w:t>izstrādāts atbilstoši</w:t>
            </w:r>
            <w:r w:rsidR="00D06875" w:rsidRPr="00E1238F">
              <w:rPr>
                <w:sz w:val="24"/>
                <w:szCs w:val="24"/>
                <w:shd w:val="clear" w:color="auto" w:fill="FFFFFF"/>
              </w:rPr>
              <w:t xml:space="preserve"> </w:t>
            </w:r>
            <w:r w:rsidR="005A721A" w:rsidRPr="00E1238F">
              <w:rPr>
                <w:sz w:val="24"/>
                <w:szCs w:val="24"/>
                <w:shd w:val="clear" w:color="auto" w:fill="FFFFFF"/>
              </w:rPr>
              <w:t>Ministru kabineta 2019.gada 7.maija rīkojuma Nr.</w:t>
            </w:r>
            <w:r w:rsidR="006828E6" w:rsidRPr="00E1238F">
              <w:rPr>
                <w:sz w:val="24"/>
                <w:szCs w:val="24"/>
                <w:shd w:val="clear" w:color="auto" w:fill="FFFFFF"/>
              </w:rPr>
              <w:t> </w:t>
            </w:r>
            <w:r w:rsidR="005A721A" w:rsidRPr="00E1238F">
              <w:rPr>
                <w:sz w:val="24"/>
                <w:szCs w:val="24"/>
                <w:shd w:val="clear" w:color="auto" w:fill="FFFFFF"/>
              </w:rPr>
              <w:t>210 „</w:t>
            </w:r>
            <w:r w:rsidR="005A721A" w:rsidRPr="00E1238F">
              <w:rPr>
                <w:bCs/>
                <w:sz w:val="24"/>
                <w:szCs w:val="24"/>
                <w:lang w:eastAsia="en-US"/>
              </w:rPr>
              <w:t>Par Valdības rīcības plānu Deklarācijas par Artura Krišjāņa Kariņa vadītā Ministru kabineta iecerēto darbību īstenošana” uzdevuma Nr.</w:t>
            </w:r>
            <w:r w:rsidR="006828E6" w:rsidRPr="00E1238F">
              <w:rPr>
                <w:bCs/>
                <w:sz w:val="24"/>
                <w:szCs w:val="24"/>
                <w:lang w:eastAsia="en-US"/>
              </w:rPr>
              <w:t> </w:t>
            </w:r>
            <w:r w:rsidR="005A721A" w:rsidRPr="00E1238F">
              <w:rPr>
                <w:bCs/>
                <w:sz w:val="24"/>
                <w:szCs w:val="24"/>
                <w:lang w:eastAsia="en-US"/>
              </w:rPr>
              <w:t xml:space="preserve">017 pasākumam 17.1. un Finanšu ministrijas 2020.gada 21.februāra darba plāna 57.punktam. </w:t>
            </w:r>
            <w:r w:rsidR="00B870B4" w:rsidRPr="00E1238F">
              <w:rPr>
                <w:sz w:val="24"/>
                <w:szCs w:val="24"/>
              </w:rPr>
              <w:t xml:space="preserve">Likumprojekts </w:t>
            </w:r>
            <w:r w:rsidR="005A721A" w:rsidRPr="00E1238F">
              <w:rPr>
                <w:sz w:val="24"/>
                <w:szCs w:val="24"/>
              </w:rPr>
              <w:t>veicinās</w:t>
            </w:r>
            <w:r w:rsidR="005A721A">
              <w:rPr>
                <w:sz w:val="24"/>
                <w:szCs w:val="24"/>
              </w:rPr>
              <w:t xml:space="preserve"> finanšu sektora konkurētspēju un </w:t>
            </w:r>
            <w:r w:rsidR="00B870B4" w:rsidRPr="005A721A">
              <w:rPr>
                <w:sz w:val="24"/>
                <w:szCs w:val="24"/>
              </w:rPr>
              <w:t>sekmēs īstenot</w:t>
            </w:r>
            <w:r w:rsidR="005A721A">
              <w:rPr>
                <w:sz w:val="24"/>
                <w:szCs w:val="24"/>
              </w:rPr>
              <w:t xml:space="preserve"> Finanšu sektora attīstības</w:t>
            </w:r>
            <w:r w:rsidR="00B870B4" w:rsidRPr="005A721A">
              <w:rPr>
                <w:sz w:val="24"/>
                <w:szCs w:val="24"/>
              </w:rPr>
              <w:t xml:space="preserve"> p</w:t>
            </w:r>
            <w:r w:rsidR="004245BF" w:rsidRPr="005A721A">
              <w:rPr>
                <w:sz w:val="24"/>
                <w:szCs w:val="24"/>
              </w:rPr>
              <w:t xml:space="preserve">lānā </w:t>
            </w:r>
            <w:r w:rsidR="005A721A">
              <w:rPr>
                <w:sz w:val="24"/>
                <w:szCs w:val="24"/>
              </w:rPr>
              <w:t xml:space="preserve">2017.-2019.gadam </w:t>
            </w:r>
            <w:r w:rsidR="004245BF" w:rsidRPr="005A721A">
              <w:rPr>
                <w:sz w:val="24"/>
                <w:szCs w:val="24"/>
              </w:rPr>
              <w:t xml:space="preserve">ietverto pasākumu īstenošanas mērķi </w:t>
            </w:r>
            <w:r w:rsidR="00B870B4" w:rsidRPr="005A721A">
              <w:rPr>
                <w:sz w:val="24"/>
                <w:szCs w:val="24"/>
              </w:rPr>
              <w:t xml:space="preserve">- </w:t>
            </w:r>
            <w:r w:rsidR="004245BF" w:rsidRPr="005A721A">
              <w:rPr>
                <w:sz w:val="24"/>
                <w:szCs w:val="24"/>
              </w:rPr>
              <w:t>attīstīt stabilu, drošu un starptautiski konkurētspējīgu finanšu sektoru ar inovatīvu finanšu pakalpojumu pieejamību, kas nodrošina ilgtspējīgu Latvijas tautsaimniecības izaugsmi un Latvijas kā reģionālā finanšu pakalpojumu centra pozīcijas nostiprināšanu.</w:t>
            </w:r>
          </w:p>
        </w:tc>
      </w:tr>
      <w:tr w:rsidR="00C61A59" w:rsidRPr="00F03935" w:rsidTr="00E40706">
        <w:tc>
          <w:tcPr>
            <w:tcW w:w="421" w:type="dxa"/>
            <w:tcBorders>
              <w:top w:val="single" w:sz="4" w:space="0" w:color="auto"/>
              <w:left w:val="single" w:sz="4" w:space="0" w:color="auto"/>
              <w:bottom w:val="single" w:sz="4" w:space="0" w:color="auto"/>
              <w:right w:val="single" w:sz="4" w:space="0" w:color="auto"/>
            </w:tcBorders>
            <w:shd w:val="clear" w:color="auto" w:fill="auto"/>
            <w:hideMark/>
          </w:tcPr>
          <w:p w:rsidR="00C61A59" w:rsidRPr="00F03935" w:rsidRDefault="00C61A59" w:rsidP="00155D30">
            <w:pPr>
              <w:jc w:val="center"/>
              <w:rPr>
                <w:lang w:eastAsia="en-US"/>
              </w:rPr>
            </w:pPr>
            <w:r w:rsidRPr="00F03935">
              <w:t>2.</w:t>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rsidR="006A3A6B" w:rsidRPr="00F03935" w:rsidRDefault="00C61A59" w:rsidP="00CA1F44">
            <w:pPr>
              <w:jc w:val="both"/>
              <w:rPr>
                <w:lang w:eastAsia="en-US"/>
              </w:rPr>
            </w:pPr>
            <w:r w:rsidRPr="00F03935">
              <w:t>Pašreizējā situācija un problēmas, kuru risināšanai tiesību akta projekts izstrādāts, tiesiskā regulējuma mērķis un būtība</w:t>
            </w:r>
          </w:p>
          <w:p w:rsidR="006A3A6B" w:rsidRPr="00F03935" w:rsidRDefault="006A3A6B" w:rsidP="006A3A6B">
            <w:pPr>
              <w:rPr>
                <w:lang w:eastAsia="en-US"/>
              </w:rPr>
            </w:pPr>
          </w:p>
          <w:p w:rsidR="00C61A59" w:rsidRPr="00F03935" w:rsidRDefault="00C61A59" w:rsidP="00394500">
            <w:pPr>
              <w:rPr>
                <w:lang w:eastAsia="en-US"/>
              </w:rPr>
            </w:pPr>
          </w:p>
        </w:tc>
        <w:tc>
          <w:tcPr>
            <w:tcW w:w="6822" w:type="dxa"/>
            <w:tcBorders>
              <w:top w:val="single" w:sz="4" w:space="0" w:color="auto"/>
              <w:left w:val="single" w:sz="4" w:space="0" w:color="auto"/>
              <w:bottom w:val="single" w:sz="4" w:space="0" w:color="auto"/>
              <w:right w:val="single" w:sz="4" w:space="0" w:color="auto"/>
            </w:tcBorders>
            <w:shd w:val="clear" w:color="auto" w:fill="FFFFFF"/>
          </w:tcPr>
          <w:p w:rsidR="004838D7" w:rsidRPr="00F03935" w:rsidRDefault="002A5FCF" w:rsidP="004838D7">
            <w:pPr>
              <w:ind w:firstLine="346"/>
              <w:jc w:val="both"/>
              <w:rPr>
                <w:szCs w:val="20"/>
              </w:rPr>
            </w:pPr>
            <w:r>
              <w:rPr>
                <w:szCs w:val="20"/>
              </w:rPr>
              <w:t>I</w:t>
            </w:r>
            <w:r w:rsidR="00064A5F" w:rsidRPr="00F03935">
              <w:rPr>
                <w:szCs w:val="20"/>
              </w:rPr>
              <w:t xml:space="preserve">zslēdzošā ieskaita </w:t>
            </w:r>
            <w:r>
              <w:rPr>
                <w:szCs w:val="20"/>
              </w:rPr>
              <w:t xml:space="preserve">piemērošanu attiecībā un noteiktiem darījumu veidiem vai finanšu tirgus dalībniekiem </w:t>
            </w:r>
            <w:r w:rsidR="00A610D8" w:rsidRPr="00F03935">
              <w:rPr>
                <w:szCs w:val="20"/>
              </w:rPr>
              <w:t xml:space="preserve">Latvijā </w:t>
            </w:r>
            <w:r w:rsidR="00064A5F" w:rsidRPr="00F03935">
              <w:rPr>
                <w:szCs w:val="20"/>
              </w:rPr>
              <w:t xml:space="preserve">šobrīd </w:t>
            </w:r>
            <w:r w:rsidR="00A610D8" w:rsidRPr="00F03935">
              <w:rPr>
                <w:szCs w:val="20"/>
              </w:rPr>
              <w:t xml:space="preserve">jau </w:t>
            </w:r>
            <w:r w:rsidR="00064A5F" w:rsidRPr="00F03935">
              <w:rPr>
                <w:szCs w:val="20"/>
              </w:rPr>
              <w:t xml:space="preserve">regulē </w:t>
            </w:r>
            <w:r w:rsidR="004838D7" w:rsidRPr="00F03935">
              <w:rPr>
                <w:szCs w:val="20"/>
              </w:rPr>
              <w:t>tiesību normas</w:t>
            </w:r>
            <w:r>
              <w:rPr>
                <w:szCs w:val="20"/>
              </w:rPr>
              <w:t>, kas iekļautas</w:t>
            </w:r>
            <w:r w:rsidR="004838D7" w:rsidRPr="00F03935">
              <w:rPr>
                <w:szCs w:val="20"/>
              </w:rPr>
              <w:t xml:space="preserve"> vairākos </w:t>
            </w:r>
            <w:r w:rsidR="00064A5F" w:rsidRPr="00F03935">
              <w:rPr>
                <w:szCs w:val="20"/>
              </w:rPr>
              <w:t xml:space="preserve"> likum</w:t>
            </w:r>
            <w:r w:rsidR="004838D7" w:rsidRPr="00F03935">
              <w:rPr>
                <w:szCs w:val="20"/>
              </w:rPr>
              <w:t>os</w:t>
            </w:r>
            <w:r w:rsidR="000660AE" w:rsidRPr="00F03935">
              <w:rPr>
                <w:szCs w:val="20"/>
              </w:rPr>
              <w:t xml:space="preserve"> (likums </w:t>
            </w:r>
            <w:r w:rsidR="009A7C90">
              <w:rPr>
                <w:spacing w:val="2"/>
                <w:shd w:val="clear" w:color="auto" w:fill="FFFFFF"/>
              </w:rPr>
              <w:t>„</w:t>
            </w:r>
            <w:r w:rsidR="000660AE" w:rsidRPr="00F03935">
              <w:rPr>
                <w:bCs/>
              </w:rPr>
              <w:t xml:space="preserve">Par norēķinu galīgumu maksājumu un finanšu instrumentu norēķinu sistēmās”, Kredītiestāžu un ieguldījumu brokeru sabiedrību darbības atjaunošanas un noregulējuma likums, </w:t>
            </w:r>
            <w:r w:rsidR="000660AE" w:rsidRPr="00F03935">
              <w:t xml:space="preserve">Finanšu nodrošinājuma likums, Kredītiestāžu likums, </w:t>
            </w:r>
            <w:r w:rsidR="000660AE" w:rsidRPr="00F03935">
              <w:rPr>
                <w:szCs w:val="20"/>
              </w:rPr>
              <w:t>Apdrošināšanas un pārapdrošināšanas likums</w:t>
            </w:r>
            <w:r w:rsidR="000660AE" w:rsidRPr="00F03935">
              <w:rPr>
                <w:bCs/>
              </w:rPr>
              <w:t>)</w:t>
            </w:r>
            <w:r>
              <w:rPr>
                <w:szCs w:val="20"/>
              </w:rPr>
              <w:t xml:space="preserve"> un</w:t>
            </w:r>
            <w:r w:rsidR="004838D7" w:rsidRPr="00F03935">
              <w:rPr>
                <w:szCs w:val="20"/>
              </w:rPr>
              <w:t xml:space="preserve"> </w:t>
            </w:r>
            <w:r w:rsidR="00A610D8" w:rsidRPr="00F03935">
              <w:rPr>
                <w:szCs w:val="20"/>
              </w:rPr>
              <w:t xml:space="preserve">kas </w:t>
            </w:r>
            <w:r>
              <w:rPr>
                <w:szCs w:val="20"/>
              </w:rPr>
              <w:t xml:space="preserve">ir </w:t>
            </w:r>
            <w:r w:rsidR="00A55D5C" w:rsidRPr="00F03935">
              <w:rPr>
                <w:szCs w:val="20"/>
              </w:rPr>
              <w:t>pieņemtas</w:t>
            </w:r>
            <w:r>
              <w:rPr>
                <w:szCs w:val="20"/>
              </w:rPr>
              <w:t>,</w:t>
            </w:r>
            <w:r w:rsidR="00A610D8" w:rsidRPr="00F03935">
              <w:rPr>
                <w:szCs w:val="20"/>
              </w:rPr>
              <w:t xml:space="preserve"> </w:t>
            </w:r>
            <w:r w:rsidR="004838D7" w:rsidRPr="00F03935">
              <w:rPr>
                <w:szCs w:val="20"/>
              </w:rPr>
              <w:t>ieviešot Eiropas Savienības direktīvas:</w:t>
            </w:r>
          </w:p>
          <w:p w:rsidR="004838D7" w:rsidRPr="00F03935" w:rsidRDefault="004838D7" w:rsidP="00761B06">
            <w:pPr>
              <w:pStyle w:val="ListParagraph"/>
              <w:numPr>
                <w:ilvl w:val="0"/>
                <w:numId w:val="23"/>
              </w:numPr>
              <w:jc w:val="both"/>
              <w:rPr>
                <w:sz w:val="24"/>
                <w:szCs w:val="24"/>
              </w:rPr>
            </w:pPr>
            <w:r w:rsidRPr="00F03935">
              <w:rPr>
                <w:sz w:val="24"/>
                <w:szCs w:val="24"/>
              </w:rPr>
              <w:t>Eiropas Parlamenta un Padomes 2002.gada 6.jūnija direktīv</w:t>
            </w:r>
            <w:r w:rsidR="00377A16">
              <w:rPr>
                <w:sz w:val="24"/>
                <w:szCs w:val="24"/>
              </w:rPr>
              <w:t>a</w:t>
            </w:r>
            <w:r w:rsidRPr="00F03935">
              <w:rPr>
                <w:sz w:val="24"/>
                <w:szCs w:val="24"/>
              </w:rPr>
              <w:t xml:space="preserve"> </w:t>
            </w:r>
            <w:r w:rsidRPr="00F03935">
              <w:rPr>
                <w:rFonts w:eastAsia="Calibri"/>
                <w:sz w:val="24"/>
                <w:szCs w:val="24"/>
              </w:rPr>
              <w:t>2002/47/EK</w:t>
            </w:r>
            <w:r w:rsidRPr="00F03935">
              <w:rPr>
                <w:sz w:val="24"/>
                <w:szCs w:val="24"/>
              </w:rPr>
              <w:t xml:space="preserve"> par finanšu nodrošinājuma līgumiem;</w:t>
            </w:r>
          </w:p>
          <w:p w:rsidR="004838D7" w:rsidRPr="00F03935" w:rsidRDefault="004838D7" w:rsidP="00761B06">
            <w:pPr>
              <w:pStyle w:val="ListParagraph"/>
              <w:numPr>
                <w:ilvl w:val="0"/>
                <w:numId w:val="23"/>
              </w:numPr>
              <w:jc w:val="both"/>
              <w:rPr>
                <w:sz w:val="24"/>
                <w:szCs w:val="24"/>
              </w:rPr>
            </w:pPr>
            <w:r w:rsidRPr="00F03935">
              <w:rPr>
                <w:sz w:val="24"/>
                <w:szCs w:val="24"/>
              </w:rPr>
              <w:t>Eiropas Parlamenta un Padomes 2014.gada 15.maija direktīv</w:t>
            </w:r>
            <w:r w:rsidR="00377A16">
              <w:rPr>
                <w:sz w:val="24"/>
                <w:szCs w:val="24"/>
              </w:rPr>
              <w:t>a</w:t>
            </w:r>
            <w:r w:rsidRPr="00F03935">
              <w:rPr>
                <w:sz w:val="24"/>
                <w:szCs w:val="24"/>
              </w:rPr>
              <w:t xml:space="preserve"> 2014/65/ES par finanšu instrumentu tirgiem un ar ko groza Direktīvu 2002/92/ES un Direktīvu 2011/61/ES;</w:t>
            </w:r>
          </w:p>
          <w:p w:rsidR="004838D7" w:rsidRPr="00566694" w:rsidRDefault="005A493B" w:rsidP="00761B06">
            <w:pPr>
              <w:pStyle w:val="ListParagraph"/>
              <w:numPr>
                <w:ilvl w:val="0"/>
                <w:numId w:val="23"/>
              </w:numPr>
              <w:jc w:val="both"/>
              <w:rPr>
                <w:rStyle w:val="Hyperlink"/>
                <w:color w:val="auto"/>
                <w:sz w:val="24"/>
                <w:szCs w:val="24"/>
                <w:u w:val="none"/>
              </w:rPr>
            </w:pPr>
            <w:r w:rsidRPr="00F03935">
              <w:rPr>
                <w:sz w:val="24"/>
                <w:szCs w:val="24"/>
              </w:rPr>
              <w:t xml:space="preserve">Eiropas Parlamenta un Padomes 2014.gada 15.maija direktīva </w:t>
            </w:r>
            <w:r w:rsidRPr="00F03935">
              <w:rPr>
                <w:rFonts w:eastAsia="Calibri"/>
                <w:sz w:val="24"/>
                <w:szCs w:val="24"/>
              </w:rPr>
              <w:t>2014/59/ES</w:t>
            </w:r>
            <w:r w:rsidRPr="00F03935">
              <w:rPr>
                <w:sz w:val="24"/>
                <w:szCs w:val="24"/>
              </w:rPr>
              <w:t xml:space="preserve">, ar ko izveido kredītiestāžu un ieguldījumu brokeru sabiedrību atveseļošanas un noregulējuma režīmu un groza Padomes direktīvu </w:t>
            </w:r>
            <w:r w:rsidRPr="00F03935">
              <w:rPr>
                <w:rFonts w:eastAsia="Calibri"/>
                <w:sz w:val="24"/>
                <w:szCs w:val="24"/>
              </w:rPr>
              <w:t>82/891/EEK</w:t>
            </w:r>
            <w:r w:rsidRPr="00F03935">
              <w:rPr>
                <w:sz w:val="24"/>
                <w:szCs w:val="24"/>
              </w:rPr>
              <w:t xml:space="preserve"> un Eiropas Parlamenta un Padomes direktīvas </w:t>
            </w:r>
            <w:r w:rsidRPr="00F03935">
              <w:rPr>
                <w:rFonts w:eastAsia="Calibri"/>
                <w:sz w:val="24"/>
                <w:szCs w:val="24"/>
              </w:rPr>
              <w:t>2001/24/EK</w:t>
            </w:r>
            <w:r w:rsidRPr="00F03935">
              <w:rPr>
                <w:sz w:val="24"/>
                <w:szCs w:val="24"/>
              </w:rPr>
              <w:t xml:space="preserve">, 2002/47/EK, </w:t>
            </w:r>
            <w:r w:rsidRPr="00F03935">
              <w:rPr>
                <w:sz w:val="24"/>
                <w:szCs w:val="24"/>
              </w:rPr>
              <w:lastRenderedPageBreak/>
              <w:t>2004/25/EK, 2005/56/EK, 2007/36/EK, 2011/35/ES, 2012/30/ES un 2013/36/ES, un Eiropas Parlamenta un Padomes regulas (ES) Nr.</w:t>
            </w:r>
            <w:r w:rsidR="00E1238F">
              <w:rPr>
                <w:sz w:val="24"/>
                <w:szCs w:val="24"/>
              </w:rPr>
              <w:t> </w:t>
            </w:r>
            <w:r w:rsidRPr="00F03935">
              <w:rPr>
                <w:rFonts w:eastAsia="Calibri"/>
                <w:sz w:val="24"/>
                <w:szCs w:val="24"/>
              </w:rPr>
              <w:t>1093/2010</w:t>
            </w:r>
            <w:r w:rsidRPr="00F03935">
              <w:rPr>
                <w:sz w:val="24"/>
                <w:szCs w:val="24"/>
              </w:rPr>
              <w:t xml:space="preserve"> un (ES) Nr.</w:t>
            </w:r>
            <w:r w:rsidR="008C6BF0">
              <w:rPr>
                <w:sz w:val="24"/>
                <w:szCs w:val="24"/>
              </w:rPr>
              <w:t> </w:t>
            </w:r>
            <w:r w:rsidRPr="00F03935">
              <w:rPr>
                <w:rFonts w:eastAsia="Calibri"/>
                <w:sz w:val="24"/>
                <w:szCs w:val="24"/>
              </w:rPr>
              <w:t>648/2012</w:t>
            </w:r>
            <w:r w:rsidR="00566694" w:rsidRPr="006828E6">
              <w:rPr>
                <w:rStyle w:val="Hyperlink"/>
                <w:rFonts w:eastAsia="Calibri"/>
                <w:color w:val="auto"/>
                <w:sz w:val="24"/>
                <w:szCs w:val="24"/>
                <w:u w:val="none"/>
              </w:rPr>
              <w:t>.</w:t>
            </w:r>
          </w:p>
          <w:p w:rsidR="00761B06" w:rsidRPr="009E0C2E" w:rsidRDefault="00186265" w:rsidP="009E0C2E">
            <w:pPr>
              <w:ind w:firstLine="346"/>
              <w:jc w:val="both"/>
            </w:pPr>
            <w:r>
              <w:rPr>
                <w:rStyle w:val="Hyperlink"/>
                <w:color w:val="auto"/>
                <w:u w:val="none"/>
              </w:rPr>
              <w:t>Tāpat a</w:t>
            </w:r>
            <w:r w:rsidR="00566694">
              <w:rPr>
                <w:rStyle w:val="Hyperlink"/>
                <w:color w:val="auto"/>
                <w:u w:val="none"/>
              </w:rPr>
              <w:t xml:space="preserve">tsevišķus izslēdzošā ieskaita </w:t>
            </w:r>
            <w:r w:rsidR="00E1238F">
              <w:rPr>
                <w:rStyle w:val="Hyperlink"/>
                <w:color w:val="auto"/>
                <w:u w:val="none"/>
              </w:rPr>
              <w:t xml:space="preserve">piemērošanas </w:t>
            </w:r>
            <w:r w:rsidR="00566694">
              <w:rPr>
                <w:rStyle w:val="Hyperlink"/>
                <w:color w:val="auto"/>
                <w:u w:val="none"/>
              </w:rPr>
              <w:t xml:space="preserve">aspektus regulē arī </w:t>
            </w:r>
            <w:r w:rsidR="00566694" w:rsidRPr="00F03935">
              <w:t>Eiropas Parlamenta un Padomes 2013.gada 26.jūnij</w:t>
            </w:r>
            <w:r w:rsidR="00566694">
              <w:t>a</w:t>
            </w:r>
            <w:r w:rsidR="00566694" w:rsidRPr="00F03935">
              <w:t xml:space="preserve"> regula (ES) Nr.</w:t>
            </w:r>
            <w:r w:rsidR="00E1238F">
              <w:t> </w:t>
            </w:r>
            <w:r w:rsidR="00566694" w:rsidRPr="00F03935">
              <w:t>575/2013 par prudenciālajām prasībām attiecībā uz kredītiestādēm un ieguldījumu brokeru sabiedrībām</w:t>
            </w:r>
            <w:r w:rsidR="00E1238F">
              <w:t>.</w:t>
            </w:r>
          </w:p>
          <w:p w:rsidR="00EB1430" w:rsidRPr="00F03935" w:rsidRDefault="00B0242A" w:rsidP="00EB1430">
            <w:pPr>
              <w:ind w:firstLine="346"/>
              <w:jc w:val="both"/>
              <w:rPr>
                <w:szCs w:val="20"/>
              </w:rPr>
            </w:pPr>
            <w:r w:rsidRPr="00F03935">
              <w:rPr>
                <w:szCs w:val="20"/>
              </w:rPr>
              <w:t xml:space="preserve">Lai gan </w:t>
            </w:r>
            <w:r w:rsidR="002E59F7">
              <w:rPr>
                <w:szCs w:val="20"/>
              </w:rPr>
              <w:t xml:space="preserve">pašlaik ar </w:t>
            </w:r>
            <w:r w:rsidR="002E59F7" w:rsidRPr="00F03935">
              <w:rPr>
                <w:szCs w:val="20"/>
              </w:rPr>
              <w:t>iepriekš minēt</w:t>
            </w:r>
            <w:r w:rsidR="002E59F7">
              <w:rPr>
                <w:szCs w:val="20"/>
              </w:rPr>
              <w:t>ajiem</w:t>
            </w:r>
            <w:r w:rsidR="002E59F7" w:rsidRPr="00F03935">
              <w:rPr>
                <w:szCs w:val="20"/>
              </w:rPr>
              <w:t xml:space="preserve"> tiesību akti</w:t>
            </w:r>
            <w:r w:rsidR="002E59F7">
              <w:rPr>
                <w:szCs w:val="20"/>
              </w:rPr>
              <w:t xml:space="preserve">em </w:t>
            </w:r>
            <w:r w:rsidR="002E59F7" w:rsidRPr="00F03935">
              <w:rPr>
                <w:szCs w:val="20"/>
              </w:rPr>
              <w:t xml:space="preserve">atsevišķās jomās </w:t>
            </w:r>
            <w:r w:rsidRPr="00F03935">
              <w:rPr>
                <w:szCs w:val="20"/>
              </w:rPr>
              <w:t>i</w:t>
            </w:r>
            <w:r w:rsidR="00A55D5C" w:rsidRPr="00F03935">
              <w:rPr>
                <w:szCs w:val="20"/>
              </w:rPr>
              <w:t>zslēdzoš</w:t>
            </w:r>
            <w:r w:rsidR="002E59F7">
              <w:rPr>
                <w:szCs w:val="20"/>
              </w:rPr>
              <w:t>ais ieskaits tiek</w:t>
            </w:r>
            <w:r w:rsidR="002E59F7" w:rsidRPr="00F03935">
              <w:rPr>
                <w:szCs w:val="20"/>
              </w:rPr>
              <w:t xml:space="preserve"> regulē</w:t>
            </w:r>
            <w:r w:rsidR="00952B33">
              <w:rPr>
                <w:szCs w:val="20"/>
              </w:rPr>
              <w:t>ts</w:t>
            </w:r>
            <w:r w:rsidR="00A55D5C" w:rsidRPr="00F03935">
              <w:rPr>
                <w:szCs w:val="20"/>
              </w:rPr>
              <w:t>,</w:t>
            </w:r>
            <w:r w:rsidR="002A5FCF">
              <w:rPr>
                <w:szCs w:val="20"/>
              </w:rPr>
              <w:t xml:space="preserve"> esošais regulējums </w:t>
            </w:r>
            <w:r w:rsidR="00241D99">
              <w:rPr>
                <w:szCs w:val="20"/>
              </w:rPr>
              <w:t xml:space="preserve">Latvijā </w:t>
            </w:r>
            <w:r w:rsidR="002A5FCF">
              <w:rPr>
                <w:szCs w:val="20"/>
              </w:rPr>
              <w:t>tikai ierobežotos gadījumos un tikai atsevišķiem finanšu tirgus dalībniekiem ļauj piemērot izslēdzošo ieskaitu atvasināto finanšu instrumentu darījumos.</w:t>
            </w:r>
            <w:r w:rsidR="00103100">
              <w:rPr>
                <w:szCs w:val="20"/>
              </w:rPr>
              <w:t xml:space="preserve"> Tā kā </w:t>
            </w:r>
            <w:r w:rsidR="00103100" w:rsidRPr="00F03935">
              <w:rPr>
                <w:szCs w:val="20"/>
              </w:rPr>
              <w:t>visaptveroš</w:t>
            </w:r>
            <w:r w:rsidR="00103100">
              <w:rPr>
                <w:szCs w:val="20"/>
              </w:rPr>
              <w:t xml:space="preserve">i izslēdzošā ieskaita piemērošana netiek regulēta arī </w:t>
            </w:r>
            <w:r w:rsidR="00A55D5C" w:rsidRPr="00F03935">
              <w:rPr>
                <w:szCs w:val="20"/>
              </w:rPr>
              <w:t>Eiropas Savienības</w:t>
            </w:r>
            <w:r w:rsidR="005A493B" w:rsidRPr="00F03935">
              <w:rPr>
                <w:szCs w:val="20"/>
              </w:rPr>
              <w:t xml:space="preserve"> </w:t>
            </w:r>
            <w:r w:rsidR="00103100">
              <w:rPr>
                <w:szCs w:val="20"/>
              </w:rPr>
              <w:t>tiesību aktu līmenī, tad v</w:t>
            </w:r>
            <w:r w:rsidR="002E59F7">
              <w:rPr>
                <w:szCs w:val="20"/>
              </w:rPr>
              <w:t xml:space="preserve">airums dalībvalstu </w:t>
            </w:r>
            <w:r w:rsidR="00103100" w:rsidRPr="00F03935">
              <w:rPr>
                <w:szCs w:val="20"/>
              </w:rPr>
              <w:t xml:space="preserve">savos nacionālajos tiesību aktos </w:t>
            </w:r>
            <w:r w:rsidR="00A749E0" w:rsidRPr="00F03935">
              <w:rPr>
                <w:szCs w:val="20"/>
              </w:rPr>
              <w:t>ir</w:t>
            </w:r>
            <w:r w:rsidR="005A493B" w:rsidRPr="00F03935">
              <w:rPr>
                <w:szCs w:val="20"/>
              </w:rPr>
              <w:t xml:space="preserve"> paredz</w:t>
            </w:r>
            <w:r w:rsidR="00A749E0" w:rsidRPr="00F03935">
              <w:rPr>
                <w:szCs w:val="20"/>
              </w:rPr>
              <w:t>ējušas</w:t>
            </w:r>
            <w:r w:rsidR="002E59F7">
              <w:rPr>
                <w:szCs w:val="20"/>
              </w:rPr>
              <w:t xml:space="preserve"> </w:t>
            </w:r>
            <w:r w:rsidR="002C6B4C">
              <w:rPr>
                <w:szCs w:val="20"/>
              </w:rPr>
              <w:t xml:space="preserve">speciālu </w:t>
            </w:r>
            <w:r w:rsidR="002E59F7">
              <w:rPr>
                <w:szCs w:val="20"/>
              </w:rPr>
              <w:t xml:space="preserve">regulējumu, </w:t>
            </w:r>
            <w:r w:rsidR="00364D5D">
              <w:rPr>
                <w:szCs w:val="20"/>
              </w:rPr>
              <w:t>iekļaujot</w:t>
            </w:r>
            <w:r w:rsidR="002E59F7">
              <w:rPr>
                <w:szCs w:val="20"/>
              </w:rPr>
              <w:t xml:space="preserve"> </w:t>
            </w:r>
            <w:r w:rsidR="00A610D8" w:rsidRPr="00F03935">
              <w:rPr>
                <w:szCs w:val="20"/>
              </w:rPr>
              <w:t>īpašus</w:t>
            </w:r>
            <w:r w:rsidR="005A493B" w:rsidRPr="00F03935">
              <w:rPr>
                <w:szCs w:val="20"/>
              </w:rPr>
              <w:t xml:space="preserve"> noteikumus</w:t>
            </w:r>
            <w:r w:rsidR="006C22C5" w:rsidRPr="00F03935">
              <w:rPr>
                <w:szCs w:val="20"/>
              </w:rPr>
              <w:t xml:space="preserve"> attiecībā uz atvasinātajiem finanšu instrumentiem (derivatīviem)</w:t>
            </w:r>
            <w:r w:rsidR="002E59F7">
              <w:rPr>
                <w:szCs w:val="20"/>
              </w:rPr>
              <w:t xml:space="preserve"> un</w:t>
            </w:r>
            <w:r w:rsidR="005A493B" w:rsidRPr="00F03935">
              <w:rPr>
                <w:szCs w:val="20"/>
              </w:rPr>
              <w:t xml:space="preserve"> aizsargājot izslēdzošā ieskaita līguma dalībniekus</w:t>
            </w:r>
            <w:r w:rsidR="00103100">
              <w:rPr>
                <w:szCs w:val="20"/>
              </w:rPr>
              <w:t>. Starptautiskajā finanšu tirgū tiek vispārīgi atzīti</w:t>
            </w:r>
            <w:r w:rsidR="00EB1430" w:rsidRPr="00F03935">
              <w:rPr>
                <w:szCs w:val="20"/>
              </w:rPr>
              <w:t xml:space="preserve"> izslēdzošā ieskaita </w:t>
            </w:r>
            <w:r w:rsidR="00103100" w:rsidRPr="00F03935">
              <w:rPr>
                <w:szCs w:val="20"/>
              </w:rPr>
              <w:t>ieguvum</w:t>
            </w:r>
            <w:r w:rsidR="00103100">
              <w:rPr>
                <w:szCs w:val="20"/>
              </w:rPr>
              <w:t>i</w:t>
            </w:r>
            <w:r w:rsidR="00103100" w:rsidRPr="00F03935">
              <w:rPr>
                <w:szCs w:val="20"/>
              </w:rPr>
              <w:t xml:space="preserve"> </w:t>
            </w:r>
            <w:r w:rsidR="00EB1430" w:rsidRPr="00F03935">
              <w:rPr>
                <w:szCs w:val="20"/>
              </w:rPr>
              <w:t xml:space="preserve">finanšu sistēmai kopumā –  riska mazināšana  un finanšu instrumentu darījumu dalībnieku aizsardzība pret nelabvēlīgiem notikumiem tirgū, piemēram, </w:t>
            </w:r>
            <w:r w:rsidR="002E59F7">
              <w:rPr>
                <w:szCs w:val="20"/>
              </w:rPr>
              <w:t>sakarā ar</w:t>
            </w:r>
            <w:r w:rsidR="00EB1430" w:rsidRPr="00F03935">
              <w:rPr>
                <w:szCs w:val="20"/>
              </w:rPr>
              <w:t xml:space="preserve"> kādas darījuma puses saistību ne</w:t>
            </w:r>
            <w:r w:rsidR="002E59F7">
              <w:rPr>
                <w:szCs w:val="20"/>
              </w:rPr>
              <w:t>izpildi</w:t>
            </w:r>
            <w:r w:rsidR="00103100">
              <w:rPr>
                <w:szCs w:val="20"/>
              </w:rPr>
              <w:t xml:space="preserve"> maksātnespējas gadījumā</w:t>
            </w:r>
            <w:r w:rsidR="002E59F7">
              <w:rPr>
                <w:szCs w:val="20"/>
              </w:rPr>
              <w:t xml:space="preserve">. </w:t>
            </w:r>
            <w:r w:rsidR="00103100">
              <w:rPr>
                <w:szCs w:val="20"/>
              </w:rPr>
              <w:t xml:space="preserve">Izslēdzošā ieskaita piemērošana </w:t>
            </w:r>
            <w:r w:rsidR="002C6B4C">
              <w:rPr>
                <w:szCs w:val="20"/>
              </w:rPr>
              <w:t xml:space="preserve">tajās </w:t>
            </w:r>
            <w:r w:rsidR="00103100">
              <w:rPr>
                <w:szCs w:val="20"/>
              </w:rPr>
              <w:t>jurisdikcijās, kuras ir ieviesušas attiecīgu tiesisko regulējumu,</w:t>
            </w:r>
            <w:r w:rsidR="002E59F7">
              <w:rPr>
                <w:szCs w:val="20"/>
              </w:rPr>
              <w:t xml:space="preserve"> ievērojami</w:t>
            </w:r>
            <w:r w:rsidR="00EB1430" w:rsidRPr="00F03935">
              <w:rPr>
                <w:szCs w:val="20"/>
              </w:rPr>
              <w:t xml:space="preserve"> ma</w:t>
            </w:r>
            <w:r w:rsidR="002E59F7">
              <w:rPr>
                <w:szCs w:val="20"/>
              </w:rPr>
              <w:t xml:space="preserve">zina sistēmisko risku un </w:t>
            </w:r>
            <w:r w:rsidR="00EB1430" w:rsidRPr="00F03935">
              <w:rPr>
                <w:szCs w:val="20"/>
              </w:rPr>
              <w:t>domino efektu, kad viens darījums, kur</w:t>
            </w:r>
            <w:r w:rsidR="00241D99">
              <w:rPr>
                <w:szCs w:val="20"/>
              </w:rPr>
              <w:t>am</w:t>
            </w:r>
            <w:r w:rsidR="00EB1430" w:rsidRPr="00F03935">
              <w:rPr>
                <w:szCs w:val="20"/>
              </w:rPr>
              <w:t xml:space="preserve"> iestājusies saistību </w:t>
            </w:r>
            <w:r w:rsidR="002E59F7">
              <w:rPr>
                <w:szCs w:val="20"/>
              </w:rPr>
              <w:t>n</w:t>
            </w:r>
            <w:r w:rsidR="00EB1430" w:rsidRPr="00F03935">
              <w:rPr>
                <w:szCs w:val="20"/>
              </w:rPr>
              <w:t>eizpilde, var izraisīt tam sekojošu saistību neizpildes notikumu virkni.</w:t>
            </w:r>
            <w:r w:rsidR="00EB1430" w:rsidRPr="00F03935">
              <w:rPr>
                <w:rStyle w:val="FootnoteReference"/>
                <w:szCs w:val="20"/>
              </w:rPr>
              <w:footnoteReference w:id="1"/>
            </w:r>
          </w:p>
          <w:p w:rsidR="00CC408C" w:rsidRDefault="00A610D8" w:rsidP="002C6B4C">
            <w:pPr>
              <w:ind w:firstLine="346"/>
              <w:jc w:val="both"/>
              <w:rPr>
                <w:szCs w:val="20"/>
              </w:rPr>
            </w:pPr>
            <w:r w:rsidRPr="00F03935">
              <w:rPr>
                <w:szCs w:val="20"/>
              </w:rPr>
              <w:t>Latvija ir viena no pēdējām Eiropas Savienības jurisdikcijām, kur</w:t>
            </w:r>
            <w:r w:rsidR="00F24518" w:rsidRPr="00F03935">
              <w:rPr>
                <w:szCs w:val="20"/>
              </w:rPr>
              <w:t>ās</w:t>
            </w:r>
            <w:r w:rsidRPr="00F03935">
              <w:rPr>
                <w:szCs w:val="20"/>
              </w:rPr>
              <w:t xml:space="preserve"> visaptverošs izslēdzošā ieskaita tiesiskais regulējums </w:t>
            </w:r>
            <w:r w:rsidR="00A749E0" w:rsidRPr="00F03935">
              <w:rPr>
                <w:szCs w:val="20"/>
              </w:rPr>
              <w:t xml:space="preserve">attiecībā uz atvasinātajiem finanšu instrumentiem </w:t>
            </w:r>
            <w:r w:rsidRPr="00F03935">
              <w:rPr>
                <w:szCs w:val="20"/>
              </w:rPr>
              <w:t>vēl nav ieviests.</w:t>
            </w:r>
            <w:r w:rsidR="002E59F7">
              <w:rPr>
                <w:szCs w:val="20"/>
              </w:rPr>
              <w:t xml:space="preserve"> </w:t>
            </w:r>
            <w:r w:rsidR="00A749E0" w:rsidRPr="00F03935">
              <w:rPr>
                <w:szCs w:val="20"/>
              </w:rPr>
              <w:t>Attiecīgā</w:t>
            </w:r>
            <w:r w:rsidR="00064A5F" w:rsidRPr="00F03935">
              <w:rPr>
                <w:szCs w:val="20"/>
              </w:rPr>
              <w:t xml:space="preserve"> regulējuma trūkums </w:t>
            </w:r>
            <w:r w:rsidR="002C6B4C">
              <w:rPr>
                <w:szCs w:val="20"/>
              </w:rPr>
              <w:t xml:space="preserve">Latvijas finanšu tirgus dalībniekus, kuri izmanto atvasinātos finanšu instrumentus, pakļauj lielākam sistēmiskajam riskam, salīdzinot ar citu valstu, kurās šāds regulējums pastāv, tirgus dalībniekiem. Regulējuma neesamība </w:t>
            </w:r>
            <w:r w:rsidR="00493E1E">
              <w:rPr>
                <w:szCs w:val="20"/>
              </w:rPr>
              <w:t>arī kavē Latvijas finanšu tirgus dalībnieku un citu lielo sabiedrību iespējas piesaistīt lētāku finansējumu gadījumos, kad otr</w:t>
            </w:r>
            <w:r w:rsidR="00CF7D8B">
              <w:rPr>
                <w:szCs w:val="20"/>
              </w:rPr>
              <w:t>s</w:t>
            </w:r>
            <w:r w:rsidR="00493E1E">
              <w:rPr>
                <w:szCs w:val="20"/>
              </w:rPr>
              <w:t xml:space="preserve"> lī</w:t>
            </w:r>
            <w:r w:rsidR="00CF7D8B">
              <w:rPr>
                <w:szCs w:val="20"/>
              </w:rPr>
              <w:t>dzējs</w:t>
            </w:r>
            <w:r w:rsidR="00493E1E">
              <w:rPr>
                <w:szCs w:val="20"/>
              </w:rPr>
              <w:t xml:space="preserve"> ir no jurisdikcij</w:t>
            </w:r>
            <w:r w:rsidR="00CF7D8B">
              <w:rPr>
                <w:szCs w:val="20"/>
              </w:rPr>
              <w:t>as</w:t>
            </w:r>
            <w:r w:rsidR="00493E1E">
              <w:rPr>
                <w:szCs w:val="20"/>
              </w:rPr>
              <w:t>, kurā pastāv šāds regulējums</w:t>
            </w:r>
            <w:r w:rsidR="00311EEB">
              <w:rPr>
                <w:szCs w:val="20"/>
              </w:rPr>
              <w:t xml:space="preserve">, jo </w:t>
            </w:r>
            <w:r w:rsidR="00311EEB" w:rsidRPr="00F03935">
              <w:t>izslēdzošā ieskaita regulējuma neesamība kā risks ir iekļauts jebkura atvasinātā finanšu instrumenta cenā.</w:t>
            </w:r>
            <w:r w:rsidR="00493E1E">
              <w:rPr>
                <w:szCs w:val="20"/>
              </w:rPr>
              <w:t xml:space="preserve"> Attiecīga regulējuma neesamība arī </w:t>
            </w:r>
            <w:r w:rsidR="002C6B4C">
              <w:rPr>
                <w:szCs w:val="20"/>
              </w:rPr>
              <w:t>kopumā pakļauj lielākam domino efektam Latvijas finanšu nozari, piemēram, finanšu krīzes apstākļos.</w:t>
            </w:r>
            <w:r w:rsidR="00EC44F0">
              <w:rPr>
                <w:szCs w:val="20"/>
              </w:rPr>
              <w:t xml:space="preserve"> </w:t>
            </w:r>
            <w:r w:rsidR="001B2504">
              <w:rPr>
                <w:szCs w:val="20"/>
              </w:rPr>
              <w:t>I</w:t>
            </w:r>
            <w:r w:rsidR="00EC44F0">
              <w:rPr>
                <w:szCs w:val="20"/>
              </w:rPr>
              <w:t>eviešot regulējumu, samazināsies Latvijas finanšu tirgus dalībnieku izmaksas saistībā ar kapitāla pie</w:t>
            </w:r>
            <w:r w:rsidR="001B2504">
              <w:rPr>
                <w:szCs w:val="20"/>
              </w:rPr>
              <w:t>tiekamības prasību izpildi, jo dos iespēju</w:t>
            </w:r>
            <w:r w:rsidR="00EC44F0">
              <w:rPr>
                <w:szCs w:val="20"/>
              </w:rPr>
              <w:t xml:space="preserve"> turēt mazāk kapitāla attiecībā pret riska svērtajiem aktīviem.</w:t>
            </w:r>
            <w:r w:rsidR="00CC408C" w:rsidRPr="00F03935">
              <w:rPr>
                <w:szCs w:val="20"/>
              </w:rPr>
              <w:t xml:space="preserve"> </w:t>
            </w:r>
          </w:p>
          <w:p w:rsidR="001B2504" w:rsidRDefault="00311EEB" w:rsidP="00A86C6A">
            <w:pPr>
              <w:ind w:firstLine="346"/>
              <w:jc w:val="both"/>
              <w:rPr>
                <w:szCs w:val="20"/>
              </w:rPr>
            </w:pPr>
            <w:r>
              <w:rPr>
                <w:szCs w:val="20"/>
              </w:rPr>
              <w:t xml:space="preserve">Likumprojekta izstrādes gaitā tika ņemts vērā </w:t>
            </w:r>
            <w:r w:rsidR="004E22D0" w:rsidRPr="00F03935">
              <w:rPr>
                <w:szCs w:val="20"/>
              </w:rPr>
              <w:t>Starptautiskās Mijmaiņas un Atvasināto Finanšu Instrumentu Asociācijas (</w:t>
            </w:r>
            <w:r w:rsidR="004E22D0" w:rsidRPr="00F03935">
              <w:rPr>
                <w:i/>
                <w:szCs w:val="20"/>
              </w:rPr>
              <w:t>International Swaps and Derivatives Association</w:t>
            </w:r>
            <w:r w:rsidR="004E22D0" w:rsidRPr="00F03935">
              <w:rPr>
                <w:szCs w:val="20"/>
              </w:rPr>
              <w:t xml:space="preserve">) (turpmāk – </w:t>
            </w:r>
            <w:r w:rsidR="004E22D0" w:rsidRPr="00F03935">
              <w:rPr>
                <w:b/>
                <w:szCs w:val="20"/>
              </w:rPr>
              <w:t>ISDA</w:t>
            </w:r>
            <w:r w:rsidR="004E22D0" w:rsidRPr="00F03935">
              <w:rPr>
                <w:szCs w:val="20"/>
              </w:rPr>
              <w:t xml:space="preserve">) </w:t>
            </w:r>
            <w:r w:rsidRPr="00F03935">
              <w:rPr>
                <w:szCs w:val="20"/>
              </w:rPr>
              <w:t>izdot</w:t>
            </w:r>
            <w:r>
              <w:rPr>
                <w:szCs w:val="20"/>
              </w:rPr>
              <w:t>ais</w:t>
            </w:r>
            <w:r w:rsidRPr="00F03935">
              <w:rPr>
                <w:szCs w:val="20"/>
              </w:rPr>
              <w:t xml:space="preserve"> likuma paraug</w:t>
            </w:r>
            <w:r>
              <w:rPr>
                <w:szCs w:val="20"/>
              </w:rPr>
              <w:t>s</w:t>
            </w:r>
            <w:r w:rsidRPr="00F03935">
              <w:rPr>
                <w:szCs w:val="20"/>
              </w:rPr>
              <w:t xml:space="preserve"> un vadlīnij</w:t>
            </w:r>
            <w:r>
              <w:rPr>
                <w:szCs w:val="20"/>
              </w:rPr>
              <w:t>as</w:t>
            </w:r>
            <w:r w:rsidRPr="00F03935">
              <w:rPr>
                <w:szCs w:val="20"/>
              </w:rPr>
              <w:t>.</w:t>
            </w:r>
            <w:r w:rsidRPr="00F03935">
              <w:rPr>
                <w:rStyle w:val="FootnoteReference"/>
                <w:szCs w:val="20"/>
              </w:rPr>
              <w:footnoteReference w:id="2"/>
            </w:r>
            <w:r w:rsidRPr="00F03935">
              <w:rPr>
                <w:szCs w:val="20"/>
              </w:rPr>
              <w:t xml:space="preserve"> T</w:t>
            </w:r>
            <w:r>
              <w:rPr>
                <w:szCs w:val="20"/>
              </w:rPr>
              <w:t>ādējādi Likumprojektā</w:t>
            </w:r>
            <w:r w:rsidRPr="00F03935">
              <w:rPr>
                <w:szCs w:val="20"/>
              </w:rPr>
              <w:t xml:space="preserve"> ietverti pamatprincipi, kur</w:t>
            </w:r>
            <w:r>
              <w:rPr>
                <w:szCs w:val="20"/>
              </w:rPr>
              <w:t>i</w:t>
            </w:r>
            <w:r w:rsidRPr="00F03935">
              <w:rPr>
                <w:szCs w:val="20"/>
              </w:rPr>
              <w:t xml:space="preserve"> nodrošin</w:t>
            </w:r>
            <w:r>
              <w:rPr>
                <w:szCs w:val="20"/>
              </w:rPr>
              <w:t>a</w:t>
            </w:r>
            <w:r w:rsidRPr="00F03935">
              <w:rPr>
                <w:szCs w:val="20"/>
              </w:rPr>
              <w:t xml:space="preserve"> divpusēja izslēdzošā ieskaita </w:t>
            </w:r>
            <w:r>
              <w:rPr>
                <w:szCs w:val="20"/>
              </w:rPr>
              <w:t xml:space="preserve">efektīvu </w:t>
            </w:r>
            <w:r w:rsidRPr="00F03935">
              <w:rPr>
                <w:szCs w:val="20"/>
              </w:rPr>
              <w:t>piemērošanu</w:t>
            </w:r>
            <w:r w:rsidRPr="00F03935">
              <w:rPr>
                <w:rFonts w:cs="Helvetica"/>
                <w:szCs w:val="20"/>
              </w:rPr>
              <w:t>, tajā skaitā pārrobežu gadījumos</w:t>
            </w:r>
            <w:r>
              <w:rPr>
                <w:rFonts w:cs="Helvetica"/>
                <w:szCs w:val="20"/>
              </w:rPr>
              <w:t xml:space="preserve">. </w:t>
            </w:r>
            <w:r w:rsidRPr="00F03935">
              <w:t>Likumprojekts</w:t>
            </w:r>
            <w:r w:rsidRPr="00F03935">
              <w:rPr>
                <w:szCs w:val="20"/>
              </w:rPr>
              <w:t xml:space="preserve"> nodrošinās Latvijai lielāku iespēju saņemt pozitīvu </w:t>
            </w:r>
            <w:r w:rsidRPr="00F03935">
              <w:rPr>
                <w:szCs w:val="20"/>
              </w:rPr>
              <w:lastRenderedPageBreak/>
              <w:t>atzinumu no ISDA, kas veicinā</w:t>
            </w:r>
            <w:r>
              <w:rPr>
                <w:szCs w:val="20"/>
              </w:rPr>
              <w:t>s</w:t>
            </w:r>
            <w:r w:rsidRPr="00F03935">
              <w:rPr>
                <w:szCs w:val="20"/>
              </w:rPr>
              <w:t xml:space="preserve"> </w:t>
            </w:r>
            <w:r>
              <w:rPr>
                <w:szCs w:val="20"/>
              </w:rPr>
              <w:t>finanšu</w:t>
            </w:r>
            <w:r w:rsidRPr="00F03935">
              <w:rPr>
                <w:szCs w:val="20"/>
              </w:rPr>
              <w:t xml:space="preserve"> tirgus attīstību</w:t>
            </w:r>
            <w:r>
              <w:rPr>
                <w:szCs w:val="20"/>
              </w:rPr>
              <w:t xml:space="preserve"> un plašāku atvasināto finanšu instrumentu izmantošanu </w:t>
            </w:r>
            <w:r w:rsidR="001B2504">
              <w:rPr>
                <w:szCs w:val="20"/>
              </w:rPr>
              <w:t>mūsu valstī.</w:t>
            </w:r>
          </w:p>
          <w:p w:rsidR="00A53BE6" w:rsidRPr="00F03935" w:rsidRDefault="00E16977" w:rsidP="00A86C6A">
            <w:pPr>
              <w:ind w:firstLine="346"/>
              <w:jc w:val="both"/>
              <w:rPr>
                <w:szCs w:val="20"/>
              </w:rPr>
            </w:pPr>
            <w:r w:rsidRPr="00F03935">
              <w:rPr>
                <w:szCs w:val="20"/>
              </w:rPr>
              <w:t>Izslēdzošā ieskaita būtību raksturo tas, ka i</w:t>
            </w:r>
            <w:r w:rsidR="000B0C41" w:rsidRPr="00F03935">
              <w:rPr>
                <w:szCs w:val="20"/>
              </w:rPr>
              <w:t xml:space="preserve">zslēdzošais ieskaits </w:t>
            </w:r>
            <w:r w:rsidR="004B3A07" w:rsidRPr="00F03935">
              <w:rPr>
                <w:szCs w:val="20"/>
              </w:rPr>
              <w:t xml:space="preserve">tiek piemērots </w:t>
            </w:r>
            <w:r w:rsidR="000B0C41" w:rsidRPr="00F03935">
              <w:rPr>
                <w:szCs w:val="20"/>
              </w:rPr>
              <w:t>gadījumos, kad pusēm pastāv virkne saistību vienai pret otru un tās vienojas šīs saistības savstarpēji ieskaitīt kādā konkrētā brīdī pirms sākotnēji noteiktā norēķinu grafika</w:t>
            </w:r>
            <w:r w:rsidR="00A86C6A" w:rsidRPr="00F03935">
              <w:rPr>
                <w:szCs w:val="20"/>
              </w:rPr>
              <w:t>. T</w:t>
            </w:r>
            <w:r w:rsidR="000B0C41" w:rsidRPr="00F03935">
              <w:rPr>
                <w:szCs w:val="20"/>
              </w:rPr>
              <w:t>ipiski šo procesu ierosina kāds izbeigšanas gadījums</w:t>
            </w:r>
            <w:r w:rsidR="00A86C6A" w:rsidRPr="00F03935">
              <w:rPr>
                <w:szCs w:val="20"/>
              </w:rPr>
              <w:t xml:space="preserve"> </w:t>
            </w:r>
            <w:r w:rsidR="000B0C41" w:rsidRPr="00F03935">
              <w:rPr>
                <w:szCs w:val="20"/>
              </w:rPr>
              <w:t xml:space="preserve">(angliski starptautiskajā praksē parasti saukts – </w:t>
            </w:r>
            <w:r w:rsidR="009A7C90">
              <w:rPr>
                <w:spacing w:val="2"/>
                <w:shd w:val="clear" w:color="auto" w:fill="FFFFFF"/>
              </w:rPr>
              <w:t>„</w:t>
            </w:r>
            <w:r w:rsidR="00A86C6A" w:rsidRPr="00F03935">
              <w:rPr>
                <w:i/>
                <w:szCs w:val="20"/>
              </w:rPr>
              <w:t>termination event</w:t>
            </w:r>
            <w:r w:rsidR="000B0C41" w:rsidRPr="00F03935">
              <w:rPr>
                <w:szCs w:val="20"/>
              </w:rPr>
              <w:t>”)</w:t>
            </w:r>
            <w:r w:rsidR="00A86C6A" w:rsidRPr="00F03935">
              <w:rPr>
                <w:szCs w:val="20"/>
              </w:rPr>
              <w:t>,</w:t>
            </w:r>
            <w:r w:rsidR="000B0C41" w:rsidRPr="00F03935">
              <w:rPr>
                <w:szCs w:val="20"/>
              </w:rPr>
              <w:t xml:space="preserve"> piemēram, kad viens līdzējs pienācīgi neizpilda kādu savu saistību, kā rezultātā visi citi darījumi starp </w:t>
            </w:r>
            <w:r w:rsidR="004B3A07" w:rsidRPr="00F03935">
              <w:rPr>
                <w:szCs w:val="20"/>
              </w:rPr>
              <w:t xml:space="preserve">šo līdzēju un </w:t>
            </w:r>
            <w:r w:rsidR="00CB53F1" w:rsidRPr="00F03935">
              <w:rPr>
                <w:szCs w:val="20"/>
              </w:rPr>
              <w:t>otru</w:t>
            </w:r>
            <w:r w:rsidR="004B3A07" w:rsidRPr="00F03935">
              <w:rPr>
                <w:szCs w:val="20"/>
              </w:rPr>
              <w:t xml:space="preserve"> darījuma pusi </w:t>
            </w:r>
            <w:r w:rsidR="000B0C41" w:rsidRPr="00F03935">
              <w:rPr>
                <w:szCs w:val="20"/>
              </w:rPr>
              <w:t>tiek izbeigti ar saistību neizpildes brīdi.</w:t>
            </w:r>
            <w:r w:rsidR="00A86C6A" w:rsidRPr="00F03935">
              <w:rPr>
                <w:szCs w:val="20"/>
              </w:rPr>
              <w:t xml:space="preserve"> </w:t>
            </w:r>
            <w:r w:rsidR="00672296" w:rsidRPr="00F03935">
              <w:rPr>
                <w:szCs w:val="20"/>
              </w:rPr>
              <w:t>Tā kā puses pašas vienojas par izslēdzošā ieskaita noteikumiem, tajā skaitā arī attiecībā uz izbeigšanas gadījumu, tad izslēdzošais ieskaits var tikt piemērots gan situācijās, kad abas puses ir maksātspējīgas,</w:t>
            </w:r>
            <w:r w:rsidR="00493E1E">
              <w:rPr>
                <w:szCs w:val="20"/>
              </w:rPr>
              <w:t xml:space="preserve"> bet nepilda līguma saistības,</w:t>
            </w:r>
            <w:r w:rsidR="00672296" w:rsidRPr="00F03935">
              <w:rPr>
                <w:szCs w:val="20"/>
              </w:rPr>
              <w:t xml:space="preserve"> gan arī tad, ja </w:t>
            </w:r>
            <w:r w:rsidR="00EA1898" w:rsidRPr="00F03935">
              <w:rPr>
                <w:szCs w:val="20"/>
              </w:rPr>
              <w:t>viena</w:t>
            </w:r>
            <w:r w:rsidR="00672296" w:rsidRPr="00F03935">
              <w:rPr>
                <w:szCs w:val="20"/>
              </w:rPr>
              <w:t xml:space="preserve"> no pusēm </w:t>
            </w:r>
            <w:r w:rsidRPr="00F03935">
              <w:rPr>
                <w:szCs w:val="20"/>
              </w:rPr>
              <w:t>kļūst</w:t>
            </w:r>
            <w:r w:rsidR="00672296" w:rsidRPr="00F03935">
              <w:rPr>
                <w:szCs w:val="20"/>
              </w:rPr>
              <w:t xml:space="preserve"> maksāt</w:t>
            </w:r>
            <w:r w:rsidRPr="00F03935">
              <w:rPr>
                <w:szCs w:val="20"/>
              </w:rPr>
              <w:t>nespējīga</w:t>
            </w:r>
            <w:r w:rsidR="00672296" w:rsidRPr="00F03935">
              <w:rPr>
                <w:szCs w:val="20"/>
              </w:rPr>
              <w:t>. Ja viena no pusēm</w:t>
            </w:r>
            <w:r w:rsidR="00EA1898" w:rsidRPr="00F03935">
              <w:rPr>
                <w:szCs w:val="20"/>
              </w:rPr>
              <w:t xml:space="preserve"> </w:t>
            </w:r>
            <w:r w:rsidR="00672296" w:rsidRPr="00F03935">
              <w:rPr>
                <w:szCs w:val="20"/>
              </w:rPr>
              <w:t>piemēro izslēdzošo ieskaitu, t</w:t>
            </w:r>
            <w:r w:rsidR="00CB53F1" w:rsidRPr="00F03935">
              <w:rPr>
                <w:szCs w:val="20"/>
              </w:rPr>
              <w:t>ad tiek veikts a</w:t>
            </w:r>
            <w:r w:rsidR="000B0C41" w:rsidRPr="00F03935">
              <w:rPr>
                <w:szCs w:val="20"/>
              </w:rPr>
              <w:t>tlikuš</w:t>
            </w:r>
            <w:r w:rsidR="00CB53F1" w:rsidRPr="00F03935">
              <w:rPr>
                <w:szCs w:val="20"/>
              </w:rPr>
              <w:t>o</w:t>
            </w:r>
            <w:r w:rsidR="000B0C41" w:rsidRPr="00F03935">
              <w:rPr>
                <w:szCs w:val="20"/>
              </w:rPr>
              <w:t xml:space="preserve"> saistīb</w:t>
            </w:r>
            <w:r w:rsidR="00CB53F1" w:rsidRPr="00F03935">
              <w:rPr>
                <w:szCs w:val="20"/>
              </w:rPr>
              <w:t>u</w:t>
            </w:r>
            <w:r w:rsidR="000B0C41" w:rsidRPr="00F03935">
              <w:rPr>
                <w:szCs w:val="20"/>
              </w:rPr>
              <w:t xml:space="preserve"> </w:t>
            </w:r>
            <w:r w:rsidR="00CB53F1" w:rsidRPr="00F03935">
              <w:rPr>
                <w:szCs w:val="20"/>
              </w:rPr>
              <w:t>aprēķins</w:t>
            </w:r>
            <w:r w:rsidR="00672296" w:rsidRPr="00F03935">
              <w:rPr>
                <w:szCs w:val="20"/>
              </w:rPr>
              <w:t xml:space="preserve"> un,</w:t>
            </w:r>
            <w:r w:rsidR="000B0C41" w:rsidRPr="00F03935">
              <w:rPr>
                <w:szCs w:val="20"/>
              </w:rPr>
              <w:t xml:space="preserve"> pamatojoties uz tirgus vērtību, </w:t>
            </w:r>
            <w:r w:rsidR="00CB53F1" w:rsidRPr="00F03935">
              <w:rPr>
                <w:szCs w:val="20"/>
              </w:rPr>
              <w:t xml:space="preserve">summas tiek konvertētas vienā valūtā </w:t>
            </w:r>
            <w:r w:rsidR="000B0C41" w:rsidRPr="00F03935">
              <w:rPr>
                <w:szCs w:val="20"/>
              </w:rPr>
              <w:t>un tiek veikts šo savstarpējo saistību ieskaits</w:t>
            </w:r>
            <w:r w:rsidR="00672296" w:rsidRPr="00F03935">
              <w:rPr>
                <w:szCs w:val="20"/>
              </w:rPr>
              <w:t>.</w:t>
            </w:r>
            <w:r w:rsidR="0092763C" w:rsidRPr="00F03935">
              <w:rPr>
                <w:szCs w:val="20"/>
              </w:rPr>
              <w:t xml:space="preserve"> </w:t>
            </w:r>
            <w:r w:rsidR="00672296" w:rsidRPr="00F03935">
              <w:rPr>
                <w:szCs w:val="20"/>
              </w:rPr>
              <w:t>T</w:t>
            </w:r>
            <w:r w:rsidR="0092763C" w:rsidRPr="00F03935">
              <w:rPr>
                <w:szCs w:val="20"/>
              </w:rPr>
              <w:t>as līdzējs, kura maksājamā summa pārsniedz otra līdzēja maksājamo summu, veic norēķinu par šo pārsniegumu (neto saldo).</w:t>
            </w:r>
          </w:p>
          <w:p w:rsidR="00A86C6A" w:rsidRPr="00F03935" w:rsidRDefault="00B64A2E" w:rsidP="00270FCC">
            <w:pPr>
              <w:ind w:firstLine="346"/>
              <w:jc w:val="both"/>
              <w:rPr>
                <w:szCs w:val="20"/>
              </w:rPr>
            </w:pPr>
            <w:r w:rsidRPr="00F03935">
              <w:rPr>
                <w:szCs w:val="20"/>
              </w:rPr>
              <w:t xml:space="preserve">Izslēdzošā ieskaita </w:t>
            </w:r>
            <w:r w:rsidR="00270FCC" w:rsidRPr="00F03935">
              <w:rPr>
                <w:szCs w:val="20"/>
              </w:rPr>
              <w:t>mērķis ir samazināt atvērtos finanšu riskus (ekspozīciju) darījuma puses maksāt</w:t>
            </w:r>
            <w:r w:rsidR="00EA1898" w:rsidRPr="00F03935">
              <w:rPr>
                <w:szCs w:val="20"/>
              </w:rPr>
              <w:t>ne</w:t>
            </w:r>
            <w:r w:rsidR="00270FCC" w:rsidRPr="00F03935">
              <w:rPr>
                <w:szCs w:val="20"/>
              </w:rPr>
              <w:t xml:space="preserve">spējas gadījumā, tāpēc </w:t>
            </w:r>
            <w:r w:rsidR="007250B3" w:rsidRPr="00F03935">
              <w:rPr>
                <w:szCs w:val="20"/>
              </w:rPr>
              <w:t xml:space="preserve">izslēdzošā ieskaita regulējumā </w:t>
            </w:r>
            <w:r w:rsidR="00EA1898" w:rsidRPr="00F03935">
              <w:rPr>
                <w:szCs w:val="20"/>
              </w:rPr>
              <w:t xml:space="preserve">būtiski </w:t>
            </w:r>
            <w:r w:rsidR="00270FCC" w:rsidRPr="00F03935">
              <w:rPr>
                <w:szCs w:val="20"/>
              </w:rPr>
              <w:t>ir</w:t>
            </w:r>
            <w:r w:rsidR="00EA1898" w:rsidRPr="00F03935">
              <w:rPr>
                <w:szCs w:val="20"/>
              </w:rPr>
              <w:t xml:space="preserve"> normatīvi nostiprināt</w:t>
            </w:r>
            <w:r w:rsidR="00D647EB">
              <w:rPr>
                <w:szCs w:val="20"/>
              </w:rPr>
              <w:t>,</w:t>
            </w:r>
            <w:r w:rsidR="00E16977" w:rsidRPr="00F03935">
              <w:rPr>
                <w:szCs w:val="20"/>
              </w:rPr>
              <w:t xml:space="preserve"> </w:t>
            </w:r>
            <w:r w:rsidR="00D90BFE" w:rsidRPr="00F03935">
              <w:rPr>
                <w:szCs w:val="20"/>
              </w:rPr>
              <w:t xml:space="preserve">ka </w:t>
            </w:r>
            <w:r w:rsidRPr="00F03935">
              <w:rPr>
                <w:szCs w:val="20"/>
              </w:rPr>
              <w:t>nav piemērojami nekādi normatīvajos aktos ietverti noteikumi, kas attiecas uz tiesiskās aizsardzības, maksātnespējas vai likvidācijas procesu, attiecībām ar kreditoriem, līdzekļu apsaimniekošanu vai saglabāšanu vai jebkādu citu ar maksātnespēju saistītu pasākumu, kā arī nekādi citi normatīvajos aktos paredzēti noteikumi, kas varētu tikt piemēroti parādniekam un radīt šķēršļus izslēdzošā ieskaita piemērošanai.</w:t>
            </w:r>
          </w:p>
          <w:p w:rsidR="00797EA1" w:rsidRPr="00E01A63" w:rsidRDefault="00E16977" w:rsidP="00E01A63">
            <w:pPr>
              <w:ind w:firstLine="346"/>
              <w:jc w:val="both"/>
            </w:pPr>
            <w:r w:rsidRPr="00F03935">
              <w:rPr>
                <w:szCs w:val="20"/>
              </w:rPr>
              <w:t>T</w:t>
            </w:r>
            <w:r w:rsidR="004704CA" w:rsidRPr="00F03935">
              <w:rPr>
                <w:szCs w:val="20"/>
              </w:rPr>
              <w:t xml:space="preserve">iesisko seku ziņā </w:t>
            </w:r>
            <w:r w:rsidR="00B95E93">
              <w:rPr>
                <w:szCs w:val="20"/>
              </w:rPr>
              <w:t>izslēdzošajam ieskaitam</w:t>
            </w:r>
            <w:r w:rsidRPr="00F03935">
              <w:rPr>
                <w:szCs w:val="20"/>
              </w:rPr>
              <w:t xml:space="preserve"> </w:t>
            </w:r>
            <w:r w:rsidR="004704CA" w:rsidRPr="00F03935">
              <w:rPr>
                <w:szCs w:val="20"/>
              </w:rPr>
              <w:t>ir zināma līdzība ar Civillikumā regulēto ieskaitu</w:t>
            </w:r>
            <w:r w:rsidR="00422A6A" w:rsidRPr="00F03935">
              <w:rPr>
                <w:szCs w:val="20"/>
              </w:rPr>
              <w:t>.</w:t>
            </w:r>
            <w:r w:rsidR="004704CA" w:rsidRPr="00F03935">
              <w:rPr>
                <w:szCs w:val="20"/>
              </w:rPr>
              <w:t xml:space="preserve"> </w:t>
            </w:r>
            <w:r w:rsidR="005B6D4C">
              <w:rPr>
                <w:szCs w:val="20"/>
              </w:rPr>
              <w:t>Atbilstoši Civillikuma 1847.panta regulējumam p</w:t>
            </w:r>
            <w:r w:rsidR="005B6D4C">
              <w:t>arādnieks var, pret kreditora gribu, izlietot savu pretprasījumu tikai tad: 1)</w:t>
            </w:r>
            <w:r w:rsidR="00E01A63">
              <w:t> </w:t>
            </w:r>
            <w:r w:rsidR="005B6D4C">
              <w:t>ja abu prasījumu priekšmeti ir vienādas šķiras; 2)</w:t>
            </w:r>
            <w:r w:rsidR="00E01A63">
              <w:t> </w:t>
            </w:r>
            <w:r w:rsidR="005B6D4C">
              <w:t xml:space="preserve">ja abiem prasījumiem jau iestājies termiņš. Taču izslēdzošā ieskaita gadījumā </w:t>
            </w:r>
            <w:r w:rsidR="00241D99">
              <w:t xml:space="preserve">atbilstoši noslēgtā līguma noteikumiem </w:t>
            </w:r>
            <w:r w:rsidR="00CF7D8B">
              <w:t>viens līdzējs ir tiesīgs</w:t>
            </w:r>
            <w:r w:rsidR="005B6D4C">
              <w:t xml:space="preserve"> vienpusēji piemērot izslēdzošo ieskaitu </w:t>
            </w:r>
            <w:r w:rsidR="00E01A63">
              <w:t xml:space="preserve">arī gadījumos, ja prasījumu priekšmeti ir dažādas šķiras vai prasījumiem nav iestājies termiņš. </w:t>
            </w:r>
            <w:r w:rsidR="00976FF4">
              <w:rPr>
                <w:szCs w:val="20"/>
              </w:rPr>
              <w:t xml:space="preserve">Starptautiskajā finanšu praksē izmantoto </w:t>
            </w:r>
            <w:r w:rsidR="00D1741C">
              <w:rPr>
                <w:szCs w:val="20"/>
              </w:rPr>
              <w:t>i</w:t>
            </w:r>
            <w:r w:rsidR="00D1741C" w:rsidRPr="00F03935">
              <w:rPr>
                <w:szCs w:val="20"/>
              </w:rPr>
              <w:t>zslēdzoš</w:t>
            </w:r>
            <w:r w:rsidR="00D1741C">
              <w:rPr>
                <w:szCs w:val="20"/>
              </w:rPr>
              <w:t xml:space="preserve">ā ieskaita </w:t>
            </w:r>
            <w:r w:rsidR="00976FF4">
              <w:rPr>
                <w:szCs w:val="20"/>
              </w:rPr>
              <w:t xml:space="preserve">līgumu būtiska </w:t>
            </w:r>
            <w:r w:rsidR="00D1741C">
              <w:rPr>
                <w:szCs w:val="20"/>
              </w:rPr>
              <w:t xml:space="preserve">iezīme ir tāda, ka </w:t>
            </w:r>
            <w:r w:rsidR="00B95E93">
              <w:rPr>
                <w:szCs w:val="20"/>
              </w:rPr>
              <w:t>tas</w:t>
            </w:r>
            <w:r w:rsidR="00EA1898" w:rsidRPr="00F03935">
              <w:rPr>
                <w:szCs w:val="20"/>
              </w:rPr>
              <w:t xml:space="preserve"> ir finanšu tirgus dalībnieku </w:t>
            </w:r>
            <w:r w:rsidR="00EA1898" w:rsidRPr="00F03935">
              <w:rPr>
                <w:i/>
                <w:szCs w:val="20"/>
              </w:rPr>
              <w:t>sui generis</w:t>
            </w:r>
            <w:r w:rsidR="00EA1898" w:rsidRPr="00F03935">
              <w:rPr>
                <w:szCs w:val="20"/>
              </w:rPr>
              <w:t xml:space="preserve"> paškonstruēts instruments, ar kura palīdzību var tikt izbeigtas saistības, iestājoties iepriekš definētam izpildes notikumam. </w:t>
            </w:r>
            <w:r w:rsidRPr="00F03935">
              <w:rPr>
                <w:szCs w:val="20"/>
              </w:rPr>
              <w:t xml:space="preserve">Izslēdzošā ieskaita </w:t>
            </w:r>
            <w:r w:rsidR="00EA1898" w:rsidRPr="00F03935">
              <w:rPr>
                <w:szCs w:val="20"/>
              </w:rPr>
              <w:t xml:space="preserve">vienošanās </w:t>
            </w:r>
            <w:r w:rsidRPr="00F03935">
              <w:rPr>
                <w:szCs w:val="20"/>
              </w:rPr>
              <w:t>praktiskā piemērojamība atvasināto finanšu instrumentu tirgū ir ļoti plaša, un to raksturo tālāk minētais piemērs.</w:t>
            </w:r>
          </w:p>
          <w:p w:rsidR="00C260DF" w:rsidRPr="00F03935" w:rsidRDefault="005B6D4C" w:rsidP="004704CA">
            <w:pPr>
              <w:ind w:firstLine="346"/>
              <w:jc w:val="both"/>
            </w:pPr>
            <w:r>
              <w:rPr>
                <w:szCs w:val="20"/>
              </w:rPr>
              <w:t>Līdzēju</w:t>
            </w:r>
            <w:r w:rsidR="00C260DF" w:rsidRPr="00F03935">
              <w:rPr>
                <w:szCs w:val="20"/>
              </w:rPr>
              <w:t xml:space="preserve"> A un B starpā ir noslēgtas vairākas vienošanās par atvasinātajiem finanšu instrumentiem – vairāki procentu likmju mijmaiņas darījumi </w:t>
            </w:r>
            <w:r w:rsidR="00C260DF" w:rsidRPr="005B6D4C">
              <w:rPr>
                <w:i/>
                <w:szCs w:val="20"/>
              </w:rPr>
              <w:t>(interest rate swap)</w:t>
            </w:r>
            <w:r w:rsidR="00C260DF" w:rsidRPr="00F03935">
              <w:rPr>
                <w:szCs w:val="20"/>
              </w:rPr>
              <w:t>. Abām pusēm vienai pret otru ir veicama virkne maksājumu, pamatojoties uz šiem darījumiem</w:t>
            </w:r>
            <w:r w:rsidR="00842EF5" w:rsidRPr="00F03935">
              <w:rPr>
                <w:szCs w:val="20"/>
              </w:rPr>
              <w:t>. Ja B nespēj izpildīt kādu no maksājumiem, kuram ir iestājies izpildes termiņš, tad A ir tiesīgs atbilstoši izslēdzošā ieskaita līguma noteikumiem</w:t>
            </w:r>
            <w:r w:rsidR="00BB2222" w:rsidRPr="00F03935">
              <w:rPr>
                <w:szCs w:val="20"/>
              </w:rPr>
              <w:t>:</w:t>
            </w:r>
            <w:r w:rsidR="00842EF5" w:rsidRPr="00F03935">
              <w:rPr>
                <w:szCs w:val="20"/>
              </w:rPr>
              <w:t xml:space="preserve"> 1</w:t>
            </w:r>
            <w:r w:rsidRPr="00F03935">
              <w:rPr>
                <w:szCs w:val="20"/>
              </w:rPr>
              <w:t>)</w:t>
            </w:r>
            <w:r>
              <w:rPr>
                <w:szCs w:val="20"/>
              </w:rPr>
              <w:t> </w:t>
            </w:r>
            <w:r w:rsidR="00842EF5" w:rsidRPr="00F03935">
              <w:rPr>
                <w:szCs w:val="20"/>
              </w:rPr>
              <w:t xml:space="preserve">izbeigt visus darījumus (arī tos, kuriem vēl nav </w:t>
            </w:r>
            <w:r w:rsidR="00842EF5" w:rsidRPr="00F03935">
              <w:rPr>
                <w:szCs w:val="20"/>
              </w:rPr>
              <w:lastRenderedPageBreak/>
              <w:t>iestājies izpildes termiņš), 2</w:t>
            </w:r>
            <w:r w:rsidRPr="00F03935">
              <w:rPr>
                <w:szCs w:val="20"/>
              </w:rPr>
              <w:t>)</w:t>
            </w:r>
            <w:r>
              <w:rPr>
                <w:szCs w:val="20"/>
              </w:rPr>
              <w:t> </w:t>
            </w:r>
            <w:r w:rsidR="00842EF5" w:rsidRPr="00F03935">
              <w:rPr>
                <w:szCs w:val="20"/>
              </w:rPr>
              <w:t>aprēķināt katra darījuma/saistības vērtību (no kuriem daži ir ar pozitīvu, bet citi ar negatīvu bilanci), 3</w:t>
            </w:r>
            <w:r w:rsidRPr="00F03935">
              <w:rPr>
                <w:szCs w:val="20"/>
              </w:rPr>
              <w:t>)</w:t>
            </w:r>
            <w:r>
              <w:rPr>
                <w:szCs w:val="20"/>
              </w:rPr>
              <w:t> </w:t>
            </w:r>
            <w:r w:rsidR="00842EF5" w:rsidRPr="00F03935">
              <w:rPr>
                <w:szCs w:val="20"/>
              </w:rPr>
              <w:t xml:space="preserve">veikt neto saldo aprēķinu. </w:t>
            </w:r>
            <w:r w:rsidR="00BB2222" w:rsidRPr="00F03935">
              <w:rPr>
                <w:szCs w:val="20"/>
              </w:rPr>
              <w:t>Līdz ar to, j</w:t>
            </w:r>
            <w:r w:rsidR="00842EF5" w:rsidRPr="00F03935">
              <w:rPr>
                <w:szCs w:val="20"/>
              </w:rPr>
              <w:t xml:space="preserve">a, piemēram, </w:t>
            </w:r>
            <w:r>
              <w:rPr>
                <w:szCs w:val="20"/>
              </w:rPr>
              <w:t>līdzēji</w:t>
            </w:r>
            <w:r w:rsidRPr="00F03935">
              <w:rPr>
                <w:szCs w:val="20"/>
              </w:rPr>
              <w:t xml:space="preserve"> </w:t>
            </w:r>
            <w:r w:rsidR="00842EF5" w:rsidRPr="00F03935">
              <w:rPr>
                <w:szCs w:val="20"/>
              </w:rPr>
              <w:t>ir noslēguš</w:t>
            </w:r>
            <w:r>
              <w:rPr>
                <w:szCs w:val="20"/>
              </w:rPr>
              <w:t>i</w:t>
            </w:r>
            <w:r w:rsidR="00842EF5" w:rsidRPr="00F03935">
              <w:rPr>
                <w:szCs w:val="20"/>
              </w:rPr>
              <w:t xml:space="preserve"> trīs darījumus, no kuriem 1. un 2.darījums ir ar pozitīvu vērtību 8 naudas vienību apmērā attiecībā pret B, bet 3.darījums ir ar pozitīvu vērtību 10 naudas vienību apmērā attiecībā pret A, tad izslēdzošā ieskaita piemērošanas </w:t>
            </w:r>
            <w:r w:rsidR="00BB2222" w:rsidRPr="00F03935">
              <w:rPr>
                <w:szCs w:val="20"/>
              </w:rPr>
              <w:t>rezultātā A prasība pr</w:t>
            </w:r>
            <w:r w:rsidR="00754BC9">
              <w:rPr>
                <w:szCs w:val="20"/>
              </w:rPr>
              <w:t>et B būs par 2 naudas vienībām</w:t>
            </w:r>
            <w:r w:rsidR="00D1741C">
              <w:rPr>
                <w:szCs w:val="20"/>
              </w:rPr>
              <w:t xml:space="preserve">, proti, </w:t>
            </w:r>
            <w:r w:rsidR="00D1741C" w:rsidRPr="00653378">
              <w:rPr>
                <w:rFonts w:eastAsia="Times New Roman"/>
                <w:color w:val="000000" w:themeColor="text1"/>
              </w:rPr>
              <w:t>maksājamās summas pārsniegum</w:t>
            </w:r>
            <w:r w:rsidR="00D1741C">
              <w:rPr>
                <w:rFonts w:eastAsia="Times New Roman"/>
                <w:color w:val="000000" w:themeColor="text1"/>
              </w:rPr>
              <w:t>a</w:t>
            </w:r>
            <w:r w:rsidR="00D1741C" w:rsidRPr="00653378">
              <w:rPr>
                <w:rFonts w:eastAsia="Times New Roman"/>
                <w:color w:val="000000" w:themeColor="text1"/>
              </w:rPr>
              <w:t xml:space="preserve"> (neto saldo)</w:t>
            </w:r>
            <w:r w:rsidR="00D1741C">
              <w:rPr>
                <w:szCs w:val="20"/>
              </w:rPr>
              <w:t xml:space="preserve"> apmērā</w:t>
            </w:r>
            <w:r w:rsidR="00754BC9">
              <w:rPr>
                <w:szCs w:val="20"/>
              </w:rPr>
              <w:t>.</w:t>
            </w:r>
          </w:p>
          <w:p w:rsidR="001E7E62" w:rsidRPr="00F03935" w:rsidRDefault="00B61249" w:rsidP="009915EC">
            <w:pPr>
              <w:ind w:firstLine="324"/>
              <w:jc w:val="both"/>
            </w:pPr>
            <w:r w:rsidRPr="00F03935">
              <w:t xml:space="preserve">Tā kā izslēdzošā ieskaita </w:t>
            </w:r>
            <w:r w:rsidR="00591B7F" w:rsidRPr="00F03935">
              <w:t>norma</w:t>
            </w:r>
            <w:r w:rsidRPr="00F03935">
              <w:t>tīvais regulējums ir ļoti sadrumstalots, tad ir izveidojusies situācija, ka p</w:t>
            </w:r>
            <w:r w:rsidR="0004342B" w:rsidRPr="00F03935">
              <w:t xml:space="preserve">ašreiz spēkā esošajos Latvijas normatīvajos aktos atrodami vairāki izslēdzošā ieskaita jēdziena apzīmējumi un </w:t>
            </w:r>
            <w:r w:rsidR="00E01A63">
              <w:t xml:space="preserve">ir atšķirīgas </w:t>
            </w:r>
            <w:r w:rsidR="0004342B" w:rsidRPr="00F03935">
              <w:t>defin</w:t>
            </w:r>
            <w:r w:rsidR="00E01A63">
              <w:t>īcijas</w:t>
            </w:r>
            <w:r w:rsidR="0004342B" w:rsidRPr="00F03935">
              <w:t xml:space="preserve">. </w:t>
            </w:r>
            <w:r w:rsidR="00B75AE3" w:rsidRPr="00F03935">
              <w:t xml:space="preserve">Lai nodrošinātu terminoloģisku konsekvenci un skaidrību, kā arī ievērojot </w:t>
            </w:r>
            <w:r w:rsidR="00727852" w:rsidRPr="004E22D0">
              <w:rPr>
                <w:szCs w:val="20"/>
              </w:rPr>
              <w:t>ISDA</w:t>
            </w:r>
            <w:r w:rsidR="00B75AE3" w:rsidRPr="00F03935">
              <w:rPr>
                <w:szCs w:val="20"/>
              </w:rPr>
              <w:t xml:space="preserve"> un citu starptautisko tirgus dalībnieku iedibināto praksi saistīto terminu lietojumā</w:t>
            </w:r>
            <w:r w:rsidR="001E7E62" w:rsidRPr="00F03935">
              <w:t xml:space="preserve">, </w:t>
            </w:r>
            <w:r w:rsidR="006C4062" w:rsidRPr="00F03935">
              <w:t>Likumprojekt</w:t>
            </w:r>
            <w:r w:rsidR="00952B33">
              <w:t>a izstrādes gaitā ir</w:t>
            </w:r>
            <w:r w:rsidR="006C4062" w:rsidRPr="00F03935">
              <w:t xml:space="preserve"> skaidri nodalīti atšķirīgi Latvijas tiesību termini</w:t>
            </w:r>
            <w:r w:rsidR="001E7E62" w:rsidRPr="00F03935">
              <w:t>:</w:t>
            </w:r>
          </w:p>
          <w:p w:rsidR="001E7E62" w:rsidRPr="00F03935" w:rsidRDefault="009A7C90" w:rsidP="00F03935">
            <w:pPr>
              <w:pStyle w:val="ListParagraph"/>
              <w:numPr>
                <w:ilvl w:val="0"/>
                <w:numId w:val="18"/>
              </w:numPr>
              <w:tabs>
                <w:tab w:val="left" w:pos="774"/>
              </w:tabs>
              <w:ind w:left="774"/>
              <w:jc w:val="both"/>
              <w:rPr>
                <w:sz w:val="24"/>
                <w:szCs w:val="24"/>
              </w:rPr>
            </w:pPr>
            <w:r>
              <w:rPr>
                <w:spacing w:val="2"/>
                <w:shd w:val="clear" w:color="auto" w:fill="FFFFFF"/>
              </w:rPr>
              <w:t>„</w:t>
            </w:r>
            <w:r w:rsidR="001E7E62" w:rsidRPr="00F03935">
              <w:rPr>
                <w:sz w:val="24"/>
                <w:szCs w:val="24"/>
              </w:rPr>
              <w:t xml:space="preserve">ieskaits” </w:t>
            </w:r>
            <w:r w:rsidR="00FE4D5E" w:rsidRPr="00F03935">
              <w:rPr>
                <w:sz w:val="24"/>
                <w:szCs w:val="24"/>
              </w:rPr>
              <w:t xml:space="preserve">(angliski starptautiskajā praksē parasti saukts – </w:t>
            </w:r>
            <w:r>
              <w:rPr>
                <w:spacing w:val="2"/>
                <w:shd w:val="clear" w:color="auto" w:fill="FFFFFF"/>
              </w:rPr>
              <w:t>„</w:t>
            </w:r>
            <w:r w:rsidR="00FE4D5E" w:rsidRPr="00F03935">
              <w:rPr>
                <w:i/>
                <w:sz w:val="24"/>
                <w:szCs w:val="24"/>
              </w:rPr>
              <w:t>set-off</w:t>
            </w:r>
            <w:r w:rsidR="00FE4D5E" w:rsidRPr="00F03935">
              <w:rPr>
                <w:sz w:val="24"/>
                <w:szCs w:val="24"/>
              </w:rPr>
              <w:t xml:space="preserve">”) </w:t>
            </w:r>
            <w:r w:rsidR="006C4062" w:rsidRPr="00F03935">
              <w:rPr>
                <w:sz w:val="24"/>
                <w:szCs w:val="24"/>
              </w:rPr>
              <w:t>lietots attiecībā uz ieskaita jēdzienu, kas tradicionāli regulēts Civillikumā</w:t>
            </w:r>
            <w:r w:rsidR="001E7E62" w:rsidRPr="00F03935">
              <w:rPr>
                <w:sz w:val="24"/>
                <w:szCs w:val="24"/>
              </w:rPr>
              <w:t xml:space="preserve">, </w:t>
            </w:r>
            <w:r w:rsidR="006C4062" w:rsidRPr="00F03935">
              <w:rPr>
                <w:sz w:val="24"/>
                <w:szCs w:val="24"/>
              </w:rPr>
              <w:t xml:space="preserve">kā arī visos </w:t>
            </w:r>
            <w:r w:rsidR="00E01A63">
              <w:rPr>
                <w:sz w:val="24"/>
                <w:szCs w:val="24"/>
              </w:rPr>
              <w:t xml:space="preserve">ar to </w:t>
            </w:r>
            <w:r w:rsidR="006C4062" w:rsidRPr="00F03935">
              <w:rPr>
                <w:sz w:val="24"/>
                <w:szCs w:val="24"/>
              </w:rPr>
              <w:t>saistītajos kontekstos</w:t>
            </w:r>
            <w:r w:rsidR="001B2504">
              <w:rPr>
                <w:sz w:val="24"/>
                <w:szCs w:val="24"/>
              </w:rPr>
              <w:t>, kā piemēram, prasījumu un saistību dzēšana</w:t>
            </w:r>
            <w:r w:rsidR="006C4062" w:rsidRPr="00F03935">
              <w:rPr>
                <w:sz w:val="24"/>
                <w:szCs w:val="24"/>
              </w:rPr>
              <w:t>;</w:t>
            </w:r>
            <w:r w:rsidR="001E7E62" w:rsidRPr="00F03935">
              <w:rPr>
                <w:sz w:val="24"/>
                <w:szCs w:val="24"/>
              </w:rPr>
              <w:t xml:space="preserve"> </w:t>
            </w:r>
          </w:p>
          <w:p w:rsidR="001E7E62" w:rsidRPr="00F03935" w:rsidRDefault="009A7C90" w:rsidP="00F03935">
            <w:pPr>
              <w:pStyle w:val="ListParagraph"/>
              <w:numPr>
                <w:ilvl w:val="0"/>
                <w:numId w:val="18"/>
              </w:numPr>
              <w:tabs>
                <w:tab w:val="left" w:pos="774"/>
              </w:tabs>
              <w:ind w:left="774"/>
              <w:jc w:val="both"/>
              <w:rPr>
                <w:sz w:val="24"/>
                <w:szCs w:val="24"/>
              </w:rPr>
            </w:pPr>
            <w:r>
              <w:rPr>
                <w:spacing w:val="2"/>
                <w:shd w:val="clear" w:color="auto" w:fill="FFFFFF"/>
              </w:rPr>
              <w:t>„</w:t>
            </w:r>
            <w:r w:rsidR="001E7E62" w:rsidRPr="00F03935">
              <w:rPr>
                <w:sz w:val="24"/>
                <w:szCs w:val="24"/>
              </w:rPr>
              <w:t xml:space="preserve">izslēdzošais ieskaits” </w:t>
            </w:r>
            <w:r w:rsidR="00FE4D5E" w:rsidRPr="00F03935">
              <w:rPr>
                <w:sz w:val="24"/>
                <w:szCs w:val="24"/>
              </w:rPr>
              <w:t xml:space="preserve">(angliski starptautiskajā praksē parasti saukts – </w:t>
            </w:r>
            <w:r>
              <w:rPr>
                <w:spacing w:val="2"/>
                <w:shd w:val="clear" w:color="auto" w:fill="FFFFFF"/>
              </w:rPr>
              <w:t>„</w:t>
            </w:r>
            <w:r w:rsidR="00FE4D5E" w:rsidRPr="00F03935">
              <w:rPr>
                <w:i/>
                <w:sz w:val="24"/>
                <w:szCs w:val="24"/>
              </w:rPr>
              <w:t>close-out netting</w:t>
            </w:r>
            <w:r w:rsidR="00FE4D5E" w:rsidRPr="00F03935">
              <w:rPr>
                <w:sz w:val="24"/>
                <w:szCs w:val="24"/>
              </w:rPr>
              <w:t xml:space="preserve">”) </w:t>
            </w:r>
            <w:r w:rsidR="001E7E62" w:rsidRPr="00F03935">
              <w:rPr>
                <w:sz w:val="24"/>
                <w:szCs w:val="24"/>
              </w:rPr>
              <w:t xml:space="preserve">lietots </w:t>
            </w:r>
            <w:r w:rsidR="006C4062" w:rsidRPr="00F03935">
              <w:rPr>
                <w:sz w:val="24"/>
                <w:szCs w:val="24"/>
              </w:rPr>
              <w:t>attiecībā uz salīdzinoši jaunākiem jēdzieniem, kas iedibināti Latvijas tiesībās kopš 2004.gada</w:t>
            </w:r>
            <w:r w:rsidR="001E7E62" w:rsidRPr="00F03935">
              <w:rPr>
                <w:sz w:val="24"/>
                <w:szCs w:val="24"/>
              </w:rPr>
              <w:t xml:space="preserve"> (</w:t>
            </w:r>
            <w:r w:rsidR="006C4062" w:rsidRPr="00F03935">
              <w:rPr>
                <w:sz w:val="24"/>
                <w:szCs w:val="24"/>
              </w:rPr>
              <w:t>kad</w:t>
            </w:r>
            <w:r w:rsidR="001E7E62" w:rsidRPr="00F03935">
              <w:rPr>
                <w:sz w:val="24"/>
                <w:szCs w:val="24"/>
              </w:rPr>
              <w:t xml:space="preserve"> Latvi</w:t>
            </w:r>
            <w:r w:rsidR="006C4062" w:rsidRPr="00F03935">
              <w:rPr>
                <w:sz w:val="24"/>
                <w:szCs w:val="24"/>
              </w:rPr>
              <w:t>ja pievienojās Eiropas Savienībai</w:t>
            </w:r>
            <w:r w:rsidR="001E7E62" w:rsidRPr="00F03935">
              <w:rPr>
                <w:sz w:val="24"/>
                <w:szCs w:val="24"/>
              </w:rPr>
              <w:t xml:space="preserve">) </w:t>
            </w:r>
            <w:r w:rsidR="008D1518" w:rsidRPr="00F03935">
              <w:rPr>
                <w:sz w:val="24"/>
                <w:szCs w:val="24"/>
              </w:rPr>
              <w:t>saistībā ar norēķinu galīgumu un aizsardzību pret sistēmisko risku finanšu instrumentu tirgū</w:t>
            </w:r>
            <w:r w:rsidR="001E7E62" w:rsidRPr="00F03935">
              <w:rPr>
                <w:sz w:val="24"/>
                <w:szCs w:val="24"/>
              </w:rPr>
              <w:t xml:space="preserve">. </w:t>
            </w:r>
          </w:p>
          <w:p w:rsidR="001B2504" w:rsidRDefault="00591B7F" w:rsidP="001B2504">
            <w:pPr>
              <w:ind w:firstLine="346"/>
              <w:jc w:val="both"/>
              <w:rPr>
                <w:szCs w:val="20"/>
              </w:rPr>
            </w:pPr>
            <w:r w:rsidRPr="00F03935">
              <w:t xml:space="preserve">Likumprojekta izstrādes gaitā ir pievērsta īpaša uzmanība terminoloģiskajai konsekvencei, lai nodrošinātu efektīvu un vienotu jēdziena lietojumu visā normatīvo aktu sistēmā. Likumprojektā ir lietots tieši termins izslēdzošais ieskaits, jo Latvijas tiesībās tas jau ir iegājies un stabili nostiprinājies kā </w:t>
            </w:r>
            <w:r w:rsidR="001B0FFE" w:rsidRPr="00F03935">
              <w:t xml:space="preserve">plaši lietots </w:t>
            </w:r>
            <w:r w:rsidRPr="00F03935">
              <w:t>jēdziens konkrētā tiesību institūta apzīmēšanai, nošķirot to no citiem</w:t>
            </w:r>
            <w:r w:rsidR="00952B33">
              <w:t xml:space="preserve"> tiesību institūtiem</w:t>
            </w:r>
            <w:r w:rsidRPr="00F03935">
              <w:t>.</w:t>
            </w:r>
            <w:r w:rsidR="00E01A63">
              <w:t xml:space="preserve"> Lai saskaņotu likumprojektā lietoto terminoloģiju ar citiem likumiem, kuros termini un definīcijas ir atšķirīgi, ir sagatavoti attiecīgi grozījumi Kredītiestāžu likumā, </w:t>
            </w:r>
            <w:r w:rsidR="00E01A63" w:rsidRPr="00F03935">
              <w:rPr>
                <w:szCs w:val="20"/>
              </w:rPr>
              <w:t>Kredītiestāžu un ieguldījumu brokeru sabiedrību darbības atjaunošanas un noregulējuma likum</w:t>
            </w:r>
            <w:r w:rsidR="00E01A63">
              <w:rPr>
                <w:szCs w:val="20"/>
              </w:rPr>
              <w:t xml:space="preserve">ā un </w:t>
            </w:r>
            <w:r w:rsidR="00E01A63" w:rsidRPr="00F03935">
              <w:rPr>
                <w:szCs w:val="20"/>
              </w:rPr>
              <w:t>Apdrošināšanas un pārapdrošināšanas likum</w:t>
            </w:r>
            <w:r w:rsidR="00E01A63">
              <w:rPr>
                <w:szCs w:val="20"/>
              </w:rPr>
              <w:t xml:space="preserve">ā. </w:t>
            </w:r>
            <w:r w:rsidR="001B2504">
              <w:rPr>
                <w:szCs w:val="20"/>
              </w:rPr>
              <w:t>Iepriekš m</w:t>
            </w:r>
            <w:r w:rsidR="001B2504" w:rsidRPr="00F03935">
              <w:rPr>
                <w:szCs w:val="20"/>
              </w:rPr>
              <w:t xml:space="preserve">inētajos likumos </w:t>
            </w:r>
            <w:r w:rsidR="001B2504">
              <w:rPr>
                <w:szCs w:val="20"/>
              </w:rPr>
              <w:t xml:space="preserve">pašlaik tiek </w:t>
            </w:r>
            <w:r w:rsidR="001B2504" w:rsidRPr="00F03935">
              <w:rPr>
                <w:szCs w:val="20"/>
              </w:rPr>
              <w:t xml:space="preserve">lietoti </w:t>
            </w:r>
            <w:r w:rsidR="001B2504">
              <w:rPr>
                <w:szCs w:val="20"/>
              </w:rPr>
              <w:t xml:space="preserve">vairāki </w:t>
            </w:r>
            <w:r w:rsidR="001B2504" w:rsidRPr="00F03935">
              <w:rPr>
                <w:szCs w:val="20"/>
              </w:rPr>
              <w:t>atšķirīgi termini, k</w:t>
            </w:r>
            <w:r w:rsidR="001B2504">
              <w:rPr>
                <w:szCs w:val="20"/>
              </w:rPr>
              <w:t xml:space="preserve">urus iespējams aizstāt ar </w:t>
            </w:r>
            <w:r w:rsidR="001B2504" w:rsidRPr="00F03935">
              <w:rPr>
                <w:szCs w:val="20"/>
              </w:rPr>
              <w:t xml:space="preserve">Likumprojektā </w:t>
            </w:r>
            <w:r w:rsidR="001B2504">
              <w:rPr>
                <w:szCs w:val="20"/>
              </w:rPr>
              <w:t>lietoto</w:t>
            </w:r>
            <w:r w:rsidR="001B2504" w:rsidRPr="00F03935">
              <w:rPr>
                <w:szCs w:val="20"/>
              </w:rPr>
              <w:t xml:space="preserve"> termin</w:t>
            </w:r>
            <w:r w:rsidR="001B2504">
              <w:rPr>
                <w:szCs w:val="20"/>
              </w:rPr>
              <w:t xml:space="preserve">u </w:t>
            </w:r>
            <w:r w:rsidR="009A7C90">
              <w:rPr>
                <w:spacing w:val="2"/>
                <w:shd w:val="clear" w:color="auto" w:fill="FFFFFF"/>
              </w:rPr>
              <w:t>„</w:t>
            </w:r>
            <w:r w:rsidR="001B2504" w:rsidRPr="00F03935">
              <w:rPr>
                <w:szCs w:val="20"/>
              </w:rPr>
              <w:t>izslēdzošais ieskaits”</w:t>
            </w:r>
            <w:r w:rsidR="001B2504">
              <w:rPr>
                <w:szCs w:val="20"/>
              </w:rPr>
              <w:t>.</w:t>
            </w:r>
          </w:p>
          <w:p w:rsidR="009915EC" w:rsidRPr="00E108EF" w:rsidRDefault="00E01A63" w:rsidP="00E108EF">
            <w:pPr>
              <w:ind w:firstLine="346"/>
              <w:jc w:val="both"/>
              <w:rPr>
                <w:bCs/>
              </w:rPr>
            </w:pPr>
            <w:r>
              <w:rPr>
                <w:szCs w:val="20"/>
              </w:rPr>
              <w:t xml:space="preserve">Likumprojekta izstrādes gaitā tika secināts, ka grozījumi nav nepieciešami Finanšu nodrošinājuma likumā, jo tajā lietotie termini un definīcijas </w:t>
            </w:r>
            <w:r w:rsidR="00E108EF">
              <w:rPr>
                <w:szCs w:val="20"/>
              </w:rPr>
              <w:t>kopumā atbilst Likumprojektam. Tāpat nav nepieciešami grozījumi likumā „</w:t>
            </w:r>
            <w:r w:rsidR="00E108EF" w:rsidRPr="00F03935">
              <w:rPr>
                <w:bCs/>
              </w:rPr>
              <w:t>Par norēķinu galīgumu maksājumu un finanšu instrumentu norēķinu sistēmās</w:t>
            </w:r>
            <w:r w:rsidR="00E108EF">
              <w:rPr>
                <w:bCs/>
              </w:rPr>
              <w:t xml:space="preserve">”, jo tajā lietotā terminoloģija attiecībā uz ieskaitu atbilst </w:t>
            </w:r>
            <w:r w:rsidR="00E108EF">
              <w:rPr>
                <w:color w:val="000000"/>
              </w:rPr>
              <w:t>Eiropas Parlamenta un Padomes 2009.gada 6.maija direktīvai 2009/44/EK.</w:t>
            </w:r>
          </w:p>
          <w:p w:rsidR="009915EC" w:rsidRPr="00F03935" w:rsidRDefault="009915EC" w:rsidP="005E49AA">
            <w:pPr>
              <w:ind w:firstLine="346"/>
              <w:jc w:val="both"/>
              <w:rPr>
                <w:szCs w:val="20"/>
              </w:rPr>
            </w:pPr>
          </w:p>
          <w:tbl>
            <w:tblPr>
              <w:tblStyle w:val="TableGrid"/>
              <w:tblW w:w="6709" w:type="dxa"/>
              <w:tblLayout w:type="fixed"/>
              <w:tblLook w:val="04A0" w:firstRow="1" w:lastRow="0" w:firstColumn="1" w:lastColumn="0" w:noHBand="0" w:noVBand="1"/>
            </w:tblPr>
            <w:tblGrid>
              <w:gridCol w:w="2065"/>
              <w:gridCol w:w="1559"/>
              <w:gridCol w:w="3085"/>
            </w:tblGrid>
            <w:tr w:rsidR="00EF0775" w:rsidRPr="00F03935" w:rsidTr="001B2504">
              <w:tc>
                <w:tcPr>
                  <w:tcW w:w="2065" w:type="dxa"/>
                  <w:shd w:val="clear" w:color="auto" w:fill="000000" w:themeFill="text1"/>
                </w:tcPr>
                <w:p w:rsidR="00EF0775" w:rsidRPr="00F03935" w:rsidRDefault="00EF0775" w:rsidP="00EF0775">
                  <w:pPr>
                    <w:jc w:val="center"/>
                    <w:rPr>
                      <w:b/>
                      <w:bCs/>
                    </w:rPr>
                  </w:pPr>
                  <w:r w:rsidRPr="00F03935">
                    <w:rPr>
                      <w:b/>
                      <w:bCs/>
                    </w:rPr>
                    <w:t>Likums</w:t>
                  </w:r>
                </w:p>
              </w:tc>
              <w:tc>
                <w:tcPr>
                  <w:tcW w:w="1559" w:type="dxa"/>
                  <w:shd w:val="clear" w:color="auto" w:fill="000000" w:themeFill="text1"/>
                </w:tcPr>
                <w:p w:rsidR="00EF0775" w:rsidRPr="00F03935" w:rsidRDefault="00EF0775" w:rsidP="00EF0775">
                  <w:pPr>
                    <w:jc w:val="center"/>
                    <w:rPr>
                      <w:b/>
                      <w:bCs/>
                    </w:rPr>
                  </w:pPr>
                  <w:r w:rsidRPr="00F03935">
                    <w:rPr>
                      <w:b/>
                      <w:bCs/>
                    </w:rPr>
                    <w:t>Termins</w:t>
                  </w:r>
                </w:p>
              </w:tc>
              <w:tc>
                <w:tcPr>
                  <w:tcW w:w="3085" w:type="dxa"/>
                  <w:shd w:val="clear" w:color="auto" w:fill="000000" w:themeFill="text1"/>
                </w:tcPr>
                <w:p w:rsidR="00EF0775" w:rsidRPr="00F03935" w:rsidRDefault="00EF0775" w:rsidP="00EF0775">
                  <w:pPr>
                    <w:jc w:val="center"/>
                    <w:rPr>
                      <w:b/>
                      <w:bCs/>
                    </w:rPr>
                  </w:pPr>
                  <w:r w:rsidRPr="00F03935">
                    <w:rPr>
                      <w:b/>
                      <w:bCs/>
                    </w:rPr>
                    <w:t>Definīcija</w:t>
                  </w:r>
                </w:p>
              </w:tc>
            </w:tr>
            <w:tr w:rsidR="00EF0775" w:rsidRPr="00F03935" w:rsidTr="001B2504">
              <w:tc>
                <w:tcPr>
                  <w:tcW w:w="2065" w:type="dxa"/>
                </w:tcPr>
                <w:p w:rsidR="00EF0775" w:rsidRPr="00F03935" w:rsidRDefault="00EF0775" w:rsidP="00EF0775">
                  <w:r w:rsidRPr="00F03935">
                    <w:rPr>
                      <w:bCs/>
                    </w:rPr>
                    <w:t xml:space="preserve">Par norēķinu galīgumu </w:t>
                  </w:r>
                  <w:r w:rsidRPr="00F03935">
                    <w:rPr>
                      <w:bCs/>
                    </w:rPr>
                    <w:lastRenderedPageBreak/>
                    <w:t>maksājumu un finanšu instrumentu norēķinu sistēmās</w:t>
                  </w:r>
                </w:p>
              </w:tc>
              <w:tc>
                <w:tcPr>
                  <w:tcW w:w="1559" w:type="dxa"/>
                </w:tcPr>
                <w:p w:rsidR="00EF0775" w:rsidRPr="00F03935" w:rsidRDefault="00EF0775" w:rsidP="00EF0775">
                  <w:pPr>
                    <w:rPr>
                      <w:b/>
                      <w:bCs/>
                    </w:rPr>
                  </w:pPr>
                  <w:r w:rsidRPr="00F03935">
                    <w:rPr>
                      <w:b/>
                      <w:bCs/>
                    </w:rPr>
                    <w:lastRenderedPageBreak/>
                    <w:t>Ieskaits</w:t>
                  </w:r>
                </w:p>
              </w:tc>
              <w:tc>
                <w:tcPr>
                  <w:tcW w:w="3085" w:type="dxa"/>
                </w:tcPr>
                <w:p w:rsidR="00EF0775" w:rsidRPr="00F03935" w:rsidRDefault="00EF0775" w:rsidP="001B2504">
                  <w:pPr>
                    <w:jc w:val="both"/>
                  </w:pPr>
                  <w:r w:rsidRPr="00F03935">
                    <w:t xml:space="preserve">Prasību un saistību pārvēršana vienā neto prasībā vai vienās </w:t>
                  </w:r>
                  <w:r w:rsidRPr="00F03935">
                    <w:lastRenderedPageBreak/>
                    <w:t>neto saistībās tā, ka var izvirzīt tikai neto prasību un jāizpilda tikai neto saistības, ja prasības un saistības izriet no pārveduma rīkojumiem, ko izpilda viens vai vairāki dalībnieki par labu vienam vai vairākiem citiem sistēmas dalībniekiem vai ko dalībnieki saņem no citiem sistēmas dalībniekiem.</w:t>
                  </w:r>
                </w:p>
              </w:tc>
            </w:tr>
            <w:tr w:rsidR="00EF0775" w:rsidRPr="00F03935" w:rsidTr="001B2504">
              <w:tc>
                <w:tcPr>
                  <w:tcW w:w="2065" w:type="dxa"/>
                </w:tcPr>
                <w:p w:rsidR="00EF0775" w:rsidRPr="00F03935" w:rsidRDefault="00EF0775" w:rsidP="00EF0775">
                  <w:r w:rsidRPr="00F03935">
                    <w:rPr>
                      <w:bCs/>
                    </w:rPr>
                    <w:lastRenderedPageBreak/>
                    <w:t>Kredītiestāžu un ieguldījumu brokeru sabiedrību darbības atjaunošanas un noregulējuma likums</w:t>
                  </w:r>
                </w:p>
              </w:tc>
              <w:tc>
                <w:tcPr>
                  <w:tcW w:w="1559" w:type="dxa"/>
                </w:tcPr>
                <w:p w:rsidR="00EF0775" w:rsidRPr="00F03935" w:rsidRDefault="00EF0775" w:rsidP="00EF0775">
                  <w:pPr>
                    <w:rPr>
                      <w:b/>
                      <w:bCs/>
                    </w:rPr>
                  </w:pPr>
                  <w:r w:rsidRPr="00F03935">
                    <w:rPr>
                      <w:b/>
                      <w:bCs/>
                    </w:rPr>
                    <w:t>Savstarpējā ieskaita līgums</w:t>
                  </w:r>
                </w:p>
              </w:tc>
              <w:tc>
                <w:tcPr>
                  <w:tcW w:w="3085" w:type="dxa"/>
                </w:tcPr>
                <w:p w:rsidR="00EF0775" w:rsidRPr="00F03935" w:rsidRDefault="00EF0775" w:rsidP="001B2504">
                  <w:pPr>
                    <w:jc w:val="both"/>
                  </w:pPr>
                  <w:r w:rsidRPr="00F03935">
                    <w:t>Līgums, saskaņā ar kuru vairākus prasījumus vai saistības var konvertēt vienā prasījumā, kura izpildes gadījumā tiek paātrināta līgumslēdzēju pušu saistību izpilde un tās būtu nekavējoties izpildāmas vai izbeidzamas.</w:t>
                  </w:r>
                </w:p>
              </w:tc>
            </w:tr>
            <w:tr w:rsidR="00EF0775" w:rsidRPr="00F03935" w:rsidTr="001B2504">
              <w:tc>
                <w:tcPr>
                  <w:tcW w:w="2065" w:type="dxa"/>
                </w:tcPr>
                <w:p w:rsidR="00EF0775" w:rsidRPr="00F03935" w:rsidRDefault="00EF0775" w:rsidP="00EF0775">
                  <w:r w:rsidRPr="00F03935">
                    <w:t>Finanšu nodrošinājuma likums</w:t>
                  </w:r>
                </w:p>
              </w:tc>
              <w:tc>
                <w:tcPr>
                  <w:tcW w:w="1559" w:type="dxa"/>
                </w:tcPr>
                <w:p w:rsidR="00EF0775" w:rsidRPr="00F03935" w:rsidRDefault="00EF0775" w:rsidP="00EF0775">
                  <w:pPr>
                    <w:pStyle w:val="tv213"/>
                    <w:spacing w:before="0" w:beforeAutospacing="0" w:after="0" w:afterAutospacing="0"/>
                    <w:jc w:val="both"/>
                    <w:rPr>
                      <w:b/>
                    </w:rPr>
                  </w:pPr>
                  <w:r w:rsidRPr="00F03935">
                    <w:rPr>
                      <w:b/>
                    </w:rPr>
                    <w:t>Izslēdzošais ieskaits</w:t>
                  </w:r>
                </w:p>
              </w:tc>
              <w:tc>
                <w:tcPr>
                  <w:tcW w:w="3085" w:type="dxa"/>
                </w:tcPr>
                <w:p w:rsidR="00EF0775" w:rsidRPr="00F03935" w:rsidRDefault="00EF0775" w:rsidP="001B2504">
                  <w:pPr>
                    <w:pStyle w:val="tv213"/>
                    <w:spacing w:before="0" w:beforeAutospacing="0" w:after="0" w:afterAutospacing="0"/>
                    <w:jc w:val="both"/>
                  </w:pPr>
                  <w:r w:rsidRPr="00F03935">
                    <w:t>Finanšu nodrošinājuma līgumā vai citā līgumā (darījuma aktā), kas paredz finanšu nodrošinājuma sniegšanu, ietvertie noteikumi, saskaņā ar kuriem, iestājoties izpildes notikumam, pēc savstarpēja pārrēķina, ieskaita vai citām tiesisko seku ziņā pielīdzināmām darbībām:</w:t>
                  </w:r>
                </w:p>
                <w:p w:rsidR="00EF0775" w:rsidRPr="00F03935" w:rsidRDefault="00EF0775" w:rsidP="001B2504">
                  <w:pPr>
                    <w:pStyle w:val="tv213"/>
                    <w:spacing w:before="0" w:beforeAutospacing="0" w:after="0" w:afterAutospacing="0"/>
                    <w:ind w:left="400" w:hanging="400"/>
                    <w:jc w:val="both"/>
                  </w:pPr>
                  <w:r w:rsidRPr="00F03935">
                    <w:t>1) līdzēju savstarpējās saistības tiek grozītas tā, ka tās kļūst izpildāmas nekavējoties, un līdzēju maksājamās summas tiek noteiktas, ņemot vērā līdzēju sākotnējo saistību pašreizējo vērtību, vai līdzēju savstarpējās saistības tiek izbeigtas un aizstātas ar savstarpējo pienākumu samaksāt summas, kas tiek noteiktas, ņemot vērā līdzēju sākotnējo saistību pašreizējo vērtību;</w:t>
                  </w:r>
                </w:p>
                <w:p w:rsidR="00EF0775" w:rsidRPr="00F03935" w:rsidRDefault="00EF0775" w:rsidP="001B2504">
                  <w:pPr>
                    <w:pStyle w:val="tv213"/>
                    <w:spacing w:before="0" w:beforeAutospacing="0" w:after="0" w:afterAutospacing="0"/>
                    <w:ind w:left="400" w:hanging="360"/>
                    <w:jc w:val="both"/>
                  </w:pPr>
                  <w:r w:rsidRPr="00F03935">
                    <w:t>2) tiek sagatavots aprēķins par summām, kas vienam līdzējam jāatmaksā otram lī</w:t>
                  </w:r>
                  <w:r w:rsidRPr="00F03935">
                    <w:softHyphen/>
                    <w:t>dzējam, pamatojoties uz to sav</w:t>
                  </w:r>
                  <w:r w:rsidRPr="00F03935">
                    <w:softHyphen/>
                    <w:t>star</w:t>
                  </w:r>
                  <w:r w:rsidRPr="00F03935">
                    <w:softHyphen/>
                    <w:t xml:space="preserve">pējām </w:t>
                  </w:r>
                  <w:r w:rsidRPr="00F03935">
                    <w:lastRenderedPageBreak/>
                    <w:t>saistībām, un tas līdzējs, kura maksājamā summa ir lielāka, samaksā otram līdzējam tikai otra līdzēja maksājamās summas pārsniegumu (neto saldo).</w:t>
                  </w:r>
                </w:p>
              </w:tc>
            </w:tr>
            <w:tr w:rsidR="00EF0775" w:rsidRPr="00F03935" w:rsidTr="001B2504">
              <w:trPr>
                <w:trHeight w:val="3391"/>
              </w:trPr>
              <w:tc>
                <w:tcPr>
                  <w:tcW w:w="2065" w:type="dxa"/>
                </w:tcPr>
                <w:p w:rsidR="00EF0775" w:rsidRPr="00F03935" w:rsidRDefault="00EF0775" w:rsidP="00EF0775">
                  <w:r w:rsidRPr="00F03935">
                    <w:lastRenderedPageBreak/>
                    <w:t>Kredītiestāžu likums</w:t>
                  </w:r>
                </w:p>
              </w:tc>
              <w:tc>
                <w:tcPr>
                  <w:tcW w:w="1559" w:type="dxa"/>
                </w:tcPr>
                <w:p w:rsidR="00EF0775" w:rsidRPr="00F03935" w:rsidRDefault="00EF0775" w:rsidP="00EF0775">
                  <w:pPr>
                    <w:rPr>
                      <w:b/>
                    </w:rPr>
                  </w:pPr>
                  <w:r w:rsidRPr="00F03935">
                    <w:rPr>
                      <w:b/>
                    </w:rPr>
                    <w:t>Prasījumu un saistību neto ieskaits</w:t>
                  </w:r>
                </w:p>
              </w:tc>
              <w:tc>
                <w:tcPr>
                  <w:tcW w:w="3085" w:type="dxa"/>
                </w:tcPr>
                <w:p w:rsidR="00EF0775" w:rsidRPr="00F03935" w:rsidRDefault="00EF0775" w:rsidP="001B2504">
                  <w:pPr>
                    <w:jc w:val="both"/>
                  </w:pPr>
                  <w:r w:rsidRPr="00F03935">
                    <w:t>Pirms parādnieka likvidācijas uzsākšanas vai likumā noteiktajā kārtībā atzītas maksātnespējas iestāšanās starp parādnieku un kreditoru uz rakstveida līguma pamata nodibinātas tiesiskas attiecības no savstarpējiem līgumiem izrietošo prasījumu un saistību izteikšanai vienā prasībā vai saistībā tā, ka tiek celta tikai viena prasība un jāizpilda tikai viena saistība.</w:t>
                  </w:r>
                </w:p>
              </w:tc>
            </w:tr>
            <w:tr w:rsidR="005E49AA" w:rsidRPr="00F03935" w:rsidTr="001B2504">
              <w:trPr>
                <w:trHeight w:val="3183"/>
              </w:trPr>
              <w:tc>
                <w:tcPr>
                  <w:tcW w:w="2065" w:type="dxa"/>
                </w:tcPr>
                <w:p w:rsidR="005E49AA" w:rsidRPr="00F03935" w:rsidRDefault="005E49AA" w:rsidP="00EF0775">
                  <w:r w:rsidRPr="00F03935">
                    <w:rPr>
                      <w:szCs w:val="20"/>
                    </w:rPr>
                    <w:t>Apdrošināšanas un pārapdrošināšanas likums</w:t>
                  </w:r>
                </w:p>
              </w:tc>
              <w:tc>
                <w:tcPr>
                  <w:tcW w:w="1559" w:type="dxa"/>
                </w:tcPr>
                <w:p w:rsidR="005E49AA" w:rsidRPr="00F03935" w:rsidRDefault="005E49AA" w:rsidP="00EF0775">
                  <w:pPr>
                    <w:rPr>
                      <w:b/>
                    </w:rPr>
                  </w:pPr>
                  <w:r w:rsidRPr="00F03935">
                    <w:rPr>
                      <w:b/>
                      <w:szCs w:val="20"/>
                    </w:rPr>
                    <w:t>Prasījumu un saistību neto ieskaits</w:t>
                  </w:r>
                </w:p>
              </w:tc>
              <w:tc>
                <w:tcPr>
                  <w:tcW w:w="3085" w:type="dxa"/>
                </w:tcPr>
                <w:p w:rsidR="005E49AA" w:rsidRPr="00F03935" w:rsidRDefault="005E49AA" w:rsidP="001B2504">
                  <w:pPr>
                    <w:jc w:val="both"/>
                  </w:pPr>
                  <w:r w:rsidRPr="00F03935">
                    <w:rPr>
                      <w:szCs w:val="20"/>
                    </w:rPr>
                    <w:t>Pēc parādnieka likvidācijas uzsākšanas vai maksātnespējas pasludināšanas starp parādnieku un kreditoru uz rakstveida līguma pamata nodibinātas tiesiskas attiecības no savstarpējiem līgumiem izrietošo prasījumu un saistību izteikšanai vienā prasībā vai saistībā tā, ka tiek celta tikai viena prasība un izpildāma tikai viena saistība.</w:t>
                  </w:r>
                </w:p>
              </w:tc>
            </w:tr>
          </w:tbl>
          <w:p w:rsidR="00EF0775" w:rsidRPr="00F03935" w:rsidRDefault="00EF0775" w:rsidP="00EF0775">
            <w:pPr>
              <w:ind w:firstLine="346"/>
              <w:jc w:val="both"/>
              <w:rPr>
                <w:szCs w:val="20"/>
              </w:rPr>
            </w:pPr>
          </w:p>
          <w:p w:rsidR="009B1627" w:rsidRDefault="004C31C4" w:rsidP="00A35C27">
            <w:pPr>
              <w:ind w:firstLine="346"/>
              <w:jc w:val="both"/>
              <w:rPr>
                <w:szCs w:val="20"/>
              </w:rPr>
            </w:pPr>
            <w:r w:rsidRPr="00F03935">
              <w:rPr>
                <w:szCs w:val="20"/>
              </w:rPr>
              <w:t>P</w:t>
            </w:r>
            <w:r w:rsidR="005E49AA" w:rsidRPr="00F03935">
              <w:rPr>
                <w:szCs w:val="20"/>
              </w:rPr>
              <w:t xml:space="preserve">ašreiz </w:t>
            </w:r>
            <w:r w:rsidR="00D1741C" w:rsidRPr="00F03935">
              <w:rPr>
                <w:szCs w:val="20"/>
              </w:rPr>
              <w:t xml:space="preserve">Latvijā </w:t>
            </w:r>
            <w:r w:rsidR="005E49AA" w:rsidRPr="00F03935">
              <w:rPr>
                <w:szCs w:val="20"/>
              </w:rPr>
              <w:t xml:space="preserve">spēkā </w:t>
            </w:r>
            <w:r w:rsidR="00075337" w:rsidRPr="00F03935">
              <w:rPr>
                <w:szCs w:val="20"/>
              </w:rPr>
              <w:t>esošie normatīvie akti</w:t>
            </w:r>
            <w:r w:rsidR="005E49AA" w:rsidRPr="00F03935">
              <w:rPr>
                <w:szCs w:val="20"/>
              </w:rPr>
              <w:t xml:space="preserve"> </w:t>
            </w:r>
            <w:r w:rsidR="00B44615">
              <w:rPr>
                <w:szCs w:val="20"/>
              </w:rPr>
              <w:t>neparedz tiesības izslēdzošo ieskaitu piemērot</w:t>
            </w:r>
            <w:r w:rsidR="001B0FFE" w:rsidRPr="00F03935">
              <w:rPr>
                <w:szCs w:val="20"/>
              </w:rPr>
              <w:t xml:space="preserve"> tiem komersantiem, kas nav</w:t>
            </w:r>
            <w:r w:rsidR="001B2504">
              <w:rPr>
                <w:szCs w:val="20"/>
              </w:rPr>
              <w:t xml:space="preserve"> </w:t>
            </w:r>
            <w:r w:rsidR="001B0FFE" w:rsidRPr="00F03935">
              <w:rPr>
                <w:szCs w:val="20"/>
              </w:rPr>
              <w:t xml:space="preserve">finanšu </w:t>
            </w:r>
            <w:r w:rsidR="00311EEB">
              <w:rPr>
                <w:szCs w:val="20"/>
              </w:rPr>
              <w:t>un kapitāla tirgus dalībnieki</w:t>
            </w:r>
            <w:r w:rsidR="001B0FFE" w:rsidRPr="00F03935">
              <w:rPr>
                <w:szCs w:val="20"/>
              </w:rPr>
              <w:t xml:space="preserve">, </w:t>
            </w:r>
            <w:r w:rsidR="00311EEB">
              <w:rPr>
                <w:szCs w:val="20"/>
              </w:rPr>
              <w:t>vai</w:t>
            </w:r>
            <w:r w:rsidR="001B0FFE" w:rsidRPr="00F03935">
              <w:rPr>
                <w:szCs w:val="20"/>
              </w:rPr>
              <w:t xml:space="preserve"> privātpersonām. A</w:t>
            </w:r>
            <w:r w:rsidR="001A7F5A" w:rsidRPr="00F03935">
              <w:rPr>
                <w:szCs w:val="20"/>
              </w:rPr>
              <w:t xml:space="preserve">pzinoties to, ka nelabvēlīgs apstāklis </w:t>
            </w:r>
            <w:r w:rsidR="00311EEB">
              <w:rPr>
                <w:szCs w:val="20"/>
              </w:rPr>
              <w:t xml:space="preserve">finanšu </w:t>
            </w:r>
            <w:r w:rsidR="001A7F5A" w:rsidRPr="00F03935">
              <w:rPr>
                <w:szCs w:val="20"/>
              </w:rPr>
              <w:t xml:space="preserve">tirgū var atstāt negatīvu ietekmi teju uz visiem </w:t>
            </w:r>
            <w:r w:rsidR="00311EEB" w:rsidRPr="00F03935">
              <w:rPr>
                <w:szCs w:val="20"/>
              </w:rPr>
              <w:t>t</w:t>
            </w:r>
            <w:r w:rsidR="00311EEB">
              <w:rPr>
                <w:szCs w:val="20"/>
              </w:rPr>
              <w:t>irgus</w:t>
            </w:r>
            <w:r w:rsidR="00311EEB" w:rsidRPr="00F03935">
              <w:rPr>
                <w:szCs w:val="20"/>
              </w:rPr>
              <w:t xml:space="preserve"> </w:t>
            </w:r>
            <w:r w:rsidR="001A7F5A" w:rsidRPr="00F03935">
              <w:rPr>
                <w:szCs w:val="20"/>
              </w:rPr>
              <w:t xml:space="preserve">dalībniekiem, </w:t>
            </w:r>
            <w:r w:rsidR="007250B3" w:rsidRPr="00F03935">
              <w:rPr>
                <w:szCs w:val="20"/>
              </w:rPr>
              <w:t>pakļaujot sabrukuma riskam visu finanšu sistēmu,</w:t>
            </w:r>
            <w:r w:rsidR="00CC408C" w:rsidRPr="00F03935">
              <w:rPr>
                <w:szCs w:val="20"/>
              </w:rPr>
              <w:t xml:space="preserve"> </w:t>
            </w:r>
            <w:r w:rsidR="00075337" w:rsidRPr="00F03935">
              <w:rPr>
                <w:szCs w:val="20"/>
              </w:rPr>
              <w:t>izslēdzošā ieskaita</w:t>
            </w:r>
            <w:r w:rsidR="001A7F5A" w:rsidRPr="00F03935">
              <w:rPr>
                <w:szCs w:val="20"/>
              </w:rPr>
              <w:t xml:space="preserve"> </w:t>
            </w:r>
            <w:r w:rsidR="00C65177" w:rsidRPr="00F03935">
              <w:rPr>
                <w:szCs w:val="20"/>
              </w:rPr>
              <w:t xml:space="preserve">piemērošanas jomas </w:t>
            </w:r>
            <w:r w:rsidR="001B0FFE" w:rsidRPr="00F03935">
              <w:rPr>
                <w:szCs w:val="20"/>
              </w:rPr>
              <w:t xml:space="preserve">ar Likumprojektu tiek paplašinātas </w:t>
            </w:r>
            <w:r w:rsidR="00075337" w:rsidRPr="00F03935">
              <w:rPr>
                <w:szCs w:val="20"/>
              </w:rPr>
              <w:t>arī</w:t>
            </w:r>
            <w:r w:rsidR="001A7F5A" w:rsidRPr="00F03935">
              <w:rPr>
                <w:szCs w:val="20"/>
              </w:rPr>
              <w:t xml:space="preserve"> attiecībā uz citiem subjektiem. </w:t>
            </w:r>
            <w:r w:rsidR="001B0FFE" w:rsidRPr="00F03935">
              <w:rPr>
                <w:szCs w:val="20"/>
              </w:rPr>
              <w:t xml:space="preserve">Šāds risinājums atbilst </w:t>
            </w:r>
            <w:r w:rsidR="0012256D" w:rsidRPr="00F03935">
              <w:rPr>
                <w:szCs w:val="20"/>
              </w:rPr>
              <w:t>ISDA re</w:t>
            </w:r>
            <w:r w:rsidR="00BA2521" w:rsidRPr="00F03935">
              <w:rPr>
                <w:szCs w:val="20"/>
              </w:rPr>
              <w:t>komendācijām</w:t>
            </w:r>
            <w:r w:rsidR="001B0FFE" w:rsidRPr="00F03935">
              <w:rPr>
                <w:szCs w:val="20"/>
              </w:rPr>
              <w:t xml:space="preserve">, </w:t>
            </w:r>
            <w:r w:rsidRPr="00F03935">
              <w:rPr>
                <w:szCs w:val="20"/>
              </w:rPr>
              <w:t xml:space="preserve">saskaņā ar </w:t>
            </w:r>
            <w:r w:rsidR="001B0FFE" w:rsidRPr="00F03935">
              <w:rPr>
                <w:szCs w:val="20"/>
              </w:rPr>
              <w:t>kurām</w:t>
            </w:r>
            <w:r w:rsidR="009B546A" w:rsidRPr="00F03935">
              <w:rPr>
                <w:szCs w:val="20"/>
              </w:rPr>
              <w:t xml:space="preserve"> sistēmiskā riska mazināšanai, ieviešot efektīvu izslēdzošā ieskaita normatīvo regulējumu,</w:t>
            </w:r>
            <w:r w:rsidR="0012256D" w:rsidRPr="00F03935">
              <w:rPr>
                <w:szCs w:val="20"/>
              </w:rPr>
              <w:t xml:space="preserve"> </w:t>
            </w:r>
            <w:r w:rsidR="009B546A" w:rsidRPr="00F03935">
              <w:rPr>
                <w:szCs w:val="20"/>
              </w:rPr>
              <w:t>jādod labums iespējami plašākam potenciāli saistīto tirgus dalībnieku lokam</w:t>
            </w:r>
            <w:r w:rsidR="0012256D" w:rsidRPr="00F03935">
              <w:rPr>
                <w:szCs w:val="20"/>
              </w:rPr>
              <w:t xml:space="preserve">, </w:t>
            </w:r>
            <w:r w:rsidR="0031715E" w:rsidRPr="00F03935">
              <w:rPr>
                <w:szCs w:val="20"/>
              </w:rPr>
              <w:t xml:space="preserve">kas visi būtu ņemami vērā likuma izstrādes procesā – kā </w:t>
            </w:r>
            <w:r w:rsidR="006D29EE">
              <w:rPr>
                <w:szCs w:val="20"/>
              </w:rPr>
              <w:t>kapitāl</w:t>
            </w:r>
            <w:r w:rsidR="0031715E" w:rsidRPr="00F03935">
              <w:rPr>
                <w:szCs w:val="20"/>
              </w:rPr>
              <w:t xml:space="preserve">sabiedrības, tā valsts pārvaldes institūcijas un privātpersonas, jo tos visus var skart domino efekts, ko var izraisīt kāda tirgus dalībnieka maksātnespēja. Izslēdzošā ieskaita režīma piemērojamības ierobežošana, sašaurinot subjektu loku uz vien </w:t>
            </w:r>
            <w:r w:rsidR="0031715E" w:rsidRPr="00F03935">
              <w:rPr>
                <w:szCs w:val="20"/>
              </w:rPr>
              <w:lastRenderedPageBreak/>
              <w:t>dažām tirgus dalībnieku kategorijām,</w:t>
            </w:r>
            <w:r w:rsidR="0012256D" w:rsidRPr="00F03935">
              <w:rPr>
                <w:szCs w:val="20"/>
              </w:rPr>
              <w:t xml:space="preserve"> </w:t>
            </w:r>
            <w:r w:rsidR="00C65177" w:rsidRPr="00F03935">
              <w:rPr>
                <w:szCs w:val="20"/>
              </w:rPr>
              <w:t xml:space="preserve">nav </w:t>
            </w:r>
            <w:r w:rsidR="0031715E" w:rsidRPr="00F03935">
              <w:rPr>
                <w:szCs w:val="20"/>
              </w:rPr>
              <w:t xml:space="preserve">saprātīga ne tikai no sistēmiskā riska </w:t>
            </w:r>
            <w:r w:rsidR="009B546A" w:rsidRPr="00F03935">
              <w:rPr>
                <w:szCs w:val="20"/>
              </w:rPr>
              <w:t>viedokļa</w:t>
            </w:r>
            <w:r w:rsidR="0031715E" w:rsidRPr="00F03935">
              <w:rPr>
                <w:szCs w:val="20"/>
              </w:rPr>
              <w:t>, bet tā var radīt arī tiesisku nenoteiktību</w:t>
            </w:r>
            <w:r w:rsidR="0012256D" w:rsidRPr="00F03935">
              <w:rPr>
                <w:szCs w:val="20"/>
              </w:rPr>
              <w:t>.</w:t>
            </w:r>
            <w:r w:rsidR="0012256D" w:rsidRPr="00F03935">
              <w:rPr>
                <w:rStyle w:val="FootnoteReference"/>
                <w:szCs w:val="20"/>
              </w:rPr>
              <w:footnoteReference w:id="3"/>
            </w:r>
          </w:p>
          <w:p w:rsidR="009B1627" w:rsidRDefault="00231B9D" w:rsidP="00A35C27">
            <w:pPr>
              <w:ind w:firstLine="346"/>
              <w:jc w:val="both"/>
              <w:rPr>
                <w:shd w:val="clear" w:color="auto" w:fill="FFFFFF"/>
              </w:rPr>
            </w:pPr>
            <w:r w:rsidRPr="00F03935">
              <w:rPr>
                <w:shd w:val="clear" w:color="auto" w:fill="FFFFFF"/>
              </w:rPr>
              <w:t xml:space="preserve">Likumprojekta izstrādes gaitā </w:t>
            </w:r>
            <w:r w:rsidR="00D015C4" w:rsidRPr="00F03935">
              <w:rPr>
                <w:shd w:val="clear" w:color="auto" w:fill="FFFFFF"/>
              </w:rPr>
              <w:t xml:space="preserve">tika apzināti arī citu valstu risinājumi izslēdzošā ieskaita atvasinātajiem finanšu instrumentiem tiesiskā regulējuma izstrādē. Tika konstatēts, ka </w:t>
            </w:r>
            <w:r w:rsidR="00A35C27">
              <w:rPr>
                <w:shd w:val="clear" w:color="auto" w:fill="FFFFFF"/>
              </w:rPr>
              <w:t>nav vienotas</w:t>
            </w:r>
            <w:r w:rsidR="00D015C4" w:rsidRPr="00F03935">
              <w:rPr>
                <w:shd w:val="clear" w:color="auto" w:fill="FFFFFF"/>
              </w:rPr>
              <w:t xml:space="preserve"> pieejas, kā likumdevējs normatīvo aktu līmenī attiecīgo jautājumu regulē</w:t>
            </w:r>
            <w:r w:rsidR="00A35C27">
              <w:rPr>
                <w:shd w:val="clear" w:color="auto" w:fill="FFFFFF"/>
              </w:rPr>
              <w:t>, jo normatīvais regulējums tiek pielāgots atbilstoši katras</w:t>
            </w:r>
            <w:r w:rsidR="006E4DE7">
              <w:rPr>
                <w:shd w:val="clear" w:color="auto" w:fill="FFFFFF"/>
              </w:rPr>
              <w:t xml:space="preserve"> </w:t>
            </w:r>
            <w:r w:rsidR="00A35C27">
              <w:rPr>
                <w:shd w:val="clear" w:color="auto" w:fill="FFFFFF"/>
              </w:rPr>
              <w:t>valsts tiesību sistēmai.</w:t>
            </w:r>
            <w:r w:rsidR="00D015C4" w:rsidRPr="00F03935">
              <w:rPr>
                <w:shd w:val="clear" w:color="auto" w:fill="FFFFFF"/>
              </w:rPr>
              <w:t xml:space="preserve"> Piemēram, </w:t>
            </w:r>
            <w:r w:rsidRPr="00F03935">
              <w:rPr>
                <w:shd w:val="clear" w:color="auto" w:fill="FFFFFF"/>
              </w:rPr>
              <w:t xml:space="preserve">Igaunijā </w:t>
            </w:r>
            <w:r w:rsidR="00D015C4" w:rsidRPr="00F03935">
              <w:rPr>
                <w:shd w:val="clear" w:color="auto" w:fill="FFFFFF"/>
              </w:rPr>
              <w:t xml:space="preserve">regulējums ir iekļauts </w:t>
            </w:r>
            <w:r w:rsidRPr="00F03935">
              <w:rPr>
                <w:shd w:val="clear" w:color="auto" w:fill="FFFFFF"/>
              </w:rPr>
              <w:t>Maksātnespējas likuma 99.paragrāf</w:t>
            </w:r>
            <w:r w:rsidR="00D015C4" w:rsidRPr="00F03935">
              <w:rPr>
                <w:shd w:val="clear" w:color="auto" w:fill="FFFFFF"/>
              </w:rPr>
              <w:t>ā</w:t>
            </w:r>
            <w:r w:rsidRPr="00F03935">
              <w:rPr>
                <w:rStyle w:val="FootnoteReference"/>
                <w:shd w:val="clear" w:color="auto" w:fill="FFFFFF"/>
              </w:rPr>
              <w:footnoteReference w:id="4"/>
            </w:r>
            <w:r w:rsidRPr="00F03935">
              <w:rPr>
                <w:shd w:val="clear" w:color="auto" w:fill="FFFFFF"/>
              </w:rPr>
              <w:t xml:space="preserve"> un Īpašuma likuma 314.</w:t>
            </w:r>
            <w:r w:rsidRPr="00F03935">
              <w:rPr>
                <w:shd w:val="clear" w:color="auto" w:fill="FFFFFF"/>
                <w:vertAlign w:val="superscript"/>
              </w:rPr>
              <w:t>1</w:t>
            </w:r>
            <w:r w:rsidRPr="00F03935">
              <w:rPr>
                <w:shd w:val="clear" w:color="auto" w:fill="FFFFFF"/>
              </w:rPr>
              <w:t xml:space="preserve"> un 314.</w:t>
            </w:r>
            <w:r w:rsidRPr="00F03935">
              <w:rPr>
                <w:shd w:val="clear" w:color="auto" w:fill="FFFFFF"/>
                <w:vertAlign w:val="superscript"/>
              </w:rPr>
              <w:t>2</w:t>
            </w:r>
            <w:r w:rsidRPr="00F03935">
              <w:rPr>
                <w:shd w:val="clear" w:color="auto" w:fill="FFFFFF"/>
              </w:rPr>
              <w:t>paragrāf</w:t>
            </w:r>
            <w:r w:rsidR="00D015C4" w:rsidRPr="00F03935">
              <w:rPr>
                <w:shd w:val="clear" w:color="auto" w:fill="FFFFFF"/>
              </w:rPr>
              <w:t>ā.</w:t>
            </w:r>
            <w:r w:rsidRPr="00F03935">
              <w:rPr>
                <w:rStyle w:val="FootnoteReference"/>
                <w:shd w:val="clear" w:color="auto" w:fill="FFFFFF"/>
              </w:rPr>
              <w:footnoteReference w:id="5"/>
            </w:r>
            <w:r w:rsidR="00D015C4" w:rsidRPr="00F03935">
              <w:rPr>
                <w:shd w:val="clear" w:color="auto" w:fill="FFFFFF"/>
              </w:rPr>
              <w:t xml:space="preserve"> Savukārt Lietuvā izslēdzošais ieskaits atvasinātajiem finanšu instrumentiem tiek regulēts Finanšu nodrošinājuma likumā. Ņemot vērā Latvijas tiesību sistēmas specifiku</w:t>
            </w:r>
            <w:r w:rsidR="006E4DE7">
              <w:rPr>
                <w:shd w:val="clear" w:color="auto" w:fill="FFFFFF"/>
              </w:rPr>
              <w:t>,</w:t>
            </w:r>
            <w:r w:rsidR="00D015C4" w:rsidRPr="00F03935">
              <w:rPr>
                <w:shd w:val="clear" w:color="auto" w:fill="FFFFFF"/>
              </w:rPr>
              <w:t xml:space="preserve"> Likumprojekta izstrādes gaitā par Latvijai piemērotāko risinājumu tika atzīta atsevišķa likumprojekta izstrāde</w:t>
            </w:r>
            <w:r w:rsidR="002D7FB2">
              <w:rPr>
                <w:shd w:val="clear" w:color="auto" w:fill="FFFFFF"/>
              </w:rPr>
              <w:t xml:space="preserve">, vienlaikus veicot </w:t>
            </w:r>
            <w:r w:rsidR="006E4DE7">
              <w:rPr>
                <w:shd w:val="clear" w:color="auto" w:fill="FFFFFF"/>
              </w:rPr>
              <w:t xml:space="preserve">atsevišķus būtiski nepieciešamos </w:t>
            </w:r>
            <w:r w:rsidR="004F6E2E">
              <w:rPr>
                <w:shd w:val="clear" w:color="auto" w:fill="FFFFFF"/>
              </w:rPr>
              <w:t>grozījumus citos likumos, lai saskaņotu terminoloģijas lietojumu</w:t>
            </w:r>
            <w:r w:rsidR="006E4DE7">
              <w:rPr>
                <w:shd w:val="clear" w:color="auto" w:fill="FFFFFF"/>
              </w:rPr>
              <w:t xml:space="preserve"> un nodrošinātu normatīvo aktu saskaņotību</w:t>
            </w:r>
            <w:r w:rsidR="009B1627">
              <w:rPr>
                <w:shd w:val="clear" w:color="auto" w:fill="FFFFFF"/>
              </w:rPr>
              <w:t>.</w:t>
            </w:r>
          </w:p>
          <w:p w:rsidR="00535574" w:rsidRPr="00A35C27" w:rsidRDefault="00741BE8" w:rsidP="00A35C27">
            <w:pPr>
              <w:ind w:firstLine="346"/>
              <w:jc w:val="both"/>
              <w:rPr>
                <w:shd w:val="clear" w:color="auto" w:fill="FFFFFF"/>
              </w:rPr>
            </w:pPr>
            <w:r>
              <w:rPr>
                <w:shd w:val="clear" w:color="auto" w:fill="FFFFFF"/>
              </w:rPr>
              <w:t xml:space="preserve">Likumprojekta izstrādes gaitā tika </w:t>
            </w:r>
            <w:r w:rsidR="004C056C">
              <w:rPr>
                <w:shd w:val="clear" w:color="auto" w:fill="FFFFFF"/>
              </w:rPr>
              <w:t>aktualizēts jautājums</w:t>
            </w:r>
            <w:r>
              <w:rPr>
                <w:shd w:val="clear" w:color="auto" w:fill="FFFFFF"/>
              </w:rPr>
              <w:t xml:space="preserve">, ka normatīvais regulējums Likumprojektā nav apjomīgs. Taču tika secināts, ka, neraugoties uz salīdzinoši </w:t>
            </w:r>
            <w:r w:rsidR="004C056C">
              <w:rPr>
                <w:shd w:val="clear" w:color="auto" w:fill="FFFFFF"/>
              </w:rPr>
              <w:t>nelielo</w:t>
            </w:r>
            <w:r>
              <w:rPr>
                <w:shd w:val="clear" w:color="auto" w:fill="FFFFFF"/>
              </w:rPr>
              <w:t xml:space="preserve"> pantu skaitu, regulējuma iekļaušana citos likumos no juridiskās tehnikas viedokļa būtu gandrīz neiespējama. Citos likumos, kas jau pašlaik regulē izslēdzošo ieskaitu, regulējums veidots tādēj</w:t>
            </w:r>
            <w:r w:rsidR="00906C25">
              <w:rPr>
                <w:shd w:val="clear" w:color="auto" w:fill="FFFFFF"/>
              </w:rPr>
              <w:t>ādi, ka tas attiecas vai nu plaši uz dažādiem līgumiem (piemēram, Kredītiestāžu likums), vai arī ļoti šauri tikai uz kādu konkrētu inst</w:t>
            </w:r>
            <w:r w:rsidR="006E4DE7">
              <w:rPr>
                <w:shd w:val="clear" w:color="auto" w:fill="FFFFFF"/>
              </w:rPr>
              <w:t>ru</w:t>
            </w:r>
            <w:r w:rsidR="00906C25">
              <w:rPr>
                <w:shd w:val="clear" w:color="auto" w:fill="FFFFFF"/>
              </w:rPr>
              <w:t>mentu (piemēram, Finanšu nodrošinājuma likums).</w:t>
            </w:r>
            <w:r>
              <w:rPr>
                <w:shd w:val="clear" w:color="auto" w:fill="FFFFFF"/>
              </w:rPr>
              <w:t xml:space="preserve"> </w:t>
            </w:r>
            <w:r w:rsidR="006E4DE7">
              <w:rPr>
                <w:shd w:val="clear" w:color="auto" w:fill="FFFFFF"/>
              </w:rPr>
              <w:t>I</w:t>
            </w:r>
            <w:r w:rsidR="00D14597">
              <w:rPr>
                <w:shd w:val="clear" w:color="auto" w:fill="FFFFFF"/>
              </w:rPr>
              <w:t xml:space="preserve">ekļaujot regulējumu citos likumos, </w:t>
            </w:r>
            <w:r w:rsidR="004C056C">
              <w:rPr>
                <w:shd w:val="clear" w:color="auto" w:fill="FFFFFF"/>
              </w:rPr>
              <w:t xml:space="preserve">no juridiskās tehnikas viedokļa </w:t>
            </w:r>
            <w:r w:rsidR="00D14597">
              <w:rPr>
                <w:shd w:val="clear" w:color="auto" w:fill="FFFFFF"/>
              </w:rPr>
              <w:t xml:space="preserve">būtu sarežģīti nodrošināt regulējuma sasaisti ar citiem tiesību aktiem un tiktu izjaukta normatīvo aktu struktūra. Tā kā Likumprojekts izslēdzošā ieskaita piemērošanu salīdzinoši šaurā jautājumā – vienīgi </w:t>
            </w:r>
            <w:r w:rsidR="009B1627">
              <w:rPr>
                <w:shd w:val="clear" w:color="auto" w:fill="FFFFFF"/>
              </w:rPr>
              <w:t>atvasinātajos finanšu darījumos </w:t>
            </w:r>
            <w:r w:rsidR="00D14597">
              <w:rPr>
                <w:shd w:val="clear" w:color="auto" w:fill="FFFFFF"/>
              </w:rPr>
              <w:t xml:space="preserve">–, tad </w:t>
            </w:r>
            <w:r w:rsidR="002D7FB2">
              <w:rPr>
                <w:shd w:val="clear" w:color="auto" w:fill="FFFFFF"/>
              </w:rPr>
              <w:t xml:space="preserve">Likumprojektā </w:t>
            </w:r>
            <w:r w:rsidR="007A1E7D">
              <w:rPr>
                <w:shd w:val="clear" w:color="auto" w:fill="FFFFFF"/>
              </w:rPr>
              <w:t>iekļautas</w:t>
            </w:r>
            <w:r w:rsidR="002D7FB2">
              <w:rPr>
                <w:shd w:val="clear" w:color="auto" w:fill="FFFFFF"/>
              </w:rPr>
              <w:t xml:space="preserve"> kolīziju normas, lai vienas tiesību sistēmas ietvaros n</w:t>
            </w:r>
            <w:r w:rsidR="007A1E7D">
              <w:rPr>
                <w:shd w:val="clear" w:color="auto" w:fill="FFFFFF"/>
              </w:rPr>
              <w:t>o</w:t>
            </w:r>
            <w:r w:rsidR="006F525C">
              <w:rPr>
                <w:shd w:val="clear" w:color="auto" w:fill="FFFFFF"/>
              </w:rPr>
              <w:t>vērstu potenciālas</w:t>
            </w:r>
            <w:r w:rsidR="002D7FB2">
              <w:rPr>
                <w:shd w:val="clear" w:color="auto" w:fill="FFFFFF"/>
              </w:rPr>
              <w:t xml:space="preserve"> pretrunas</w:t>
            </w:r>
            <w:r w:rsidR="006F525C">
              <w:rPr>
                <w:shd w:val="clear" w:color="auto" w:fill="FFFFFF"/>
              </w:rPr>
              <w:t xml:space="preserve"> tiesību aktos</w:t>
            </w:r>
            <w:r w:rsidR="002D7FB2">
              <w:rPr>
                <w:shd w:val="clear" w:color="auto" w:fill="FFFFFF"/>
              </w:rPr>
              <w:t>.</w:t>
            </w:r>
          </w:p>
          <w:p w:rsidR="00227136" w:rsidRDefault="006F525C" w:rsidP="00227136">
            <w:pPr>
              <w:ind w:firstLine="346"/>
              <w:jc w:val="both"/>
              <w:rPr>
                <w:rFonts w:cs="Helvetica"/>
                <w:szCs w:val="20"/>
              </w:rPr>
            </w:pPr>
            <w:r>
              <w:rPr>
                <w:rFonts w:cs="Helvetica"/>
                <w:szCs w:val="20"/>
              </w:rPr>
              <w:t>Likumprojekta izstrādes gaitā tika vērtēts jautājums par fiktīvu darījumu noslēgšanas risku, taču tika secināts, ka speciāl</w:t>
            </w:r>
            <w:r w:rsidR="00757EAE">
              <w:rPr>
                <w:rFonts w:cs="Helvetica"/>
                <w:szCs w:val="20"/>
              </w:rPr>
              <w:t>u</w:t>
            </w:r>
            <w:r>
              <w:rPr>
                <w:rFonts w:cs="Helvetica"/>
                <w:szCs w:val="20"/>
              </w:rPr>
              <w:t xml:space="preserve"> regulējum</w:t>
            </w:r>
            <w:r w:rsidR="00757EAE">
              <w:rPr>
                <w:rFonts w:cs="Helvetica"/>
                <w:szCs w:val="20"/>
              </w:rPr>
              <w:t>u</w:t>
            </w:r>
            <w:r>
              <w:rPr>
                <w:rFonts w:cs="Helvetica"/>
                <w:szCs w:val="20"/>
              </w:rPr>
              <w:t xml:space="preserve"> </w:t>
            </w:r>
            <w:r w:rsidR="00757EAE">
              <w:rPr>
                <w:rFonts w:cs="Helvetica"/>
                <w:szCs w:val="20"/>
              </w:rPr>
              <w:t>Likumprojektā</w:t>
            </w:r>
            <w:r>
              <w:rPr>
                <w:rFonts w:cs="Helvetica"/>
                <w:szCs w:val="20"/>
              </w:rPr>
              <w:t xml:space="preserve"> nav neieciešams</w:t>
            </w:r>
            <w:r w:rsidR="00757EAE">
              <w:rPr>
                <w:rFonts w:cs="Helvetica"/>
                <w:szCs w:val="20"/>
              </w:rPr>
              <w:t xml:space="preserve"> iekļaut</w:t>
            </w:r>
            <w:r>
              <w:rPr>
                <w:rFonts w:cs="Helvetica"/>
                <w:szCs w:val="20"/>
              </w:rPr>
              <w:t xml:space="preserve">, jo spēkā esošās tiesību normas </w:t>
            </w:r>
            <w:r w:rsidR="009B1627">
              <w:rPr>
                <w:rFonts w:cs="Helvetica"/>
                <w:szCs w:val="20"/>
              </w:rPr>
              <w:t xml:space="preserve">jau pašlaik </w:t>
            </w:r>
            <w:r w:rsidR="00227136">
              <w:rPr>
                <w:rFonts w:cs="Helvetica"/>
                <w:szCs w:val="20"/>
              </w:rPr>
              <w:t xml:space="preserve">dod </w:t>
            </w:r>
            <w:r w:rsidR="00757EAE">
              <w:rPr>
                <w:rFonts w:cs="Helvetica"/>
                <w:szCs w:val="20"/>
              </w:rPr>
              <w:t xml:space="preserve">plašas </w:t>
            </w:r>
            <w:r w:rsidR="00227136">
              <w:rPr>
                <w:rFonts w:cs="Helvetica"/>
                <w:szCs w:val="20"/>
              </w:rPr>
              <w:t xml:space="preserve">tiesības un uzliek pienākumus kompetentajām iestādēm </w:t>
            </w:r>
            <w:r w:rsidR="009D3220">
              <w:rPr>
                <w:rFonts w:cs="Helvetica"/>
                <w:szCs w:val="20"/>
              </w:rPr>
              <w:t xml:space="preserve">un </w:t>
            </w:r>
            <w:r w:rsidR="00227136">
              <w:rPr>
                <w:rFonts w:cs="Helvetica"/>
                <w:szCs w:val="20"/>
              </w:rPr>
              <w:t xml:space="preserve">amatpersonām </w:t>
            </w:r>
            <w:r w:rsidR="009D3220">
              <w:rPr>
                <w:rFonts w:cs="Helvetica"/>
                <w:szCs w:val="20"/>
              </w:rPr>
              <w:t xml:space="preserve">reaģēt uz ziņām par iespējamu noziedzīgu nodarījumu, </w:t>
            </w:r>
            <w:r w:rsidR="000314BD">
              <w:rPr>
                <w:szCs w:val="20"/>
              </w:rPr>
              <w:t xml:space="preserve">kad tiek konstatēta </w:t>
            </w:r>
            <w:r w:rsidR="004C056C">
              <w:rPr>
                <w:szCs w:val="20"/>
              </w:rPr>
              <w:t xml:space="preserve">darījuma </w:t>
            </w:r>
            <w:r w:rsidR="000314BD">
              <w:rPr>
                <w:szCs w:val="20"/>
              </w:rPr>
              <w:t>pušu prettiesiska rīcība, piemēram, krāpšana vai parakstu viltošana</w:t>
            </w:r>
            <w:r w:rsidR="00227136">
              <w:rPr>
                <w:szCs w:val="20"/>
              </w:rPr>
              <w:t>.</w:t>
            </w:r>
            <w:r w:rsidR="009D3220">
              <w:rPr>
                <w:rFonts w:cs="Helvetica"/>
                <w:szCs w:val="20"/>
              </w:rPr>
              <w:t>.</w:t>
            </w:r>
          </w:p>
          <w:p w:rsidR="004B2951" w:rsidRPr="00B76A8A" w:rsidRDefault="00227136" w:rsidP="003D2211">
            <w:pPr>
              <w:ind w:firstLine="346"/>
              <w:jc w:val="both"/>
              <w:rPr>
                <w:color w:val="000000" w:themeColor="text1"/>
              </w:rPr>
            </w:pPr>
            <w:r>
              <w:rPr>
                <w:rFonts w:cs="Helvetica"/>
                <w:szCs w:val="20"/>
              </w:rPr>
              <w:t>Fiktīvu darījumu noslēgšanas risks ir ņemts vērā, nosakot izslēdzošā ieskaita lī</w:t>
            </w:r>
            <w:r w:rsidR="00CF7D8B">
              <w:rPr>
                <w:rFonts w:cs="Helvetica"/>
                <w:szCs w:val="20"/>
              </w:rPr>
              <w:t xml:space="preserve">dzējus </w:t>
            </w:r>
            <w:r>
              <w:rPr>
                <w:rFonts w:cs="Helvetica"/>
                <w:szCs w:val="20"/>
              </w:rPr>
              <w:t xml:space="preserve">jeb likuma subjektus. Pirmkārt, Likumprojekts paredz izslēdzošā ieskaita piemērošanu, ja </w:t>
            </w:r>
            <w:r w:rsidR="00CF7D8B">
              <w:rPr>
                <w:rFonts w:cs="Helvetica"/>
                <w:szCs w:val="20"/>
              </w:rPr>
              <w:t>līdzējs</w:t>
            </w:r>
            <w:r w:rsidR="00F34857">
              <w:rPr>
                <w:rFonts w:cs="Helvetica"/>
                <w:szCs w:val="20"/>
              </w:rPr>
              <w:t xml:space="preserve"> ir Latvijas valsts </w:t>
            </w:r>
            <w:r>
              <w:rPr>
                <w:rFonts w:cs="Helvetica"/>
                <w:szCs w:val="20"/>
              </w:rPr>
              <w:t xml:space="preserve">(arī </w:t>
            </w:r>
            <w:r w:rsidR="00F34857">
              <w:rPr>
                <w:rFonts w:cs="Helvetica"/>
                <w:szCs w:val="20"/>
              </w:rPr>
              <w:t>tās</w:t>
            </w:r>
            <w:r>
              <w:rPr>
                <w:rFonts w:cs="Helvetica"/>
                <w:szCs w:val="20"/>
              </w:rPr>
              <w:t xml:space="preserve"> iestāde) </w:t>
            </w:r>
            <w:r w:rsidR="00F34857">
              <w:rPr>
                <w:rFonts w:cs="Helvetica"/>
                <w:szCs w:val="20"/>
              </w:rPr>
              <w:t>vai</w:t>
            </w:r>
            <w:r>
              <w:rPr>
                <w:rFonts w:cs="Helvetica"/>
                <w:szCs w:val="20"/>
              </w:rPr>
              <w:t xml:space="preserve"> jebkura cita valsts</w:t>
            </w:r>
            <w:r w:rsidR="00B446A2">
              <w:rPr>
                <w:rFonts w:cs="Helvetica"/>
                <w:szCs w:val="20"/>
              </w:rPr>
              <w:t xml:space="preserve"> (arī tās iestāde)</w:t>
            </w:r>
            <w:r>
              <w:rPr>
                <w:rFonts w:cs="Helvetica"/>
                <w:szCs w:val="20"/>
              </w:rPr>
              <w:t xml:space="preserve">. Valsts kā juridisks veidojums pati par sevi ir pietiekami uzticams darījumu partneris un situācija, kad kāda valsts varētu noslēgt fiktīvu darījumu, ir </w:t>
            </w:r>
            <w:r w:rsidR="004C056C">
              <w:rPr>
                <w:rFonts w:cs="Helvetica"/>
                <w:szCs w:val="20"/>
              </w:rPr>
              <w:t xml:space="preserve">vērtējama kā </w:t>
            </w:r>
            <w:r>
              <w:rPr>
                <w:rFonts w:cs="Helvetica"/>
                <w:szCs w:val="20"/>
              </w:rPr>
              <w:t xml:space="preserve">faktiski neiespējama. Otrkārt, Likumprojekts paredz izslēdzošā ieskaita piemērošanu, ja </w:t>
            </w:r>
            <w:r w:rsidR="00CF7D8B">
              <w:rPr>
                <w:rFonts w:cs="Helvetica"/>
                <w:szCs w:val="20"/>
              </w:rPr>
              <w:t>līdzējs</w:t>
            </w:r>
            <w:r>
              <w:rPr>
                <w:rFonts w:cs="Helvetica"/>
                <w:szCs w:val="20"/>
              </w:rPr>
              <w:t xml:space="preserve"> ir </w:t>
            </w:r>
            <w:r w:rsidRPr="00653378">
              <w:rPr>
                <w:rFonts w:eastAsia="Times New Roman"/>
                <w:color w:val="000000" w:themeColor="text1"/>
              </w:rPr>
              <w:t>Latvijas Banka, cit</w:t>
            </w:r>
            <w:r>
              <w:rPr>
                <w:rFonts w:eastAsia="Times New Roman"/>
                <w:color w:val="000000" w:themeColor="text1"/>
              </w:rPr>
              <w:t>as</w:t>
            </w:r>
            <w:r w:rsidRPr="00653378">
              <w:rPr>
                <w:rFonts w:eastAsia="Times New Roman"/>
                <w:color w:val="000000" w:themeColor="text1"/>
              </w:rPr>
              <w:t xml:space="preserve"> valst</w:t>
            </w:r>
            <w:r>
              <w:rPr>
                <w:rFonts w:eastAsia="Times New Roman"/>
                <w:color w:val="000000" w:themeColor="text1"/>
              </w:rPr>
              <w:t>s</w:t>
            </w:r>
            <w:r w:rsidRPr="00653378">
              <w:rPr>
                <w:rFonts w:eastAsia="Times New Roman"/>
                <w:color w:val="000000" w:themeColor="text1"/>
              </w:rPr>
              <w:t xml:space="preserve"> centrāl</w:t>
            </w:r>
            <w:r>
              <w:rPr>
                <w:rFonts w:eastAsia="Times New Roman"/>
                <w:color w:val="000000" w:themeColor="text1"/>
              </w:rPr>
              <w:t>ā banka</w:t>
            </w:r>
            <w:r w:rsidRPr="00653378">
              <w:rPr>
                <w:rFonts w:eastAsia="Times New Roman"/>
                <w:color w:val="000000" w:themeColor="text1"/>
              </w:rPr>
              <w:t>, Eiropas Centrāl</w:t>
            </w:r>
            <w:r>
              <w:rPr>
                <w:rFonts w:eastAsia="Times New Roman"/>
                <w:color w:val="000000" w:themeColor="text1"/>
              </w:rPr>
              <w:t>ā</w:t>
            </w:r>
            <w:r w:rsidRPr="00653378">
              <w:rPr>
                <w:rFonts w:eastAsia="Times New Roman"/>
                <w:color w:val="000000" w:themeColor="text1"/>
              </w:rPr>
              <w:t xml:space="preserve"> banka, Starptautisko norēķinu banka, Starptautiskais Valūtas fonds</w:t>
            </w:r>
            <w:r w:rsidR="00757EAE">
              <w:rPr>
                <w:rFonts w:eastAsia="Times New Roman"/>
                <w:color w:val="000000" w:themeColor="text1"/>
              </w:rPr>
              <w:t xml:space="preserve"> un </w:t>
            </w:r>
            <w:r w:rsidR="00757EAE">
              <w:rPr>
                <w:rFonts w:eastAsia="Times New Roman"/>
                <w:color w:val="000000" w:themeColor="text1"/>
              </w:rPr>
              <w:lastRenderedPageBreak/>
              <w:t>daudzpusējās attīstības bankas</w:t>
            </w:r>
            <w:r>
              <w:rPr>
                <w:rFonts w:cs="Helvetica"/>
                <w:szCs w:val="20"/>
              </w:rPr>
              <w:t xml:space="preserve">. Minētie subjekti līdzīgi kā iepriekš </w:t>
            </w:r>
            <w:r w:rsidR="004B2951">
              <w:rPr>
                <w:rFonts w:cs="Helvetica"/>
                <w:szCs w:val="20"/>
              </w:rPr>
              <w:t>norādītajā</w:t>
            </w:r>
            <w:r>
              <w:rPr>
                <w:rFonts w:cs="Helvetica"/>
                <w:szCs w:val="20"/>
              </w:rPr>
              <w:t xml:space="preserve"> gadījumā ar valsti ir uzskatāmi par uzticamiem dar</w:t>
            </w:r>
            <w:r w:rsidR="00757EAE">
              <w:rPr>
                <w:rFonts w:cs="Helvetica"/>
                <w:szCs w:val="20"/>
              </w:rPr>
              <w:t>ījumu partneriem. Treškārt, Likumprojekts paredz izslēdzošā ieskaita piemērošanu, ja</w:t>
            </w:r>
            <w:r w:rsidR="00AC0B78">
              <w:rPr>
                <w:rFonts w:cs="Helvetica"/>
                <w:szCs w:val="20"/>
              </w:rPr>
              <w:t xml:space="preserve"> </w:t>
            </w:r>
            <w:r w:rsidR="00CF7D8B">
              <w:rPr>
                <w:rFonts w:cs="Helvetica"/>
                <w:szCs w:val="20"/>
              </w:rPr>
              <w:t>līdzējs</w:t>
            </w:r>
            <w:r w:rsidR="00AC0B78">
              <w:rPr>
                <w:rFonts w:cs="Helvetica"/>
                <w:szCs w:val="20"/>
              </w:rPr>
              <w:t xml:space="preserve"> ir </w:t>
            </w:r>
            <w:r w:rsidR="003D2211" w:rsidRPr="000C195D">
              <w:rPr>
                <w:rFonts w:eastAsia="Times New Roman"/>
                <w:color w:val="000000" w:themeColor="text1"/>
              </w:rPr>
              <w:t xml:space="preserve">Latvijas Republikā vai citā </w:t>
            </w:r>
            <w:r w:rsidR="003D2211">
              <w:rPr>
                <w:rFonts w:eastAsia="Times New Roman"/>
                <w:color w:val="000000" w:themeColor="text1"/>
              </w:rPr>
              <w:t>dalīb</w:t>
            </w:r>
            <w:r w:rsidR="003D2211" w:rsidRPr="000C195D">
              <w:rPr>
                <w:rFonts w:eastAsia="Times New Roman"/>
                <w:color w:val="000000" w:themeColor="text1"/>
              </w:rPr>
              <w:t>valstī darbībai finanšu tirgū licencēta vai regulēta persona</w:t>
            </w:r>
            <w:r w:rsidR="00AC0B78">
              <w:rPr>
                <w:rFonts w:eastAsia="Times New Roman"/>
                <w:color w:val="000000" w:themeColor="text1"/>
              </w:rPr>
              <w:t xml:space="preserve">. Likumprojekta izstrādes gaitā tika ņemts vērā, ka šajās valstīs pastāv efektīvs prudenciālās uzraudzības regulējums un kompetentās uzraudzības iestādes pietiekami skrupulozi vērtē finanšu un kapitāla tirgus dalībnieku darbības likumību. </w:t>
            </w:r>
            <w:r w:rsidR="00B23112">
              <w:rPr>
                <w:rFonts w:eastAsia="Times New Roman"/>
                <w:color w:val="000000" w:themeColor="text1"/>
              </w:rPr>
              <w:t xml:space="preserve">Ceturtkārt, Likumprojekts nosaka arī izslēdzošā ieskaita </w:t>
            </w:r>
            <w:r w:rsidR="00B23112" w:rsidRPr="00653378">
              <w:rPr>
                <w:rFonts w:eastAsia="Times New Roman"/>
                <w:color w:val="000000" w:themeColor="text1"/>
              </w:rPr>
              <w:t xml:space="preserve">piemērošanas kārtību </w:t>
            </w:r>
            <w:r w:rsidR="00B23112">
              <w:rPr>
                <w:rFonts w:eastAsia="Times New Roman"/>
                <w:color w:val="000000" w:themeColor="text1"/>
              </w:rPr>
              <w:t xml:space="preserve">gadījumā, ja viens līdzējs ir kāds no iepriekš minētajiem subjektiem, bet otrs </w:t>
            </w:r>
            <w:r w:rsidR="00B23112" w:rsidRPr="00653378">
              <w:rPr>
                <w:rFonts w:eastAsia="Times New Roman"/>
                <w:color w:val="000000" w:themeColor="text1"/>
              </w:rPr>
              <w:t>— fiziska</w:t>
            </w:r>
            <w:r w:rsidR="00B23112">
              <w:rPr>
                <w:rFonts w:eastAsia="Times New Roman"/>
                <w:color w:val="000000" w:themeColor="text1"/>
              </w:rPr>
              <w:t xml:space="preserve"> persona, kas nav patērētājs </w:t>
            </w:r>
            <w:r w:rsidR="00B23112" w:rsidRPr="00324416">
              <w:rPr>
                <w:rFonts w:eastAsia="Times New Roman"/>
                <w:color w:val="000000" w:themeColor="text1"/>
              </w:rPr>
              <w:t>Patērētāju tiesību aizsardzības likuma</w:t>
            </w:r>
            <w:r w:rsidR="00B23112">
              <w:rPr>
                <w:rFonts w:eastAsia="Times New Roman"/>
                <w:color w:val="000000" w:themeColor="text1"/>
              </w:rPr>
              <w:t xml:space="preserve"> izpratnē</w:t>
            </w:r>
            <w:r w:rsidR="00B23112" w:rsidRPr="00653378">
              <w:rPr>
                <w:rFonts w:eastAsia="Times New Roman"/>
                <w:color w:val="000000" w:themeColor="text1"/>
              </w:rPr>
              <w:t>, juridiska vai cita persona vai šo personu apvienība</w:t>
            </w:r>
            <w:r w:rsidR="00B23112">
              <w:rPr>
                <w:rFonts w:eastAsia="Times New Roman"/>
                <w:color w:val="000000" w:themeColor="text1"/>
              </w:rPr>
              <w:t xml:space="preserve">. Tā kā </w:t>
            </w:r>
            <w:r w:rsidR="004B2951">
              <w:rPr>
                <w:rFonts w:eastAsia="Times New Roman"/>
                <w:color w:val="000000" w:themeColor="text1"/>
              </w:rPr>
              <w:t xml:space="preserve">viens no </w:t>
            </w:r>
            <w:r w:rsidR="00B23112">
              <w:rPr>
                <w:rFonts w:eastAsia="Times New Roman"/>
                <w:color w:val="000000" w:themeColor="text1"/>
              </w:rPr>
              <w:t>līdz</w:t>
            </w:r>
            <w:r w:rsidR="004B2951">
              <w:rPr>
                <w:rFonts w:eastAsia="Times New Roman"/>
                <w:color w:val="000000" w:themeColor="text1"/>
              </w:rPr>
              <w:t>ējiem</w:t>
            </w:r>
            <w:r w:rsidR="00B23112">
              <w:rPr>
                <w:rFonts w:eastAsia="Times New Roman"/>
                <w:color w:val="000000" w:themeColor="text1"/>
              </w:rPr>
              <w:t xml:space="preserve">, kas nav fiziskā persona, atbilstoši iepriekš minētajam ir uzskatāms par drošu darījumu partneri, tad no riska viedokļa </w:t>
            </w:r>
            <w:r w:rsidR="004C056C">
              <w:rPr>
                <w:rFonts w:eastAsia="Times New Roman"/>
                <w:color w:val="000000" w:themeColor="text1"/>
              </w:rPr>
              <w:t>maz ticama ir</w:t>
            </w:r>
            <w:r w:rsidR="00B23112">
              <w:rPr>
                <w:rFonts w:eastAsia="Times New Roman"/>
                <w:color w:val="000000" w:themeColor="text1"/>
              </w:rPr>
              <w:t xml:space="preserve"> fiktīva līguma noslēgšana</w:t>
            </w:r>
            <w:r w:rsidR="004B2951">
              <w:rPr>
                <w:rFonts w:eastAsia="Times New Roman"/>
                <w:color w:val="000000" w:themeColor="text1"/>
              </w:rPr>
              <w:t xml:space="preserve"> šādā situācijā</w:t>
            </w:r>
            <w:r w:rsidR="00B23112">
              <w:rPr>
                <w:rFonts w:eastAsia="Times New Roman"/>
                <w:color w:val="000000" w:themeColor="text1"/>
              </w:rPr>
              <w:t xml:space="preserve">. </w:t>
            </w:r>
            <w:r w:rsidR="004B2951">
              <w:rPr>
                <w:rFonts w:eastAsia="Times New Roman"/>
                <w:color w:val="000000" w:themeColor="text1"/>
              </w:rPr>
              <w:t xml:space="preserve">Piektkārt, Likumprojekts nosaka izslēdzošā ieskaita </w:t>
            </w:r>
            <w:r w:rsidR="004B2951" w:rsidRPr="00653378">
              <w:rPr>
                <w:rFonts w:eastAsia="Times New Roman"/>
                <w:color w:val="000000" w:themeColor="text1"/>
              </w:rPr>
              <w:t xml:space="preserve">piemērošanas kārtību </w:t>
            </w:r>
            <w:r w:rsidR="004B2951">
              <w:rPr>
                <w:rFonts w:eastAsia="Times New Roman"/>
                <w:color w:val="000000" w:themeColor="text1"/>
              </w:rPr>
              <w:t xml:space="preserve">gadījumā, ja </w:t>
            </w:r>
            <w:r w:rsidR="004B2951" w:rsidRPr="00653378">
              <w:rPr>
                <w:color w:val="000000" w:themeColor="text1"/>
              </w:rPr>
              <w:t>abi līdzēji ir juridiskas personas</w:t>
            </w:r>
            <w:r w:rsidR="004B2951">
              <w:rPr>
                <w:color w:val="000000" w:themeColor="text1"/>
              </w:rPr>
              <w:t xml:space="preserve">. </w:t>
            </w:r>
            <w:r w:rsidR="004B2951">
              <w:rPr>
                <w:rFonts w:eastAsia="Times New Roman"/>
                <w:color w:val="000000" w:themeColor="text1"/>
              </w:rPr>
              <w:t>Likumprojekta izstrādes gaitā šis gadījums tika vērtēts kā potenciāli iespējamais</w:t>
            </w:r>
            <w:r w:rsidR="004C056C">
              <w:rPr>
                <w:rFonts w:eastAsia="Times New Roman"/>
                <w:color w:val="000000" w:themeColor="text1"/>
              </w:rPr>
              <w:t xml:space="preserve"> gadījums</w:t>
            </w:r>
            <w:r w:rsidR="004B2951">
              <w:rPr>
                <w:rFonts w:eastAsia="Times New Roman"/>
                <w:color w:val="000000" w:themeColor="text1"/>
              </w:rPr>
              <w:t>, kad varētu pastāvēt fiktīvu darījumu noslēgšanas risks. Lai mazinātu šādu risku Likumprojektā iekļauti konkrēti kritēriji, kuriem jāizpildās, lai divi līdzēji, kas ir juridiskas personas, būtu tiesīgi piemērot izslēdzošo ieskaitu. Likumprojektā ir paredzēts, ka tās var būt tikai lielās sabiedrības, kuras atbilst likumā noteiktajām apjoma prasībām.</w:t>
            </w:r>
          </w:p>
          <w:p w:rsidR="009D3220" w:rsidRPr="00F03935" w:rsidRDefault="004B2951" w:rsidP="00AD723B">
            <w:pPr>
              <w:ind w:firstLine="346"/>
              <w:jc w:val="both"/>
              <w:rPr>
                <w:shd w:val="clear" w:color="auto" w:fill="FFFFFF"/>
              </w:rPr>
            </w:pPr>
            <w:r>
              <w:rPr>
                <w:rFonts w:eastAsia="Times New Roman"/>
                <w:color w:val="000000" w:themeColor="text1"/>
              </w:rPr>
              <w:t>Likumprojekta izstrādes gaitā tika vērtēts arī jautājums par trešo personu aizsardzību, piemēram,</w:t>
            </w:r>
            <w:r w:rsidR="00AD723B">
              <w:rPr>
                <w:rFonts w:eastAsia="Times New Roman"/>
                <w:color w:val="000000" w:themeColor="text1"/>
              </w:rPr>
              <w:t xml:space="preserve"> </w:t>
            </w:r>
            <w:r w:rsidR="00BB5958">
              <w:rPr>
                <w:rFonts w:cs="Helvetica"/>
                <w:szCs w:val="20"/>
              </w:rPr>
              <w:t xml:space="preserve"> noziedzīgi iegūta</w:t>
            </w:r>
            <w:r w:rsidR="00AD723B">
              <w:rPr>
                <w:rFonts w:cs="Helvetica"/>
                <w:szCs w:val="20"/>
              </w:rPr>
              <w:t>s</w:t>
            </w:r>
            <w:r w:rsidR="00BB5958">
              <w:rPr>
                <w:rFonts w:cs="Helvetica"/>
                <w:szCs w:val="20"/>
              </w:rPr>
              <w:t xml:space="preserve"> manta</w:t>
            </w:r>
            <w:r w:rsidR="00AD723B">
              <w:rPr>
                <w:rFonts w:cs="Helvetica"/>
                <w:szCs w:val="20"/>
              </w:rPr>
              <w:t>s</w:t>
            </w:r>
            <w:r w:rsidR="00BB5958">
              <w:rPr>
                <w:rFonts w:cs="Helvetica"/>
                <w:szCs w:val="20"/>
              </w:rPr>
              <w:t xml:space="preserve"> </w:t>
            </w:r>
            <w:r w:rsidR="00AD723B">
              <w:rPr>
                <w:rFonts w:cs="Helvetica"/>
                <w:szCs w:val="20"/>
              </w:rPr>
              <w:t xml:space="preserve">atdošanu </w:t>
            </w:r>
            <w:r w:rsidR="00BB5958">
              <w:rPr>
                <w:rFonts w:cs="Helvetica"/>
                <w:szCs w:val="20"/>
              </w:rPr>
              <w:t xml:space="preserve">īpašniekam vai likumīgajam valdītājam vai </w:t>
            </w:r>
            <w:r w:rsidR="00AD723B">
              <w:rPr>
                <w:rFonts w:cs="Helvetica"/>
                <w:szCs w:val="20"/>
              </w:rPr>
              <w:t xml:space="preserve">tās </w:t>
            </w:r>
            <w:r w:rsidR="00BB5958">
              <w:rPr>
                <w:rFonts w:cs="Helvetica"/>
                <w:szCs w:val="20"/>
              </w:rPr>
              <w:t>konfi</w:t>
            </w:r>
            <w:r w:rsidR="00AD723B">
              <w:rPr>
                <w:rFonts w:cs="Helvetica"/>
                <w:szCs w:val="20"/>
              </w:rPr>
              <w:t>skācija</w:t>
            </w:r>
            <w:r w:rsidR="00BB5958">
              <w:rPr>
                <w:rFonts w:cs="Helvetica"/>
                <w:szCs w:val="20"/>
              </w:rPr>
              <w:t xml:space="preserve"> valsts labā.</w:t>
            </w:r>
            <w:r w:rsidR="000314BD">
              <w:rPr>
                <w:rFonts w:cs="Helvetica"/>
                <w:szCs w:val="20"/>
              </w:rPr>
              <w:t xml:space="preserve"> </w:t>
            </w:r>
            <w:r w:rsidR="00AD723B">
              <w:rPr>
                <w:rFonts w:cs="Helvetica"/>
                <w:szCs w:val="20"/>
              </w:rPr>
              <w:t xml:space="preserve">Tā kā pašlaik spēkā esošais regulējums citos tiesību aktos jau efektīvi risina šo jautājumu, tad Likumprojektā nekādi citi papildus </w:t>
            </w:r>
            <w:r w:rsidR="004C056C">
              <w:rPr>
                <w:rFonts w:cs="Helvetica"/>
                <w:szCs w:val="20"/>
              </w:rPr>
              <w:t xml:space="preserve">tiesību </w:t>
            </w:r>
            <w:r w:rsidR="00AD723B">
              <w:rPr>
                <w:rFonts w:cs="Helvetica"/>
                <w:szCs w:val="20"/>
              </w:rPr>
              <w:t xml:space="preserve">aizsardzības līdzekļi nav paredzēti. </w:t>
            </w:r>
            <w:r w:rsidR="009E6307">
              <w:rPr>
                <w:rFonts w:cs="Helvetica"/>
                <w:szCs w:val="20"/>
              </w:rPr>
              <w:t>Latvijas tiesību sistēmā pieejamie tiesību aizsardzības līdzekļi jau pašlaik pietiekamā apmērā</w:t>
            </w:r>
            <w:r w:rsidR="00BB5958">
              <w:rPr>
                <w:rFonts w:cs="Helvetica"/>
                <w:szCs w:val="20"/>
              </w:rPr>
              <w:t xml:space="preserve"> nodrošina citu, labticīgu personu tiesību aizsardz</w:t>
            </w:r>
            <w:r w:rsidR="000314BD">
              <w:rPr>
                <w:rFonts w:cs="Helvetica"/>
                <w:szCs w:val="20"/>
              </w:rPr>
              <w:t>ību</w:t>
            </w:r>
            <w:r w:rsidR="00BB5958">
              <w:rPr>
                <w:rFonts w:cs="Helvetica"/>
                <w:szCs w:val="20"/>
              </w:rPr>
              <w:t xml:space="preserve"> gadījumos, kad tās atzītas par cietušajām.</w:t>
            </w:r>
          </w:p>
          <w:p w:rsidR="00EB6BD5" w:rsidRPr="00F03935" w:rsidRDefault="00244A84" w:rsidP="00EB6BD5">
            <w:pPr>
              <w:ind w:firstLine="346"/>
              <w:jc w:val="both"/>
              <w:rPr>
                <w:szCs w:val="20"/>
              </w:rPr>
            </w:pPr>
            <w:r w:rsidRPr="00F03935">
              <w:rPr>
                <w:szCs w:val="20"/>
              </w:rPr>
              <w:t xml:space="preserve">Likumprojekta 1.panta pirmajā daļā ir sniegts skaidrojums likumā lietotajiem terminiem </w:t>
            </w:r>
            <w:r w:rsidR="009A7C90">
              <w:rPr>
                <w:spacing w:val="2"/>
                <w:shd w:val="clear" w:color="auto" w:fill="FFFFFF"/>
              </w:rPr>
              <w:t>„</w:t>
            </w:r>
            <w:r w:rsidRPr="00F03935">
              <w:rPr>
                <w:szCs w:val="20"/>
              </w:rPr>
              <w:t xml:space="preserve">dalībvalsts” un </w:t>
            </w:r>
            <w:r w:rsidR="009A7C90">
              <w:rPr>
                <w:spacing w:val="2"/>
                <w:shd w:val="clear" w:color="auto" w:fill="FFFFFF"/>
              </w:rPr>
              <w:t>„</w:t>
            </w:r>
            <w:r w:rsidRPr="00F03935">
              <w:rPr>
                <w:szCs w:val="20"/>
              </w:rPr>
              <w:t xml:space="preserve">izpildes notikums”, bet otrajā daļā skaidrots termina </w:t>
            </w:r>
            <w:r w:rsidR="009A7C90">
              <w:rPr>
                <w:spacing w:val="2"/>
                <w:shd w:val="clear" w:color="auto" w:fill="FFFFFF"/>
              </w:rPr>
              <w:t>„</w:t>
            </w:r>
            <w:r w:rsidRPr="00F03935">
              <w:rPr>
                <w:szCs w:val="20"/>
              </w:rPr>
              <w:t xml:space="preserve">parādnieks” lietojums. </w:t>
            </w:r>
            <w:r w:rsidR="000B47AD">
              <w:rPr>
                <w:szCs w:val="20"/>
              </w:rPr>
              <w:t>Termins dalībvalsts tiek lietots tālāk Likumprojekta 4.pantā, kur regulēti likuma subjekti jeb līdzēji, kas tiesīgi piemērot izslēdzošo ieskaitu. Nākotnē, apsverot iespēju paplašināt tiesisko regulējumu arī uz citām valstīm</w:t>
            </w:r>
            <w:r w:rsidR="00C57732">
              <w:rPr>
                <w:szCs w:val="20"/>
              </w:rPr>
              <w:t xml:space="preserve"> un</w:t>
            </w:r>
            <w:r w:rsidR="000B47AD">
              <w:rPr>
                <w:szCs w:val="20"/>
              </w:rPr>
              <w:t xml:space="preserve"> aptverot arī citu valstu finanšu institūcijas, attiecīgi bū</w:t>
            </w:r>
            <w:r w:rsidR="004C056C">
              <w:rPr>
                <w:szCs w:val="20"/>
              </w:rPr>
              <w:t>tu</w:t>
            </w:r>
            <w:r w:rsidR="000B47AD">
              <w:rPr>
                <w:szCs w:val="20"/>
              </w:rPr>
              <w:t xml:space="preserve"> nepieciešams veikt grozījumus tikai 1.pantā, izvairoties no valstu uzskaitījuma viscaur Likumprojekta tekstā. Līdzīgi arī termins „izpildes notikums” ir definēts 1.pant</w:t>
            </w:r>
            <w:r w:rsidR="00C57732">
              <w:rPr>
                <w:szCs w:val="20"/>
              </w:rPr>
              <w:t xml:space="preserve">ā, un tas tiek lietots Likumprojekta </w:t>
            </w:r>
            <w:r w:rsidR="000940A4">
              <w:rPr>
                <w:szCs w:val="20"/>
              </w:rPr>
              <w:t>5.pant</w:t>
            </w:r>
            <w:r w:rsidR="00C57732">
              <w:rPr>
                <w:szCs w:val="20"/>
              </w:rPr>
              <w:t>ā</w:t>
            </w:r>
            <w:r w:rsidR="000940A4">
              <w:rPr>
                <w:szCs w:val="20"/>
              </w:rPr>
              <w:t xml:space="preserve">. </w:t>
            </w:r>
            <w:r w:rsidR="00EB6BD5" w:rsidRPr="00F03935">
              <w:rPr>
                <w:szCs w:val="20"/>
              </w:rPr>
              <w:t xml:space="preserve">Izpildes notikums Likumprojektā definēts ietveroši – kā notikums, par ko līdzēji vienojušies, ka, tam iestājoties, puses piemēro izslēdzošo ieskaitu saskaņā ar izslēdzošā ieskaita līguma noteikumiem. Tādējādi izpildes notikums var ietvert gan saistību neizpildes gadījumu (angliski starptautiskajā praksē parasti saukts – </w:t>
            </w:r>
            <w:r w:rsidR="009A7C90">
              <w:rPr>
                <w:spacing w:val="2"/>
                <w:shd w:val="clear" w:color="auto" w:fill="FFFFFF"/>
              </w:rPr>
              <w:t>„</w:t>
            </w:r>
            <w:r w:rsidR="00EB6BD5" w:rsidRPr="00F03935">
              <w:rPr>
                <w:i/>
                <w:szCs w:val="20"/>
              </w:rPr>
              <w:t>event of default</w:t>
            </w:r>
            <w:r w:rsidR="00EB6BD5" w:rsidRPr="00F03935">
              <w:rPr>
                <w:szCs w:val="20"/>
              </w:rPr>
              <w:t xml:space="preserve">”), gan izbeigšanas gadījumu (angliski starptautiskajā praksē paraksti saukts – </w:t>
            </w:r>
            <w:r w:rsidR="009A7C90">
              <w:rPr>
                <w:spacing w:val="2"/>
                <w:shd w:val="clear" w:color="auto" w:fill="FFFFFF"/>
              </w:rPr>
              <w:t>„</w:t>
            </w:r>
            <w:r w:rsidR="00EB6BD5" w:rsidRPr="00F03935">
              <w:rPr>
                <w:i/>
                <w:szCs w:val="20"/>
              </w:rPr>
              <w:t>termination event</w:t>
            </w:r>
            <w:r w:rsidR="00EB6BD5" w:rsidRPr="00F03935">
              <w:rPr>
                <w:szCs w:val="20"/>
              </w:rPr>
              <w:t>”).</w:t>
            </w:r>
          </w:p>
          <w:p w:rsidR="00244A84" w:rsidRPr="00C57732" w:rsidRDefault="000940A4" w:rsidP="00C57732">
            <w:pPr>
              <w:ind w:firstLine="346"/>
              <w:jc w:val="both"/>
              <w:rPr>
                <w:szCs w:val="20"/>
              </w:rPr>
            </w:pPr>
            <w:r>
              <w:rPr>
                <w:szCs w:val="20"/>
              </w:rPr>
              <w:lastRenderedPageBreak/>
              <w:t xml:space="preserve">Likumprojekta izstrādes gaitā tika ņemts vērā apstāklis, ka </w:t>
            </w:r>
            <w:r w:rsidR="00244A84" w:rsidRPr="00F03935">
              <w:rPr>
                <w:szCs w:val="20"/>
              </w:rPr>
              <w:t>parādnieka definīcija nav iekļauta nevienā tiesību aktā</w:t>
            </w:r>
            <w:r w:rsidR="000C17B5" w:rsidRPr="00F03935">
              <w:rPr>
                <w:szCs w:val="20"/>
              </w:rPr>
              <w:t>, un šis termins ir saprotams arī no paša tiesību institūta</w:t>
            </w:r>
            <w:r>
              <w:rPr>
                <w:szCs w:val="20"/>
              </w:rPr>
              <w:t>. Taču</w:t>
            </w:r>
            <w:r w:rsidR="00C57732">
              <w:rPr>
                <w:szCs w:val="20"/>
              </w:rPr>
              <w:t>,</w:t>
            </w:r>
            <w:r>
              <w:rPr>
                <w:szCs w:val="20"/>
              </w:rPr>
              <w:t xml:space="preserve"> tā kā atvasināto instrumentu gadījumā abiem līdzējiem ir atvērtas pozīcijas vienam pret otru un abi līdzēji ir gan kreditori, gan arī parādnieki viens otram, tad</w:t>
            </w:r>
            <w:r w:rsidR="000C17B5" w:rsidRPr="00F03935">
              <w:rPr>
                <w:szCs w:val="20"/>
              </w:rPr>
              <w:t xml:space="preserve">, </w:t>
            </w:r>
            <w:r w:rsidR="00587C76" w:rsidRPr="00F03935">
              <w:rPr>
                <w:szCs w:val="20"/>
              </w:rPr>
              <w:t>nolūkā novērst iespējamu nekonsekvenci terminoloģijas lietojumā</w:t>
            </w:r>
            <w:r w:rsidR="00C57732">
              <w:rPr>
                <w:szCs w:val="20"/>
              </w:rPr>
              <w:t>,</w:t>
            </w:r>
            <w:r w:rsidR="00587C76" w:rsidRPr="00F03935">
              <w:rPr>
                <w:szCs w:val="20"/>
              </w:rPr>
              <w:t xml:space="preserve"> </w:t>
            </w:r>
            <w:r w:rsidR="000C17B5" w:rsidRPr="00F03935">
              <w:rPr>
                <w:szCs w:val="20"/>
              </w:rPr>
              <w:t xml:space="preserve">Likumprojektā ir </w:t>
            </w:r>
            <w:r>
              <w:rPr>
                <w:szCs w:val="20"/>
              </w:rPr>
              <w:t xml:space="preserve">precizējoši </w:t>
            </w:r>
            <w:r w:rsidR="00587C76" w:rsidRPr="00F03935">
              <w:rPr>
                <w:szCs w:val="20"/>
              </w:rPr>
              <w:t>paskaidrots</w:t>
            </w:r>
            <w:r w:rsidR="000C17B5" w:rsidRPr="00F03935">
              <w:rPr>
                <w:szCs w:val="20"/>
              </w:rPr>
              <w:t xml:space="preserve">, ka termins </w:t>
            </w:r>
            <w:r w:rsidR="009A7C90">
              <w:rPr>
                <w:spacing w:val="2"/>
                <w:shd w:val="clear" w:color="auto" w:fill="FFFFFF"/>
              </w:rPr>
              <w:t>„</w:t>
            </w:r>
            <w:r w:rsidR="000C17B5" w:rsidRPr="00F03935">
              <w:rPr>
                <w:szCs w:val="20"/>
              </w:rPr>
              <w:t xml:space="preserve">parādnieks” </w:t>
            </w:r>
            <w:r w:rsidR="000C17B5" w:rsidRPr="00F03935">
              <w:rPr>
                <w:rFonts w:eastAsia="Times New Roman" w:cs="Arial"/>
              </w:rPr>
              <w:t xml:space="preserve">tiek lietots saskaņā ar Latvijas Republikā spēkā esošajiem normatīvajiem aktiem, kas regulē </w:t>
            </w:r>
            <w:r>
              <w:rPr>
                <w:rFonts w:eastAsia="Times New Roman" w:cs="Arial"/>
              </w:rPr>
              <w:t xml:space="preserve">tieši </w:t>
            </w:r>
            <w:r w:rsidR="000C17B5" w:rsidRPr="00F03935">
              <w:rPr>
                <w:rFonts w:eastAsia="Times New Roman" w:cs="Arial"/>
              </w:rPr>
              <w:t>tiesiskās aizsardzības, maksātnespējas un likvidācijas procesu.</w:t>
            </w:r>
          </w:p>
          <w:p w:rsidR="00587C76" w:rsidRDefault="00587C76" w:rsidP="00EF0775">
            <w:pPr>
              <w:ind w:firstLine="346"/>
              <w:jc w:val="both"/>
              <w:rPr>
                <w:szCs w:val="20"/>
              </w:rPr>
            </w:pPr>
            <w:r w:rsidRPr="00F03935">
              <w:rPr>
                <w:szCs w:val="20"/>
              </w:rPr>
              <w:t>Likumprojekta 2.pantā ir norādīti likuma mēr</w:t>
            </w:r>
            <w:r w:rsidR="007E498A">
              <w:rPr>
                <w:szCs w:val="20"/>
              </w:rPr>
              <w:t>ķi:</w:t>
            </w:r>
          </w:p>
          <w:p w:rsidR="007E498A" w:rsidRPr="00F03935" w:rsidRDefault="007E498A" w:rsidP="007E498A">
            <w:pPr>
              <w:pStyle w:val="ListParagraph"/>
              <w:numPr>
                <w:ilvl w:val="0"/>
                <w:numId w:val="2"/>
              </w:numPr>
              <w:ind w:left="864" w:hanging="450"/>
              <w:jc w:val="both"/>
              <w:rPr>
                <w:sz w:val="24"/>
                <w:szCs w:val="24"/>
              </w:rPr>
            </w:pPr>
            <w:r w:rsidRPr="00F03935">
              <w:rPr>
                <w:sz w:val="24"/>
                <w:szCs w:val="24"/>
              </w:rPr>
              <w:t xml:space="preserve">nodrošināt finanšu tirgus stabilitāti, ierobežojot sistēmisko risku, ko varētu radīt tiesiskās aizsardzības, maksātnespējas vai likvidācijas process pret kādu tirgus dalībnieku; </w:t>
            </w:r>
          </w:p>
          <w:p w:rsidR="007E498A" w:rsidRDefault="007E498A" w:rsidP="007E498A">
            <w:pPr>
              <w:pStyle w:val="ListParagraph"/>
              <w:numPr>
                <w:ilvl w:val="0"/>
                <w:numId w:val="2"/>
              </w:numPr>
              <w:ind w:left="864" w:hanging="450"/>
              <w:jc w:val="both"/>
              <w:rPr>
                <w:sz w:val="24"/>
                <w:szCs w:val="24"/>
              </w:rPr>
            </w:pPr>
            <w:r w:rsidRPr="00F03935">
              <w:rPr>
                <w:sz w:val="24"/>
                <w:szCs w:val="24"/>
              </w:rPr>
              <w:t>aizsargāt izslēdzošā ieskaita līguma puses, ja tiek veikts tiesiskās aizsardzības, maksātnespējas vai likvidācijas process attiecībā uz kādu no tām</w:t>
            </w:r>
            <w:r>
              <w:rPr>
                <w:sz w:val="24"/>
                <w:szCs w:val="24"/>
              </w:rPr>
              <w:t>; un</w:t>
            </w:r>
          </w:p>
          <w:p w:rsidR="007E498A" w:rsidRPr="00F03935" w:rsidRDefault="007E498A" w:rsidP="007E498A">
            <w:pPr>
              <w:pStyle w:val="ListParagraph"/>
              <w:numPr>
                <w:ilvl w:val="0"/>
                <w:numId w:val="2"/>
              </w:numPr>
              <w:ind w:left="864" w:hanging="450"/>
              <w:jc w:val="both"/>
              <w:rPr>
                <w:sz w:val="24"/>
                <w:szCs w:val="24"/>
              </w:rPr>
            </w:pPr>
            <w:r w:rsidRPr="00653378">
              <w:rPr>
                <w:color w:val="000000" w:themeColor="text1"/>
                <w:sz w:val="24"/>
                <w:szCs w:val="24"/>
              </w:rPr>
              <w:t>veicināt finanšu instrumentu tirgus attīstību Latvijā</w:t>
            </w:r>
            <w:r>
              <w:rPr>
                <w:color w:val="000000" w:themeColor="text1"/>
                <w:sz w:val="24"/>
                <w:szCs w:val="24"/>
              </w:rPr>
              <w:t>.</w:t>
            </w:r>
          </w:p>
          <w:p w:rsidR="003D2211" w:rsidRPr="006C6CBA" w:rsidRDefault="00C261AF" w:rsidP="0080062F">
            <w:pPr>
              <w:ind w:firstLine="346"/>
              <w:jc w:val="both"/>
              <w:rPr>
                <w:rFonts w:eastAsia="Times New Roman"/>
                <w:color w:val="000000" w:themeColor="text1"/>
              </w:rPr>
            </w:pPr>
            <w:r w:rsidRPr="00F03935">
              <w:rPr>
                <w:szCs w:val="20"/>
              </w:rPr>
              <w:t xml:space="preserve">Likumprojekta 3.pants </w:t>
            </w:r>
            <w:r w:rsidR="00D72BEE" w:rsidRPr="00F03935">
              <w:rPr>
                <w:szCs w:val="20"/>
              </w:rPr>
              <w:t xml:space="preserve">apraksta izslēdzošā ieskaita tiesiskā regulējuma sistēmu un Likumprojekta attiecības ar </w:t>
            </w:r>
            <w:r w:rsidR="00761512" w:rsidRPr="00F03935">
              <w:rPr>
                <w:szCs w:val="20"/>
              </w:rPr>
              <w:t>cit</w:t>
            </w:r>
            <w:r w:rsidR="00587C76" w:rsidRPr="00F03935">
              <w:rPr>
                <w:szCs w:val="20"/>
              </w:rPr>
              <w:t>os</w:t>
            </w:r>
            <w:r w:rsidR="00D72BEE" w:rsidRPr="00F03935">
              <w:rPr>
                <w:szCs w:val="20"/>
              </w:rPr>
              <w:t xml:space="preserve"> likum</w:t>
            </w:r>
            <w:r w:rsidR="00587C76" w:rsidRPr="00F03935">
              <w:rPr>
                <w:szCs w:val="20"/>
              </w:rPr>
              <w:t>os ietverto</w:t>
            </w:r>
            <w:r w:rsidR="00D72BEE" w:rsidRPr="00F03935">
              <w:rPr>
                <w:szCs w:val="20"/>
              </w:rPr>
              <w:t xml:space="preserve"> tiesisko regulējumu izslēdzošā ieskaita piemērošanā. </w:t>
            </w:r>
            <w:r w:rsidR="003D2211">
              <w:rPr>
                <w:szCs w:val="20"/>
              </w:rPr>
              <w:t>Panta pirmā daļa noteic, ka, i</w:t>
            </w:r>
            <w:r w:rsidR="003D2211" w:rsidRPr="00F57C38">
              <w:rPr>
                <w:rFonts w:eastAsia="Times New Roman"/>
                <w:color w:val="000000" w:themeColor="text1"/>
              </w:rPr>
              <w:t xml:space="preserve">zņemot 9.pantā noteikto, izslēdzošajam ieskaitam attiecībā uz 7.pantā minētajiem darījumiem piemēro šo likumu tiktāl, ciktāl speciālajās tiesību normās citos likumos, kas regulē izslēdzošo ieskaitu, tajā skaitā Kredītiestāžu likumā, Kredītiestāžu un ieguldījumu brokeru sabiedrību darbības atjaunošanas un noregulējuma likumā </w:t>
            </w:r>
            <w:r w:rsidR="003D2211">
              <w:rPr>
                <w:rFonts w:eastAsia="Times New Roman"/>
                <w:color w:val="000000" w:themeColor="text1"/>
              </w:rPr>
              <w:t xml:space="preserve">un </w:t>
            </w:r>
            <w:r w:rsidR="003D2211" w:rsidRPr="00F57C38">
              <w:rPr>
                <w:rFonts w:eastAsia="Times New Roman"/>
                <w:color w:val="000000" w:themeColor="text1"/>
              </w:rPr>
              <w:t>Apdrošināšanas un pārapdrošināšanas likumā nav noteikts citādi.</w:t>
            </w:r>
            <w:r w:rsidR="003D2211">
              <w:rPr>
                <w:rFonts w:eastAsia="Times New Roman"/>
                <w:color w:val="000000" w:themeColor="text1"/>
              </w:rPr>
              <w:t xml:space="preserve"> Savukārt otrā daļa noteic, ka a</w:t>
            </w:r>
            <w:r w:rsidR="003D2211" w:rsidRPr="000F1636">
              <w:rPr>
                <w:rFonts w:eastAsia="Times New Roman"/>
                <w:color w:val="000000" w:themeColor="text1"/>
              </w:rPr>
              <w:t>ttiecībā uz finanšu nodrošinājuma līgumiem, tai skaitā finanšu instrumentu pirkuma līgumiem ar atpakaļpirkuma vai atpakaļpārdevuma nosacījumiem Finanšu nodrošinājuma likuma izpratnē tiek piemērotas Finanšu nodrošinājuma likuma normas.</w:t>
            </w:r>
            <w:r w:rsidR="003D2211">
              <w:rPr>
                <w:rFonts w:eastAsia="Times New Roman"/>
                <w:color w:val="000000" w:themeColor="text1"/>
              </w:rPr>
              <w:t xml:space="preserve"> Tāpat trešā daļa noteic, ka š</w:t>
            </w:r>
            <w:r w:rsidR="003D2211" w:rsidRPr="006C6CBA">
              <w:rPr>
                <w:rFonts w:eastAsia="Times New Roman"/>
                <w:color w:val="000000" w:themeColor="text1"/>
              </w:rPr>
              <w:t>is likums neattiecas uz:</w:t>
            </w:r>
          </w:p>
          <w:p w:rsidR="003D2211" w:rsidRDefault="003D2211" w:rsidP="0080062F">
            <w:pPr>
              <w:pStyle w:val="ListParagraph"/>
              <w:numPr>
                <w:ilvl w:val="0"/>
                <w:numId w:val="27"/>
              </w:numPr>
              <w:ind w:left="709"/>
              <w:contextualSpacing w:val="0"/>
              <w:jc w:val="both"/>
              <w:rPr>
                <w:color w:val="000000" w:themeColor="text1"/>
                <w:sz w:val="24"/>
                <w:szCs w:val="24"/>
              </w:rPr>
            </w:pPr>
            <w:r w:rsidRPr="006C6CBA">
              <w:rPr>
                <w:color w:val="000000" w:themeColor="text1"/>
                <w:sz w:val="24"/>
                <w:szCs w:val="24"/>
              </w:rPr>
              <w:t>sistēmām, kuru darbību nodrošina Latvijas Banka vai kuras Finanšu un kapitāla tirgus komisija pēc šo sistēmu noteikumu izskatīšanas noteikusi par sistēmām un par šo lēmumu informējusi Eiropas Vērtspapīru un tirgu iestādi</w:t>
            </w:r>
            <w:r>
              <w:rPr>
                <w:color w:val="000000" w:themeColor="text1"/>
                <w:sz w:val="24"/>
                <w:szCs w:val="24"/>
              </w:rPr>
              <w:t xml:space="preserve"> </w:t>
            </w:r>
            <w:r w:rsidRPr="0045410A">
              <w:rPr>
                <w:color w:val="000000" w:themeColor="text1"/>
                <w:sz w:val="24"/>
                <w:szCs w:val="24"/>
              </w:rPr>
              <w:t>likum</w:t>
            </w:r>
            <w:r>
              <w:rPr>
                <w:color w:val="000000" w:themeColor="text1"/>
                <w:sz w:val="24"/>
                <w:szCs w:val="24"/>
              </w:rPr>
              <w:t>a</w:t>
            </w:r>
            <w:r w:rsidRPr="0045410A">
              <w:rPr>
                <w:color w:val="000000" w:themeColor="text1"/>
                <w:sz w:val="24"/>
                <w:szCs w:val="24"/>
              </w:rPr>
              <w:t xml:space="preserve"> "Par norēķinu galīgumu maksājumu un finanšu instrumentu norēķinu sistēmās"</w:t>
            </w:r>
            <w:r>
              <w:rPr>
                <w:color w:val="000000" w:themeColor="text1"/>
                <w:sz w:val="24"/>
                <w:szCs w:val="24"/>
              </w:rPr>
              <w:t xml:space="preserve"> izpratnē;</w:t>
            </w:r>
          </w:p>
          <w:p w:rsidR="003D2211" w:rsidRDefault="003D2211" w:rsidP="0080062F">
            <w:pPr>
              <w:pStyle w:val="ListParagraph"/>
              <w:numPr>
                <w:ilvl w:val="0"/>
                <w:numId w:val="27"/>
              </w:numPr>
              <w:ind w:left="709"/>
              <w:contextualSpacing w:val="0"/>
              <w:jc w:val="both"/>
              <w:rPr>
                <w:color w:val="000000" w:themeColor="text1"/>
                <w:sz w:val="24"/>
                <w:szCs w:val="24"/>
              </w:rPr>
            </w:pPr>
            <w:r w:rsidRPr="0045410A">
              <w:rPr>
                <w:color w:val="000000" w:themeColor="text1"/>
                <w:sz w:val="24"/>
                <w:szCs w:val="24"/>
              </w:rPr>
              <w:t>visiem šā panta</w:t>
            </w:r>
            <w:r>
              <w:rPr>
                <w:color w:val="000000" w:themeColor="text1"/>
                <w:sz w:val="24"/>
                <w:szCs w:val="24"/>
              </w:rPr>
              <w:t xml:space="preserve"> trešās daļas</w:t>
            </w:r>
            <w:r w:rsidRPr="0045410A">
              <w:rPr>
                <w:color w:val="000000" w:themeColor="text1"/>
                <w:sz w:val="24"/>
                <w:szCs w:val="24"/>
              </w:rPr>
              <w:t xml:space="preserve"> 1.punktā minēto sistēmu dalībniekiem</w:t>
            </w:r>
            <w:r>
              <w:rPr>
                <w:color w:val="000000" w:themeColor="text1"/>
                <w:sz w:val="24"/>
                <w:szCs w:val="24"/>
              </w:rPr>
              <w:t>;</w:t>
            </w:r>
          </w:p>
          <w:p w:rsidR="003D2211" w:rsidRPr="003D2211" w:rsidRDefault="003D2211" w:rsidP="0080062F">
            <w:pPr>
              <w:pStyle w:val="ListParagraph"/>
              <w:numPr>
                <w:ilvl w:val="0"/>
                <w:numId w:val="27"/>
              </w:numPr>
              <w:ind w:left="709"/>
              <w:contextualSpacing w:val="0"/>
              <w:jc w:val="both"/>
              <w:rPr>
                <w:color w:val="000000" w:themeColor="text1"/>
                <w:sz w:val="24"/>
                <w:szCs w:val="24"/>
              </w:rPr>
            </w:pPr>
            <w:r w:rsidRPr="003D2211">
              <w:rPr>
                <w:color w:val="000000" w:themeColor="text1"/>
                <w:sz w:val="24"/>
                <w:szCs w:val="24"/>
              </w:rPr>
              <w:t>nodrošinājumu, kas sniegts par dalību šā panta trešās daļas 1.punktā minētajās sistēmās vai ko centrālā banka izmanto darījumos, pildot centrālās bankas funkcijas.</w:t>
            </w:r>
          </w:p>
          <w:p w:rsidR="00B446A2" w:rsidRDefault="003E0FB2" w:rsidP="003E0FB2">
            <w:pPr>
              <w:ind w:firstLine="346"/>
              <w:jc w:val="both"/>
              <w:rPr>
                <w:szCs w:val="20"/>
              </w:rPr>
            </w:pPr>
            <w:r w:rsidRPr="00F03935">
              <w:t>Likumprojekta 4.pant</w:t>
            </w:r>
            <w:r w:rsidR="006B7059" w:rsidRPr="00F03935">
              <w:t>a pirmā daļa</w:t>
            </w:r>
            <w:r w:rsidRPr="00F03935">
              <w:t xml:space="preserve"> </w:t>
            </w:r>
            <w:r w:rsidR="00F675B0">
              <w:t>regulē gadījumus, kad izslēdzošais ieskaits ir piemērojams starp diviem tā saucamajiem kvalificētajiem līdzējiem.</w:t>
            </w:r>
          </w:p>
          <w:p w:rsidR="00B446A2" w:rsidRDefault="00F34857" w:rsidP="003E0FB2">
            <w:pPr>
              <w:ind w:firstLine="346"/>
              <w:jc w:val="both"/>
              <w:rPr>
                <w:szCs w:val="20"/>
              </w:rPr>
            </w:pPr>
            <w:r>
              <w:rPr>
                <w:szCs w:val="20"/>
              </w:rPr>
              <w:t xml:space="preserve">Saskaņā ar 1. punktu </w:t>
            </w:r>
            <w:r w:rsidR="00CF7D8B">
              <w:rPr>
                <w:szCs w:val="20"/>
              </w:rPr>
              <w:t>līdzēj</w:t>
            </w:r>
            <w:r w:rsidR="0080062F">
              <w:rPr>
                <w:szCs w:val="20"/>
              </w:rPr>
              <w:t>i</w:t>
            </w:r>
            <w:r w:rsidR="00B446A2">
              <w:rPr>
                <w:szCs w:val="20"/>
              </w:rPr>
              <w:t xml:space="preserve"> ir </w:t>
            </w:r>
            <w:r w:rsidR="00B446A2" w:rsidRPr="00653378">
              <w:rPr>
                <w:rFonts w:eastAsia="Times New Roman"/>
                <w:color w:val="000000" w:themeColor="text1"/>
              </w:rPr>
              <w:t>Latvijas Republika un tās atvasināta publiska persona, tiešā un pastarpinātā valsts pārvaldes iestāde, pašvaldības iestāde vai cit</w:t>
            </w:r>
            <w:r w:rsidR="00B446A2">
              <w:rPr>
                <w:rFonts w:eastAsia="Times New Roman"/>
                <w:color w:val="000000" w:themeColor="text1"/>
              </w:rPr>
              <w:t>u</w:t>
            </w:r>
            <w:r w:rsidR="00B446A2" w:rsidRPr="00653378">
              <w:rPr>
                <w:rFonts w:eastAsia="Times New Roman"/>
                <w:color w:val="000000" w:themeColor="text1"/>
              </w:rPr>
              <w:t xml:space="preserve"> valst</w:t>
            </w:r>
            <w:r w:rsidR="00B446A2">
              <w:rPr>
                <w:rFonts w:eastAsia="Times New Roman"/>
                <w:color w:val="000000" w:themeColor="text1"/>
              </w:rPr>
              <w:t>u</w:t>
            </w:r>
            <w:r w:rsidR="00B446A2" w:rsidRPr="00653378">
              <w:rPr>
                <w:rFonts w:eastAsia="Times New Roman"/>
                <w:color w:val="000000" w:themeColor="text1"/>
              </w:rPr>
              <w:t xml:space="preserve"> </w:t>
            </w:r>
            <w:r w:rsidR="008C50D6">
              <w:rPr>
                <w:rFonts w:eastAsia="Times New Roman"/>
                <w:color w:val="000000" w:themeColor="text1"/>
              </w:rPr>
              <w:t>šīm iestādēm pielīdzināma</w:t>
            </w:r>
            <w:r w:rsidR="00B446A2" w:rsidRPr="00653378">
              <w:rPr>
                <w:rFonts w:eastAsia="Times New Roman"/>
                <w:color w:val="000000" w:themeColor="text1"/>
              </w:rPr>
              <w:t xml:space="preserve"> </w:t>
            </w:r>
            <w:r w:rsidR="008C50D6">
              <w:rPr>
                <w:rFonts w:eastAsia="Times New Roman"/>
                <w:color w:val="000000" w:themeColor="text1"/>
              </w:rPr>
              <w:t>persona</w:t>
            </w:r>
            <w:r w:rsidR="00B446A2" w:rsidRPr="00653378">
              <w:rPr>
                <w:rFonts w:eastAsia="Times New Roman"/>
                <w:color w:val="000000" w:themeColor="text1"/>
              </w:rPr>
              <w:t xml:space="preserve"> (arī iestādes, kas ir atbildīgas par valsts parāda pārvaldīšanu</w:t>
            </w:r>
            <w:r w:rsidR="00B446A2">
              <w:rPr>
                <w:rFonts w:eastAsia="Times New Roman"/>
                <w:color w:val="000000" w:themeColor="text1"/>
              </w:rPr>
              <w:t>,</w:t>
            </w:r>
            <w:r w:rsidR="00B446A2" w:rsidRPr="00653378">
              <w:rPr>
                <w:rFonts w:eastAsia="Times New Roman"/>
                <w:color w:val="000000" w:themeColor="text1"/>
              </w:rPr>
              <w:t xml:space="preserve"> vai piedalās tā pārvaldīšanā, un iestādes, kas tiesīgas veikt naudas kontu </w:t>
            </w:r>
            <w:r w:rsidR="00B446A2" w:rsidRPr="00653378">
              <w:rPr>
                <w:rFonts w:eastAsia="Times New Roman"/>
                <w:color w:val="000000" w:themeColor="text1"/>
              </w:rPr>
              <w:lastRenderedPageBreak/>
              <w:t>vai finanšu instrumentu turēšanu klienta vārdā)</w:t>
            </w:r>
            <w:r w:rsidR="00B446A2">
              <w:rPr>
                <w:rFonts w:eastAsia="Times New Roman"/>
                <w:color w:val="000000" w:themeColor="text1"/>
              </w:rPr>
              <w:t xml:space="preserve">. Tādējādi ne tikai 1.panta pirmās daļas 1.punktā minētās dalībvalstis ir likuma subjekti, bet </w:t>
            </w:r>
            <w:r w:rsidR="004C056C">
              <w:rPr>
                <w:rFonts w:eastAsia="Times New Roman"/>
                <w:color w:val="000000" w:themeColor="text1"/>
              </w:rPr>
              <w:t xml:space="preserve">saskaņā ar šo punktu </w:t>
            </w:r>
            <w:r w:rsidR="00B446A2">
              <w:rPr>
                <w:rFonts w:eastAsia="Times New Roman"/>
                <w:color w:val="000000" w:themeColor="text1"/>
              </w:rPr>
              <w:t xml:space="preserve">jebkura valsts </w:t>
            </w:r>
            <w:r w:rsidR="00365CC9">
              <w:rPr>
                <w:rFonts w:eastAsia="Times New Roman"/>
                <w:color w:val="000000" w:themeColor="text1"/>
              </w:rPr>
              <w:t>(</w:t>
            </w:r>
            <w:r w:rsidR="00B446A2">
              <w:rPr>
                <w:rFonts w:eastAsia="Times New Roman"/>
                <w:color w:val="000000" w:themeColor="text1"/>
              </w:rPr>
              <w:t xml:space="preserve">vai tās </w:t>
            </w:r>
            <w:r w:rsidR="00365CC9">
              <w:rPr>
                <w:rFonts w:eastAsia="Times New Roman"/>
                <w:color w:val="000000" w:themeColor="text1"/>
              </w:rPr>
              <w:t xml:space="preserve">attiecīgā </w:t>
            </w:r>
            <w:r w:rsidR="00B446A2">
              <w:rPr>
                <w:rFonts w:eastAsia="Times New Roman"/>
                <w:color w:val="000000" w:themeColor="text1"/>
              </w:rPr>
              <w:t>iestāde</w:t>
            </w:r>
            <w:r w:rsidR="00365CC9">
              <w:rPr>
                <w:rFonts w:eastAsia="Times New Roman"/>
                <w:color w:val="000000" w:themeColor="text1"/>
              </w:rPr>
              <w:t>)</w:t>
            </w:r>
            <w:r w:rsidR="00B446A2">
              <w:rPr>
                <w:rFonts w:eastAsia="Times New Roman"/>
                <w:color w:val="000000" w:themeColor="text1"/>
              </w:rPr>
              <w:t xml:space="preserve"> ir likuma subjekts.</w:t>
            </w:r>
          </w:p>
          <w:p w:rsidR="003E0FB2" w:rsidRDefault="00B446A2" w:rsidP="00982056">
            <w:pPr>
              <w:tabs>
                <w:tab w:val="left" w:pos="317"/>
              </w:tabs>
              <w:ind w:firstLine="324"/>
              <w:jc w:val="both"/>
            </w:pPr>
            <w:r w:rsidRPr="00B446A2">
              <w:rPr>
                <w:szCs w:val="20"/>
              </w:rPr>
              <w:t xml:space="preserve">Saskaņā ar 2.punktu </w:t>
            </w:r>
            <w:r w:rsidR="00CF7D8B">
              <w:rPr>
                <w:szCs w:val="20"/>
              </w:rPr>
              <w:t>līdzēj</w:t>
            </w:r>
            <w:r w:rsidR="0080062F">
              <w:rPr>
                <w:szCs w:val="20"/>
              </w:rPr>
              <w:t>i</w:t>
            </w:r>
            <w:r w:rsidRPr="00B446A2">
              <w:rPr>
                <w:szCs w:val="20"/>
              </w:rPr>
              <w:t xml:space="preserve"> ir </w:t>
            </w:r>
            <w:r w:rsidRPr="00B446A2">
              <w:rPr>
                <w:bCs/>
                <w:lang w:eastAsia="en-US"/>
              </w:rPr>
              <w:t>Latvijas Banka, citu valstu centrālās bankas, Eiropas Centrālā banka, Starptautisko norēķinu banka, Starptautiskais Valū</w:t>
            </w:r>
            <w:r w:rsidR="008C50D6">
              <w:rPr>
                <w:bCs/>
                <w:lang w:eastAsia="en-US"/>
              </w:rPr>
              <w:t xml:space="preserve">tas fonds. </w:t>
            </w:r>
            <w:r w:rsidR="008B4539">
              <w:rPr>
                <w:bCs/>
                <w:lang w:eastAsia="en-US"/>
              </w:rPr>
              <w:t xml:space="preserve"> Savukārt s</w:t>
            </w:r>
            <w:r w:rsidRPr="00B446A2">
              <w:rPr>
                <w:szCs w:val="20"/>
              </w:rPr>
              <w:t xml:space="preserve">askaņā ar </w:t>
            </w:r>
            <w:r w:rsidR="00F675B0">
              <w:rPr>
                <w:szCs w:val="20"/>
              </w:rPr>
              <w:t>3</w:t>
            </w:r>
            <w:r w:rsidRPr="00B446A2">
              <w:rPr>
                <w:szCs w:val="20"/>
              </w:rPr>
              <w:t xml:space="preserve">.punktu </w:t>
            </w:r>
            <w:r w:rsidR="00CF7D8B">
              <w:rPr>
                <w:szCs w:val="20"/>
              </w:rPr>
              <w:t>līdzēj</w:t>
            </w:r>
            <w:r w:rsidR="0080062F">
              <w:rPr>
                <w:szCs w:val="20"/>
              </w:rPr>
              <w:t>i</w:t>
            </w:r>
            <w:r w:rsidRPr="00B446A2">
              <w:rPr>
                <w:szCs w:val="20"/>
              </w:rPr>
              <w:t xml:space="preserve"> ir</w:t>
            </w:r>
            <w:r w:rsidR="00F675B0">
              <w:rPr>
                <w:szCs w:val="20"/>
              </w:rPr>
              <w:t xml:space="preserve"> </w:t>
            </w:r>
            <w:r w:rsidR="00F675B0">
              <w:rPr>
                <w:bCs/>
                <w:lang w:eastAsia="en-US"/>
              </w:rPr>
              <w:t>daudzpusējās attīstības banka</w:t>
            </w:r>
            <w:r w:rsidR="0080062F">
              <w:rPr>
                <w:bCs/>
                <w:lang w:eastAsia="en-US"/>
              </w:rPr>
              <w:t>s</w:t>
            </w:r>
            <w:r w:rsidR="00F675B0">
              <w:rPr>
                <w:bCs/>
                <w:lang w:eastAsia="en-US"/>
              </w:rPr>
              <w:t>, kas minēta</w:t>
            </w:r>
            <w:r w:rsidR="00F675B0" w:rsidRPr="00F03935">
              <w:rPr>
                <w:bCs/>
                <w:lang w:eastAsia="en-US"/>
              </w:rPr>
              <w:t xml:space="preserve"> E</w:t>
            </w:r>
            <w:r w:rsidR="00F675B0">
              <w:rPr>
                <w:bCs/>
                <w:lang w:eastAsia="en-US"/>
              </w:rPr>
              <w:t xml:space="preserve">iropas </w:t>
            </w:r>
            <w:r w:rsidR="00F675B0" w:rsidRPr="00F03935">
              <w:rPr>
                <w:bCs/>
                <w:lang w:eastAsia="en-US"/>
              </w:rPr>
              <w:t>K</w:t>
            </w:r>
            <w:r w:rsidR="00F675B0">
              <w:rPr>
                <w:bCs/>
                <w:lang w:eastAsia="en-US"/>
              </w:rPr>
              <w:t>omisijas</w:t>
            </w:r>
            <w:r w:rsidR="00F675B0" w:rsidRPr="00F03935">
              <w:rPr>
                <w:bCs/>
                <w:lang w:eastAsia="en-US"/>
              </w:rPr>
              <w:t xml:space="preserve"> regulas </w:t>
            </w:r>
            <w:r w:rsidR="00F675B0" w:rsidRPr="00F03935">
              <w:t>Nr.</w:t>
            </w:r>
            <w:r w:rsidR="00F675B0">
              <w:t> </w:t>
            </w:r>
            <w:r w:rsidR="00F675B0" w:rsidRPr="00F03935">
              <w:t>575/2013 117.</w:t>
            </w:r>
            <w:r w:rsidR="0080062F">
              <w:t> </w:t>
            </w:r>
            <w:r w:rsidR="00F675B0" w:rsidRPr="00F03935">
              <w:t>panta otraj</w:t>
            </w:r>
            <w:r w:rsidR="00F675B0">
              <w:t>ā</w:t>
            </w:r>
            <w:r w:rsidR="00F675B0" w:rsidRPr="00F03935">
              <w:t xml:space="preserve"> daļ</w:t>
            </w:r>
            <w:r w:rsidR="00F675B0">
              <w:t>ā.</w:t>
            </w:r>
            <w:r w:rsidR="008C50D6" w:rsidRPr="00F03935">
              <w:t xml:space="preserve"> Ņemot vērā</w:t>
            </w:r>
            <w:r w:rsidR="009B1627">
              <w:t xml:space="preserve"> to</w:t>
            </w:r>
            <w:r w:rsidR="008C50D6" w:rsidRPr="00F03935">
              <w:t>, ka valstu centrālās bankas un daudzpusējās attīstības bankas tradicionāli uzskatāmas par zema riska darījuma partneriem, šiem subjektiem Likumprojektā nav noteikts valsts ierobežojums.</w:t>
            </w:r>
          </w:p>
          <w:p w:rsidR="0080062F" w:rsidRPr="00653378" w:rsidRDefault="00F675B0" w:rsidP="00982056">
            <w:pPr>
              <w:ind w:firstLine="324"/>
              <w:jc w:val="both"/>
              <w:rPr>
                <w:rFonts w:eastAsia="Times New Roman"/>
                <w:color w:val="000000" w:themeColor="text1"/>
              </w:rPr>
            </w:pPr>
            <w:r w:rsidRPr="00F675B0">
              <w:rPr>
                <w:szCs w:val="20"/>
              </w:rPr>
              <w:t xml:space="preserve">Saskaņā ar 4.punktu </w:t>
            </w:r>
            <w:r w:rsidR="00CF7D8B">
              <w:rPr>
                <w:szCs w:val="20"/>
              </w:rPr>
              <w:t>līdzēj</w:t>
            </w:r>
            <w:r w:rsidR="0080062F">
              <w:rPr>
                <w:szCs w:val="20"/>
              </w:rPr>
              <w:t>i</w:t>
            </w:r>
            <w:r w:rsidRPr="00F675B0">
              <w:rPr>
                <w:szCs w:val="20"/>
              </w:rPr>
              <w:t xml:space="preserve"> ir </w:t>
            </w:r>
            <w:r w:rsidR="0080062F" w:rsidRPr="000C195D">
              <w:rPr>
                <w:rFonts w:eastAsia="Times New Roman"/>
                <w:color w:val="000000" w:themeColor="text1"/>
              </w:rPr>
              <w:t xml:space="preserve">šādas Latvijas Republikā vai citā </w:t>
            </w:r>
            <w:r w:rsidR="0080062F">
              <w:rPr>
                <w:rFonts w:eastAsia="Times New Roman"/>
                <w:color w:val="000000" w:themeColor="text1"/>
              </w:rPr>
              <w:t>dalīb</w:t>
            </w:r>
            <w:r w:rsidR="0080062F" w:rsidRPr="000C195D">
              <w:rPr>
                <w:rFonts w:eastAsia="Times New Roman"/>
                <w:color w:val="000000" w:themeColor="text1"/>
              </w:rPr>
              <w:t>valstī darbībai finanšu tirgū licencētas vai regulētas personas</w:t>
            </w:r>
            <w:r w:rsidR="0080062F" w:rsidRPr="00653378">
              <w:rPr>
                <w:rFonts w:eastAsia="Times New Roman"/>
                <w:color w:val="000000" w:themeColor="text1"/>
              </w:rPr>
              <w:t>:</w:t>
            </w:r>
          </w:p>
          <w:p w:rsidR="0080062F" w:rsidRPr="00653378" w:rsidRDefault="0080062F" w:rsidP="00982056">
            <w:pPr>
              <w:pStyle w:val="ListParagraph"/>
              <w:numPr>
                <w:ilvl w:val="0"/>
                <w:numId w:val="28"/>
              </w:numPr>
              <w:tabs>
                <w:tab w:val="left" w:pos="1080"/>
              </w:tabs>
              <w:ind w:left="720" w:firstLine="0"/>
              <w:jc w:val="both"/>
              <w:rPr>
                <w:color w:val="000000" w:themeColor="text1"/>
                <w:sz w:val="24"/>
                <w:szCs w:val="24"/>
              </w:rPr>
            </w:pPr>
            <w:r w:rsidRPr="00653378">
              <w:rPr>
                <w:color w:val="000000" w:themeColor="text1"/>
                <w:sz w:val="24"/>
                <w:szCs w:val="24"/>
              </w:rPr>
              <w:t>kredītiestādes,</w:t>
            </w:r>
          </w:p>
          <w:p w:rsidR="0080062F" w:rsidRPr="00653378" w:rsidRDefault="0080062F" w:rsidP="00982056">
            <w:pPr>
              <w:pStyle w:val="ListParagraph"/>
              <w:numPr>
                <w:ilvl w:val="0"/>
                <w:numId w:val="28"/>
              </w:numPr>
              <w:tabs>
                <w:tab w:val="left" w:pos="1080"/>
              </w:tabs>
              <w:ind w:left="720" w:firstLine="0"/>
              <w:jc w:val="both"/>
              <w:rPr>
                <w:color w:val="000000" w:themeColor="text1"/>
                <w:sz w:val="24"/>
                <w:szCs w:val="24"/>
              </w:rPr>
            </w:pPr>
            <w:r w:rsidRPr="00653378">
              <w:rPr>
                <w:color w:val="000000" w:themeColor="text1"/>
                <w:sz w:val="24"/>
                <w:szCs w:val="24"/>
              </w:rPr>
              <w:t>ieguldījumu brokeru sabiedrības,</w:t>
            </w:r>
          </w:p>
          <w:p w:rsidR="0080062F" w:rsidRDefault="0080062F" w:rsidP="00982056">
            <w:pPr>
              <w:pStyle w:val="ListParagraph"/>
              <w:numPr>
                <w:ilvl w:val="0"/>
                <w:numId w:val="28"/>
              </w:numPr>
              <w:tabs>
                <w:tab w:val="left" w:pos="1080"/>
              </w:tabs>
              <w:ind w:left="720" w:firstLine="0"/>
              <w:jc w:val="both"/>
              <w:rPr>
                <w:color w:val="000000" w:themeColor="text1"/>
                <w:sz w:val="24"/>
                <w:szCs w:val="24"/>
              </w:rPr>
            </w:pPr>
            <w:r w:rsidRPr="00653378">
              <w:rPr>
                <w:color w:val="000000" w:themeColor="text1"/>
                <w:sz w:val="24"/>
                <w:szCs w:val="24"/>
              </w:rPr>
              <w:t>apdrošināšanas sabiedrības,</w:t>
            </w:r>
          </w:p>
          <w:p w:rsidR="0080062F" w:rsidRPr="00653378" w:rsidRDefault="0080062F" w:rsidP="00982056">
            <w:pPr>
              <w:pStyle w:val="ListParagraph"/>
              <w:numPr>
                <w:ilvl w:val="0"/>
                <w:numId w:val="28"/>
              </w:numPr>
              <w:tabs>
                <w:tab w:val="left" w:pos="1080"/>
              </w:tabs>
              <w:ind w:left="720" w:firstLine="0"/>
              <w:jc w:val="both"/>
              <w:rPr>
                <w:color w:val="000000" w:themeColor="text1"/>
                <w:sz w:val="24"/>
                <w:szCs w:val="24"/>
              </w:rPr>
            </w:pPr>
            <w:r w:rsidRPr="009253C2">
              <w:rPr>
                <w:color w:val="000000" w:themeColor="text1"/>
                <w:sz w:val="24"/>
                <w:szCs w:val="24"/>
              </w:rPr>
              <w:t>pārapdrošināšanas sabiedrīb</w:t>
            </w:r>
            <w:r>
              <w:rPr>
                <w:color w:val="000000" w:themeColor="text1"/>
                <w:sz w:val="24"/>
                <w:szCs w:val="24"/>
              </w:rPr>
              <w:t>as,</w:t>
            </w:r>
          </w:p>
          <w:p w:rsidR="0080062F" w:rsidRDefault="0080062F" w:rsidP="00982056">
            <w:pPr>
              <w:pStyle w:val="ListParagraph"/>
              <w:numPr>
                <w:ilvl w:val="0"/>
                <w:numId w:val="28"/>
              </w:numPr>
              <w:tabs>
                <w:tab w:val="left" w:pos="1080"/>
              </w:tabs>
              <w:ind w:left="720" w:firstLine="0"/>
              <w:jc w:val="both"/>
              <w:rPr>
                <w:color w:val="000000" w:themeColor="text1"/>
                <w:sz w:val="24"/>
                <w:szCs w:val="24"/>
              </w:rPr>
            </w:pPr>
            <w:r w:rsidRPr="009253C2">
              <w:rPr>
                <w:color w:val="000000" w:themeColor="text1"/>
                <w:sz w:val="24"/>
                <w:szCs w:val="24"/>
              </w:rPr>
              <w:t>alternatīvo ieguldījumu fondu pārvaldniek</w:t>
            </w:r>
            <w:r>
              <w:rPr>
                <w:color w:val="000000" w:themeColor="text1"/>
                <w:sz w:val="24"/>
                <w:szCs w:val="24"/>
              </w:rPr>
              <w:t>i,</w:t>
            </w:r>
          </w:p>
          <w:p w:rsidR="0080062F" w:rsidRDefault="0080062F" w:rsidP="00982056">
            <w:pPr>
              <w:pStyle w:val="ListParagraph"/>
              <w:numPr>
                <w:ilvl w:val="0"/>
                <w:numId w:val="28"/>
              </w:numPr>
              <w:tabs>
                <w:tab w:val="left" w:pos="1080"/>
              </w:tabs>
              <w:ind w:left="720" w:firstLine="0"/>
              <w:jc w:val="both"/>
              <w:rPr>
                <w:color w:val="000000" w:themeColor="text1"/>
                <w:sz w:val="24"/>
                <w:szCs w:val="24"/>
              </w:rPr>
            </w:pPr>
            <w:r w:rsidRPr="00DD4861">
              <w:rPr>
                <w:color w:val="000000" w:themeColor="text1"/>
                <w:sz w:val="24"/>
                <w:szCs w:val="24"/>
              </w:rPr>
              <w:t>pensiju fond</w:t>
            </w:r>
            <w:r>
              <w:rPr>
                <w:color w:val="000000" w:themeColor="text1"/>
                <w:sz w:val="24"/>
                <w:szCs w:val="24"/>
              </w:rPr>
              <w:t>i</w:t>
            </w:r>
            <w:r w:rsidRPr="00DD4861">
              <w:rPr>
                <w:color w:val="000000" w:themeColor="text1"/>
                <w:sz w:val="24"/>
                <w:szCs w:val="24"/>
              </w:rPr>
              <w:t xml:space="preserve"> un t</w:t>
            </w:r>
            <w:r>
              <w:rPr>
                <w:color w:val="000000" w:themeColor="text1"/>
                <w:sz w:val="24"/>
                <w:szCs w:val="24"/>
              </w:rPr>
              <w:t>o</w:t>
            </w:r>
            <w:r w:rsidRPr="00DD4861">
              <w:rPr>
                <w:color w:val="000000" w:themeColor="text1"/>
                <w:sz w:val="24"/>
                <w:szCs w:val="24"/>
              </w:rPr>
              <w:t xml:space="preserve"> pārvaldes sabiedrības</w:t>
            </w:r>
            <w:r>
              <w:rPr>
                <w:color w:val="000000" w:themeColor="text1"/>
                <w:sz w:val="24"/>
                <w:szCs w:val="24"/>
              </w:rPr>
              <w:t>,</w:t>
            </w:r>
          </w:p>
          <w:p w:rsidR="0080062F" w:rsidRDefault="0080062F" w:rsidP="00982056">
            <w:pPr>
              <w:pStyle w:val="ListParagraph"/>
              <w:numPr>
                <w:ilvl w:val="0"/>
                <w:numId w:val="28"/>
              </w:numPr>
              <w:tabs>
                <w:tab w:val="left" w:pos="1080"/>
              </w:tabs>
              <w:ind w:left="720" w:firstLine="0"/>
              <w:jc w:val="both"/>
              <w:rPr>
                <w:color w:val="000000" w:themeColor="text1"/>
                <w:sz w:val="24"/>
                <w:szCs w:val="24"/>
              </w:rPr>
            </w:pPr>
            <w:r w:rsidRPr="006237DE">
              <w:rPr>
                <w:color w:val="000000" w:themeColor="text1"/>
                <w:sz w:val="24"/>
                <w:szCs w:val="24"/>
              </w:rPr>
              <w:t>regulētā tirgus organizētāji</w:t>
            </w:r>
            <w:r>
              <w:rPr>
                <w:color w:val="000000" w:themeColor="text1"/>
                <w:sz w:val="24"/>
                <w:szCs w:val="24"/>
              </w:rPr>
              <w:t>,</w:t>
            </w:r>
          </w:p>
          <w:p w:rsidR="0080062F" w:rsidRDefault="0080062F" w:rsidP="00982056">
            <w:pPr>
              <w:pStyle w:val="ListParagraph"/>
              <w:numPr>
                <w:ilvl w:val="0"/>
                <w:numId w:val="28"/>
              </w:numPr>
              <w:tabs>
                <w:tab w:val="left" w:pos="1080"/>
              </w:tabs>
              <w:ind w:left="720" w:firstLine="0"/>
              <w:jc w:val="both"/>
              <w:rPr>
                <w:color w:val="000000" w:themeColor="text1"/>
                <w:sz w:val="24"/>
                <w:szCs w:val="24"/>
              </w:rPr>
            </w:pPr>
            <w:r>
              <w:rPr>
                <w:color w:val="000000" w:themeColor="text1"/>
                <w:sz w:val="24"/>
                <w:szCs w:val="24"/>
              </w:rPr>
              <w:t>maksājumu iestādes,</w:t>
            </w:r>
          </w:p>
          <w:p w:rsidR="0080062F" w:rsidRPr="00653378" w:rsidRDefault="0080062F" w:rsidP="00982056">
            <w:pPr>
              <w:pStyle w:val="ListParagraph"/>
              <w:numPr>
                <w:ilvl w:val="0"/>
                <w:numId w:val="28"/>
              </w:numPr>
              <w:tabs>
                <w:tab w:val="left" w:pos="1080"/>
              </w:tabs>
              <w:ind w:left="720" w:firstLine="0"/>
              <w:jc w:val="both"/>
              <w:rPr>
                <w:color w:val="000000" w:themeColor="text1"/>
                <w:sz w:val="24"/>
                <w:szCs w:val="24"/>
              </w:rPr>
            </w:pPr>
            <w:r w:rsidRPr="006237DE">
              <w:rPr>
                <w:color w:val="000000" w:themeColor="text1"/>
                <w:sz w:val="24"/>
                <w:szCs w:val="24"/>
              </w:rPr>
              <w:t>elektroniskās naudas iestādes</w:t>
            </w:r>
            <w:r>
              <w:rPr>
                <w:color w:val="000000" w:themeColor="text1"/>
                <w:sz w:val="24"/>
                <w:szCs w:val="24"/>
              </w:rPr>
              <w:t>,</w:t>
            </w:r>
          </w:p>
          <w:p w:rsidR="0080062F" w:rsidRPr="00653378" w:rsidRDefault="0080062F" w:rsidP="00982056">
            <w:pPr>
              <w:pStyle w:val="ListParagraph"/>
              <w:numPr>
                <w:ilvl w:val="0"/>
                <w:numId w:val="28"/>
              </w:numPr>
              <w:tabs>
                <w:tab w:val="left" w:pos="1080"/>
              </w:tabs>
              <w:ind w:left="720" w:firstLine="0"/>
              <w:jc w:val="both"/>
              <w:rPr>
                <w:color w:val="000000" w:themeColor="text1"/>
                <w:sz w:val="24"/>
                <w:szCs w:val="24"/>
              </w:rPr>
            </w:pPr>
            <w:r w:rsidRPr="00653378">
              <w:rPr>
                <w:color w:val="000000" w:themeColor="text1"/>
                <w:sz w:val="24"/>
                <w:szCs w:val="24"/>
              </w:rPr>
              <w:t>ieguldījumu pārvaldes sabiedrības,</w:t>
            </w:r>
          </w:p>
          <w:p w:rsidR="0080062F" w:rsidRPr="00621D98" w:rsidRDefault="0080062F" w:rsidP="00982056">
            <w:pPr>
              <w:pStyle w:val="ListParagraph"/>
              <w:numPr>
                <w:ilvl w:val="0"/>
                <w:numId w:val="28"/>
              </w:numPr>
              <w:tabs>
                <w:tab w:val="left" w:pos="1080"/>
              </w:tabs>
              <w:ind w:left="720" w:firstLine="0"/>
              <w:jc w:val="both"/>
              <w:rPr>
                <w:color w:val="000000" w:themeColor="text1"/>
                <w:sz w:val="24"/>
                <w:szCs w:val="24"/>
              </w:rPr>
            </w:pPr>
            <w:r w:rsidRPr="00621D98">
              <w:rPr>
                <w:color w:val="000000" w:themeColor="text1"/>
                <w:sz w:val="24"/>
                <w:szCs w:val="24"/>
              </w:rPr>
              <w:t>citas licencētas vai regulētas finanšu iestādes, kas darbību veic saskaņā ar finanšu pakalpojumus regulējošiem Latvijas Republikas vai citas dalībvalsts normatīvajiem aktiem</w:t>
            </w:r>
            <w:r>
              <w:rPr>
                <w:color w:val="000000" w:themeColor="text1"/>
                <w:sz w:val="24"/>
                <w:szCs w:val="24"/>
              </w:rPr>
              <w:t>.</w:t>
            </w:r>
          </w:p>
          <w:p w:rsidR="008C50D6" w:rsidRDefault="008C50D6" w:rsidP="00982056">
            <w:pPr>
              <w:ind w:firstLine="346"/>
              <w:jc w:val="both"/>
              <w:rPr>
                <w:color w:val="000000" w:themeColor="text1"/>
              </w:rPr>
            </w:pPr>
            <w:r>
              <w:t>Šā punkta a)</w:t>
            </w:r>
            <w:r w:rsidR="009B1627">
              <w:t> </w:t>
            </w:r>
            <w:r>
              <w:t>-</w:t>
            </w:r>
            <w:r w:rsidR="009B1627">
              <w:t> </w:t>
            </w:r>
            <w:r w:rsidR="00895F65">
              <w:t>j</w:t>
            </w:r>
            <w:r>
              <w:t xml:space="preserve">) apakšpunktā </w:t>
            </w:r>
            <w:r w:rsidRPr="00F03935">
              <w:t xml:space="preserve">ir </w:t>
            </w:r>
            <w:r>
              <w:t xml:space="preserve">konkrēti nosaukti tie subjekti, kas starptautiskajā finanšu jomā jau tradicionāli izmanto atvasinātos finanšu instrumentus. </w:t>
            </w:r>
            <w:r w:rsidR="00365CC9">
              <w:t xml:space="preserve">Tā kā nav iespējams paredzēt, kuri finanšu un kapitāla tirgus dalībnieki nākotnē varētu slēgt atvasināto finanšu instrumentu darījumus, tad </w:t>
            </w:r>
            <w:r w:rsidR="0080062F">
              <w:t>k</w:t>
            </w:r>
            <w:r w:rsidR="00365CC9">
              <w:t xml:space="preserve">) punktā paredzēts atvērts regulējums ar nosacījumu, ka </w:t>
            </w:r>
            <w:r w:rsidR="00CF7D8B">
              <w:t>līdzēj</w:t>
            </w:r>
            <w:r w:rsidR="0080062F">
              <w:t>i</w:t>
            </w:r>
            <w:r w:rsidR="00365CC9">
              <w:t xml:space="preserve"> ir </w:t>
            </w:r>
            <w:r w:rsidR="0080062F" w:rsidRPr="00621D98">
              <w:rPr>
                <w:rFonts w:eastAsia="Times New Roman"/>
                <w:color w:val="000000" w:themeColor="text1"/>
              </w:rPr>
              <w:t>citas licencētas vai regulētas finanšu iestādes, kas darbību veic saskaņā ar finanšu pakalpojumus regulējošiem Latvijas Republikas vai citas dalībvalsts normatīvajiem aktiem</w:t>
            </w:r>
            <w:r w:rsidR="00365CC9">
              <w:rPr>
                <w:color w:val="000000" w:themeColor="text1"/>
              </w:rPr>
              <w:t>.</w:t>
            </w:r>
          </w:p>
          <w:p w:rsidR="00365CC9" w:rsidRPr="00F03935" w:rsidRDefault="00365CC9" w:rsidP="00365CC9">
            <w:pPr>
              <w:ind w:firstLine="346"/>
              <w:jc w:val="both"/>
              <w:rPr>
                <w:bCs/>
                <w:lang w:eastAsia="en-US"/>
              </w:rPr>
            </w:pPr>
            <w:r>
              <w:t xml:space="preserve">Likumprojekta izstrādes gaitā tika analizēts termina „finanšu iestāde” tvērums un tika secināts, ka Likumprojektā to nav iespējams precīzi definēt. Eiropas Savienības tiesību telpā termina „finanšu iestāde” lietojums varētu atšķirties no šā termina izpratnes un lietojuma </w:t>
            </w:r>
            <w:r w:rsidR="00B76A8A">
              <w:rPr>
                <w:color w:val="000000" w:themeColor="text1"/>
              </w:rPr>
              <w:t>EEZ</w:t>
            </w:r>
            <w:r w:rsidRPr="00653378">
              <w:rPr>
                <w:color w:val="000000" w:themeColor="text1"/>
              </w:rPr>
              <w:t xml:space="preserve"> valst</w:t>
            </w:r>
            <w:r>
              <w:rPr>
                <w:color w:val="000000" w:themeColor="text1"/>
              </w:rPr>
              <w:t>īs</w:t>
            </w:r>
            <w:r w:rsidRPr="00653378">
              <w:rPr>
                <w:color w:val="000000" w:themeColor="text1"/>
              </w:rPr>
              <w:t xml:space="preserve"> vai </w:t>
            </w:r>
            <w:r>
              <w:rPr>
                <w:color w:val="000000" w:themeColor="text1"/>
              </w:rPr>
              <w:t xml:space="preserve">kādā no </w:t>
            </w:r>
            <w:r w:rsidR="00B76A8A">
              <w:rPr>
                <w:color w:val="000000" w:themeColor="text1"/>
              </w:rPr>
              <w:t xml:space="preserve">OECD </w:t>
            </w:r>
            <w:r w:rsidRPr="00653378">
              <w:rPr>
                <w:color w:val="000000" w:themeColor="text1"/>
              </w:rPr>
              <w:t>valst</w:t>
            </w:r>
            <w:r>
              <w:rPr>
                <w:color w:val="000000" w:themeColor="text1"/>
              </w:rPr>
              <w:t>īm. Eiropas Savienības kontekstā t</w:t>
            </w:r>
            <w:r w:rsidRPr="00F03935">
              <w:rPr>
                <w:bCs/>
                <w:lang w:eastAsia="en-US"/>
              </w:rPr>
              <w:t xml:space="preserve">ermins „finanšu iestāde” ir skaidrots, piemēram, Eiropas </w:t>
            </w:r>
            <w:r w:rsidRPr="004A0D95">
              <w:rPr>
                <w:bCs/>
                <w:lang w:eastAsia="en-US"/>
              </w:rPr>
              <w:t>Parlamenta un Padomes 2013.gada 26.jūnija regulas (ES) Nr.</w:t>
            </w:r>
            <w:r w:rsidR="009B1627">
              <w:rPr>
                <w:bCs/>
                <w:lang w:eastAsia="en-US"/>
              </w:rPr>
              <w:t> </w:t>
            </w:r>
            <w:r w:rsidRPr="004A0D95">
              <w:rPr>
                <w:bCs/>
                <w:lang w:eastAsia="en-US"/>
              </w:rPr>
              <w:t xml:space="preserve">575/2013 </w:t>
            </w:r>
            <w:r w:rsidRPr="004A0D95">
              <w:rPr>
                <w:shd w:val="clear" w:color="auto" w:fill="FFFFFF"/>
              </w:rPr>
              <w:t>par prudenciālajām prasībām attiecībā uz kredītiestādēm un ieguldījumu brokeru sabiedrībām, un ar ko groza Regulu (ES) Nr. 648/2012</w:t>
            </w:r>
            <w:r w:rsidRPr="004A0D95">
              <w:rPr>
                <w:color w:val="444444"/>
                <w:shd w:val="clear" w:color="auto" w:fill="FFFFFF"/>
              </w:rPr>
              <w:t xml:space="preserve"> </w:t>
            </w:r>
            <w:r w:rsidRPr="00F03935">
              <w:rPr>
                <w:bCs/>
                <w:lang w:eastAsia="en-US"/>
              </w:rPr>
              <w:t>4.panta 1.punkta 26.apakšpunktā, proti, „</w:t>
            </w:r>
            <w:r w:rsidRPr="00F03935">
              <w:t>finanšu iestāde” ir uzņēmums, kas nav iestāde, kura galvenā darbība ir līdzdalības iegāde vai viena vai vairākas no Direktīvas 2013/36/ES I piel</w:t>
            </w:r>
            <w:r>
              <w:t>ikuma 2. līdz 12.punktā un 15.</w:t>
            </w:r>
            <w:r w:rsidRPr="00F03935">
              <w:t>punktā uzskaitītajām darbībām; tostarp finanšu pārvaldītājsabiedrība, jaukta finanšu pārvaldītājsabiedrība, maksājumu iestāde Eiropas Parlamenta un Padom</w:t>
            </w:r>
            <w:r>
              <w:t>es Direktīvas 2007/64/EK (2007.gada 13.</w:t>
            </w:r>
            <w:r w:rsidRPr="00F03935">
              <w:t xml:space="preserve">novembris) par </w:t>
            </w:r>
            <w:r w:rsidRPr="00F03935">
              <w:lastRenderedPageBreak/>
              <w:t>maksājumu pakalpojumiem iekšējā tirgū (23) nozīmē un aktīvu pārvaldīšanas sabiedrība, bet neietverot apdrošināšanas pārvaldītājsabiedrības un jauktas darbības apdrošināšanas pārvaldītājsabiedrības, kā tās definē</w:t>
            </w:r>
            <w:r>
              <w:t>tas Direktīvas 2009/138/EK 212.panta 1.</w:t>
            </w:r>
            <w:r w:rsidRPr="00F03935">
              <w:t>punkta g)</w:t>
            </w:r>
            <w:r w:rsidR="00E1745D">
              <w:t> </w:t>
            </w:r>
            <w:r w:rsidRPr="00F03935">
              <w:t xml:space="preserve">apakšpunktā. </w:t>
            </w:r>
            <w:r w:rsidR="00E1745D">
              <w:rPr>
                <w:bCs/>
                <w:lang w:eastAsia="en-US"/>
              </w:rPr>
              <w:t>Taču tā kā š</w:t>
            </w:r>
            <w:r>
              <w:rPr>
                <w:bCs/>
                <w:lang w:eastAsia="en-US"/>
              </w:rPr>
              <w:t>ā punkt</w:t>
            </w:r>
            <w:r w:rsidR="00E1745D">
              <w:rPr>
                <w:bCs/>
                <w:lang w:eastAsia="en-US"/>
              </w:rPr>
              <w:t>a</w:t>
            </w:r>
            <w:r>
              <w:rPr>
                <w:bCs/>
                <w:lang w:eastAsia="en-US"/>
              </w:rPr>
              <w:t xml:space="preserve"> regulējums attiecas uz līguma pusi, kura</w:t>
            </w:r>
            <w:r w:rsidR="00B76A8A">
              <w:rPr>
                <w:bCs/>
                <w:lang w:eastAsia="en-US"/>
              </w:rPr>
              <w:t>s darbību regulē</w:t>
            </w:r>
            <w:r>
              <w:rPr>
                <w:bCs/>
                <w:lang w:eastAsia="en-US"/>
              </w:rPr>
              <w:t xml:space="preserve"> </w:t>
            </w:r>
            <w:r w:rsidR="00B76A8A">
              <w:rPr>
                <w:bCs/>
                <w:lang w:eastAsia="en-US"/>
              </w:rPr>
              <w:t>ne</w:t>
            </w:r>
            <w:r w:rsidR="00E1745D">
              <w:rPr>
                <w:bCs/>
                <w:lang w:eastAsia="en-US"/>
              </w:rPr>
              <w:t xml:space="preserve"> tikai</w:t>
            </w:r>
            <w:r>
              <w:rPr>
                <w:bCs/>
                <w:lang w:eastAsia="en-US"/>
              </w:rPr>
              <w:t xml:space="preserve"> Eiropas Savienības</w:t>
            </w:r>
            <w:r w:rsidR="00E1745D">
              <w:rPr>
                <w:bCs/>
                <w:lang w:eastAsia="en-US"/>
              </w:rPr>
              <w:t xml:space="preserve"> dalībvalsts</w:t>
            </w:r>
            <w:r w:rsidR="00B76A8A">
              <w:rPr>
                <w:bCs/>
                <w:lang w:eastAsia="en-US"/>
              </w:rPr>
              <w:t xml:space="preserve">, bet </w:t>
            </w:r>
            <w:r w:rsidR="00E1745D">
              <w:rPr>
                <w:bCs/>
                <w:lang w:eastAsia="en-US"/>
              </w:rPr>
              <w:t>arī</w:t>
            </w:r>
            <w:r w:rsidR="00B76A8A">
              <w:rPr>
                <w:bCs/>
                <w:lang w:eastAsia="en-US"/>
              </w:rPr>
              <w:t xml:space="preserve"> OECD valsts (piemēram, ASV, Austrālija, Japāna, Čīle, u.c.) normatīvie akti, tad šajā punktā iekļauts noteikums, ka tai ir jābūt licencētai vai regulētai iestādei. </w:t>
            </w:r>
            <w:r w:rsidR="00B76A8A">
              <w:t>N</w:t>
            </w:r>
            <w:r w:rsidR="00B76A8A" w:rsidRPr="00F03935">
              <w:t>o ri</w:t>
            </w:r>
            <w:r w:rsidR="00B76A8A">
              <w:t>ska viedokļa tiek pieņemts, ka šajās valstīs</w:t>
            </w:r>
            <w:r w:rsidR="00B76A8A" w:rsidRPr="00F03935">
              <w:t xml:space="preserve"> ir spēkā ieguldījumus aizsargājoši normatīvie akti un efektīva profesionālo tirgus dalībnieku regulācija un uzraudzība.</w:t>
            </w:r>
          </w:p>
          <w:p w:rsidR="00DC766B" w:rsidRPr="00E83BFC" w:rsidRDefault="003E0FB2" w:rsidP="00E83BFC">
            <w:pPr>
              <w:tabs>
                <w:tab w:val="left" w:pos="317"/>
              </w:tabs>
              <w:spacing w:before="60" w:after="60"/>
              <w:ind w:firstLine="345"/>
              <w:jc w:val="both"/>
              <w:rPr>
                <w:bCs/>
                <w:lang w:eastAsia="en-US"/>
              </w:rPr>
            </w:pPr>
            <w:r w:rsidRPr="00F03935">
              <w:rPr>
                <w:bCs/>
                <w:lang w:eastAsia="en-US"/>
              </w:rPr>
              <w:t>Likumprojekta 4.panta otrā</w:t>
            </w:r>
            <w:r w:rsidR="0010703E" w:rsidRPr="00F03935">
              <w:rPr>
                <w:bCs/>
                <w:lang w:eastAsia="en-US"/>
              </w:rPr>
              <w:t>s</w:t>
            </w:r>
            <w:r w:rsidRPr="00F03935">
              <w:rPr>
                <w:bCs/>
                <w:lang w:eastAsia="en-US"/>
              </w:rPr>
              <w:t xml:space="preserve"> daļa</w:t>
            </w:r>
            <w:r w:rsidR="0010703E" w:rsidRPr="00F03935">
              <w:rPr>
                <w:bCs/>
                <w:lang w:eastAsia="en-US"/>
              </w:rPr>
              <w:t>s 1.punkts</w:t>
            </w:r>
            <w:r w:rsidRPr="00F03935">
              <w:rPr>
                <w:bCs/>
                <w:lang w:eastAsia="en-US"/>
              </w:rPr>
              <w:t xml:space="preserve"> papildus noteic, ka par izslēdzošā ieskaita subjektu var būt arī fiziska</w:t>
            </w:r>
            <w:r w:rsidR="00B76A8A">
              <w:rPr>
                <w:bCs/>
                <w:lang w:eastAsia="en-US"/>
              </w:rPr>
              <w:t xml:space="preserve"> persona, </w:t>
            </w:r>
            <w:r w:rsidR="00B76A8A">
              <w:rPr>
                <w:rFonts w:eastAsia="Times New Roman"/>
                <w:color w:val="000000" w:themeColor="text1"/>
              </w:rPr>
              <w:t xml:space="preserve">kas nav patērētājs </w:t>
            </w:r>
            <w:r w:rsidR="00B76A8A" w:rsidRPr="00324416">
              <w:rPr>
                <w:rFonts w:eastAsia="Times New Roman"/>
                <w:color w:val="000000" w:themeColor="text1"/>
              </w:rPr>
              <w:t>Patērētāju tiesību aizsardzības likuma</w:t>
            </w:r>
            <w:r w:rsidR="00B76A8A">
              <w:rPr>
                <w:rFonts w:eastAsia="Times New Roman"/>
                <w:color w:val="000000" w:themeColor="text1"/>
              </w:rPr>
              <w:t xml:space="preserve"> izpratnē,</w:t>
            </w:r>
            <w:r w:rsidRPr="00F03935">
              <w:rPr>
                <w:bCs/>
                <w:lang w:eastAsia="en-US"/>
              </w:rPr>
              <w:t xml:space="preserve"> vai juridiska persona vai šo personu apvienība, kura slēdz izslēdzošā ieskaita līgumu ar </w:t>
            </w:r>
            <w:r w:rsidR="00B96814" w:rsidRPr="00F03935">
              <w:rPr>
                <w:bCs/>
                <w:lang w:eastAsia="en-US"/>
              </w:rPr>
              <w:t>š</w:t>
            </w:r>
            <w:r w:rsidR="00DC766B">
              <w:rPr>
                <w:bCs/>
                <w:lang w:eastAsia="en-US"/>
              </w:rPr>
              <w:t>ā</w:t>
            </w:r>
            <w:r w:rsidR="00B96814" w:rsidRPr="00F03935">
              <w:rPr>
                <w:bCs/>
                <w:lang w:eastAsia="en-US"/>
              </w:rPr>
              <w:t xml:space="preserve"> panta </w:t>
            </w:r>
            <w:r w:rsidR="00DC766B" w:rsidRPr="00F03935">
              <w:rPr>
                <w:bCs/>
                <w:lang w:eastAsia="en-US"/>
              </w:rPr>
              <w:t>pirm</w:t>
            </w:r>
            <w:r w:rsidR="00DC766B">
              <w:rPr>
                <w:bCs/>
                <w:lang w:eastAsia="en-US"/>
              </w:rPr>
              <w:t>ajā</w:t>
            </w:r>
            <w:r w:rsidR="00DC766B" w:rsidRPr="00F03935">
              <w:rPr>
                <w:bCs/>
                <w:lang w:eastAsia="en-US"/>
              </w:rPr>
              <w:t xml:space="preserve"> </w:t>
            </w:r>
            <w:r w:rsidR="00B96814" w:rsidRPr="00F03935">
              <w:rPr>
                <w:bCs/>
                <w:lang w:eastAsia="en-US"/>
              </w:rPr>
              <w:t>daļ</w:t>
            </w:r>
            <w:r w:rsidR="00DC766B">
              <w:rPr>
                <w:bCs/>
                <w:lang w:eastAsia="en-US"/>
              </w:rPr>
              <w:t>ā</w:t>
            </w:r>
            <w:r w:rsidRPr="00F03935">
              <w:rPr>
                <w:bCs/>
                <w:lang w:eastAsia="en-US"/>
              </w:rPr>
              <w:t xml:space="preserve">  minētajiem subjektiem</w:t>
            </w:r>
            <w:r w:rsidR="006B3307" w:rsidRPr="00F03935">
              <w:rPr>
                <w:bCs/>
                <w:lang w:eastAsia="en-US"/>
              </w:rPr>
              <w:t>.</w:t>
            </w:r>
            <w:r w:rsidR="00DC766B">
              <w:rPr>
                <w:bCs/>
                <w:lang w:eastAsia="en-US"/>
              </w:rPr>
              <w:t xml:space="preserve"> Atšķirībā no 4.panta pirmās daļas, kas noteic, ka abiem līdzējiem ir jābūt tā saucamajiem kvalificētajiem līdzējiem, otrās daļas 1.punkts paredz izslēdzošā ieskaita piemērošanu arī tad, ja tikai viens līdzējs ir kvalificētais līdzējs. Tā kā viena līdzēja darbību jau uzrauga </w:t>
            </w:r>
            <w:r w:rsidR="00DC766B" w:rsidRPr="00F675B0">
              <w:rPr>
                <w:bCs/>
                <w:lang w:eastAsia="en-US"/>
              </w:rPr>
              <w:t>kompetentas finanšu un kapitāla tirgus uzraudzības institūcijas</w:t>
            </w:r>
            <w:r w:rsidR="00DC766B">
              <w:rPr>
                <w:bCs/>
                <w:lang w:eastAsia="en-US"/>
              </w:rPr>
              <w:t>, tad n</w:t>
            </w:r>
            <w:r w:rsidR="00DC766B" w:rsidRPr="00F03935">
              <w:t>o ri</w:t>
            </w:r>
            <w:r w:rsidR="00DC766B">
              <w:t xml:space="preserve">ska viedokļa tiek pieņemts, ka </w:t>
            </w:r>
            <w:r w:rsidR="00E83BFC">
              <w:t xml:space="preserve">pastāv zems fiktīvu darījumu noslēgšanas vai citu </w:t>
            </w:r>
            <w:r w:rsidR="008B4539">
              <w:t>prettiesisku darbību</w:t>
            </w:r>
            <w:r w:rsidR="00E83BFC">
              <w:t xml:space="preserve"> iespējamības risks. Minētā norma attiecībā uz fizisku personu paredz ierobežojumus, proti, tā ir persona, kas nav patērētājs Patērētāju tiesību aizsardzības likuma izpratnē. Līdz ar to likuma subjektu lokā neietilpst personas, kas atvasinātos finanšu </w:t>
            </w:r>
            <w:r w:rsidR="00E83BFC" w:rsidRPr="00E83BFC">
              <w:t>darījumus sl</w:t>
            </w:r>
            <w:r w:rsidR="00E83BFC">
              <w:t xml:space="preserve">ēdz </w:t>
            </w:r>
            <w:r w:rsidR="00E83BFC" w:rsidRPr="00E83BFC">
              <w:t>personiskiem, ģimenes vai mājsaimniecības nolūkiem.</w:t>
            </w:r>
          </w:p>
          <w:p w:rsidR="003E0FB2" w:rsidRPr="00F03935" w:rsidRDefault="0010703E" w:rsidP="0010703E">
            <w:pPr>
              <w:tabs>
                <w:tab w:val="left" w:pos="317"/>
              </w:tabs>
              <w:spacing w:before="60" w:after="60"/>
              <w:ind w:firstLine="345"/>
              <w:jc w:val="both"/>
              <w:rPr>
                <w:bCs/>
                <w:lang w:eastAsia="en-US"/>
              </w:rPr>
            </w:pPr>
            <w:r w:rsidRPr="00F03935">
              <w:rPr>
                <w:bCs/>
                <w:lang w:eastAsia="en-US"/>
              </w:rPr>
              <w:t xml:space="preserve">Likumprojekta 4.panta otrās daļas 2.punkts par izslēdzošā ieskaita </w:t>
            </w:r>
            <w:r w:rsidR="00062295" w:rsidRPr="00F03935">
              <w:rPr>
                <w:bCs/>
                <w:lang w:eastAsia="en-US"/>
              </w:rPr>
              <w:t>subjekt</w:t>
            </w:r>
            <w:r w:rsidR="00062295">
              <w:rPr>
                <w:bCs/>
                <w:lang w:eastAsia="en-US"/>
              </w:rPr>
              <w:t>iem</w:t>
            </w:r>
            <w:r w:rsidR="00062295" w:rsidRPr="00F03935">
              <w:rPr>
                <w:bCs/>
                <w:lang w:eastAsia="en-US"/>
              </w:rPr>
              <w:t xml:space="preserve"> </w:t>
            </w:r>
            <w:r w:rsidRPr="00F03935">
              <w:rPr>
                <w:bCs/>
                <w:lang w:eastAsia="en-US"/>
              </w:rPr>
              <w:t xml:space="preserve">paredz noteikt </w:t>
            </w:r>
            <w:r w:rsidR="003E0FB2" w:rsidRPr="00F03935">
              <w:rPr>
                <w:bCs/>
                <w:lang w:eastAsia="en-US"/>
              </w:rPr>
              <w:t xml:space="preserve">arī </w:t>
            </w:r>
            <w:r w:rsidR="00062295">
              <w:rPr>
                <w:bCs/>
                <w:lang w:eastAsia="en-US"/>
              </w:rPr>
              <w:t xml:space="preserve"> tā saucamās</w:t>
            </w:r>
            <w:r w:rsidR="00A37822" w:rsidRPr="00F03935">
              <w:rPr>
                <w:bCs/>
                <w:lang w:eastAsia="en-US"/>
              </w:rPr>
              <w:t xml:space="preserve"> </w:t>
            </w:r>
            <w:r w:rsidR="003E0FB2" w:rsidRPr="00F03935">
              <w:rPr>
                <w:bCs/>
                <w:lang w:eastAsia="en-US"/>
              </w:rPr>
              <w:t xml:space="preserve">lielās sabiedrības (atbilstoši </w:t>
            </w:r>
            <w:r w:rsidR="00560D6B" w:rsidRPr="00F03935">
              <w:t>E</w:t>
            </w:r>
            <w:r w:rsidR="00480472" w:rsidRPr="00F03935">
              <w:t>iropas</w:t>
            </w:r>
            <w:r w:rsidR="00560D6B" w:rsidRPr="00F03935">
              <w:t xml:space="preserve"> P</w:t>
            </w:r>
            <w:r w:rsidR="00480472" w:rsidRPr="00F03935">
              <w:t>arlamenta</w:t>
            </w:r>
            <w:r w:rsidR="00560D6B" w:rsidRPr="00F03935">
              <w:t xml:space="preserve"> </w:t>
            </w:r>
            <w:r w:rsidR="00480472" w:rsidRPr="00F03935">
              <w:t>un</w:t>
            </w:r>
            <w:r w:rsidR="00560D6B" w:rsidRPr="00F03935">
              <w:t xml:space="preserve"> P</w:t>
            </w:r>
            <w:r w:rsidR="00480472" w:rsidRPr="00F03935">
              <w:t>adomes</w:t>
            </w:r>
            <w:r w:rsidR="00560D6B" w:rsidRPr="00F03935">
              <w:t xml:space="preserve"> </w:t>
            </w:r>
            <w:r w:rsidR="00480472" w:rsidRPr="00F03935">
              <w:t xml:space="preserve">Direktīvas </w:t>
            </w:r>
            <w:r w:rsidR="00560D6B" w:rsidRPr="00F03935">
              <w:t>2014/65/ES</w:t>
            </w:r>
            <w:r w:rsidR="00560D6B" w:rsidRPr="00F03935">
              <w:rPr>
                <w:bCs/>
                <w:lang w:eastAsia="en-US"/>
              </w:rPr>
              <w:t xml:space="preserve"> </w:t>
            </w:r>
            <w:r w:rsidR="000A1590">
              <w:t>(2014.gada 15.</w:t>
            </w:r>
            <w:r w:rsidR="00560D6B" w:rsidRPr="00F03935">
              <w:t>maijs)</w:t>
            </w:r>
            <w:r w:rsidR="00560D6B" w:rsidRPr="00F03935">
              <w:rPr>
                <w:bCs/>
                <w:lang w:eastAsia="en-US"/>
              </w:rPr>
              <w:t xml:space="preserve"> </w:t>
            </w:r>
            <w:r w:rsidR="00560D6B" w:rsidRPr="00F03935">
              <w:t>par finanšu instrumentu tirgiem un ar ko groza Direktīvu 2002/92/ES un Direktīvu 2011/61/ES</w:t>
            </w:r>
            <w:r w:rsidR="00560D6B" w:rsidRPr="00F03935">
              <w:rPr>
                <w:bCs/>
                <w:lang w:eastAsia="en-US"/>
              </w:rPr>
              <w:t xml:space="preserve"> </w:t>
            </w:r>
            <w:r w:rsidR="00560D6B" w:rsidRPr="00F03935">
              <w:t>(pārstrādāta versija)</w:t>
            </w:r>
            <w:r w:rsidR="00560D6B" w:rsidRPr="00F03935">
              <w:rPr>
                <w:bCs/>
                <w:lang w:eastAsia="en-US"/>
              </w:rPr>
              <w:t xml:space="preserve"> (turpmāk – </w:t>
            </w:r>
            <w:r w:rsidR="009A7C90">
              <w:rPr>
                <w:spacing w:val="2"/>
                <w:shd w:val="clear" w:color="auto" w:fill="FFFFFF"/>
              </w:rPr>
              <w:t>„</w:t>
            </w:r>
            <w:r w:rsidR="003E0FB2" w:rsidRPr="00F03935">
              <w:rPr>
                <w:b/>
              </w:rPr>
              <w:t>MiFID II</w:t>
            </w:r>
            <w:r w:rsidR="00560D6B" w:rsidRPr="00F03935">
              <w:t>”)</w:t>
            </w:r>
            <w:r w:rsidR="003E0FB2" w:rsidRPr="00F03935">
              <w:t xml:space="preserve"> </w:t>
            </w:r>
            <w:r w:rsidR="00560D6B" w:rsidRPr="00F03935">
              <w:t>II pielikuma I panta 2)</w:t>
            </w:r>
            <w:r w:rsidR="00E1745D">
              <w:t> </w:t>
            </w:r>
            <w:r w:rsidR="003E0FB2" w:rsidRPr="00F03935">
              <w:t>p</w:t>
            </w:r>
            <w:r w:rsidR="00560D6B" w:rsidRPr="00F03935">
              <w:t>unktam</w:t>
            </w:r>
            <w:r w:rsidR="003E0FB2" w:rsidRPr="00F03935">
              <w:t xml:space="preserve">), kuru </w:t>
            </w:r>
            <w:r w:rsidR="00480472" w:rsidRPr="00F03935">
              <w:t xml:space="preserve">apmēra </w:t>
            </w:r>
            <w:r w:rsidR="003E0FB2" w:rsidRPr="00F03935">
              <w:t xml:space="preserve">kritēriji noteikti </w:t>
            </w:r>
            <w:r w:rsidR="00815725" w:rsidRPr="00F03935">
              <w:t>sekojoši</w:t>
            </w:r>
            <w:r w:rsidR="003E0FB2" w:rsidRPr="00F03935">
              <w:t>:</w:t>
            </w:r>
            <w:r w:rsidR="003E0FB2" w:rsidRPr="00F03935">
              <w:rPr>
                <w:bCs/>
                <w:lang w:eastAsia="en-US"/>
              </w:rPr>
              <w:t xml:space="preserve"> juridiskas personas, kas konkrētā līdzēja sabiedrības līmenī izpilda divas no šādām apjoma prasībām </w:t>
            </w:r>
          </w:p>
          <w:p w:rsidR="003E0FB2" w:rsidRPr="00F03935" w:rsidRDefault="003E0FB2" w:rsidP="00F03935">
            <w:pPr>
              <w:pStyle w:val="ListParagraph"/>
              <w:numPr>
                <w:ilvl w:val="0"/>
                <w:numId w:val="6"/>
              </w:numPr>
              <w:tabs>
                <w:tab w:val="left" w:pos="317"/>
              </w:tabs>
              <w:spacing w:before="60" w:after="60"/>
              <w:ind w:left="414" w:firstLine="0"/>
              <w:jc w:val="both"/>
              <w:rPr>
                <w:bCs/>
                <w:sz w:val="24"/>
                <w:szCs w:val="24"/>
                <w:lang w:eastAsia="en-US"/>
              </w:rPr>
            </w:pPr>
            <w:r w:rsidRPr="00F03935">
              <w:rPr>
                <w:bCs/>
                <w:sz w:val="24"/>
                <w:szCs w:val="24"/>
                <w:lang w:eastAsia="en-US"/>
              </w:rPr>
              <w:t>bilances kopsumma: 20 000 000</w:t>
            </w:r>
            <w:r w:rsidR="00E1745D">
              <w:rPr>
                <w:bCs/>
                <w:sz w:val="24"/>
                <w:szCs w:val="24"/>
                <w:lang w:eastAsia="en-US"/>
              </w:rPr>
              <w:t xml:space="preserve"> </w:t>
            </w:r>
            <w:r w:rsidR="00E1745D" w:rsidRPr="00E1745D">
              <w:rPr>
                <w:bCs/>
                <w:i/>
                <w:sz w:val="24"/>
                <w:szCs w:val="24"/>
                <w:lang w:eastAsia="en-US"/>
              </w:rPr>
              <w:t>euro</w:t>
            </w:r>
            <w:r w:rsidR="00E1745D">
              <w:rPr>
                <w:bCs/>
                <w:sz w:val="24"/>
                <w:szCs w:val="24"/>
                <w:lang w:eastAsia="en-US"/>
              </w:rPr>
              <w:t>,</w:t>
            </w:r>
          </w:p>
          <w:p w:rsidR="003E0FB2" w:rsidRPr="00F03935" w:rsidRDefault="003E0FB2" w:rsidP="00F03935">
            <w:pPr>
              <w:pStyle w:val="ListParagraph"/>
              <w:numPr>
                <w:ilvl w:val="0"/>
                <w:numId w:val="6"/>
              </w:numPr>
              <w:tabs>
                <w:tab w:val="left" w:pos="317"/>
              </w:tabs>
              <w:spacing w:before="60" w:after="60"/>
              <w:ind w:left="414" w:firstLine="0"/>
              <w:jc w:val="both"/>
              <w:rPr>
                <w:bCs/>
                <w:sz w:val="24"/>
                <w:szCs w:val="24"/>
                <w:lang w:eastAsia="en-US"/>
              </w:rPr>
            </w:pPr>
            <w:r w:rsidRPr="00F03935">
              <w:rPr>
                <w:bCs/>
                <w:sz w:val="24"/>
                <w:szCs w:val="24"/>
                <w:lang w:eastAsia="en-US"/>
              </w:rPr>
              <w:t>n</w:t>
            </w:r>
            <w:r w:rsidR="00E1745D">
              <w:rPr>
                <w:bCs/>
                <w:sz w:val="24"/>
                <w:szCs w:val="24"/>
                <w:lang w:eastAsia="en-US"/>
              </w:rPr>
              <w:t xml:space="preserve">eto apgrozījums: 40 000 000 </w:t>
            </w:r>
            <w:r w:rsidR="00E1745D" w:rsidRPr="00E1745D">
              <w:rPr>
                <w:bCs/>
                <w:i/>
                <w:sz w:val="24"/>
                <w:szCs w:val="24"/>
                <w:lang w:eastAsia="en-US"/>
              </w:rPr>
              <w:t>euro</w:t>
            </w:r>
            <w:r w:rsidR="00E1745D">
              <w:rPr>
                <w:bCs/>
                <w:sz w:val="24"/>
                <w:szCs w:val="24"/>
                <w:lang w:eastAsia="en-US"/>
              </w:rPr>
              <w:t>,</w:t>
            </w:r>
          </w:p>
          <w:p w:rsidR="003E0FB2" w:rsidRPr="00F03935" w:rsidRDefault="00E1745D" w:rsidP="00F03935">
            <w:pPr>
              <w:pStyle w:val="ListParagraph"/>
              <w:numPr>
                <w:ilvl w:val="0"/>
                <w:numId w:val="6"/>
              </w:numPr>
              <w:tabs>
                <w:tab w:val="left" w:pos="317"/>
              </w:tabs>
              <w:spacing w:before="60" w:after="60"/>
              <w:ind w:left="414" w:firstLine="0"/>
              <w:jc w:val="both"/>
              <w:rPr>
                <w:bCs/>
                <w:sz w:val="24"/>
                <w:szCs w:val="24"/>
                <w:lang w:eastAsia="en-US"/>
              </w:rPr>
            </w:pPr>
            <w:r>
              <w:rPr>
                <w:bCs/>
                <w:sz w:val="24"/>
                <w:szCs w:val="24"/>
                <w:lang w:eastAsia="en-US"/>
              </w:rPr>
              <w:t xml:space="preserve">pašu kapitāls: </w:t>
            </w:r>
            <w:r w:rsidR="003E0FB2" w:rsidRPr="00F03935">
              <w:rPr>
                <w:bCs/>
                <w:sz w:val="24"/>
                <w:szCs w:val="24"/>
                <w:lang w:eastAsia="en-US"/>
              </w:rPr>
              <w:t>2 000 000</w:t>
            </w:r>
            <w:r>
              <w:rPr>
                <w:bCs/>
                <w:sz w:val="24"/>
                <w:szCs w:val="24"/>
                <w:lang w:eastAsia="en-US"/>
              </w:rPr>
              <w:t xml:space="preserve"> </w:t>
            </w:r>
            <w:r w:rsidRPr="00E1745D">
              <w:rPr>
                <w:bCs/>
                <w:i/>
                <w:sz w:val="24"/>
                <w:szCs w:val="24"/>
                <w:lang w:eastAsia="en-US"/>
              </w:rPr>
              <w:t>euro</w:t>
            </w:r>
            <w:r w:rsidR="003E0FB2" w:rsidRPr="00F03935">
              <w:rPr>
                <w:bCs/>
                <w:sz w:val="24"/>
                <w:szCs w:val="24"/>
                <w:lang w:eastAsia="en-US"/>
              </w:rPr>
              <w:t>.</w:t>
            </w:r>
          </w:p>
          <w:p w:rsidR="00062295" w:rsidRPr="00F03935" w:rsidRDefault="00B90670" w:rsidP="00062295">
            <w:pPr>
              <w:tabs>
                <w:tab w:val="left" w:pos="317"/>
              </w:tabs>
              <w:spacing w:before="60" w:after="60"/>
              <w:ind w:firstLine="345"/>
              <w:jc w:val="both"/>
              <w:rPr>
                <w:bCs/>
                <w:lang w:eastAsia="en-US"/>
              </w:rPr>
            </w:pPr>
            <w:r>
              <w:t xml:space="preserve">Atbilstoši MiFID II direktīvā noteiktajam šādas personas (klientus) uzskata par profesionāļiem visos ieguldījumu pakalpojumos un darbībās un finanšu instrumentos. Papildus MiFID II direktīvā noteiktajam minētā norma noteic, ka šīm apjoma prasībām ir jāizpildās izslēdzošā ieskaita līguma noslēgšanas brīdī, </w:t>
            </w:r>
            <w:r w:rsidR="00062295" w:rsidRPr="00F03935">
              <w:t xml:space="preserve">par pamatu </w:t>
            </w:r>
            <w:r w:rsidR="00062295">
              <w:t xml:space="preserve">ņemot pēdējos divus pārskata gadus </w:t>
            </w:r>
            <w:r w:rsidR="00062295" w:rsidRPr="00C30EFF">
              <w:rPr>
                <w:shd w:val="clear" w:color="auto" w:fill="FFFFFF"/>
              </w:rPr>
              <w:t>(gan kārtējā, gan iepriekšējā pārskata gadā)</w:t>
            </w:r>
            <w:r>
              <w:rPr>
                <w:bCs/>
                <w:lang w:eastAsia="en-US"/>
              </w:rPr>
              <w:t>.</w:t>
            </w:r>
          </w:p>
          <w:p w:rsidR="00C3304F" w:rsidRPr="00F03935" w:rsidRDefault="003E0FB2" w:rsidP="00620068">
            <w:pPr>
              <w:ind w:firstLine="346"/>
              <w:jc w:val="both"/>
            </w:pPr>
            <w:r w:rsidRPr="00F03935">
              <w:t xml:space="preserve">Par </w:t>
            </w:r>
            <w:r w:rsidR="00657266" w:rsidRPr="00F03935">
              <w:t xml:space="preserve">minēto </w:t>
            </w:r>
            <w:r w:rsidRPr="00F03935">
              <w:t xml:space="preserve">subjektu loku </w:t>
            </w:r>
            <w:r w:rsidR="00832B92" w:rsidRPr="00F03935">
              <w:t>Likumprojekta izstrādes procesa ietvaros</w:t>
            </w:r>
            <w:r w:rsidRPr="00F03935">
              <w:t xml:space="preserve"> noturētas vairākas apjomīgas diskusijas, </w:t>
            </w:r>
            <w:r w:rsidR="0021789A" w:rsidRPr="00F03935">
              <w:t xml:space="preserve">vienā </w:t>
            </w:r>
            <w:r w:rsidRPr="00F03935">
              <w:t>no kurām klātienē piedalījās arī ISDA eksperts Dr</w:t>
            </w:r>
            <w:r w:rsidR="00E1745D">
              <w:t>.</w:t>
            </w:r>
            <w:r w:rsidRPr="00F03935">
              <w:t xml:space="preserve"> Peter Werner, kurš </w:t>
            </w:r>
            <w:r w:rsidR="00054019" w:rsidRPr="00F03935">
              <w:t>cita starpā sniedza skaidrojumu</w:t>
            </w:r>
            <w:r w:rsidRPr="00F03935">
              <w:t xml:space="preserve">, ka starptautiskajā praksē </w:t>
            </w:r>
            <w:r w:rsidR="00FE270A" w:rsidRPr="00F03935">
              <w:t xml:space="preserve">efektīvs </w:t>
            </w:r>
            <w:r w:rsidR="00FE270A" w:rsidRPr="00F03935">
              <w:lastRenderedPageBreak/>
              <w:t>izslēdzošā ieskaita</w:t>
            </w:r>
            <w:r w:rsidRPr="00F03935">
              <w:t xml:space="preserve"> regulējums ir svarīgs arī gadījumos, kad abi līdzēji ir juridiskās personas, kuras neuzrauga kompetentās finanšu un kapitāla tirgus uzraudzības institūcijas, taču vienlaikus nevarot būt runa par nelieliem komersantiem, bet gan tikai par nozīmīgiem tirgus spēlētājiem, tādēļ nepieciešams ieviest kādus apjoma kritērijus.</w:t>
            </w:r>
          </w:p>
          <w:p w:rsidR="00B90670" w:rsidRDefault="0021789A" w:rsidP="0021789A">
            <w:pPr>
              <w:ind w:firstLine="346"/>
              <w:jc w:val="both"/>
              <w:rPr>
                <w:shd w:val="clear" w:color="auto" w:fill="FFFFFF"/>
              </w:rPr>
            </w:pPr>
            <w:r w:rsidRPr="00F03935">
              <w:t xml:space="preserve">Likumprojekta izstrādes gaitā tika secināts, ka Latvijā </w:t>
            </w:r>
            <w:r w:rsidR="00C3304F" w:rsidRPr="00F03935">
              <w:t>atbilstoši starptautiskajai praksei ir</w:t>
            </w:r>
            <w:r w:rsidRPr="00F03935">
              <w:t xml:space="preserve"> nepieciešams paredzēt paplašināt</w:t>
            </w:r>
            <w:r w:rsidR="00C3304F" w:rsidRPr="00F03935">
              <w:t>u</w:t>
            </w:r>
            <w:r w:rsidRPr="00F03935">
              <w:t xml:space="preserve"> subjektu loku</w:t>
            </w:r>
            <w:r w:rsidR="00507585">
              <w:t xml:space="preserve"> </w:t>
            </w:r>
            <w:r w:rsidRPr="00F03935">
              <w:t>tādējādi, ka kvalificētiem finanšu tirgus dalībniekiem tiktu pielīdzināti arī tautsaimniecībai nozīmīgas sabiedrības, kuras līdz ar to varētu izmantot ieguvumus no izslēdzošā ieskaita. Piemēram, e</w:t>
            </w:r>
            <w:r w:rsidR="00E462A6">
              <w:t>lektroenerģijas</w:t>
            </w:r>
            <w:r w:rsidRPr="00F03935">
              <w:t xml:space="preserve"> tirgotāji, lidsabiedrības</w:t>
            </w:r>
            <w:r w:rsidR="00E462A6">
              <w:t xml:space="preserve"> u.c. līdzīga profila uzņēmumi</w:t>
            </w:r>
            <w:r w:rsidRPr="00F03935">
              <w:t xml:space="preserve">, slēdzot komercdarījumus par izejvielu iegādi no citiem komersantiem, bieži izmanto </w:t>
            </w:r>
            <w:r w:rsidRPr="00F03935">
              <w:rPr>
                <w:shd w:val="clear" w:color="auto" w:fill="FFFFFF"/>
              </w:rPr>
              <w:t xml:space="preserve">iespēju līgumus, standartizētus nākotnes līgumus, mijmaiņas līgumus, lai </w:t>
            </w:r>
            <w:r w:rsidR="00463FAA" w:rsidRPr="00F03935">
              <w:rPr>
                <w:shd w:val="clear" w:color="auto" w:fill="FFFFFF"/>
              </w:rPr>
              <w:t xml:space="preserve">ilgtermiņā </w:t>
            </w:r>
            <w:r w:rsidRPr="00F03935">
              <w:rPr>
                <w:shd w:val="clear" w:color="auto" w:fill="FFFFFF"/>
              </w:rPr>
              <w:t>nodrošinātos pret cenu svārstībām.</w:t>
            </w:r>
          </w:p>
          <w:p w:rsidR="00EB6BD5" w:rsidRPr="008617D2" w:rsidRDefault="00B90670" w:rsidP="00EB6BD5">
            <w:pPr>
              <w:ind w:firstLine="346"/>
              <w:jc w:val="both"/>
            </w:pPr>
            <w:r>
              <w:rPr>
                <w:shd w:val="clear" w:color="auto" w:fill="FFFFFF"/>
              </w:rPr>
              <w:t>Likumprojekta izstrādes gaitā notika plašas diskusijas par to, vai tikai MiFID II direktīvā noteiktie apjoma kritēriji ir piemērojami</w:t>
            </w:r>
            <w:r w:rsidR="00D6263C">
              <w:rPr>
                <w:shd w:val="clear" w:color="auto" w:fill="FFFFFF"/>
              </w:rPr>
              <w:t>, vai ir iespējami arī kādi citi kritēriji</w:t>
            </w:r>
            <w:r>
              <w:rPr>
                <w:shd w:val="clear" w:color="auto" w:fill="FFFFFF"/>
              </w:rPr>
              <w:t>. Tika konstatēts, ka l</w:t>
            </w:r>
            <w:r w:rsidR="00507585">
              <w:t>ielu sabiedrību apjoma kritēriji ir atrodami arī</w:t>
            </w:r>
            <w:r w:rsidR="00617F97">
              <w:t>, piemēram,</w:t>
            </w:r>
            <w:r w:rsidR="00507585">
              <w:t xml:space="preserve"> Igaunijas regulējumā</w:t>
            </w:r>
            <w:r w:rsidR="00EB6BD5">
              <w:t xml:space="preserve">, </w:t>
            </w:r>
            <w:r w:rsidR="008B4539">
              <w:t>bet šie kritēriji nav piesasistīti MiFID II direktīvas regulējumam</w:t>
            </w:r>
            <w:r w:rsidR="00287010">
              <w:t xml:space="preserve">. Igaunijas </w:t>
            </w:r>
            <w:r w:rsidR="008B4539">
              <w:t>tiesību akti paredz, ka</w:t>
            </w:r>
            <w:r w:rsidR="00287010">
              <w:t xml:space="preserve"> </w:t>
            </w:r>
            <w:r w:rsidR="00EB6BD5" w:rsidRPr="00EB6BD5">
              <w:t>sabiedrība saskaņā ar jaunāko gada pārskatu vai konsolidēto pārskatu atbilst vismaz diviem no šiem kritērijiem: 1)</w:t>
            </w:r>
            <w:r w:rsidR="00EB6BD5">
              <w:t> </w:t>
            </w:r>
            <w:r w:rsidR="00EB6BD5" w:rsidRPr="00EB6BD5">
              <w:t>vidējais uzņēmuma darbinieku skaits finanšu gadā ir lielāks par 250; 2)</w:t>
            </w:r>
            <w:r w:rsidR="00EB6BD5">
              <w:t> </w:t>
            </w:r>
            <w:r w:rsidR="00EB6BD5" w:rsidRPr="00EB6BD5">
              <w:t>uzņēmuma gada bilances kopsumma pārsniedz 43 miljonus eiro; 3)</w:t>
            </w:r>
            <w:r w:rsidR="00EB6BD5">
              <w:t> </w:t>
            </w:r>
            <w:r w:rsidR="00EB6BD5" w:rsidRPr="00EB6BD5">
              <w:t>uzņēmuma gada apgrozījums pārsniedz 50 miljonus eiro.</w:t>
            </w:r>
            <w:r w:rsidR="00EB6BD5">
              <w:t xml:space="preserve"> Minētās apjoma prasības atbilst </w:t>
            </w:r>
            <w:r w:rsidR="00EB6BD5" w:rsidRPr="00EB6BD5">
              <w:t>Eiropas Komisijas 2014.</w:t>
            </w:r>
            <w:r w:rsidR="00E1745D">
              <w:t>gada 17.jūnija regulas (ES) Nr. </w:t>
            </w:r>
            <w:r w:rsidR="00EB6BD5" w:rsidRPr="00EB6BD5">
              <w:t xml:space="preserve">651/2014 ar ko noteiktas atbalsta kategorijas atzīst par saderīgām ar iekšējo tirgu, piemērojot </w:t>
            </w:r>
            <w:r w:rsidR="00EB6BD5" w:rsidRPr="008617D2">
              <w:t>Līguma 107. un 108. pantu I</w:t>
            </w:r>
            <w:r w:rsidR="00947A4A">
              <w:t> </w:t>
            </w:r>
            <w:r w:rsidR="00EB6BD5" w:rsidRPr="008617D2">
              <w:t>pielikuma 2.</w:t>
            </w:r>
            <w:r w:rsidR="00947A4A">
              <w:t> </w:t>
            </w:r>
            <w:r w:rsidR="00EB6BD5" w:rsidRPr="008617D2">
              <w:t>panta 1.</w:t>
            </w:r>
            <w:r w:rsidR="00947A4A">
              <w:t> </w:t>
            </w:r>
            <w:r w:rsidR="00EB6BD5" w:rsidRPr="008617D2">
              <w:t>punktā norādītajiem kritērijiem, kad attiecīgo sabiedrību vairs nevar atzīt par mazo vai vidējo uzņēmumu.</w:t>
            </w:r>
          </w:p>
          <w:p w:rsidR="00261379" w:rsidRPr="00947A4A" w:rsidRDefault="008617D2" w:rsidP="00947A4A">
            <w:pPr>
              <w:ind w:firstLine="346"/>
              <w:jc w:val="both"/>
            </w:pPr>
            <w:r w:rsidRPr="008617D2">
              <w:t xml:space="preserve">Likumprojekta izstrādes gaitā tika pausts arī viedoklis, ka profesionālā klienta statusa noteikšanai </w:t>
            </w:r>
            <w:r w:rsidR="00287010" w:rsidRPr="008617D2">
              <w:t xml:space="preserve">MiFID II </w:t>
            </w:r>
            <w:r w:rsidR="00287010">
              <w:t xml:space="preserve">direktīvas </w:t>
            </w:r>
            <w:r w:rsidRPr="008617D2">
              <w:t xml:space="preserve">izvirzītie lieluma kritēriji neatbilst sistēmiskuma apsvērumiem. Turklāt MiFID II </w:t>
            </w:r>
            <w:r w:rsidR="00287010">
              <w:t xml:space="preserve">direktīvas </w:t>
            </w:r>
            <w:r w:rsidRPr="008617D2">
              <w:t>noteikumi paredz šādām sabiedrībām</w:t>
            </w:r>
            <w:r w:rsidRPr="008617D2">
              <w:rPr>
                <w:i/>
                <w:iCs/>
              </w:rPr>
              <w:t xml:space="preserve"> opt-out</w:t>
            </w:r>
            <w:r w:rsidRPr="008617D2">
              <w:t xml:space="preserve"> iespēju, </w:t>
            </w:r>
            <w:r w:rsidRPr="00947A4A">
              <w:t>jo pastāv varbūtība, ka tās neveic pietiekami liela apmēra darījumus finanšu instrumentu tirgū. Līdz ar to konkrēti skaitliski kritēriji būtu jānosaka, balstoties uz sistēmiskuma principiem.</w:t>
            </w:r>
            <w:r w:rsidR="00947A4A" w:rsidRPr="00947A4A">
              <w:t xml:space="preserve"> </w:t>
            </w:r>
            <w:r w:rsidRPr="00947A4A">
              <w:t>Lai gan Likumprojekta izstrādes gaitā pastāvēja dažādi viedokļi</w:t>
            </w:r>
            <w:r w:rsidR="00E1745D" w:rsidRPr="00947A4A">
              <w:t xml:space="preserve">, vai piesaiste MiFID II direktīvas kritērijiem ir visatbilstošākā, citi, alternatīvi priekšlikumi netika pausti, tāpēc regulējums </w:t>
            </w:r>
            <w:r w:rsidRPr="00947A4A">
              <w:t>balstīt</w:t>
            </w:r>
            <w:r w:rsidR="00E1745D" w:rsidRPr="00947A4A">
              <w:t>s</w:t>
            </w:r>
            <w:r w:rsidR="00C3304F" w:rsidRPr="00947A4A">
              <w:t xml:space="preserve">  </w:t>
            </w:r>
            <w:r w:rsidRPr="00947A4A">
              <w:t xml:space="preserve">uz </w:t>
            </w:r>
            <w:r w:rsidR="00C3304F" w:rsidRPr="00947A4A">
              <w:t>lielo sabiedrību kritēriji</w:t>
            </w:r>
            <w:r w:rsidRPr="00947A4A">
              <w:t>em, kādi noteikti</w:t>
            </w:r>
            <w:r w:rsidR="00C3304F" w:rsidRPr="00947A4A">
              <w:t xml:space="preserve"> MiFID II</w:t>
            </w:r>
            <w:r w:rsidRPr="00947A4A">
              <w:t xml:space="preserve"> direktīvā</w:t>
            </w:r>
            <w:r w:rsidR="00C3304F" w:rsidRPr="00947A4A">
              <w:t>.</w:t>
            </w:r>
            <w:r w:rsidR="00617F97" w:rsidRPr="00947A4A">
              <w:t xml:space="preserve"> </w:t>
            </w:r>
            <w:r w:rsidRPr="00947A4A">
              <w:rPr>
                <w:bCs/>
                <w:shd w:val="clear" w:color="auto" w:fill="FFFFFF"/>
              </w:rPr>
              <w:t xml:space="preserve"> </w:t>
            </w:r>
          </w:p>
          <w:p w:rsidR="0012256D" w:rsidRPr="00F03935" w:rsidRDefault="00A6753D" w:rsidP="0012256D">
            <w:pPr>
              <w:ind w:firstLine="346"/>
              <w:jc w:val="both"/>
              <w:rPr>
                <w:szCs w:val="20"/>
              </w:rPr>
            </w:pPr>
            <w:r w:rsidRPr="00947A4A">
              <w:t>Likumprojekta 5.pants</w:t>
            </w:r>
            <w:r w:rsidRPr="00F03935">
              <w:t xml:space="preserve"> </w:t>
            </w:r>
            <w:r w:rsidR="00B5190A" w:rsidRPr="00F03935">
              <w:t xml:space="preserve">paskaidro </w:t>
            </w:r>
            <w:r w:rsidRPr="00F03935">
              <w:t>izslēdzošā ieskaita mehānismu, proti</w:t>
            </w:r>
            <w:r w:rsidR="000A1590">
              <w:t>,</w:t>
            </w:r>
            <w:r w:rsidRPr="00F03935">
              <w:t xml:space="preserve"> – i</w:t>
            </w:r>
            <w:r w:rsidR="00AF4903" w:rsidRPr="00F03935">
              <w:t>zslēdzošais ieskaits i</w:t>
            </w:r>
            <w:r w:rsidR="0012256D" w:rsidRPr="00F03935">
              <w:t xml:space="preserve">r divpusējas vienošanās (izslēdzošā ieskaita līguma) noteikumi, kuru piemērošana, iestājoties izpildes notikumam, </w:t>
            </w:r>
            <w:r w:rsidR="0012256D" w:rsidRPr="00F03935">
              <w:rPr>
                <w:szCs w:val="20"/>
              </w:rPr>
              <w:t xml:space="preserve">var tikt uzsākta vai nu ar viena līdzēja paziņojumu otram, vai automātiski, un kā rezultātā pēc savstarpēja pārrēķina, ieskaita vai citām tiesisko seku ziņā pielīdzināmām darbībām: </w:t>
            </w:r>
          </w:p>
          <w:p w:rsidR="0012256D" w:rsidRPr="00F03935" w:rsidRDefault="0012256D" w:rsidP="0012256D">
            <w:pPr>
              <w:pStyle w:val="ListParagraph"/>
              <w:numPr>
                <w:ilvl w:val="0"/>
                <w:numId w:val="12"/>
              </w:numPr>
              <w:jc w:val="both"/>
              <w:rPr>
                <w:sz w:val="24"/>
                <w:szCs w:val="24"/>
              </w:rPr>
            </w:pPr>
            <w:r w:rsidRPr="00F03935">
              <w:rPr>
                <w:sz w:val="24"/>
                <w:szCs w:val="24"/>
              </w:rPr>
              <w:t xml:space="preserve">līdzēju savstarpējie prasījumi un saistības, kas izriet no viena vai vairākiem kvalificētajiem finanšu darījumiem </w:t>
            </w:r>
            <w:r w:rsidR="00FE270A" w:rsidRPr="00F03935">
              <w:rPr>
                <w:sz w:val="24"/>
                <w:szCs w:val="24"/>
              </w:rPr>
              <w:t>Likumprojekta</w:t>
            </w:r>
            <w:r w:rsidRPr="00F03935">
              <w:rPr>
                <w:sz w:val="24"/>
                <w:szCs w:val="24"/>
              </w:rPr>
              <w:t xml:space="preserve"> </w:t>
            </w:r>
            <w:r w:rsidR="00C261AF" w:rsidRPr="00F03935">
              <w:rPr>
                <w:sz w:val="24"/>
                <w:szCs w:val="24"/>
              </w:rPr>
              <w:t>7</w:t>
            </w:r>
            <w:r w:rsidRPr="00F03935">
              <w:rPr>
                <w:sz w:val="24"/>
                <w:szCs w:val="24"/>
              </w:rPr>
              <w:t xml:space="preserve">.panta izpratnē, kas noslēgti saskaņā ar izslēdzošā ieskaita līgumu, tiek aizstāti ar savstarpēju </w:t>
            </w:r>
            <w:r w:rsidRPr="00F03935">
              <w:rPr>
                <w:sz w:val="24"/>
                <w:szCs w:val="24"/>
              </w:rPr>
              <w:lastRenderedPageBreak/>
              <w:t>pienākumu samaksāt summas, kas tiek noteiktas atbilstoši izslēdzošā ieskaita līguma noteikumiem, tai skaitā, ņemot vērā līdzēju sākotnējo prasījumu un saistību tirgus vērtību izslēdzošā ieskaita piemērošanas brīdī;</w:t>
            </w:r>
          </w:p>
          <w:p w:rsidR="0012256D" w:rsidRPr="00F03935" w:rsidRDefault="0012256D" w:rsidP="0012256D">
            <w:pPr>
              <w:pStyle w:val="ListParagraph"/>
              <w:numPr>
                <w:ilvl w:val="0"/>
                <w:numId w:val="12"/>
              </w:numPr>
              <w:jc w:val="both"/>
              <w:rPr>
                <w:sz w:val="24"/>
                <w:szCs w:val="24"/>
              </w:rPr>
            </w:pPr>
            <w:r w:rsidRPr="00F03935">
              <w:rPr>
                <w:sz w:val="24"/>
                <w:szCs w:val="24"/>
              </w:rPr>
              <w:t xml:space="preserve">tiek sagatavots aprēķins par summām, kas vienam līdzējam jāatmaksā otram saskaņā ar </w:t>
            </w:r>
            <w:r w:rsidR="00A6753D" w:rsidRPr="00F03935">
              <w:rPr>
                <w:sz w:val="24"/>
                <w:szCs w:val="24"/>
              </w:rPr>
              <w:t xml:space="preserve">Likumprojekta </w:t>
            </w:r>
            <w:r w:rsidR="00A31343" w:rsidRPr="00F03935">
              <w:rPr>
                <w:sz w:val="24"/>
                <w:szCs w:val="24"/>
              </w:rPr>
              <w:t>5</w:t>
            </w:r>
            <w:r w:rsidR="00A6753D" w:rsidRPr="00F03935">
              <w:rPr>
                <w:sz w:val="24"/>
                <w:szCs w:val="24"/>
              </w:rPr>
              <w:t xml:space="preserve">.panta </w:t>
            </w:r>
            <w:r w:rsidRPr="00F03935">
              <w:rPr>
                <w:sz w:val="24"/>
                <w:szCs w:val="24"/>
              </w:rPr>
              <w:t>1.punktu, un aprēķinātās summas tiek konvertētas vienā valūtā;</w:t>
            </w:r>
          </w:p>
          <w:p w:rsidR="0012256D" w:rsidRPr="00F03935" w:rsidRDefault="0012256D" w:rsidP="0012256D">
            <w:pPr>
              <w:pStyle w:val="ListParagraph"/>
              <w:numPr>
                <w:ilvl w:val="0"/>
                <w:numId w:val="12"/>
              </w:numPr>
              <w:jc w:val="both"/>
              <w:rPr>
                <w:sz w:val="24"/>
                <w:szCs w:val="24"/>
              </w:rPr>
            </w:pPr>
            <w:r w:rsidRPr="00F03935">
              <w:rPr>
                <w:sz w:val="24"/>
                <w:szCs w:val="24"/>
              </w:rPr>
              <w:t>līdzējs, kura maksājamā summa ir lielāka, samaksā otram līdzējam tikai otra līdzēja maksājamās summas pārsniegumu (neto saldo).</w:t>
            </w:r>
          </w:p>
          <w:p w:rsidR="00FB50CC" w:rsidRPr="00F03935" w:rsidRDefault="00FB50CC" w:rsidP="00FB50CC">
            <w:pPr>
              <w:ind w:firstLine="346"/>
              <w:jc w:val="both"/>
              <w:rPr>
                <w:szCs w:val="20"/>
              </w:rPr>
            </w:pPr>
            <w:r>
              <w:rPr>
                <w:szCs w:val="20"/>
              </w:rPr>
              <w:t xml:space="preserve">Minētā norma </w:t>
            </w:r>
            <w:r w:rsidRPr="00F03935">
              <w:rPr>
                <w:szCs w:val="20"/>
              </w:rPr>
              <w:t>satur izslēdzošā ieskaita pamata principus, ņemot vērā, ka saskaņā ar starptautisko praksi neregulē un atstāj pušu brīvā izvēlē tādus jautājumus kā precīzs izslēdzošā ieskaita rezultātā iegūtās neto saldo summas aprēķina mehānisms, neto saldo valūta, noteikumi par to, kura no pusēm veic aprēķinu un kura brīža vērtība tiek piemērota aprēķina veikšanā</w:t>
            </w:r>
            <w:r w:rsidR="000A1590">
              <w:rPr>
                <w:szCs w:val="20"/>
              </w:rPr>
              <w:t>, u.tml</w:t>
            </w:r>
            <w:r w:rsidRPr="00F03935">
              <w:rPr>
                <w:szCs w:val="20"/>
              </w:rPr>
              <w:t xml:space="preserve">. </w:t>
            </w:r>
          </w:p>
          <w:p w:rsidR="00FB50CC" w:rsidRDefault="00481B6B" w:rsidP="00481B6B">
            <w:pPr>
              <w:ind w:firstLine="346"/>
              <w:jc w:val="both"/>
              <w:rPr>
                <w:color w:val="000000" w:themeColor="text1"/>
              </w:rPr>
            </w:pPr>
            <w:r w:rsidRPr="00F03935">
              <w:rPr>
                <w:szCs w:val="20"/>
              </w:rPr>
              <w:t xml:space="preserve">Likumprojekta </w:t>
            </w:r>
            <w:r w:rsidR="00C261AF" w:rsidRPr="00F03935">
              <w:rPr>
                <w:szCs w:val="20"/>
              </w:rPr>
              <w:t>6</w:t>
            </w:r>
            <w:r w:rsidR="00381F32">
              <w:rPr>
                <w:szCs w:val="20"/>
              </w:rPr>
              <w:t>.panta</w:t>
            </w:r>
            <w:r w:rsidRPr="00F03935">
              <w:rPr>
                <w:szCs w:val="20"/>
              </w:rPr>
              <w:t xml:space="preserve"> </w:t>
            </w:r>
            <w:r w:rsidR="00381F32">
              <w:rPr>
                <w:szCs w:val="20"/>
              </w:rPr>
              <w:t xml:space="preserve">pirmā daļa </w:t>
            </w:r>
            <w:r w:rsidRPr="00F03935">
              <w:rPr>
                <w:szCs w:val="20"/>
              </w:rPr>
              <w:t xml:space="preserve">noteic, ka izslēdzošā ieskaita līgumu slēdz rakstveidā. </w:t>
            </w:r>
            <w:r w:rsidR="00381F32">
              <w:rPr>
                <w:szCs w:val="20"/>
              </w:rPr>
              <w:t>Šīs ir vienīgais noteikums attiecībā uz tiesiska darījuma formu, kas jāievēro slēd</w:t>
            </w:r>
            <w:r w:rsidR="0074537C">
              <w:rPr>
                <w:szCs w:val="20"/>
              </w:rPr>
              <w:t xml:space="preserve">zot izslēdzošā ieskaita līgumu. Jēdziens līgums ir saprotams plašākā nozīmē, jo tā var būt vienošanās vai noteikumi, kas iekļauti </w:t>
            </w:r>
            <w:r w:rsidR="00CE074A">
              <w:rPr>
                <w:szCs w:val="20"/>
              </w:rPr>
              <w:t xml:space="preserve">kādā </w:t>
            </w:r>
            <w:r w:rsidR="0074537C">
              <w:rPr>
                <w:szCs w:val="20"/>
              </w:rPr>
              <w:t xml:space="preserve">citā līgumā. </w:t>
            </w:r>
            <w:r w:rsidR="00EC1E44">
              <w:rPr>
                <w:szCs w:val="20"/>
              </w:rPr>
              <w:t xml:space="preserve">Starptautiskajā praksē </w:t>
            </w:r>
            <w:r w:rsidR="00D6263C">
              <w:rPr>
                <w:szCs w:val="20"/>
              </w:rPr>
              <w:t xml:space="preserve">finanšu iestādes </w:t>
            </w:r>
            <w:r w:rsidR="00EC1E44">
              <w:rPr>
                <w:szCs w:val="20"/>
              </w:rPr>
              <w:t xml:space="preserve">galvenokārt izmanto ISDA </w:t>
            </w:r>
            <w:r w:rsidR="00D6263C">
              <w:rPr>
                <w:szCs w:val="20"/>
              </w:rPr>
              <w:t xml:space="preserve">apstiprinātos parauglīgumus </w:t>
            </w:r>
            <w:r w:rsidR="00EC1E44">
              <w:rPr>
                <w:szCs w:val="20"/>
              </w:rPr>
              <w:t xml:space="preserve">(1992 un 2002 ISDA Master Agreement). </w:t>
            </w:r>
            <w:r w:rsidR="00367D24">
              <w:rPr>
                <w:szCs w:val="20"/>
              </w:rPr>
              <w:t xml:space="preserve">Likumprojekts regulē vienīgi paša izslēdzošā ieskaita līguma formu, bet neregulē atvasināto finanšu instrumentu darījumu formu, kas var tikt noslēgti arī mutvārdos. </w:t>
            </w:r>
            <w:r w:rsidR="00D6263C">
              <w:rPr>
                <w:szCs w:val="20"/>
              </w:rPr>
              <w:t>M</w:t>
            </w:r>
            <w:r w:rsidR="00381F32">
              <w:rPr>
                <w:szCs w:val="20"/>
              </w:rPr>
              <w:t xml:space="preserve">inētā panta otrā daļa noteic, ka </w:t>
            </w:r>
            <w:r w:rsidR="00381F32" w:rsidRPr="00653378">
              <w:rPr>
                <w:color w:val="000000" w:themeColor="text1"/>
              </w:rPr>
              <w:t>par izslēdzošā ieskaita līgumu uzskatāms arī līgums, kurā ietverti tādu darījumu noteikumi, kuri nav kvalificēti</w:t>
            </w:r>
            <w:r w:rsidR="00E94A80">
              <w:rPr>
                <w:color w:val="000000" w:themeColor="text1"/>
              </w:rPr>
              <w:t>e finanšu darījumi šā likuma 7.</w:t>
            </w:r>
            <w:r w:rsidR="00381F32" w:rsidRPr="00653378">
              <w:rPr>
                <w:color w:val="000000" w:themeColor="text1"/>
              </w:rPr>
              <w:t>panta izpratnē ar nosacījumu, ka šāds līgums uzskatāms par izslēdzošā ieskaita līgumu tikai attiecībā uz kvalificētajiem finanšu darījumiem</w:t>
            </w:r>
            <w:r w:rsidR="00381F32">
              <w:rPr>
                <w:color w:val="000000" w:themeColor="text1"/>
              </w:rPr>
              <w:t>. Tas nozīmē, ka</w:t>
            </w:r>
            <w:r w:rsidR="00D6263C">
              <w:rPr>
                <w:color w:val="000000" w:themeColor="text1"/>
              </w:rPr>
              <w:t xml:space="preserve"> gadījumos</w:t>
            </w:r>
            <w:r w:rsidR="000A1590">
              <w:rPr>
                <w:color w:val="000000" w:themeColor="text1"/>
              </w:rPr>
              <w:t>,</w:t>
            </w:r>
            <w:r w:rsidR="00381F32">
              <w:rPr>
                <w:color w:val="000000" w:themeColor="text1"/>
              </w:rPr>
              <w:t xml:space="preserve"> </w:t>
            </w:r>
            <w:r w:rsidR="00D6263C">
              <w:rPr>
                <w:color w:val="000000" w:themeColor="text1"/>
              </w:rPr>
              <w:t>kad</w:t>
            </w:r>
            <w:r w:rsidR="000A1590">
              <w:rPr>
                <w:color w:val="000000" w:themeColor="text1"/>
              </w:rPr>
              <w:t xml:space="preserve"> </w:t>
            </w:r>
            <w:r w:rsidR="00381F32">
              <w:rPr>
                <w:color w:val="000000" w:themeColor="text1"/>
              </w:rPr>
              <w:t xml:space="preserve">puses līgumā ir iekļāvušas noteikumus par </w:t>
            </w:r>
            <w:r w:rsidR="0018388E">
              <w:rPr>
                <w:color w:val="000000" w:themeColor="text1"/>
              </w:rPr>
              <w:t>darījumiem ar citiem instrumentiem</w:t>
            </w:r>
            <w:r w:rsidR="00381F32">
              <w:rPr>
                <w:color w:val="000000" w:themeColor="text1"/>
              </w:rPr>
              <w:t>, kas nav kvalificētie finanšu darījumi</w:t>
            </w:r>
            <w:r w:rsidR="005E2061">
              <w:rPr>
                <w:color w:val="000000" w:themeColor="text1"/>
              </w:rPr>
              <w:t xml:space="preserve"> šā likuma izpratnē</w:t>
            </w:r>
            <w:r w:rsidR="00381F32">
              <w:rPr>
                <w:color w:val="000000" w:themeColor="text1"/>
              </w:rPr>
              <w:t>, tad izslēdzoš</w:t>
            </w:r>
            <w:r w:rsidR="005E2061">
              <w:rPr>
                <w:color w:val="000000" w:themeColor="text1"/>
              </w:rPr>
              <w:t>ā ieskaita līgums ir spēkā un izslēdzoš</w:t>
            </w:r>
            <w:r w:rsidR="00381F32">
              <w:rPr>
                <w:color w:val="000000" w:themeColor="text1"/>
              </w:rPr>
              <w:t xml:space="preserve">ais ieskaits ir piemērojams </w:t>
            </w:r>
            <w:r w:rsidR="00E94A80">
              <w:rPr>
                <w:color w:val="000000" w:themeColor="text1"/>
              </w:rPr>
              <w:t>vienīgi</w:t>
            </w:r>
            <w:r w:rsidR="00381F32">
              <w:rPr>
                <w:color w:val="000000" w:themeColor="text1"/>
              </w:rPr>
              <w:t xml:space="preserve"> tiktāl, ciktāl </w:t>
            </w:r>
            <w:r w:rsidR="00E94A80">
              <w:rPr>
                <w:color w:val="000000" w:themeColor="text1"/>
              </w:rPr>
              <w:t xml:space="preserve">vienošanās </w:t>
            </w:r>
            <w:r w:rsidR="000A1590">
              <w:rPr>
                <w:color w:val="000000" w:themeColor="text1"/>
              </w:rPr>
              <w:t>attiecas uz</w:t>
            </w:r>
            <w:r w:rsidR="00E94A80">
              <w:rPr>
                <w:color w:val="000000" w:themeColor="text1"/>
              </w:rPr>
              <w:t xml:space="preserve"> </w:t>
            </w:r>
            <w:r w:rsidR="0018388E">
              <w:rPr>
                <w:color w:val="000000" w:themeColor="text1"/>
              </w:rPr>
              <w:t>šā likuma 7.pantā minētajiem</w:t>
            </w:r>
            <w:r w:rsidR="00D6263C">
              <w:rPr>
                <w:color w:val="000000" w:themeColor="text1"/>
              </w:rPr>
              <w:t xml:space="preserve"> </w:t>
            </w:r>
            <w:r w:rsidR="00381F32">
              <w:rPr>
                <w:color w:val="000000" w:themeColor="text1"/>
              </w:rPr>
              <w:t>kvalific</w:t>
            </w:r>
            <w:r w:rsidR="00E94A80">
              <w:rPr>
                <w:color w:val="000000" w:themeColor="text1"/>
              </w:rPr>
              <w:t>ētajiem</w:t>
            </w:r>
            <w:r w:rsidR="00381F32">
              <w:rPr>
                <w:color w:val="000000" w:themeColor="text1"/>
              </w:rPr>
              <w:t xml:space="preserve"> finanšu darījumi</w:t>
            </w:r>
            <w:r w:rsidR="00E94A80">
              <w:rPr>
                <w:color w:val="000000" w:themeColor="text1"/>
              </w:rPr>
              <w:t>em</w:t>
            </w:r>
            <w:r w:rsidR="00381F32">
              <w:rPr>
                <w:color w:val="000000" w:themeColor="text1"/>
              </w:rPr>
              <w:t>.</w:t>
            </w:r>
          </w:p>
          <w:p w:rsidR="00E52367" w:rsidRDefault="00E743D0" w:rsidP="00E52367">
            <w:pPr>
              <w:ind w:firstLine="346"/>
              <w:jc w:val="both"/>
            </w:pPr>
            <w:r w:rsidRPr="00F03935">
              <w:rPr>
                <w:szCs w:val="20"/>
              </w:rPr>
              <w:t>Likumprojekt</w:t>
            </w:r>
            <w:r w:rsidR="00A5745E" w:rsidRPr="00F03935">
              <w:rPr>
                <w:szCs w:val="20"/>
              </w:rPr>
              <w:t xml:space="preserve">a </w:t>
            </w:r>
            <w:r w:rsidR="00C261AF" w:rsidRPr="00F03935">
              <w:rPr>
                <w:szCs w:val="20"/>
              </w:rPr>
              <w:t>7</w:t>
            </w:r>
            <w:r w:rsidR="00A5745E" w:rsidRPr="00F03935">
              <w:rPr>
                <w:szCs w:val="20"/>
              </w:rPr>
              <w:t>.</w:t>
            </w:r>
            <w:r w:rsidR="007C409E" w:rsidRPr="00F03935">
              <w:rPr>
                <w:szCs w:val="20"/>
              </w:rPr>
              <w:t>pant</w:t>
            </w:r>
            <w:r w:rsidR="007C409E">
              <w:rPr>
                <w:szCs w:val="20"/>
              </w:rPr>
              <w:t>a pirmā daļa</w:t>
            </w:r>
            <w:r w:rsidR="007C409E" w:rsidRPr="00F03935">
              <w:rPr>
                <w:szCs w:val="20"/>
              </w:rPr>
              <w:t xml:space="preserve"> </w:t>
            </w:r>
            <w:r w:rsidRPr="00F03935">
              <w:rPr>
                <w:szCs w:val="20"/>
              </w:rPr>
              <w:t xml:space="preserve">definē kvalificētos finanšu darījumus, attiecībā uz kuriem iespējams noslēgt izslēdzošā ieskaita līgumu. </w:t>
            </w:r>
            <w:r w:rsidR="007C409E">
              <w:rPr>
                <w:szCs w:val="20"/>
              </w:rPr>
              <w:t>Saskaņā ar šīs normas 1.punktu k</w:t>
            </w:r>
            <w:r w:rsidR="007C409E" w:rsidRPr="00F03935">
              <w:rPr>
                <w:szCs w:val="20"/>
              </w:rPr>
              <w:t xml:space="preserve">valificētie </w:t>
            </w:r>
            <w:r w:rsidRPr="00F03935">
              <w:rPr>
                <w:szCs w:val="20"/>
              </w:rPr>
              <w:t>finanšu darījumi ir darījumi attiecībā uz Finanšu instrumentu tirgus likuma 3.panta otrā</w:t>
            </w:r>
            <w:r w:rsidR="0018388E">
              <w:rPr>
                <w:szCs w:val="20"/>
              </w:rPr>
              <w:t>s</w:t>
            </w:r>
            <w:r w:rsidRPr="00F03935">
              <w:rPr>
                <w:szCs w:val="20"/>
              </w:rPr>
              <w:t xml:space="preserve"> daļ</w:t>
            </w:r>
            <w:r w:rsidR="0018388E">
              <w:rPr>
                <w:szCs w:val="20"/>
              </w:rPr>
              <w:t>as 4.</w:t>
            </w:r>
            <w:r w:rsidR="00E1745D">
              <w:rPr>
                <w:szCs w:val="20"/>
              </w:rPr>
              <w:t> </w:t>
            </w:r>
            <w:r w:rsidR="0018388E">
              <w:rPr>
                <w:szCs w:val="20"/>
              </w:rPr>
              <w:t>-</w:t>
            </w:r>
            <w:r w:rsidR="00E1745D">
              <w:rPr>
                <w:szCs w:val="20"/>
              </w:rPr>
              <w:t> </w:t>
            </w:r>
            <w:r w:rsidR="0018388E">
              <w:rPr>
                <w:szCs w:val="20"/>
              </w:rPr>
              <w:t>10.punktā</w:t>
            </w:r>
            <w:r w:rsidRPr="00F03935">
              <w:rPr>
                <w:szCs w:val="20"/>
              </w:rPr>
              <w:t xml:space="preserve"> norādītajiem finanšu instrumentiem</w:t>
            </w:r>
            <w:r w:rsidR="0018388E">
              <w:rPr>
                <w:szCs w:val="20"/>
              </w:rPr>
              <w:t>.</w:t>
            </w:r>
            <w:r w:rsidR="00995E83">
              <w:rPr>
                <w:szCs w:val="20"/>
              </w:rPr>
              <w:t xml:space="preserve"> </w:t>
            </w:r>
            <w:r w:rsidR="00995E83" w:rsidRPr="00522CF6">
              <w:t>Atsauce uz minēto normu ir iekļauta, ņemot vērā Eiropas Parlamenta un Padomes 2014.gada 15.maija Regulas (ES) Nr. 600/2014 par finanšu instrumentu tirgiem un ar ko groza Regulu (ES) Nr. 648/2012 (MiFIR</w:t>
            </w:r>
            <w:r w:rsidR="00522CF6">
              <w:t xml:space="preserve"> regula</w:t>
            </w:r>
            <w:r w:rsidR="00995E83" w:rsidRPr="00522CF6">
              <w:t>) 2.panta 1.punkta 29.apakšpunktu, saskaņā ar kuru atvasināti instrumenti ir instrumenti, kuri definēti MiFID II direktīvas 4.panta 1.punkta 44.apakšpunkta c) punktā un uz kuriem atsauce ir minētās direktīvas I pielikuma C iedaļas 4. līdz 10.punktā</w:t>
            </w:r>
            <w:r w:rsidR="00522CF6">
              <w:t xml:space="preserve">. Likumprojekta izstrādes gaitā tika vērtēta iespēja ietvert plašāku atsauci uz visiem finanšu instrumentiem, kas minēti </w:t>
            </w:r>
            <w:r w:rsidR="00522CF6" w:rsidRPr="00F03935">
              <w:rPr>
                <w:szCs w:val="20"/>
              </w:rPr>
              <w:t>Finanšu i</w:t>
            </w:r>
            <w:r w:rsidR="00522CF6">
              <w:rPr>
                <w:szCs w:val="20"/>
              </w:rPr>
              <w:t xml:space="preserve">nstrumentu tirgus likuma 3.panta otrajā daļā, lai nodrošinātu to, ka regulējums ir elastīgi piemērojams situācijās, kad tirgū parādās jauni </w:t>
            </w:r>
            <w:r w:rsidR="00471F71">
              <w:rPr>
                <w:szCs w:val="20"/>
              </w:rPr>
              <w:lastRenderedPageBreak/>
              <w:t>instrumenti, kādu parādīšanos nav iespējams iepriekš paredzēt,</w:t>
            </w:r>
            <w:r w:rsidR="00E52367">
              <w:rPr>
                <w:szCs w:val="20"/>
              </w:rPr>
              <w:t xml:space="preserve"> taču tika secināts, ka elastību pietiekami nodrošina Likumprojekta 7.panta </w:t>
            </w:r>
            <w:r w:rsidR="000843BF">
              <w:rPr>
                <w:szCs w:val="20"/>
              </w:rPr>
              <w:t>otrā</w:t>
            </w:r>
            <w:r w:rsidR="00E52367">
              <w:rPr>
                <w:szCs w:val="20"/>
              </w:rPr>
              <w:t xml:space="preserve"> daļa. Turklāt attiecībā par </w:t>
            </w:r>
            <w:r w:rsidR="00E52367" w:rsidRPr="00F03935">
              <w:rPr>
                <w:szCs w:val="20"/>
              </w:rPr>
              <w:t>Finanšu instrumentu tirgus likuma 3.panta</w:t>
            </w:r>
            <w:r w:rsidR="00E52367">
              <w:rPr>
                <w:szCs w:val="20"/>
              </w:rPr>
              <w:t xml:space="preserve"> otrās daļas 11.punktā minētajām emisijas kvotām tika secināts, </w:t>
            </w:r>
            <w:r w:rsidR="00E52367">
              <w:t>ka darījumi ar emisijas kvotām iziet ārpus izslēdzošā ieskaita atvasinātajiem finanšu instrumentiem regulējuma tvēruma.</w:t>
            </w:r>
          </w:p>
          <w:p w:rsidR="00C47D88" w:rsidRDefault="0018388E" w:rsidP="00C47D88">
            <w:pPr>
              <w:ind w:firstLine="346"/>
              <w:jc w:val="both"/>
              <w:rPr>
                <w:szCs w:val="20"/>
              </w:rPr>
            </w:pPr>
            <w:r>
              <w:rPr>
                <w:szCs w:val="20"/>
              </w:rPr>
              <w:t xml:space="preserve">Likumprojekta izstrādes gaitā tika secināts, ka </w:t>
            </w:r>
            <w:r w:rsidR="00C47D88">
              <w:rPr>
                <w:szCs w:val="20"/>
              </w:rPr>
              <w:t xml:space="preserve">7.panta </w:t>
            </w:r>
            <w:r w:rsidR="007C409E">
              <w:rPr>
                <w:szCs w:val="20"/>
              </w:rPr>
              <w:t>pirmās daļas 2.punktā</w:t>
            </w:r>
            <w:r w:rsidR="00C47D88">
              <w:rPr>
                <w:szCs w:val="20"/>
              </w:rPr>
              <w:t xml:space="preserve"> ir lietderīgi iekļaut kā kvalificētos finanšu darījumus arī </w:t>
            </w:r>
            <w:r w:rsidR="00375B47" w:rsidRPr="00F03935">
              <w:rPr>
                <w:szCs w:val="20"/>
              </w:rPr>
              <w:t>tūlītēj</w:t>
            </w:r>
            <w:r w:rsidR="00C47D88">
              <w:rPr>
                <w:szCs w:val="20"/>
              </w:rPr>
              <w:t>os</w:t>
            </w:r>
            <w:r w:rsidR="00375B47" w:rsidRPr="00F03935">
              <w:rPr>
                <w:szCs w:val="20"/>
              </w:rPr>
              <w:t xml:space="preserve"> (</w:t>
            </w:r>
            <w:r w:rsidR="00375B47" w:rsidRPr="00F03935">
              <w:rPr>
                <w:i/>
                <w:szCs w:val="20"/>
              </w:rPr>
              <w:t>spot</w:t>
            </w:r>
            <w:r w:rsidR="00375B47" w:rsidRPr="00F03935">
              <w:rPr>
                <w:szCs w:val="20"/>
              </w:rPr>
              <w:t>) darījum</w:t>
            </w:r>
            <w:r w:rsidR="00C47D88">
              <w:rPr>
                <w:szCs w:val="20"/>
              </w:rPr>
              <w:t>us</w:t>
            </w:r>
            <w:r w:rsidR="00375B47" w:rsidRPr="00F03935">
              <w:rPr>
                <w:szCs w:val="20"/>
              </w:rPr>
              <w:t xml:space="preserve"> attiecībā uz </w:t>
            </w:r>
            <w:r w:rsidR="00E743D0" w:rsidRPr="00F03935">
              <w:rPr>
                <w:szCs w:val="20"/>
              </w:rPr>
              <w:t>valūtu, vērtspapīr</w:t>
            </w:r>
            <w:r w:rsidR="00375B47" w:rsidRPr="00F03935">
              <w:rPr>
                <w:szCs w:val="20"/>
              </w:rPr>
              <w:t>iem</w:t>
            </w:r>
            <w:r w:rsidR="00E743D0" w:rsidRPr="00F03935">
              <w:rPr>
                <w:szCs w:val="20"/>
              </w:rPr>
              <w:t xml:space="preserve"> vai pre</w:t>
            </w:r>
            <w:r w:rsidR="00375B47" w:rsidRPr="00F03935">
              <w:rPr>
                <w:szCs w:val="20"/>
              </w:rPr>
              <w:t>cēm</w:t>
            </w:r>
            <w:r w:rsidR="00E743D0" w:rsidRPr="00F03935">
              <w:rPr>
                <w:szCs w:val="20"/>
              </w:rPr>
              <w:t xml:space="preserve">, saskaņā ar kuriem saistību izpildes pienākums iestājas noteiktā laikā vai laika periodā. </w:t>
            </w:r>
          </w:p>
          <w:p w:rsidR="001C0674" w:rsidRDefault="00F36522" w:rsidP="00F36522">
            <w:pPr>
              <w:ind w:firstLine="346"/>
              <w:jc w:val="both"/>
              <w:rPr>
                <w:rFonts w:eastAsia="Times New Roman"/>
              </w:rPr>
            </w:pPr>
            <w:r>
              <w:rPr>
                <w:szCs w:val="20"/>
              </w:rPr>
              <w:t>Likumprojekta 7.panta</w:t>
            </w:r>
            <w:r w:rsidR="00C47D88">
              <w:rPr>
                <w:szCs w:val="20"/>
              </w:rPr>
              <w:t xml:space="preserve"> </w:t>
            </w:r>
            <w:r w:rsidR="000843BF">
              <w:rPr>
                <w:szCs w:val="20"/>
              </w:rPr>
              <w:t xml:space="preserve">otrajā </w:t>
            </w:r>
            <w:r w:rsidR="00C47D88">
              <w:rPr>
                <w:szCs w:val="20"/>
              </w:rPr>
              <w:t>daļā</w:t>
            </w:r>
            <w:r w:rsidR="00E743D0" w:rsidRPr="00F03935">
              <w:rPr>
                <w:szCs w:val="20"/>
              </w:rPr>
              <w:t xml:space="preserve"> Finanšu un kapitāla tirgus komisijai ir </w:t>
            </w:r>
            <w:r w:rsidR="005D1BBC" w:rsidRPr="00F03935">
              <w:rPr>
                <w:szCs w:val="20"/>
              </w:rPr>
              <w:t xml:space="preserve">paredzētas </w:t>
            </w:r>
            <w:r w:rsidR="00E743D0" w:rsidRPr="00F03935">
              <w:rPr>
                <w:szCs w:val="20"/>
              </w:rPr>
              <w:t xml:space="preserve">tiesības, izdodot </w:t>
            </w:r>
            <w:r w:rsidR="00982BE6" w:rsidRPr="00F03935">
              <w:rPr>
                <w:szCs w:val="20"/>
              </w:rPr>
              <w:t>noteikumus</w:t>
            </w:r>
            <w:r w:rsidR="00E743D0" w:rsidRPr="00F03935">
              <w:rPr>
                <w:szCs w:val="20"/>
              </w:rPr>
              <w:t>, no</w:t>
            </w:r>
            <w:r w:rsidR="00AA53E6">
              <w:rPr>
                <w:szCs w:val="20"/>
              </w:rPr>
              <w:t>sakot</w:t>
            </w:r>
            <w:r w:rsidR="00E743D0" w:rsidRPr="00F03935">
              <w:rPr>
                <w:szCs w:val="20"/>
              </w:rPr>
              <w:t xml:space="preserve"> kādu darījuma veidu par kvalificēto finanšu darījumu papildus Likumprojekt</w:t>
            </w:r>
            <w:r w:rsidR="00982BE6" w:rsidRPr="00F03935">
              <w:rPr>
                <w:szCs w:val="20"/>
              </w:rPr>
              <w:t>a 7.panta pirmajā daļā minētajiem</w:t>
            </w:r>
            <w:r w:rsidR="00E743D0" w:rsidRPr="00F03935">
              <w:rPr>
                <w:szCs w:val="20"/>
              </w:rPr>
              <w:t>.</w:t>
            </w:r>
            <w:r w:rsidR="00B52CA6" w:rsidRPr="00F03935">
              <w:rPr>
                <w:szCs w:val="20"/>
              </w:rPr>
              <w:t xml:space="preserve"> </w:t>
            </w:r>
            <w:r w:rsidR="005D1BBC" w:rsidRPr="00F03935">
              <w:rPr>
                <w:szCs w:val="20"/>
              </w:rPr>
              <w:t>Šāda norma Likumprojektā iekļauta</w:t>
            </w:r>
            <w:r w:rsidR="00496607" w:rsidRPr="00F03935">
              <w:rPr>
                <w:szCs w:val="20"/>
              </w:rPr>
              <w:t xml:space="preserve">, </w:t>
            </w:r>
            <w:r w:rsidR="00982BE6" w:rsidRPr="00F03935">
              <w:rPr>
                <w:szCs w:val="20"/>
              </w:rPr>
              <w:t>pamatojoties uz Finanšu un kapitāla tirgus komisijas likuma 6.panta 1.punktu un 7.panta pirmās daļas pirmo punktu, kā arī Ministru kabineta 2009.gada 3.februāra noteikumu Nr.</w:t>
            </w:r>
            <w:r w:rsidR="001C0674">
              <w:rPr>
                <w:szCs w:val="20"/>
              </w:rPr>
              <w:t> </w:t>
            </w:r>
            <w:r w:rsidR="00982BE6" w:rsidRPr="00F03935">
              <w:rPr>
                <w:szCs w:val="20"/>
              </w:rPr>
              <w:t xml:space="preserve">108 </w:t>
            </w:r>
            <w:r w:rsidR="009A7C90">
              <w:rPr>
                <w:spacing w:val="2"/>
                <w:shd w:val="clear" w:color="auto" w:fill="FFFFFF"/>
              </w:rPr>
              <w:t>„</w:t>
            </w:r>
            <w:r w:rsidR="00982BE6" w:rsidRPr="00F03935">
              <w:rPr>
                <w:szCs w:val="20"/>
              </w:rPr>
              <w:t xml:space="preserve">Normatīvo aktu projektu sagatavošanas noteikumi” 49.punktu. Minētais deleģējums nepieciešams, ievērojot </w:t>
            </w:r>
            <w:r w:rsidR="00496607" w:rsidRPr="00F03935">
              <w:rPr>
                <w:szCs w:val="20"/>
              </w:rPr>
              <w:t xml:space="preserve">atvasināto finanšu instrumentu tirgus </w:t>
            </w:r>
            <w:r w:rsidR="00496607" w:rsidRPr="00C47D88">
              <w:t xml:space="preserve">dinamisko attīstību un </w:t>
            </w:r>
            <w:r w:rsidR="00A6753D" w:rsidRPr="00C47D88">
              <w:t xml:space="preserve">potenciālu </w:t>
            </w:r>
            <w:r w:rsidR="00496607" w:rsidRPr="00C47D88">
              <w:t xml:space="preserve">jaunu instrumentu ienākšanu tirgū. </w:t>
            </w:r>
            <w:r w:rsidR="00C47D88" w:rsidRPr="00C47D88">
              <w:t xml:space="preserve">Likumprojekta izstrādāšanas gaitā tika pausts viedoklis, ka </w:t>
            </w:r>
            <w:r>
              <w:t xml:space="preserve">varētu būt lietderīgi iekļaut </w:t>
            </w:r>
            <w:r w:rsidR="00C47D88" w:rsidRPr="00C47D88">
              <w:t>ska</w:t>
            </w:r>
            <w:r>
              <w:t>idrojumu</w:t>
            </w:r>
            <w:r w:rsidR="00C47D88" w:rsidRPr="00C47D88">
              <w:t xml:space="preserve">, </w:t>
            </w:r>
            <w:r w:rsidR="00C47D88" w:rsidRPr="00C47D88">
              <w:rPr>
                <w:rFonts w:eastAsia="Times New Roman"/>
              </w:rPr>
              <w:t>pēc kādiem kritērijiem Finanšu un kapitāla tirgus komisija</w:t>
            </w:r>
            <w:r w:rsidR="00C47D88">
              <w:rPr>
                <w:rFonts w:eastAsia="Times New Roman"/>
              </w:rPr>
              <w:t xml:space="preserve"> </w:t>
            </w:r>
            <w:r w:rsidR="00C47D88" w:rsidRPr="00C47D88">
              <w:rPr>
                <w:rFonts w:eastAsia="Times New Roman"/>
              </w:rPr>
              <w:t xml:space="preserve">darījumus varēs atzīt par kvalificētiem finanšu darījumiem un vai tie varētu būt darījumi, kuri nav paredzēti nevienā citā normatīvā aktā. </w:t>
            </w:r>
            <w:r w:rsidR="00C47D88">
              <w:rPr>
                <w:rFonts w:eastAsia="Times New Roman"/>
              </w:rPr>
              <w:t xml:space="preserve">Tā kā nav iespējams </w:t>
            </w:r>
            <w:r w:rsidR="000773F4">
              <w:rPr>
                <w:rFonts w:eastAsia="Times New Roman"/>
              </w:rPr>
              <w:t xml:space="preserve">pat hipotētiski </w:t>
            </w:r>
            <w:r w:rsidR="00C47D88">
              <w:rPr>
                <w:rFonts w:eastAsia="Times New Roman"/>
              </w:rPr>
              <w:t>iztēloties un paredzēt, kādi jauni instrumenti varētu nākotnē parādīties tirgū, tad objektīvi nav iespējams nosaukt šādus kritērijus</w:t>
            </w:r>
            <w:r w:rsidR="007C409E">
              <w:rPr>
                <w:rFonts w:eastAsia="Times New Roman"/>
              </w:rPr>
              <w:t xml:space="preserve"> un iekļaut Likumprojektā</w:t>
            </w:r>
            <w:r w:rsidR="00C47D88">
              <w:rPr>
                <w:rFonts w:eastAsia="Times New Roman"/>
              </w:rPr>
              <w:t>.</w:t>
            </w:r>
          </w:p>
          <w:p w:rsidR="003648AC" w:rsidRPr="00F03935" w:rsidRDefault="005D1BBC" w:rsidP="00F36522">
            <w:pPr>
              <w:ind w:firstLine="346"/>
              <w:jc w:val="both"/>
              <w:rPr>
                <w:szCs w:val="20"/>
              </w:rPr>
            </w:pPr>
            <w:r w:rsidRPr="00F03935">
              <w:t xml:space="preserve">Likumprojekta 8.pants </w:t>
            </w:r>
            <w:r w:rsidR="00726194" w:rsidRPr="00F03935">
              <w:t xml:space="preserve">nodrošina </w:t>
            </w:r>
            <w:r w:rsidR="00496607" w:rsidRPr="00F03935">
              <w:t>jaun</w:t>
            </w:r>
            <w:r w:rsidR="00726194" w:rsidRPr="00F03935">
              <w:t>ā</w:t>
            </w:r>
            <w:r w:rsidR="00496607" w:rsidRPr="00F03935">
              <w:t xml:space="preserve"> izslēdzošā ieskaita </w:t>
            </w:r>
            <w:r w:rsidR="00726194" w:rsidRPr="00F03935">
              <w:t xml:space="preserve">regulējuma </w:t>
            </w:r>
            <w:r w:rsidR="00F36522" w:rsidRPr="00F03935">
              <w:t>efektīv</w:t>
            </w:r>
            <w:r w:rsidR="00F36522">
              <w:t>u</w:t>
            </w:r>
            <w:r w:rsidR="00F36522" w:rsidRPr="00F03935">
              <w:t xml:space="preserve"> </w:t>
            </w:r>
            <w:r w:rsidR="00AE57E3" w:rsidRPr="00F03935">
              <w:t>piemērošan</w:t>
            </w:r>
            <w:r w:rsidR="00F36522">
              <w:t>u</w:t>
            </w:r>
            <w:r w:rsidR="00342720">
              <w:t>.</w:t>
            </w:r>
            <w:r w:rsidR="00AE57E3" w:rsidRPr="00F03935">
              <w:t xml:space="preserve">  </w:t>
            </w:r>
            <w:r w:rsidR="00F36522">
              <w:t xml:space="preserve">Atbilstoši Likumprojekta 8.panta pirmajai un otrajai daļai </w:t>
            </w:r>
            <w:r w:rsidR="00726194" w:rsidRPr="00F03935">
              <w:t xml:space="preserve">Likumprojektā iekļautās tiesību normas noteiktas </w:t>
            </w:r>
            <w:r w:rsidR="00AE57E3" w:rsidRPr="00F03935">
              <w:t>kā prevalējoš</w:t>
            </w:r>
            <w:r w:rsidR="00342720">
              <w:t>a</w:t>
            </w:r>
            <w:r w:rsidR="00AE57E3" w:rsidRPr="00F03935">
              <w:t>s pār spē</w:t>
            </w:r>
            <w:r w:rsidR="00A6753D" w:rsidRPr="00F03935">
              <w:t>k</w:t>
            </w:r>
            <w:r w:rsidR="00AE57E3" w:rsidRPr="00F03935">
              <w:t>ā esošajām tiesību normām attiecībā uz tiesiskās aizsardzības, maksātnespējas un likvidācijas procesu</w:t>
            </w:r>
            <w:r w:rsidR="001E7E62" w:rsidRPr="00F03935">
              <w:t xml:space="preserve">. </w:t>
            </w:r>
            <w:r w:rsidR="003648AC" w:rsidRPr="00F03935">
              <w:rPr>
                <w:szCs w:val="20"/>
              </w:rPr>
              <w:t xml:space="preserve">Likumprojekta 8.panta trešā, ceturtā un piektā daļa </w:t>
            </w:r>
            <w:r w:rsidR="00342720">
              <w:rPr>
                <w:szCs w:val="20"/>
              </w:rPr>
              <w:t>kopsakarā ar</w:t>
            </w:r>
            <w:r w:rsidR="003648AC" w:rsidRPr="00F03935">
              <w:rPr>
                <w:szCs w:val="20"/>
              </w:rPr>
              <w:t xml:space="preserve"> Likumprojekta 5.</w:t>
            </w:r>
            <w:r w:rsidR="003648AC" w:rsidRPr="00F03935">
              <w:t>panta 3.punkt</w:t>
            </w:r>
            <w:r w:rsidR="00342720">
              <w:t>a vispārējo regulējumu</w:t>
            </w:r>
            <w:r w:rsidR="003648AC" w:rsidRPr="00F03935">
              <w:t xml:space="preserve">, </w:t>
            </w:r>
            <w:r w:rsidR="00342720">
              <w:t>konkretizē</w:t>
            </w:r>
            <w:r w:rsidR="003648AC" w:rsidRPr="00F03935">
              <w:t xml:space="preserve"> pušu </w:t>
            </w:r>
            <w:r w:rsidR="00FC19CC">
              <w:t xml:space="preserve">tiesības un </w:t>
            </w:r>
            <w:r w:rsidR="003648AC" w:rsidRPr="00F03935">
              <w:t>saistības pēc izslēdzošā ieskaita piemēro</w:t>
            </w:r>
            <w:r w:rsidR="00FD11A5" w:rsidRPr="00F03935">
              <w:t>šanas</w:t>
            </w:r>
            <w:r w:rsidR="00FC19CC">
              <w:t xml:space="preserve">. Trešās daļas regulējums ir attiecināms uz </w:t>
            </w:r>
            <w:r w:rsidR="008B4539">
              <w:t>līdzēju</w:t>
            </w:r>
            <w:r w:rsidR="00FC19CC">
              <w:t>, kura</w:t>
            </w:r>
            <w:r w:rsidR="008B4539">
              <w:t>m</w:t>
            </w:r>
            <w:r w:rsidR="00FC19CC">
              <w:t xml:space="preserve"> ir kādas saistības jeb pienākumi, </w:t>
            </w:r>
            <w:r w:rsidR="00656E96">
              <w:t>savukārt</w:t>
            </w:r>
            <w:r w:rsidR="00FC19CC">
              <w:t xml:space="preserve"> ceturtās daļas regulējums attiecināms uz </w:t>
            </w:r>
            <w:r w:rsidR="008B4539">
              <w:t>līdzēju</w:t>
            </w:r>
            <w:r w:rsidR="00FC19CC">
              <w:t>, kura</w:t>
            </w:r>
            <w:r w:rsidR="008B4539">
              <w:t>m</w:t>
            </w:r>
            <w:r w:rsidR="00FC19CC">
              <w:t xml:space="preserve"> ir </w:t>
            </w:r>
            <w:r w:rsidR="00656E96">
              <w:t xml:space="preserve">kādas </w:t>
            </w:r>
            <w:r w:rsidR="00FC19CC">
              <w:t>tiesības</w:t>
            </w:r>
            <w:r w:rsidR="000773F4">
              <w:t>, piemēra</w:t>
            </w:r>
            <w:r w:rsidR="001C0674">
              <w:t>m</w:t>
            </w:r>
            <w:r w:rsidR="000773F4">
              <w:t>, prasīt samaksu</w:t>
            </w:r>
            <w:r w:rsidR="00FC19CC">
              <w:t>. Savukārt piektajā daļā ir uzsvērts tas</w:t>
            </w:r>
            <w:r w:rsidR="00FD11A5" w:rsidRPr="00F03935">
              <w:t xml:space="preserve">, ka attiecībā uz maksājamās summas pārsniegumu (neto saldo) netiek piemēroti šajā likumā noteiktie izņēmumi no normatīvajos aktos ietverto noteikumu piemērošanas tiesiskās aizsardzības, maksātnespējas un likvidācijas procesā. </w:t>
            </w:r>
            <w:r w:rsidR="003648AC" w:rsidRPr="00F03935">
              <w:t xml:space="preserve">Tas nozīmē, ka, piemēram, </w:t>
            </w:r>
            <w:r w:rsidR="0042425F" w:rsidRPr="00F03935">
              <w:t xml:space="preserve">viena līdzēja </w:t>
            </w:r>
            <w:r w:rsidR="003648AC" w:rsidRPr="00F03935">
              <w:t xml:space="preserve">maksātnespējas gadījumā, otrs līdzējs kļūst par kreditoru </w:t>
            </w:r>
            <w:r w:rsidR="00656E96">
              <w:t xml:space="preserve">maksājamās summas </w:t>
            </w:r>
            <w:r w:rsidR="003648AC" w:rsidRPr="00F03935">
              <w:t xml:space="preserve">pārsnieguma (neto </w:t>
            </w:r>
            <w:r w:rsidR="00656E96">
              <w:t>saldo</w:t>
            </w:r>
            <w:r w:rsidR="003648AC" w:rsidRPr="00F03935">
              <w:t xml:space="preserve">) apmērā, un viņa prasījums par minēto summu </w:t>
            </w:r>
            <w:r w:rsidR="00BB136E">
              <w:t xml:space="preserve">būs </w:t>
            </w:r>
            <w:r w:rsidR="003648AC" w:rsidRPr="00F03935">
              <w:t>sedzams vispārējā kārtīb</w:t>
            </w:r>
            <w:r w:rsidR="0042425F" w:rsidRPr="00F03935">
              <w:t xml:space="preserve">ā saskaņā ar </w:t>
            </w:r>
            <w:r w:rsidR="003648AC" w:rsidRPr="00F03935">
              <w:t>Maksātnespējas likuma 118.pant</w:t>
            </w:r>
            <w:r w:rsidR="0042425F" w:rsidRPr="00F03935">
              <w:t>u</w:t>
            </w:r>
            <w:r w:rsidR="003648AC" w:rsidRPr="00F03935">
              <w:t>.</w:t>
            </w:r>
          </w:p>
          <w:p w:rsidR="001C0674" w:rsidRDefault="00A5745E" w:rsidP="001C0674">
            <w:pPr>
              <w:ind w:firstLine="323"/>
              <w:jc w:val="both"/>
              <w:rPr>
                <w:color w:val="000000" w:themeColor="text1"/>
              </w:rPr>
            </w:pPr>
            <w:r w:rsidRPr="00F03935">
              <w:rPr>
                <w:szCs w:val="20"/>
              </w:rPr>
              <w:t xml:space="preserve">Likumprojekta </w:t>
            </w:r>
            <w:r w:rsidR="00C261AF" w:rsidRPr="00F03935">
              <w:rPr>
                <w:szCs w:val="20"/>
              </w:rPr>
              <w:t>9</w:t>
            </w:r>
            <w:r w:rsidRPr="00F03935">
              <w:rPr>
                <w:szCs w:val="20"/>
              </w:rPr>
              <w:t xml:space="preserve">.pants paredz atsevišķu tiesiskās aizsardzības, maksātnespējas un likvidācijas procesu regulējošo tiesību normu nepiemērošanu izslēdzošā ieskaita gadījumā. </w:t>
            </w:r>
            <w:r w:rsidR="000773F4" w:rsidRPr="00F03935">
              <w:rPr>
                <w:szCs w:val="20"/>
              </w:rPr>
              <w:t>9.pant</w:t>
            </w:r>
            <w:r w:rsidR="000773F4">
              <w:rPr>
                <w:szCs w:val="20"/>
              </w:rPr>
              <w:t xml:space="preserve">a pirmā daļa </w:t>
            </w:r>
            <w:r w:rsidR="000773F4">
              <w:rPr>
                <w:szCs w:val="20"/>
              </w:rPr>
              <w:lastRenderedPageBreak/>
              <w:t>noteic ierobežojumus administratoram vienpusēji atkāpties no izslēdzošā ieskaita līguma</w:t>
            </w:r>
            <w:r w:rsidR="000E6D94">
              <w:rPr>
                <w:szCs w:val="20"/>
              </w:rPr>
              <w:t>. Šādas tiesības</w:t>
            </w:r>
            <w:r w:rsidR="000773F4">
              <w:rPr>
                <w:szCs w:val="20"/>
              </w:rPr>
              <w:t xml:space="preserve"> noteiktas</w:t>
            </w:r>
            <w:r w:rsidR="000E6D94">
              <w:rPr>
                <w:szCs w:val="20"/>
              </w:rPr>
              <w:t xml:space="preserve">, piemēram, </w:t>
            </w:r>
            <w:r w:rsidRPr="00F03935">
              <w:rPr>
                <w:szCs w:val="20"/>
              </w:rPr>
              <w:t>Maksātnespējas likum</w:t>
            </w:r>
            <w:r w:rsidR="009A33D7">
              <w:rPr>
                <w:szCs w:val="20"/>
              </w:rPr>
              <w:t>a 101.pantā</w:t>
            </w:r>
            <w:r w:rsidRPr="00F03935">
              <w:rPr>
                <w:szCs w:val="20"/>
              </w:rPr>
              <w:t xml:space="preserve"> </w:t>
            </w:r>
            <w:r w:rsidR="00282796">
              <w:rPr>
                <w:szCs w:val="20"/>
              </w:rPr>
              <w:t>un Kredītiestāžu likuma 161.panta ceturtās daļas 3.</w:t>
            </w:r>
            <w:r w:rsidR="00282796" w:rsidRPr="00282796">
              <w:rPr>
                <w:szCs w:val="20"/>
                <w:vertAlign w:val="superscript"/>
              </w:rPr>
              <w:t>1</w:t>
            </w:r>
            <w:r w:rsidR="00282796">
              <w:rPr>
                <w:szCs w:val="20"/>
              </w:rPr>
              <w:t> punktā</w:t>
            </w:r>
            <w:r w:rsidRPr="00F03935">
              <w:rPr>
                <w:szCs w:val="20"/>
              </w:rPr>
              <w:t xml:space="preserve">. </w:t>
            </w:r>
            <w:r w:rsidR="00EE03F3">
              <w:rPr>
                <w:szCs w:val="20"/>
              </w:rPr>
              <w:t xml:space="preserve">Savukārt 9.panta otrā daļa </w:t>
            </w:r>
            <w:r w:rsidR="00EE03F3">
              <w:rPr>
                <w:rFonts w:eastAsia="Times New Roman"/>
                <w:color w:val="000000" w:themeColor="text1"/>
              </w:rPr>
              <w:t>noteic, ka i</w:t>
            </w:r>
            <w:r w:rsidR="00EE03F3" w:rsidRPr="00653378">
              <w:rPr>
                <w:rFonts w:eastAsia="Times New Roman"/>
                <w:color w:val="000000" w:themeColor="text1"/>
              </w:rPr>
              <w:t xml:space="preserve">zslēdzošā ieskaita līguma noteikumu tiesisko spēku </w:t>
            </w:r>
            <w:r w:rsidRPr="00F03935">
              <w:rPr>
                <w:szCs w:val="20"/>
              </w:rPr>
              <w:t>neietekmē Maksātnespējas likumā noteiktie ieskaita ierobežojumi</w:t>
            </w:r>
            <w:r w:rsidR="00B65100">
              <w:rPr>
                <w:szCs w:val="20"/>
              </w:rPr>
              <w:t xml:space="preserve">  </w:t>
            </w:r>
            <w:r w:rsidR="00282796">
              <w:rPr>
                <w:szCs w:val="20"/>
              </w:rPr>
              <w:t>(</w:t>
            </w:r>
            <w:r w:rsidR="00B65100">
              <w:rPr>
                <w:szCs w:val="20"/>
              </w:rPr>
              <w:t>Maksātnespējas likuma 38.panta trešā daļ</w:t>
            </w:r>
            <w:r w:rsidR="00282796">
              <w:rPr>
                <w:szCs w:val="20"/>
              </w:rPr>
              <w:t>a</w:t>
            </w:r>
            <w:r w:rsidR="00B65100">
              <w:rPr>
                <w:szCs w:val="20"/>
              </w:rPr>
              <w:t xml:space="preserve"> un 104.pant</w:t>
            </w:r>
            <w:r w:rsidR="00282796">
              <w:rPr>
                <w:szCs w:val="20"/>
              </w:rPr>
              <w:t>s) un Kredītiestāžu likumā noteiktie ierobežojumi prasību un saistību dzēšanai (Kredītiestāžu likuma 158.panta 3</w:t>
            </w:r>
            <w:r w:rsidR="00282796" w:rsidRPr="00282796">
              <w:rPr>
                <w:szCs w:val="20"/>
                <w:vertAlign w:val="superscript"/>
              </w:rPr>
              <w:t>1</w:t>
            </w:r>
            <w:r w:rsidR="00282796">
              <w:rPr>
                <w:szCs w:val="20"/>
              </w:rPr>
              <w:t>.daļa)</w:t>
            </w:r>
            <w:r w:rsidR="00B65100">
              <w:rPr>
                <w:szCs w:val="20"/>
              </w:rPr>
              <w:t>.</w:t>
            </w:r>
            <w:r w:rsidR="00E068D7">
              <w:rPr>
                <w:szCs w:val="20"/>
              </w:rPr>
              <w:t xml:space="preserve"> </w:t>
            </w:r>
            <w:r w:rsidR="00EE03F3">
              <w:rPr>
                <w:szCs w:val="20"/>
              </w:rPr>
              <w:t xml:space="preserve">Likumprojekta 9.panta trešā daļa noteic ierobežojumus izslēdzošā ieskaita līguma </w:t>
            </w:r>
            <w:r w:rsidR="00EE03F3">
              <w:rPr>
                <w:color w:val="000000" w:themeColor="text1"/>
              </w:rPr>
              <w:t>atzīšanai</w:t>
            </w:r>
            <w:r w:rsidR="000773F4" w:rsidRPr="00653378">
              <w:rPr>
                <w:color w:val="000000" w:themeColor="text1"/>
              </w:rPr>
              <w:t xml:space="preserve"> par spēkā neesošu vai atcel</w:t>
            </w:r>
            <w:r w:rsidR="00EE03F3">
              <w:rPr>
                <w:color w:val="000000" w:themeColor="text1"/>
              </w:rPr>
              <w:t>šanai, gadījumos, kad administratoram šādas vispārīgas tiesības ir noteiktas (</w:t>
            </w:r>
            <w:r w:rsidR="00326587">
              <w:rPr>
                <w:color w:val="000000" w:themeColor="text1"/>
              </w:rPr>
              <w:t xml:space="preserve">piemēram, </w:t>
            </w:r>
            <w:r w:rsidR="00EE03F3">
              <w:rPr>
                <w:color w:val="000000" w:themeColor="text1"/>
              </w:rPr>
              <w:t>Maksātnespējas likuma 96.pants, Kredītiestāžu likuma 161.panta ceturtās daļas 3.punkts).</w:t>
            </w:r>
            <w:r w:rsidR="001C0674">
              <w:rPr>
                <w:color w:val="000000" w:themeColor="text1"/>
              </w:rPr>
              <w:t xml:space="preserve"> </w:t>
            </w:r>
            <w:r w:rsidR="00E068D7">
              <w:rPr>
                <w:szCs w:val="20"/>
              </w:rPr>
              <w:t>Ar Likumprojekta 9.panta trešā</w:t>
            </w:r>
            <w:r w:rsidR="000773F4">
              <w:rPr>
                <w:szCs w:val="20"/>
              </w:rPr>
              <w:t>s</w:t>
            </w:r>
            <w:r w:rsidR="00E068D7">
              <w:rPr>
                <w:szCs w:val="20"/>
              </w:rPr>
              <w:t xml:space="preserve"> daļ</w:t>
            </w:r>
            <w:r w:rsidR="000773F4">
              <w:rPr>
                <w:szCs w:val="20"/>
              </w:rPr>
              <w:t>as 1.punktā</w:t>
            </w:r>
            <w:r w:rsidR="00E068D7">
              <w:rPr>
                <w:szCs w:val="20"/>
              </w:rPr>
              <w:t xml:space="preserve"> minētajiem dalībniekiem, kas pieņem  lēmumu, ir saprotami, piemēram, akcionāri, ja sabiedrības forma ir akciju sabiedrība,</w:t>
            </w:r>
            <w:r w:rsidR="00971C08">
              <w:rPr>
                <w:szCs w:val="20"/>
              </w:rPr>
              <w:t xml:space="preserve"> vai</w:t>
            </w:r>
            <w:r w:rsidR="00E068D7">
              <w:rPr>
                <w:szCs w:val="20"/>
              </w:rPr>
              <w:t xml:space="preserve"> dalībnieki, ja sabiedrības forma ir sabiedrība ar ierobežotu atbildību, u.tml.</w:t>
            </w:r>
            <w:r w:rsidR="00EE03F3">
              <w:rPr>
                <w:szCs w:val="20"/>
              </w:rPr>
              <w:t xml:space="preserve"> Likumprojekta 9.panta ceturtā daļa noteic, ka i</w:t>
            </w:r>
            <w:r w:rsidR="00EE03F3" w:rsidRPr="00653378">
              <w:rPr>
                <w:color w:val="000000" w:themeColor="text1"/>
              </w:rPr>
              <w:t xml:space="preserve">zslēdzošais ieskaits ir spēkā un ir saistošs trešajām personām arī gadījumos, kad tas ir </w:t>
            </w:r>
            <w:r w:rsidR="00EE03F3">
              <w:rPr>
                <w:color w:val="000000" w:themeColor="text1"/>
              </w:rPr>
              <w:t xml:space="preserve">piemērots </w:t>
            </w:r>
            <w:r w:rsidR="00EE03F3" w:rsidRPr="00653378">
              <w:rPr>
                <w:color w:val="000000" w:themeColor="text1"/>
              </w:rPr>
              <w:t xml:space="preserve">pēc šā </w:t>
            </w:r>
            <w:r w:rsidR="00EE03F3" w:rsidRPr="001C0674">
              <w:rPr>
                <w:color w:val="000000" w:themeColor="text1"/>
              </w:rPr>
              <w:t>panta trešajā daļā minēto termiņu iestāšanās</w:t>
            </w:r>
            <w:r w:rsidR="00F4738C" w:rsidRPr="001C0674">
              <w:rPr>
                <w:color w:val="000000" w:themeColor="text1"/>
              </w:rPr>
              <w:t xml:space="preserve">. Tas nozīmē, ka izslēdzošais ieskaits var tikt piemērots </w:t>
            </w:r>
            <w:r w:rsidR="000E6D94" w:rsidRPr="001C0674">
              <w:rPr>
                <w:color w:val="000000" w:themeColor="text1"/>
              </w:rPr>
              <w:t xml:space="preserve">pēc </w:t>
            </w:r>
            <w:r w:rsidR="00F4738C" w:rsidRPr="001C0674">
              <w:rPr>
                <w:color w:val="000000" w:themeColor="text1"/>
              </w:rPr>
              <w:t>paziņojum</w:t>
            </w:r>
            <w:r w:rsidR="00326587" w:rsidRPr="001C0674">
              <w:rPr>
                <w:color w:val="000000" w:themeColor="text1"/>
              </w:rPr>
              <w:t>a</w:t>
            </w:r>
            <w:r w:rsidR="00F4738C" w:rsidRPr="001C0674">
              <w:rPr>
                <w:color w:val="000000" w:themeColor="text1"/>
              </w:rPr>
              <w:t xml:space="preserve"> par parādnieka maksātnespēju</w:t>
            </w:r>
            <w:r w:rsidR="00326587">
              <w:rPr>
                <w:color w:val="000000" w:themeColor="text1"/>
              </w:rPr>
              <w:t xml:space="preserve"> publicēšanas</w:t>
            </w:r>
            <w:r w:rsidR="00F4738C">
              <w:rPr>
                <w:color w:val="000000" w:themeColor="text1"/>
              </w:rPr>
              <w:t>.</w:t>
            </w:r>
          </w:p>
          <w:p w:rsidR="00326587" w:rsidRDefault="00DA3BCC" w:rsidP="001C0674">
            <w:pPr>
              <w:ind w:firstLine="323"/>
              <w:jc w:val="both"/>
              <w:rPr>
                <w:color w:val="000000" w:themeColor="text1"/>
              </w:rPr>
            </w:pPr>
            <w:r w:rsidRPr="00F03935">
              <w:rPr>
                <w:szCs w:val="20"/>
              </w:rPr>
              <w:t xml:space="preserve">Likumprojekts 10.pants </w:t>
            </w:r>
            <w:r w:rsidR="00326587">
              <w:rPr>
                <w:szCs w:val="20"/>
              </w:rPr>
              <w:t>regulē</w:t>
            </w:r>
            <w:r w:rsidR="00326587" w:rsidRPr="00F03935">
              <w:rPr>
                <w:szCs w:val="20"/>
              </w:rPr>
              <w:t xml:space="preserve"> </w:t>
            </w:r>
            <w:r w:rsidR="00326587">
              <w:rPr>
                <w:szCs w:val="20"/>
              </w:rPr>
              <w:t xml:space="preserve">jautājumu par piemērojamajiem tiesību aktiem, ja </w:t>
            </w:r>
            <w:r w:rsidR="00326587">
              <w:rPr>
                <w:color w:val="000000" w:themeColor="text1"/>
              </w:rPr>
              <w:t xml:space="preserve">maksātnespēja kā izpildes notikums ir iestājusies </w:t>
            </w:r>
            <w:r w:rsidR="00326587" w:rsidRPr="009C5672">
              <w:rPr>
                <w:shd w:val="clear" w:color="auto" w:fill="FFFFFF"/>
              </w:rPr>
              <w:t>attiecībā uz</w:t>
            </w:r>
            <w:r w:rsidR="000843BF">
              <w:rPr>
                <w:shd w:val="clear" w:color="auto" w:fill="FFFFFF"/>
              </w:rPr>
              <w:t xml:space="preserve"> </w:t>
            </w:r>
            <w:r w:rsidR="00E53ECE">
              <w:rPr>
                <w:shd w:val="clear" w:color="auto" w:fill="FFFFFF"/>
              </w:rPr>
              <w:t>līdzēj</w:t>
            </w:r>
            <w:r w:rsidR="000843BF">
              <w:rPr>
                <w:shd w:val="clear" w:color="auto" w:fill="FFFFFF"/>
              </w:rPr>
              <w:t>u</w:t>
            </w:r>
            <w:r w:rsidR="00326587">
              <w:rPr>
                <w:shd w:val="clear" w:color="auto" w:fill="FFFFFF"/>
              </w:rPr>
              <w:t xml:space="preserve"> </w:t>
            </w:r>
            <w:r w:rsidR="00E53ECE">
              <w:rPr>
                <w:shd w:val="clear" w:color="auto" w:fill="FFFFFF"/>
              </w:rPr>
              <w:t>(sabiedrīb</w:t>
            </w:r>
            <w:r w:rsidR="000843BF">
              <w:rPr>
                <w:shd w:val="clear" w:color="auto" w:fill="FFFFFF"/>
              </w:rPr>
              <w:t>as</w:t>
            </w:r>
            <w:r w:rsidR="00E53ECE">
              <w:rPr>
                <w:shd w:val="clear" w:color="auto" w:fill="FFFFFF"/>
              </w:rPr>
              <w:t xml:space="preserve">) </w:t>
            </w:r>
            <w:r w:rsidR="00326587">
              <w:rPr>
                <w:shd w:val="clear" w:color="auto" w:fill="FFFFFF"/>
              </w:rPr>
              <w:t xml:space="preserve">grupā ietilpstošu </w:t>
            </w:r>
            <w:r w:rsidR="00326587" w:rsidRPr="009C5672">
              <w:rPr>
                <w:shd w:val="clear" w:color="auto" w:fill="FFFFFF"/>
              </w:rPr>
              <w:t>dalībnieku.</w:t>
            </w:r>
            <w:r w:rsidR="00E53ECE">
              <w:rPr>
                <w:shd w:val="clear" w:color="auto" w:fill="FFFFFF"/>
              </w:rPr>
              <w:t xml:space="preserve"> A</w:t>
            </w:r>
            <w:r w:rsidR="00E53ECE" w:rsidRPr="00D81B98">
              <w:rPr>
                <w:color w:val="000000" w:themeColor="text1"/>
              </w:rPr>
              <w:t xml:space="preserve">ttiecībā uz </w:t>
            </w:r>
            <w:r w:rsidR="00E53ECE">
              <w:rPr>
                <w:color w:val="000000" w:themeColor="text1"/>
              </w:rPr>
              <w:t>tādu līdzēj</w:t>
            </w:r>
            <w:r w:rsidR="000843BF">
              <w:rPr>
                <w:color w:val="000000" w:themeColor="text1"/>
              </w:rPr>
              <w:t>u</w:t>
            </w:r>
            <w:r w:rsidR="00E53ECE">
              <w:rPr>
                <w:color w:val="000000" w:themeColor="text1"/>
              </w:rPr>
              <w:t xml:space="preserve"> grupas dalībnieku, kura mītnes (reģistrācijas) valsts ir Eiropas Savienība, </w:t>
            </w:r>
            <w:r w:rsidR="00E53ECE" w:rsidRPr="00A32B85">
              <w:t>piemērojam</w:t>
            </w:r>
            <w:r w:rsidR="00E53ECE">
              <w:t>a</w:t>
            </w:r>
            <w:r w:rsidR="00E53ECE" w:rsidRPr="00CC643F">
              <w:t xml:space="preserve"> </w:t>
            </w:r>
            <w:r w:rsidR="00E53ECE" w:rsidRPr="00653378">
              <w:rPr>
                <w:color w:val="000000" w:themeColor="text1"/>
              </w:rPr>
              <w:t>Eiro</w:t>
            </w:r>
            <w:r w:rsidR="00E53ECE">
              <w:rPr>
                <w:color w:val="000000" w:themeColor="text1"/>
              </w:rPr>
              <w:t>pas Parlamenta un Padomes 2015.gada 20.</w:t>
            </w:r>
            <w:r w:rsidR="00E53ECE" w:rsidRPr="00653378">
              <w:rPr>
                <w:color w:val="000000" w:themeColor="text1"/>
              </w:rPr>
              <w:t>maija regulā (ES) Nr.</w:t>
            </w:r>
            <w:r w:rsidR="001C0674">
              <w:rPr>
                <w:color w:val="000000" w:themeColor="text1"/>
              </w:rPr>
              <w:t> </w:t>
            </w:r>
            <w:r w:rsidR="00E53ECE" w:rsidRPr="00653378">
              <w:rPr>
                <w:color w:val="000000" w:themeColor="text1"/>
              </w:rPr>
              <w:t>2015/848 par maksātnespējas procedūrām noteikt</w:t>
            </w:r>
            <w:r w:rsidR="00E53ECE">
              <w:rPr>
                <w:color w:val="000000" w:themeColor="text1"/>
              </w:rPr>
              <w:t>ā</w:t>
            </w:r>
            <w:r w:rsidR="00E53ECE" w:rsidRPr="00653378">
              <w:rPr>
                <w:color w:val="000000" w:themeColor="text1"/>
              </w:rPr>
              <w:t xml:space="preserve"> kārtība</w:t>
            </w:r>
            <w:r w:rsidR="00E53ECE">
              <w:rPr>
                <w:color w:val="000000" w:themeColor="text1"/>
              </w:rPr>
              <w:t>. Savukārt gadījumos, kad līdzēj</w:t>
            </w:r>
            <w:r w:rsidR="000843BF">
              <w:rPr>
                <w:color w:val="000000" w:themeColor="text1"/>
              </w:rPr>
              <w:t>u</w:t>
            </w:r>
            <w:r w:rsidR="00E53ECE">
              <w:rPr>
                <w:color w:val="000000" w:themeColor="text1"/>
              </w:rPr>
              <w:t xml:space="preserve"> grupas dalībnieku, kura mītnes (reģistrācijas) valsts ir EEZ valsts vai OECD valsts, kas nav </w:t>
            </w:r>
            <w:r w:rsidR="00E53ECE" w:rsidRPr="00653378">
              <w:rPr>
                <w:color w:val="000000" w:themeColor="text1"/>
              </w:rPr>
              <w:t>Eiropas Savienības</w:t>
            </w:r>
            <w:r w:rsidR="00E53ECE">
              <w:rPr>
                <w:color w:val="000000" w:themeColor="text1"/>
              </w:rPr>
              <w:t xml:space="preserve"> dalīb</w:t>
            </w:r>
            <w:r w:rsidR="00E53ECE" w:rsidRPr="00653378">
              <w:rPr>
                <w:color w:val="000000" w:themeColor="text1"/>
              </w:rPr>
              <w:t>valsts</w:t>
            </w:r>
            <w:r w:rsidR="00E53ECE">
              <w:rPr>
                <w:color w:val="000000" w:themeColor="text1"/>
              </w:rPr>
              <w:t xml:space="preserve">, piemērojami attiecīgās </w:t>
            </w:r>
            <w:r w:rsidR="00E53ECE" w:rsidRPr="00D81B98">
              <w:rPr>
                <w:color w:val="000000" w:themeColor="text1"/>
              </w:rPr>
              <w:t>valsts tiesību akti</w:t>
            </w:r>
            <w:r w:rsidR="00E53ECE">
              <w:rPr>
                <w:color w:val="000000" w:themeColor="text1"/>
              </w:rPr>
              <w:t>.</w:t>
            </w:r>
          </w:p>
          <w:p w:rsidR="00DA3BCC" w:rsidRPr="00F03935" w:rsidRDefault="00DA3BCC" w:rsidP="00326587">
            <w:pPr>
              <w:ind w:firstLine="323"/>
              <w:jc w:val="both"/>
              <w:rPr>
                <w:szCs w:val="20"/>
              </w:rPr>
            </w:pPr>
          </w:p>
        </w:tc>
      </w:tr>
      <w:tr w:rsidR="00330C43" w:rsidRPr="00F03935" w:rsidTr="00E40706">
        <w:tc>
          <w:tcPr>
            <w:tcW w:w="421" w:type="dxa"/>
            <w:tcBorders>
              <w:top w:val="single" w:sz="4" w:space="0" w:color="auto"/>
              <w:left w:val="single" w:sz="4" w:space="0" w:color="auto"/>
              <w:bottom w:val="single" w:sz="4" w:space="0" w:color="auto"/>
              <w:right w:val="single" w:sz="4" w:space="0" w:color="auto"/>
            </w:tcBorders>
            <w:shd w:val="clear" w:color="auto" w:fill="auto"/>
            <w:hideMark/>
          </w:tcPr>
          <w:p w:rsidR="00330C43" w:rsidRPr="00F03935" w:rsidRDefault="001A7D3F" w:rsidP="00330C43">
            <w:pPr>
              <w:jc w:val="center"/>
              <w:rPr>
                <w:lang w:eastAsia="en-US"/>
              </w:rPr>
            </w:pPr>
            <w:r w:rsidRPr="00F03935">
              <w:lastRenderedPageBreak/>
              <w:t xml:space="preserve"> </w:t>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rsidR="00330C43" w:rsidRPr="00F03935" w:rsidRDefault="00330C43" w:rsidP="00330C43">
            <w:pPr>
              <w:rPr>
                <w:lang w:eastAsia="en-US"/>
              </w:rPr>
            </w:pPr>
            <w:r w:rsidRPr="00F03935">
              <w:t>Projekta izstrādē iesaistītās institūcijas</w:t>
            </w:r>
            <w:r w:rsidR="00CC1261" w:rsidRPr="00F03935">
              <w:t xml:space="preserve"> un publiskas personas kapitālsabiedrības</w:t>
            </w:r>
          </w:p>
        </w:tc>
        <w:tc>
          <w:tcPr>
            <w:tcW w:w="6822" w:type="dxa"/>
            <w:tcBorders>
              <w:top w:val="single" w:sz="4" w:space="0" w:color="auto"/>
              <w:left w:val="single" w:sz="4" w:space="0" w:color="auto"/>
              <w:bottom w:val="single" w:sz="4" w:space="0" w:color="auto"/>
              <w:right w:val="single" w:sz="4" w:space="0" w:color="auto"/>
            </w:tcBorders>
            <w:shd w:val="clear" w:color="auto" w:fill="auto"/>
            <w:hideMark/>
          </w:tcPr>
          <w:p w:rsidR="00893FBD" w:rsidRPr="00F03935" w:rsidRDefault="00172924" w:rsidP="00D822EE">
            <w:pPr>
              <w:ind w:firstLine="357"/>
              <w:jc w:val="both"/>
            </w:pPr>
            <w:r w:rsidRPr="00F03935">
              <w:t>Eiropas Rekonstrukcijas un attīstības banka</w:t>
            </w:r>
            <w:r w:rsidR="000501D4" w:rsidRPr="00F03935">
              <w:t xml:space="preserve">, </w:t>
            </w:r>
            <w:r w:rsidR="00054019" w:rsidRPr="00F03935">
              <w:t>Finanšu ministrija</w:t>
            </w:r>
            <w:r w:rsidR="000501D4" w:rsidRPr="00F03935">
              <w:t xml:space="preserve">, </w:t>
            </w:r>
            <w:r w:rsidR="00054019" w:rsidRPr="00F03935">
              <w:t>Tieslietu ministrija</w:t>
            </w:r>
            <w:r w:rsidR="000501D4" w:rsidRPr="00F03935">
              <w:t xml:space="preserve">, </w:t>
            </w:r>
            <w:r w:rsidR="00BB0CEC" w:rsidRPr="00F03935">
              <w:t>Finan</w:t>
            </w:r>
            <w:r w:rsidR="00054019" w:rsidRPr="00F03935">
              <w:t>šu un kapitāla tirgus komisija</w:t>
            </w:r>
            <w:r w:rsidR="000501D4" w:rsidRPr="00F03935">
              <w:t xml:space="preserve">, </w:t>
            </w:r>
            <w:r w:rsidR="00BB0CEC" w:rsidRPr="00F03935">
              <w:t>Latvi</w:t>
            </w:r>
            <w:r w:rsidR="00054019" w:rsidRPr="00F03935">
              <w:t xml:space="preserve">jas </w:t>
            </w:r>
            <w:r w:rsidR="00D822EE">
              <w:t>B</w:t>
            </w:r>
            <w:r w:rsidR="00054019" w:rsidRPr="00F03935">
              <w:t>anka</w:t>
            </w:r>
            <w:r w:rsidR="000501D4" w:rsidRPr="00F03935">
              <w:t xml:space="preserve">, </w:t>
            </w:r>
            <w:r w:rsidR="00054019" w:rsidRPr="00F03935">
              <w:t>Valsts kase</w:t>
            </w:r>
            <w:r w:rsidR="00477802">
              <w:t>, Vides aizsardzības un reģionālās attīstības ministrija.</w:t>
            </w:r>
          </w:p>
        </w:tc>
      </w:tr>
      <w:tr w:rsidR="00330C43" w:rsidRPr="00F03935" w:rsidTr="00E40706">
        <w:tc>
          <w:tcPr>
            <w:tcW w:w="421" w:type="dxa"/>
            <w:tcBorders>
              <w:top w:val="single" w:sz="4" w:space="0" w:color="auto"/>
              <w:left w:val="single" w:sz="4" w:space="0" w:color="auto"/>
              <w:bottom w:val="single" w:sz="4" w:space="0" w:color="auto"/>
              <w:right w:val="single" w:sz="4" w:space="0" w:color="auto"/>
            </w:tcBorders>
            <w:shd w:val="clear" w:color="auto" w:fill="auto"/>
            <w:hideMark/>
          </w:tcPr>
          <w:p w:rsidR="00330C43" w:rsidRPr="00F03935" w:rsidRDefault="00330C43" w:rsidP="00330C43">
            <w:pPr>
              <w:jc w:val="center"/>
              <w:rPr>
                <w:lang w:eastAsia="en-US"/>
              </w:rPr>
            </w:pPr>
            <w:r w:rsidRPr="00F03935">
              <w:t>4.</w:t>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rsidR="00330C43" w:rsidRPr="00F03935" w:rsidRDefault="00330C43" w:rsidP="00330C43">
            <w:pPr>
              <w:rPr>
                <w:lang w:eastAsia="en-US"/>
              </w:rPr>
            </w:pPr>
            <w:r w:rsidRPr="00F03935">
              <w:t>Cita informācija</w:t>
            </w:r>
          </w:p>
        </w:tc>
        <w:tc>
          <w:tcPr>
            <w:tcW w:w="6822" w:type="dxa"/>
            <w:tcBorders>
              <w:top w:val="single" w:sz="4" w:space="0" w:color="auto"/>
              <w:left w:val="single" w:sz="4" w:space="0" w:color="auto"/>
              <w:bottom w:val="single" w:sz="4" w:space="0" w:color="auto"/>
              <w:right w:val="single" w:sz="4" w:space="0" w:color="auto"/>
            </w:tcBorders>
            <w:shd w:val="clear" w:color="auto" w:fill="FFFFFF"/>
            <w:hideMark/>
          </w:tcPr>
          <w:p w:rsidR="008C7633" w:rsidRPr="00F03935" w:rsidRDefault="00554AB1" w:rsidP="00554AB1">
            <w:r w:rsidRPr="00F03935">
              <w:t>Nav.</w:t>
            </w:r>
          </w:p>
        </w:tc>
      </w:tr>
    </w:tbl>
    <w:p w:rsidR="00100631" w:rsidRPr="00F03935" w:rsidRDefault="00100631" w:rsidP="00C61A59">
      <w:pPr>
        <w:jc w:val="both"/>
        <w:rPr>
          <w:highlight w:val="lightGray"/>
        </w:rPr>
      </w:pPr>
    </w:p>
    <w:p w:rsidR="00100631" w:rsidRPr="00F03935" w:rsidRDefault="00100631" w:rsidP="00C61A59">
      <w:pPr>
        <w:jc w:val="both"/>
        <w:rPr>
          <w:highlight w:val="lightGray"/>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2689"/>
        <w:gridCol w:w="6095"/>
      </w:tblGrid>
      <w:tr w:rsidR="00261ED1" w:rsidRPr="00F03935" w:rsidTr="00663CC5">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261ED1" w:rsidRPr="00F03935" w:rsidRDefault="00261ED1" w:rsidP="005D4842">
            <w:pPr>
              <w:pStyle w:val="ListParagraph"/>
              <w:tabs>
                <w:tab w:val="left" w:pos="2268"/>
                <w:tab w:val="left" w:pos="2410"/>
              </w:tabs>
              <w:ind w:left="1080"/>
              <w:jc w:val="center"/>
              <w:rPr>
                <w:b/>
                <w:sz w:val="24"/>
                <w:szCs w:val="24"/>
                <w:lang w:eastAsia="en-US"/>
              </w:rPr>
            </w:pPr>
            <w:r w:rsidRPr="00F03935">
              <w:rPr>
                <w:b/>
                <w:bCs/>
                <w:sz w:val="24"/>
                <w:szCs w:val="24"/>
              </w:rPr>
              <w:t>II. Tiesību akta projekta ietekme uz sabiedrību, tautsaimniecības attīstību un administratīvo slogu</w:t>
            </w:r>
          </w:p>
        </w:tc>
      </w:tr>
      <w:tr w:rsidR="00261ED1" w:rsidRPr="00F03935" w:rsidTr="00B55107">
        <w:tc>
          <w:tcPr>
            <w:tcW w:w="396" w:type="dxa"/>
            <w:tcBorders>
              <w:top w:val="single" w:sz="4" w:space="0" w:color="auto"/>
              <w:left w:val="single" w:sz="4" w:space="0" w:color="auto"/>
              <w:bottom w:val="single" w:sz="4" w:space="0" w:color="auto"/>
              <w:right w:val="single" w:sz="4" w:space="0" w:color="auto"/>
            </w:tcBorders>
            <w:shd w:val="clear" w:color="auto" w:fill="auto"/>
            <w:hideMark/>
          </w:tcPr>
          <w:p w:rsidR="00261ED1" w:rsidRPr="00F03935" w:rsidRDefault="00261ED1" w:rsidP="005D4842">
            <w:pPr>
              <w:jc w:val="center"/>
              <w:rPr>
                <w:lang w:eastAsia="en-US"/>
              </w:rPr>
            </w:pPr>
            <w:r w:rsidRPr="00F03935">
              <w:t>1.</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61ED1" w:rsidRPr="00F03935" w:rsidRDefault="00261ED1" w:rsidP="005D4842">
            <w:pPr>
              <w:rPr>
                <w:lang w:eastAsia="en-US"/>
              </w:rPr>
            </w:pPr>
            <w:r w:rsidRPr="00F03935">
              <w:t>Sabiedrības mērķgrupas, kuras tiesiskais regulējums ietekmē vai varētu ietekmēt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261AF" w:rsidRPr="00F03935" w:rsidRDefault="00BB0CEC" w:rsidP="00CC2E9C">
            <w:pPr>
              <w:tabs>
                <w:tab w:val="left" w:pos="317"/>
              </w:tabs>
              <w:spacing w:before="60" w:after="60"/>
              <w:ind w:firstLine="311"/>
              <w:jc w:val="both"/>
              <w:rPr>
                <w:bCs/>
                <w:lang w:eastAsia="en-US"/>
              </w:rPr>
            </w:pPr>
            <w:r w:rsidRPr="00F03935">
              <w:rPr>
                <w:bCs/>
                <w:lang w:eastAsia="en-US"/>
              </w:rPr>
              <w:t>Izslēdzošā ieskaita subjekti</w:t>
            </w:r>
            <w:r w:rsidR="00C261AF" w:rsidRPr="00F03935">
              <w:rPr>
                <w:bCs/>
                <w:lang w:eastAsia="en-US"/>
              </w:rPr>
              <w:t>,</w:t>
            </w:r>
            <w:r w:rsidR="002E3B06">
              <w:rPr>
                <w:bCs/>
                <w:lang w:eastAsia="en-US"/>
              </w:rPr>
              <w:t xml:space="preserve"> tajā skaitā </w:t>
            </w:r>
            <w:r w:rsidR="002E3B06" w:rsidRPr="00653378">
              <w:rPr>
                <w:rFonts w:eastAsia="Times New Roman"/>
                <w:color w:val="000000" w:themeColor="text1"/>
              </w:rPr>
              <w:t>tiešā</w:t>
            </w:r>
            <w:r w:rsidR="002E3B06">
              <w:rPr>
                <w:rFonts w:eastAsia="Times New Roman"/>
                <w:color w:val="000000" w:themeColor="text1"/>
              </w:rPr>
              <w:t>s</w:t>
            </w:r>
            <w:r w:rsidR="002E3B06" w:rsidRPr="00653378">
              <w:rPr>
                <w:rFonts w:eastAsia="Times New Roman"/>
                <w:color w:val="000000" w:themeColor="text1"/>
              </w:rPr>
              <w:t xml:space="preserve"> un pastarpinātā</w:t>
            </w:r>
            <w:r w:rsidR="002E3B06">
              <w:rPr>
                <w:rFonts w:eastAsia="Times New Roman"/>
                <w:color w:val="000000" w:themeColor="text1"/>
              </w:rPr>
              <w:t>s</w:t>
            </w:r>
            <w:r w:rsidR="002E3B06" w:rsidRPr="00653378">
              <w:rPr>
                <w:rFonts w:eastAsia="Times New Roman"/>
                <w:color w:val="000000" w:themeColor="text1"/>
              </w:rPr>
              <w:t xml:space="preserve"> valsts pārvaldes iestāde</w:t>
            </w:r>
            <w:r w:rsidR="002E3B06">
              <w:rPr>
                <w:rFonts w:eastAsia="Times New Roman"/>
                <w:color w:val="000000" w:themeColor="text1"/>
              </w:rPr>
              <w:t>s</w:t>
            </w:r>
            <w:r w:rsidR="002E3B06" w:rsidRPr="00653378">
              <w:rPr>
                <w:rFonts w:eastAsia="Times New Roman"/>
                <w:color w:val="000000" w:themeColor="text1"/>
              </w:rPr>
              <w:t>,</w:t>
            </w:r>
            <w:r w:rsidR="002E3B06">
              <w:rPr>
                <w:rFonts w:eastAsia="Times New Roman"/>
                <w:color w:val="000000" w:themeColor="text1"/>
              </w:rPr>
              <w:t xml:space="preserve"> </w:t>
            </w:r>
            <w:r w:rsidR="00C261AF" w:rsidRPr="00F03935">
              <w:rPr>
                <w:bCs/>
                <w:lang w:eastAsia="en-US"/>
              </w:rPr>
              <w:t>finanšu instrumentu tirgus dalībnieki</w:t>
            </w:r>
            <w:r w:rsidR="00CC2E9C">
              <w:rPr>
                <w:bCs/>
                <w:lang w:eastAsia="en-US"/>
              </w:rPr>
              <w:t>, lielās kapitālsabiedrības</w:t>
            </w:r>
            <w:r w:rsidR="002E3B06">
              <w:rPr>
                <w:bCs/>
                <w:lang w:eastAsia="en-US"/>
              </w:rPr>
              <w:t xml:space="preserve"> un</w:t>
            </w:r>
            <w:r w:rsidR="00C261AF" w:rsidRPr="00F03935">
              <w:rPr>
                <w:bCs/>
                <w:lang w:eastAsia="en-US"/>
              </w:rPr>
              <w:t xml:space="preserve"> sabiedrība kopumā.</w:t>
            </w:r>
          </w:p>
        </w:tc>
      </w:tr>
      <w:tr w:rsidR="00261ED1" w:rsidRPr="00F03935" w:rsidTr="00B55107">
        <w:tc>
          <w:tcPr>
            <w:tcW w:w="396" w:type="dxa"/>
            <w:tcBorders>
              <w:top w:val="single" w:sz="4" w:space="0" w:color="auto"/>
              <w:left w:val="single" w:sz="4" w:space="0" w:color="auto"/>
              <w:bottom w:val="single" w:sz="4" w:space="0" w:color="auto"/>
              <w:right w:val="single" w:sz="4" w:space="0" w:color="auto"/>
            </w:tcBorders>
            <w:shd w:val="clear" w:color="auto" w:fill="auto"/>
          </w:tcPr>
          <w:p w:rsidR="00261ED1" w:rsidRPr="00F03935" w:rsidRDefault="00261ED1" w:rsidP="005D4842">
            <w:pPr>
              <w:jc w:val="center"/>
            </w:pPr>
            <w:r w:rsidRPr="00F03935">
              <w:t>2.</w:t>
            </w:r>
          </w:p>
        </w:tc>
        <w:tc>
          <w:tcPr>
            <w:tcW w:w="2689" w:type="dxa"/>
            <w:tcBorders>
              <w:top w:val="single" w:sz="4" w:space="0" w:color="auto"/>
              <w:left w:val="single" w:sz="4" w:space="0" w:color="auto"/>
              <w:bottom w:val="single" w:sz="4" w:space="0" w:color="auto"/>
              <w:right w:val="single" w:sz="4" w:space="0" w:color="auto"/>
            </w:tcBorders>
            <w:shd w:val="clear" w:color="auto" w:fill="auto"/>
          </w:tcPr>
          <w:p w:rsidR="00261ED1" w:rsidRPr="00F03935" w:rsidRDefault="00261ED1" w:rsidP="005D4842">
            <w:pPr>
              <w:rPr>
                <w:rFonts w:ascii="Arial" w:hAnsi="Arial" w:cs="Arial"/>
              </w:rPr>
            </w:pPr>
            <w:r w:rsidRPr="00F03935">
              <w:t xml:space="preserve">Tiesiskā regulējuma ietekme uz </w:t>
            </w:r>
            <w:r w:rsidRPr="00F03935">
              <w:lastRenderedPageBreak/>
              <w:t>tautsaimniecību un administratīvo slogu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073450" w:rsidRPr="00F03935" w:rsidRDefault="00073450" w:rsidP="00EC60B8">
            <w:pPr>
              <w:pStyle w:val="ListParagraph"/>
              <w:tabs>
                <w:tab w:val="left" w:pos="317"/>
              </w:tabs>
              <w:spacing w:before="60" w:after="60"/>
              <w:ind w:left="34" w:firstLine="277"/>
              <w:jc w:val="both"/>
              <w:rPr>
                <w:sz w:val="24"/>
                <w:szCs w:val="24"/>
              </w:rPr>
            </w:pPr>
            <w:r w:rsidRPr="00F03935">
              <w:rPr>
                <w:sz w:val="24"/>
                <w:szCs w:val="24"/>
              </w:rPr>
              <w:lastRenderedPageBreak/>
              <w:t xml:space="preserve">Likumprojektam kopumā būs pozitīva ietekme uz tautsaimniecību un finanšu sektoru, jo tiks aizsargātas </w:t>
            </w:r>
            <w:r w:rsidRPr="00F03935">
              <w:rPr>
                <w:sz w:val="24"/>
                <w:szCs w:val="24"/>
              </w:rPr>
              <w:lastRenderedPageBreak/>
              <w:t>izslēdzošā ieskaita līguma puses, ja tik</w:t>
            </w:r>
            <w:r w:rsidR="000501D4" w:rsidRPr="00F03935">
              <w:rPr>
                <w:sz w:val="24"/>
                <w:szCs w:val="24"/>
              </w:rPr>
              <w:t>s</w:t>
            </w:r>
            <w:r w:rsidRPr="00F03935">
              <w:rPr>
                <w:sz w:val="24"/>
                <w:szCs w:val="24"/>
              </w:rPr>
              <w:t xml:space="preserve"> veikts tiesiskās aizsardzības, maksātnespējas vai likvidācijas process attiecībā uz kādu no tām, kā arī tiks nodrošināta finanšu tirgus stabilitāte, ierobežojot sistēmisko risku, ko varētu radīt tiesiskās aizsardzības, maksātnespējas vai likvidācijas process pret kādu tirgus dalībnieku.</w:t>
            </w:r>
            <w:r w:rsidR="0010550E" w:rsidRPr="00F03935">
              <w:rPr>
                <w:sz w:val="24"/>
                <w:szCs w:val="24"/>
              </w:rPr>
              <w:t xml:space="preserve"> Likumprojekts novērsīs iespējamo domino efektu </w:t>
            </w:r>
            <w:r w:rsidR="000302DE" w:rsidRPr="00F03935">
              <w:rPr>
                <w:sz w:val="24"/>
                <w:szCs w:val="24"/>
              </w:rPr>
              <w:t xml:space="preserve">jeb ķēdes reakciju </w:t>
            </w:r>
            <w:r w:rsidR="0010550E" w:rsidRPr="00F03935">
              <w:rPr>
                <w:sz w:val="24"/>
                <w:szCs w:val="24"/>
              </w:rPr>
              <w:t>finanšu tirgū, ko var radīt kāda atsevišķa subjekta maksāt</w:t>
            </w:r>
            <w:r w:rsidR="000501D4" w:rsidRPr="00F03935">
              <w:rPr>
                <w:sz w:val="24"/>
                <w:szCs w:val="24"/>
              </w:rPr>
              <w:t>ne</w:t>
            </w:r>
            <w:r w:rsidR="0010550E" w:rsidRPr="00F03935">
              <w:rPr>
                <w:sz w:val="24"/>
                <w:szCs w:val="24"/>
              </w:rPr>
              <w:t>spēja</w:t>
            </w:r>
            <w:r w:rsidR="000302DE" w:rsidRPr="00F03935">
              <w:rPr>
                <w:sz w:val="24"/>
                <w:szCs w:val="24"/>
              </w:rPr>
              <w:t>, kā arī mazinās Latvijas finanšu sistēmas sabrukuma riskus šādās situācijās</w:t>
            </w:r>
            <w:r w:rsidR="0010550E" w:rsidRPr="00F03935">
              <w:rPr>
                <w:sz w:val="24"/>
                <w:szCs w:val="24"/>
              </w:rPr>
              <w:t>.</w:t>
            </w:r>
          </w:p>
          <w:p w:rsidR="001E4817" w:rsidRPr="00F03935" w:rsidRDefault="00073450" w:rsidP="00EC60B8">
            <w:pPr>
              <w:pStyle w:val="ListParagraph"/>
              <w:tabs>
                <w:tab w:val="left" w:pos="317"/>
              </w:tabs>
              <w:spacing w:before="60" w:after="60"/>
              <w:ind w:left="34" w:firstLine="277"/>
              <w:jc w:val="both"/>
              <w:rPr>
                <w:bCs/>
                <w:sz w:val="24"/>
                <w:szCs w:val="24"/>
                <w:lang w:eastAsia="en-US"/>
              </w:rPr>
            </w:pPr>
            <w:r w:rsidRPr="00F03935">
              <w:rPr>
                <w:bCs/>
                <w:sz w:val="24"/>
                <w:szCs w:val="24"/>
                <w:lang w:eastAsia="en-US"/>
              </w:rPr>
              <w:t xml:space="preserve">Tāpat Likumprojekts samazinās izslēdzošā ieskaita subjektu administratīvo slogu maksātnespējas, tiesiskās aizsardzības vai likvidācijas gadījumā, jo </w:t>
            </w:r>
            <w:r w:rsidR="001E4817" w:rsidRPr="00F03935">
              <w:rPr>
                <w:bCs/>
                <w:sz w:val="24"/>
                <w:szCs w:val="24"/>
                <w:lang w:eastAsia="en-US"/>
              </w:rPr>
              <w:t xml:space="preserve">izslēdzošā ieskaita </w:t>
            </w:r>
            <w:r w:rsidR="00CF7D8B" w:rsidRPr="00F03935">
              <w:rPr>
                <w:bCs/>
                <w:sz w:val="24"/>
                <w:szCs w:val="24"/>
                <w:lang w:eastAsia="en-US"/>
              </w:rPr>
              <w:t>subjekt</w:t>
            </w:r>
            <w:r w:rsidR="00CF7D8B">
              <w:rPr>
                <w:bCs/>
                <w:sz w:val="24"/>
                <w:szCs w:val="24"/>
                <w:lang w:eastAsia="en-US"/>
              </w:rPr>
              <w:t>a</w:t>
            </w:r>
            <w:r w:rsidR="00CF7D8B" w:rsidRPr="00F03935">
              <w:rPr>
                <w:bCs/>
                <w:sz w:val="24"/>
                <w:szCs w:val="24"/>
                <w:lang w:eastAsia="en-US"/>
              </w:rPr>
              <w:t xml:space="preserve">m </w:t>
            </w:r>
            <w:r w:rsidR="001E4817" w:rsidRPr="00F03935">
              <w:rPr>
                <w:bCs/>
                <w:sz w:val="24"/>
                <w:szCs w:val="24"/>
                <w:lang w:eastAsia="en-US"/>
              </w:rPr>
              <w:t xml:space="preserve">nebūs jāvēršas pret otru </w:t>
            </w:r>
            <w:r w:rsidR="00CF7D8B">
              <w:rPr>
                <w:bCs/>
                <w:sz w:val="24"/>
                <w:szCs w:val="24"/>
                <w:lang w:eastAsia="en-US"/>
              </w:rPr>
              <w:t>līdzēju</w:t>
            </w:r>
            <w:r w:rsidR="001E4817" w:rsidRPr="00F03935">
              <w:rPr>
                <w:bCs/>
                <w:sz w:val="24"/>
                <w:szCs w:val="24"/>
                <w:lang w:eastAsia="en-US"/>
              </w:rPr>
              <w:t xml:space="preserve"> visu prasījumu apmērā, bet gan tikai neto saldo pārsniegtās summas apmērā. Likumprojekts veicinās to, ka </w:t>
            </w:r>
            <w:r w:rsidR="00CF7D8B">
              <w:rPr>
                <w:bCs/>
                <w:sz w:val="24"/>
                <w:szCs w:val="24"/>
                <w:lang w:eastAsia="en-US"/>
              </w:rPr>
              <w:t>izslēdzošā ieskaita subjekts</w:t>
            </w:r>
            <w:r w:rsidR="001E4817" w:rsidRPr="00F03935">
              <w:rPr>
                <w:bCs/>
                <w:sz w:val="24"/>
                <w:szCs w:val="24"/>
                <w:lang w:eastAsia="en-US"/>
              </w:rPr>
              <w:t xml:space="preserve"> pēc iespējas ātrāk var rīkoties ar neto saldo summu, tādējādi nodrošinot to, ka </w:t>
            </w:r>
            <w:r w:rsidR="00387076" w:rsidRPr="00F03935">
              <w:rPr>
                <w:bCs/>
                <w:sz w:val="24"/>
                <w:szCs w:val="24"/>
                <w:lang w:eastAsia="en-US"/>
              </w:rPr>
              <w:t xml:space="preserve">uzlabojas </w:t>
            </w:r>
            <w:r w:rsidR="0093399E" w:rsidRPr="00F03935">
              <w:rPr>
                <w:bCs/>
                <w:sz w:val="24"/>
                <w:szCs w:val="24"/>
                <w:lang w:eastAsia="en-US"/>
              </w:rPr>
              <w:t xml:space="preserve">konkrētā subjekta </w:t>
            </w:r>
            <w:r w:rsidR="00387076" w:rsidRPr="00F03935">
              <w:rPr>
                <w:bCs/>
                <w:sz w:val="24"/>
                <w:szCs w:val="24"/>
                <w:lang w:eastAsia="en-US"/>
              </w:rPr>
              <w:t xml:space="preserve">likviditāte un </w:t>
            </w:r>
            <w:r w:rsidR="001E4817" w:rsidRPr="00F03935">
              <w:rPr>
                <w:bCs/>
                <w:sz w:val="24"/>
                <w:szCs w:val="24"/>
                <w:lang w:eastAsia="en-US"/>
              </w:rPr>
              <w:t>nauda</w:t>
            </w:r>
            <w:r w:rsidR="0010550E" w:rsidRPr="00F03935">
              <w:rPr>
                <w:bCs/>
                <w:sz w:val="24"/>
                <w:szCs w:val="24"/>
                <w:lang w:eastAsia="en-US"/>
              </w:rPr>
              <w:t xml:space="preserve"> pēc iespējas</w:t>
            </w:r>
            <w:r w:rsidR="001E4817" w:rsidRPr="00F03935">
              <w:rPr>
                <w:bCs/>
                <w:sz w:val="24"/>
                <w:szCs w:val="24"/>
                <w:lang w:eastAsia="en-US"/>
              </w:rPr>
              <w:t xml:space="preserve"> ātrāk atkal nonāk apgrozībā.</w:t>
            </w:r>
          </w:p>
          <w:p w:rsidR="0010550E" w:rsidRPr="00F03935" w:rsidRDefault="0010550E" w:rsidP="00EC60B8">
            <w:pPr>
              <w:pStyle w:val="ListParagraph"/>
              <w:tabs>
                <w:tab w:val="left" w:pos="317"/>
              </w:tabs>
              <w:spacing w:before="60" w:after="60"/>
              <w:ind w:left="34" w:firstLine="277"/>
              <w:jc w:val="both"/>
              <w:rPr>
                <w:bCs/>
                <w:sz w:val="24"/>
                <w:szCs w:val="24"/>
                <w:lang w:eastAsia="en-US"/>
              </w:rPr>
            </w:pPr>
            <w:r w:rsidRPr="00F03935">
              <w:rPr>
                <w:bCs/>
                <w:sz w:val="24"/>
                <w:szCs w:val="24"/>
                <w:lang w:eastAsia="en-US"/>
              </w:rPr>
              <w:t xml:space="preserve">Subjektiem, uz kuriem attiecas Likumprojekts un kuri pašlaik nav finanšu un kapitāla tirgus dalībnieki (uzraudzītie tirgus dalībnieki), pozitīvs ISDA atzinums par Latvijas tiesisko regulējumu dos iespējas samazināt </w:t>
            </w:r>
            <w:r w:rsidR="00F0330C" w:rsidRPr="00F03935">
              <w:rPr>
                <w:bCs/>
                <w:sz w:val="24"/>
                <w:szCs w:val="24"/>
                <w:lang w:eastAsia="en-US"/>
              </w:rPr>
              <w:t xml:space="preserve">savas </w:t>
            </w:r>
            <w:r w:rsidRPr="00F03935">
              <w:rPr>
                <w:bCs/>
                <w:sz w:val="24"/>
                <w:szCs w:val="24"/>
                <w:lang w:eastAsia="en-US"/>
              </w:rPr>
              <w:t xml:space="preserve">izmaksas, jo </w:t>
            </w:r>
            <w:r w:rsidR="00F0330C" w:rsidRPr="00F03935">
              <w:rPr>
                <w:bCs/>
                <w:sz w:val="24"/>
                <w:szCs w:val="24"/>
                <w:lang w:eastAsia="en-US"/>
              </w:rPr>
              <w:t xml:space="preserve">uz labvēlīgākiem noteikumiem </w:t>
            </w:r>
            <w:r w:rsidR="00DE06E7" w:rsidRPr="00F03935">
              <w:rPr>
                <w:bCs/>
                <w:sz w:val="24"/>
                <w:szCs w:val="24"/>
                <w:lang w:eastAsia="en-US"/>
              </w:rPr>
              <w:t xml:space="preserve">tiem </w:t>
            </w:r>
            <w:r w:rsidR="00F0330C" w:rsidRPr="00F03935">
              <w:rPr>
                <w:bCs/>
                <w:sz w:val="24"/>
                <w:szCs w:val="24"/>
                <w:lang w:eastAsia="en-US"/>
              </w:rPr>
              <w:t>būs iespējams finansēt uzņēmējdarbību (piemēram, slēdzot</w:t>
            </w:r>
            <w:r w:rsidR="00387076" w:rsidRPr="00F03935">
              <w:rPr>
                <w:bCs/>
                <w:sz w:val="24"/>
                <w:szCs w:val="24"/>
                <w:lang w:eastAsia="en-US"/>
              </w:rPr>
              <w:t xml:space="preserve"> iespēju (</w:t>
            </w:r>
            <w:r w:rsidR="00F0330C" w:rsidRPr="00F03935">
              <w:rPr>
                <w:bCs/>
                <w:sz w:val="24"/>
                <w:szCs w:val="24"/>
                <w:lang w:eastAsia="en-US"/>
              </w:rPr>
              <w:t>opcijas</w:t>
            </w:r>
            <w:r w:rsidR="00387076" w:rsidRPr="00F03935">
              <w:rPr>
                <w:bCs/>
                <w:sz w:val="24"/>
                <w:szCs w:val="24"/>
                <w:lang w:eastAsia="en-US"/>
              </w:rPr>
              <w:t>)</w:t>
            </w:r>
            <w:r w:rsidR="00F0330C" w:rsidRPr="00F03935">
              <w:rPr>
                <w:bCs/>
                <w:sz w:val="24"/>
                <w:szCs w:val="24"/>
                <w:lang w:eastAsia="en-US"/>
              </w:rPr>
              <w:t xml:space="preserve"> līgumus par </w:t>
            </w:r>
            <w:r w:rsidR="00387076" w:rsidRPr="00F03935">
              <w:rPr>
                <w:bCs/>
                <w:sz w:val="24"/>
                <w:szCs w:val="24"/>
                <w:lang w:eastAsia="en-US"/>
              </w:rPr>
              <w:t>aktīvu iegādi vai pārdošanu</w:t>
            </w:r>
            <w:r w:rsidR="00F0330C" w:rsidRPr="00F03935">
              <w:rPr>
                <w:bCs/>
                <w:sz w:val="24"/>
                <w:szCs w:val="24"/>
                <w:lang w:eastAsia="en-US"/>
              </w:rPr>
              <w:t>)</w:t>
            </w:r>
            <w:r w:rsidR="00387076" w:rsidRPr="00F03935">
              <w:rPr>
                <w:bCs/>
                <w:sz w:val="24"/>
                <w:szCs w:val="24"/>
                <w:lang w:eastAsia="en-US"/>
              </w:rPr>
              <w:t>.</w:t>
            </w:r>
          </w:p>
          <w:p w:rsidR="00073450" w:rsidRPr="00F03935" w:rsidRDefault="0093399E" w:rsidP="002B649F">
            <w:pPr>
              <w:pStyle w:val="ListParagraph"/>
              <w:tabs>
                <w:tab w:val="left" w:pos="317"/>
              </w:tabs>
              <w:spacing w:before="60" w:after="60"/>
              <w:ind w:left="34" w:firstLine="277"/>
              <w:jc w:val="both"/>
              <w:rPr>
                <w:bCs/>
                <w:sz w:val="24"/>
                <w:szCs w:val="24"/>
                <w:lang w:eastAsia="en-US"/>
              </w:rPr>
            </w:pPr>
            <w:r w:rsidRPr="00F03935">
              <w:rPr>
                <w:sz w:val="24"/>
                <w:szCs w:val="24"/>
              </w:rPr>
              <w:t xml:space="preserve">Paredzams, ka jaunais regulējums radīs pozitīvu ietekmi uz uzņēmējdarbības vidi, un </w:t>
            </w:r>
            <w:r w:rsidRPr="00F03935">
              <w:rPr>
                <w:bCs/>
                <w:sz w:val="24"/>
                <w:szCs w:val="24"/>
              </w:rPr>
              <w:t>regulējumam paredzama labvēlīga ietekme uz ekonomiku kopumā.</w:t>
            </w:r>
          </w:p>
        </w:tc>
      </w:tr>
      <w:tr w:rsidR="00261ED1" w:rsidRPr="00F03935" w:rsidTr="00B55107">
        <w:tc>
          <w:tcPr>
            <w:tcW w:w="396" w:type="dxa"/>
            <w:tcBorders>
              <w:top w:val="single" w:sz="4" w:space="0" w:color="auto"/>
              <w:left w:val="single" w:sz="4" w:space="0" w:color="auto"/>
              <w:bottom w:val="single" w:sz="4" w:space="0" w:color="auto"/>
              <w:right w:val="single" w:sz="4" w:space="0" w:color="auto"/>
            </w:tcBorders>
            <w:shd w:val="clear" w:color="auto" w:fill="auto"/>
          </w:tcPr>
          <w:p w:rsidR="00261ED1" w:rsidRPr="00F03935" w:rsidRDefault="00261ED1" w:rsidP="005D4842">
            <w:pPr>
              <w:jc w:val="center"/>
            </w:pPr>
            <w:r w:rsidRPr="00F03935">
              <w:lastRenderedPageBreak/>
              <w:t>3.</w:t>
            </w:r>
          </w:p>
        </w:tc>
        <w:tc>
          <w:tcPr>
            <w:tcW w:w="2689" w:type="dxa"/>
            <w:tcBorders>
              <w:top w:val="single" w:sz="4" w:space="0" w:color="auto"/>
              <w:left w:val="single" w:sz="4" w:space="0" w:color="auto"/>
              <w:bottom w:val="single" w:sz="4" w:space="0" w:color="auto"/>
              <w:right w:val="single" w:sz="4" w:space="0" w:color="auto"/>
            </w:tcBorders>
            <w:shd w:val="clear" w:color="auto" w:fill="auto"/>
          </w:tcPr>
          <w:p w:rsidR="00261ED1" w:rsidRPr="00F03935" w:rsidRDefault="00261ED1" w:rsidP="005D4842">
            <w:pPr>
              <w:rPr>
                <w:rFonts w:ascii="Arial" w:hAnsi="Arial" w:cs="Arial"/>
              </w:rPr>
            </w:pPr>
            <w:r w:rsidRPr="00F03935">
              <w:t>Administratīvo izmaksu monetārs novērtējums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E06E7" w:rsidRPr="00F03935" w:rsidRDefault="00DE06E7" w:rsidP="00CF7D8B">
            <w:pPr>
              <w:ind w:firstLine="311"/>
              <w:jc w:val="both"/>
              <w:rPr>
                <w:bCs/>
                <w:lang w:eastAsia="en-US"/>
              </w:rPr>
            </w:pPr>
            <w:r w:rsidRPr="00F03935">
              <w:rPr>
                <w:rFonts w:eastAsia="Times New Roman"/>
              </w:rPr>
              <w:t>Likumprojektā ietvertais izslēdzošā ieskaita mehānisms ir izmantojams pēc nepieciešamības</w:t>
            </w:r>
            <w:r w:rsidR="00EC60B8">
              <w:rPr>
                <w:rFonts w:eastAsia="Times New Roman"/>
              </w:rPr>
              <w:t>, un šo mehānismu piemērojot, viena darījuma puse izlieto savu</w:t>
            </w:r>
            <w:r w:rsidR="009F5A10" w:rsidRPr="00F03935">
              <w:rPr>
                <w:rFonts w:eastAsia="Times New Roman"/>
              </w:rPr>
              <w:t xml:space="preserve"> </w:t>
            </w:r>
            <w:r w:rsidR="00EC60B8">
              <w:rPr>
                <w:rFonts w:eastAsia="Times New Roman"/>
              </w:rPr>
              <w:t>tiesību, kas tai izriet no izslēdzošā ieskaita līguma</w:t>
            </w:r>
            <w:r w:rsidRPr="00F03935">
              <w:rPr>
                <w:rFonts w:eastAsia="Times New Roman"/>
              </w:rPr>
              <w:t>. Izslēdzoš</w:t>
            </w:r>
            <w:r w:rsidR="001A1B73" w:rsidRPr="00F03935">
              <w:rPr>
                <w:rFonts w:eastAsia="Times New Roman"/>
              </w:rPr>
              <w:t>ā</w:t>
            </w:r>
            <w:r w:rsidR="00E24439" w:rsidRPr="00F03935">
              <w:rPr>
                <w:rFonts w:eastAsia="Times New Roman"/>
              </w:rPr>
              <w:t xml:space="preserve"> iesk</w:t>
            </w:r>
            <w:r w:rsidR="001A1B73" w:rsidRPr="00F03935">
              <w:rPr>
                <w:rFonts w:eastAsia="Times New Roman"/>
              </w:rPr>
              <w:t>aita piemērošana</w:t>
            </w:r>
            <w:r w:rsidR="00E24439" w:rsidRPr="00F03935">
              <w:rPr>
                <w:rFonts w:eastAsia="Times New Roman"/>
              </w:rPr>
              <w:t xml:space="preserve"> tiek</w:t>
            </w:r>
            <w:r w:rsidRPr="00F03935">
              <w:rPr>
                <w:rFonts w:eastAsia="Times New Roman"/>
              </w:rPr>
              <w:t xml:space="preserve"> </w:t>
            </w:r>
            <w:r w:rsidR="009F5A10" w:rsidRPr="00F03935">
              <w:rPr>
                <w:rFonts w:eastAsia="Times New Roman"/>
              </w:rPr>
              <w:t>uzsā</w:t>
            </w:r>
            <w:r w:rsidR="001A1B73" w:rsidRPr="00F03935">
              <w:rPr>
                <w:rFonts w:eastAsia="Times New Roman"/>
              </w:rPr>
              <w:t>kta</w:t>
            </w:r>
            <w:r w:rsidR="00E24439" w:rsidRPr="00F03935">
              <w:rPr>
                <w:rFonts w:eastAsia="Times New Roman"/>
              </w:rPr>
              <w:t xml:space="preserve"> tikai</w:t>
            </w:r>
            <w:r w:rsidR="00EC60B8">
              <w:rPr>
                <w:rFonts w:eastAsia="Times New Roman"/>
              </w:rPr>
              <w:t xml:space="preserve"> pēc ta</w:t>
            </w:r>
            <w:r w:rsidR="00443ADD">
              <w:rPr>
                <w:rFonts w:eastAsia="Times New Roman"/>
              </w:rPr>
              <w:t xml:space="preserve">m, kad </w:t>
            </w:r>
            <w:r w:rsidR="00CF7D8B">
              <w:rPr>
                <w:rFonts w:eastAsia="Times New Roman"/>
              </w:rPr>
              <w:t>viens līdzējs</w:t>
            </w:r>
            <w:r w:rsidR="00E24439" w:rsidRPr="00F03935">
              <w:rPr>
                <w:rFonts w:eastAsia="Times New Roman"/>
              </w:rPr>
              <w:t xml:space="preserve">, </w:t>
            </w:r>
            <w:r w:rsidR="001A1B73" w:rsidRPr="00F03935">
              <w:t xml:space="preserve">iestājoties izpildes notikumam, </w:t>
            </w:r>
            <w:r w:rsidR="009F5A10" w:rsidRPr="00F03935">
              <w:t>izmanto</w:t>
            </w:r>
            <w:r w:rsidR="000501D4" w:rsidRPr="00F03935">
              <w:t xml:space="preserve"> izslēdzošā ieskaita</w:t>
            </w:r>
            <w:r w:rsidR="009F5A10" w:rsidRPr="00F03935">
              <w:t xml:space="preserve"> līgumā noteiktās tiesības</w:t>
            </w:r>
            <w:r w:rsidR="001A1B73" w:rsidRPr="00F03935">
              <w:t>.</w:t>
            </w:r>
            <w:r w:rsidR="009F5A10" w:rsidRPr="00F03935">
              <w:t xml:space="preserve"> </w:t>
            </w:r>
            <w:r w:rsidRPr="00F03935">
              <w:rPr>
                <w:rFonts w:eastAsia="Times New Roman"/>
              </w:rPr>
              <w:t>Tādējādi administratīvās izmaksas nerodas automātiski</w:t>
            </w:r>
            <w:r w:rsidR="009F5A10" w:rsidRPr="00F03935">
              <w:rPr>
                <w:rFonts w:eastAsia="Times New Roman"/>
              </w:rPr>
              <w:t xml:space="preserve">. Tā kā </w:t>
            </w:r>
            <w:r w:rsidR="00EC60B8">
              <w:rPr>
                <w:rFonts w:eastAsia="Times New Roman"/>
              </w:rPr>
              <w:t xml:space="preserve">jautājums par </w:t>
            </w:r>
            <w:r w:rsidR="009F5A10" w:rsidRPr="00F03935">
              <w:rPr>
                <w:rFonts w:eastAsia="Times New Roman"/>
              </w:rPr>
              <w:t>administratīv</w:t>
            </w:r>
            <w:r w:rsidR="00EC60B8">
              <w:rPr>
                <w:rFonts w:eastAsia="Times New Roman"/>
              </w:rPr>
              <w:t>ajām izmaksām</w:t>
            </w:r>
            <w:r w:rsidR="009F5A10" w:rsidRPr="00F03935">
              <w:rPr>
                <w:rFonts w:eastAsia="Times New Roman"/>
              </w:rPr>
              <w:t xml:space="preserve"> tiek regulē</w:t>
            </w:r>
            <w:r w:rsidR="00EC60B8">
              <w:rPr>
                <w:rFonts w:eastAsia="Times New Roman"/>
              </w:rPr>
              <w:t>t</w:t>
            </w:r>
            <w:r w:rsidR="009F5A10" w:rsidRPr="00F03935">
              <w:rPr>
                <w:rFonts w:eastAsia="Times New Roman"/>
              </w:rPr>
              <w:t>s izslēdzošā ieskaita līgumā, nav iespējams aplēst iespējamās administratīvās izmaksas sakarā ar izslēdzošā ieskaita piemērošanu katrā individuālajā gadījumā, jo šis jautājums ietilpst pušu privātautonomijas sfērā.</w:t>
            </w:r>
          </w:p>
        </w:tc>
      </w:tr>
      <w:tr w:rsidR="00CC1261" w:rsidRPr="00F03935" w:rsidTr="00B55107">
        <w:tc>
          <w:tcPr>
            <w:tcW w:w="396" w:type="dxa"/>
            <w:tcBorders>
              <w:top w:val="single" w:sz="4" w:space="0" w:color="auto"/>
              <w:left w:val="single" w:sz="4" w:space="0" w:color="auto"/>
              <w:bottom w:val="single" w:sz="4" w:space="0" w:color="auto"/>
              <w:right w:val="single" w:sz="4" w:space="0" w:color="auto"/>
            </w:tcBorders>
            <w:shd w:val="clear" w:color="auto" w:fill="auto"/>
          </w:tcPr>
          <w:p w:rsidR="00CC1261" w:rsidRPr="00F03935" w:rsidRDefault="00CC1261" w:rsidP="005D4842">
            <w:pPr>
              <w:jc w:val="center"/>
            </w:pPr>
            <w:r w:rsidRPr="00F03935">
              <w:t>4.</w:t>
            </w:r>
          </w:p>
        </w:tc>
        <w:tc>
          <w:tcPr>
            <w:tcW w:w="2689" w:type="dxa"/>
            <w:tcBorders>
              <w:top w:val="single" w:sz="4" w:space="0" w:color="auto"/>
              <w:left w:val="single" w:sz="4" w:space="0" w:color="auto"/>
              <w:bottom w:val="single" w:sz="4" w:space="0" w:color="auto"/>
              <w:right w:val="single" w:sz="4" w:space="0" w:color="auto"/>
            </w:tcBorders>
            <w:shd w:val="clear" w:color="auto" w:fill="auto"/>
          </w:tcPr>
          <w:p w:rsidR="00CC1261" w:rsidRPr="00F03935" w:rsidRDefault="00CC1261" w:rsidP="005D4842">
            <w:r w:rsidRPr="00F03935">
              <w:t>Atbilstības izmaksu monetārs novērtējums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C1261" w:rsidRPr="00F03935" w:rsidRDefault="00CC1261" w:rsidP="00C314DD">
            <w:pPr>
              <w:pStyle w:val="ListParagraph"/>
              <w:tabs>
                <w:tab w:val="left" w:pos="317"/>
              </w:tabs>
              <w:spacing w:before="60" w:after="60"/>
              <w:ind w:left="0"/>
              <w:jc w:val="both"/>
              <w:rPr>
                <w:bCs/>
                <w:sz w:val="24"/>
                <w:szCs w:val="24"/>
                <w:lang w:eastAsia="en-US"/>
              </w:rPr>
            </w:pPr>
            <w:r w:rsidRPr="00F03935">
              <w:rPr>
                <w:bCs/>
                <w:sz w:val="24"/>
                <w:szCs w:val="24"/>
                <w:lang w:eastAsia="en-US"/>
              </w:rPr>
              <w:t>Projekts šo jomu neskar.</w:t>
            </w:r>
          </w:p>
        </w:tc>
      </w:tr>
      <w:tr w:rsidR="00261ED1" w:rsidRPr="00F03935" w:rsidTr="00B55107">
        <w:tc>
          <w:tcPr>
            <w:tcW w:w="396" w:type="dxa"/>
            <w:tcBorders>
              <w:top w:val="single" w:sz="4" w:space="0" w:color="auto"/>
              <w:left w:val="single" w:sz="4" w:space="0" w:color="auto"/>
              <w:bottom w:val="single" w:sz="4" w:space="0" w:color="auto"/>
              <w:right w:val="single" w:sz="4" w:space="0" w:color="auto"/>
            </w:tcBorders>
            <w:shd w:val="clear" w:color="auto" w:fill="auto"/>
          </w:tcPr>
          <w:p w:rsidR="00261ED1" w:rsidRPr="00F03935" w:rsidRDefault="00CC1261" w:rsidP="005D4842">
            <w:pPr>
              <w:jc w:val="center"/>
            </w:pPr>
            <w:r w:rsidRPr="00F03935">
              <w:t>5</w:t>
            </w:r>
            <w:r w:rsidR="00261ED1" w:rsidRPr="00F03935">
              <w:t>.</w:t>
            </w:r>
          </w:p>
        </w:tc>
        <w:tc>
          <w:tcPr>
            <w:tcW w:w="2689" w:type="dxa"/>
            <w:tcBorders>
              <w:top w:val="single" w:sz="4" w:space="0" w:color="auto"/>
              <w:left w:val="single" w:sz="4" w:space="0" w:color="auto"/>
              <w:bottom w:val="single" w:sz="4" w:space="0" w:color="auto"/>
              <w:right w:val="single" w:sz="4" w:space="0" w:color="auto"/>
            </w:tcBorders>
            <w:shd w:val="clear" w:color="auto" w:fill="auto"/>
          </w:tcPr>
          <w:p w:rsidR="00261ED1" w:rsidRPr="00F03935" w:rsidRDefault="00261ED1" w:rsidP="005D4842">
            <w:pPr>
              <w:rPr>
                <w:rFonts w:ascii="Arial" w:hAnsi="Arial" w:cs="Arial"/>
              </w:rPr>
            </w:pPr>
            <w:r w:rsidRPr="00F03935">
              <w:t>Cita informācija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261ED1" w:rsidRPr="00F03935" w:rsidRDefault="0061539D" w:rsidP="005D4842">
            <w:pPr>
              <w:pStyle w:val="ListParagraph"/>
              <w:tabs>
                <w:tab w:val="left" w:pos="317"/>
              </w:tabs>
              <w:spacing w:before="60" w:after="60"/>
              <w:ind w:left="34"/>
              <w:jc w:val="both"/>
              <w:rPr>
                <w:bCs/>
                <w:sz w:val="24"/>
                <w:szCs w:val="24"/>
                <w:lang w:eastAsia="en-US"/>
              </w:rPr>
            </w:pPr>
            <w:r w:rsidRPr="00F03935">
              <w:rPr>
                <w:bCs/>
                <w:sz w:val="24"/>
                <w:szCs w:val="24"/>
                <w:lang w:eastAsia="en-US"/>
              </w:rPr>
              <w:t>Nav.</w:t>
            </w:r>
          </w:p>
        </w:tc>
      </w:tr>
    </w:tbl>
    <w:p w:rsidR="00100631" w:rsidRPr="00F03935" w:rsidRDefault="00100631" w:rsidP="00FF2F2A">
      <w:pPr>
        <w:jc w:val="both"/>
        <w:rPr>
          <w:highlight w:val="lightGray"/>
        </w:rPr>
      </w:pPr>
    </w:p>
    <w:tbl>
      <w:tblPr>
        <w:tblW w:w="5000" w:type="pct"/>
        <w:tblInd w:w="-60"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9083"/>
      </w:tblGrid>
      <w:tr w:rsidR="004F1AEB" w:rsidRPr="00F03935" w:rsidTr="009A7C90">
        <w:trPr>
          <w:trHeight w:val="360"/>
        </w:trPr>
        <w:tc>
          <w:tcPr>
            <w:tcW w:w="5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F1AEB" w:rsidRPr="00F03935" w:rsidRDefault="004F1AEB" w:rsidP="004F1AEB">
            <w:pPr>
              <w:spacing w:before="100" w:beforeAutospacing="1" w:after="100" w:afterAutospacing="1" w:line="293" w:lineRule="atLeast"/>
              <w:jc w:val="center"/>
              <w:rPr>
                <w:rFonts w:eastAsia="Times New Roman"/>
                <w:b/>
                <w:bCs/>
              </w:rPr>
            </w:pPr>
            <w:r w:rsidRPr="00F03935">
              <w:rPr>
                <w:rFonts w:eastAsia="Times New Roman"/>
                <w:b/>
                <w:bCs/>
              </w:rPr>
              <w:t>III. Tiesību akta projekta ietekme uz valsts budžetu un pašvaldību budžetiem</w:t>
            </w:r>
          </w:p>
        </w:tc>
      </w:tr>
      <w:tr w:rsidR="00681C00" w:rsidRPr="00F03935" w:rsidTr="009A7C90">
        <w:trPr>
          <w:trHeight w:val="360"/>
        </w:trPr>
        <w:tc>
          <w:tcPr>
            <w:tcW w:w="5000"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681C00" w:rsidRPr="00F03935" w:rsidRDefault="00681C00" w:rsidP="004F1AEB">
            <w:pPr>
              <w:spacing w:before="100" w:beforeAutospacing="1" w:after="100" w:afterAutospacing="1" w:line="293" w:lineRule="atLeast"/>
              <w:jc w:val="center"/>
              <w:rPr>
                <w:rFonts w:eastAsia="Times New Roman"/>
                <w:bCs/>
              </w:rPr>
            </w:pPr>
            <w:r w:rsidRPr="00F03935">
              <w:rPr>
                <w:rFonts w:eastAsia="Times New Roman"/>
                <w:bCs/>
              </w:rPr>
              <w:t>Projekts šo jomu neskar</w:t>
            </w:r>
            <w:r w:rsidR="00A31343" w:rsidRPr="00F03935">
              <w:rPr>
                <w:rFonts w:eastAsia="Times New Roman"/>
                <w:bCs/>
              </w:rPr>
              <w:t>.</w:t>
            </w:r>
          </w:p>
        </w:tc>
      </w:tr>
    </w:tbl>
    <w:p w:rsidR="00AE33BF" w:rsidRPr="00F03935" w:rsidRDefault="00AE33BF" w:rsidP="00B42B35">
      <w:pPr>
        <w:jc w:val="both"/>
      </w:pPr>
    </w:p>
    <w:tbl>
      <w:tblPr>
        <w:tblW w:w="5000" w:type="pct"/>
        <w:tblInd w:w="-60"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96"/>
        <w:gridCol w:w="2529"/>
        <w:gridCol w:w="5958"/>
      </w:tblGrid>
      <w:tr w:rsidR="00B42B35" w:rsidRPr="00F03935" w:rsidTr="009A7C90">
        <w:tc>
          <w:tcPr>
            <w:tcW w:w="500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B42B35" w:rsidRPr="00F03935" w:rsidRDefault="00B42B35" w:rsidP="00B42B35">
            <w:pPr>
              <w:spacing w:before="100" w:beforeAutospacing="1" w:after="100" w:afterAutospacing="1" w:line="293" w:lineRule="atLeast"/>
              <w:jc w:val="center"/>
              <w:rPr>
                <w:rFonts w:eastAsia="Times New Roman"/>
                <w:b/>
                <w:bCs/>
                <w:szCs w:val="20"/>
              </w:rPr>
            </w:pPr>
            <w:r w:rsidRPr="00F03935">
              <w:rPr>
                <w:rFonts w:eastAsia="Times New Roman"/>
                <w:b/>
                <w:bCs/>
                <w:szCs w:val="20"/>
              </w:rPr>
              <w:t>IV. Tiesību akta projekta ietekme uz spēkā esošo tiesību normu sistēmu</w:t>
            </w:r>
          </w:p>
        </w:tc>
      </w:tr>
      <w:tr w:rsidR="00B42B35" w:rsidRPr="00F03935" w:rsidTr="00204991">
        <w:tc>
          <w:tcPr>
            <w:tcW w:w="328" w:type="pct"/>
            <w:tcBorders>
              <w:top w:val="outset" w:sz="6" w:space="0" w:color="414142"/>
              <w:left w:val="outset" w:sz="6" w:space="0" w:color="414142"/>
              <w:bottom w:val="outset" w:sz="6" w:space="0" w:color="414142"/>
              <w:right w:val="outset" w:sz="6" w:space="0" w:color="414142"/>
            </w:tcBorders>
            <w:shd w:val="clear" w:color="auto" w:fill="FFFFFF"/>
            <w:hideMark/>
          </w:tcPr>
          <w:p w:rsidR="00B42B35" w:rsidRPr="00F03935" w:rsidRDefault="00B42B35" w:rsidP="00B42B35">
            <w:pPr>
              <w:spacing w:before="100" w:beforeAutospacing="1" w:after="100" w:afterAutospacing="1" w:line="293" w:lineRule="atLeast"/>
              <w:jc w:val="center"/>
              <w:rPr>
                <w:rFonts w:eastAsia="Times New Roman"/>
                <w:szCs w:val="20"/>
              </w:rPr>
            </w:pPr>
            <w:r w:rsidRPr="00F03935">
              <w:rPr>
                <w:rFonts w:eastAsia="Times New Roman"/>
                <w:szCs w:val="20"/>
              </w:rPr>
              <w:lastRenderedPageBreak/>
              <w:t>1.</w:t>
            </w:r>
          </w:p>
        </w:tc>
        <w:tc>
          <w:tcPr>
            <w:tcW w:w="1392" w:type="pct"/>
            <w:tcBorders>
              <w:top w:val="outset" w:sz="6" w:space="0" w:color="414142"/>
              <w:left w:val="outset" w:sz="6" w:space="0" w:color="414142"/>
              <w:bottom w:val="outset" w:sz="6" w:space="0" w:color="414142"/>
              <w:right w:val="outset" w:sz="6" w:space="0" w:color="414142"/>
            </w:tcBorders>
            <w:shd w:val="clear" w:color="auto" w:fill="FFFFFF"/>
            <w:hideMark/>
          </w:tcPr>
          <w:p w:rsidR="00B42B35" w:rsidRPr="00F03935" w:rsidRDefault="00B42B35" w:rsidP="00B42B35">
            <w:pPr>
              <w:rPr>
                <w:rFonts w:eastAsia="Times New Roman"/>
                <w:szCs w:val="20"/>
              </w:rPr>
            </w:pPr>
            <w:r w:rsidRPr="00F03935">
              <w:rPr>
                <w:rFonts w:eastAsia="Times New Roman"/>
                <w:szCs w:val="20"/>
              </w:rPr>
              <w:t>Saistītie tiesību aktu projekti</w:t>
            </w:r>
          </w:p>
        </w:tc>
        <w:tc>
          <w:tcPr>
            <w:tcW w:w="3280" w:type="pct"/>
            <w:tcBorders>
              <w:top w:val="outset" w:sz="6" w:space="0" w:color="414142"/>
              <w:left w:val="outset" w:sz="6" w:space="0" w:color="414142"/>
              <w:bottom w:val="outset" w:sz="6" w:space="0" w:color="414142"/>
              <w:right w:val="outset" w:sz="6" w:space="0" w:color="414142"/>
            </w:tcBorders>
            <w:shd w:val="clear" w:color="auto" w:fill="FFFFFF"/>
            <w:hideMark/>
          </w:tcPr>
          <w:p w:rsidR="00AC56E7" w:rsidRPr="00F03935" w:rsidRDefault="00574337" w:rsidP="00CF7D8B">
            <w:pPr>
              <w:ind w:right="61"/>
              <w:jc w:val="both"/>
              <w:rPr>
                <w:szCs w:val="20"/>
              </w:rPr>
            </w:pPr>
            <w:r>
              <w:rPr>
                <w:spacing w:val="2"/>
                <w:shd w:val="clear" w:color="auto" w:fill="FFFFFF"/>
              </w:rPr>
              <w:t>Likumprojekts</w:t>
            </w:r>
            <w:r w:rsidR="00CF7D8B">
              <w:rPr>
                <w:spacing w:val="2"/>
                <w:shd w:val="clear" w:color="auto" w:fill="FFFFFF"/>
              </w:rPr>
              <w:t>,</w:t>
            </w:r>
            <w:r>
              <w:rPr>
                <w:spacing w:val="2"/>
                <w:shd w:val="clear" w:color="auto" w:fill="FFFFFF"/>
              </w:rPr>
              <w:t xml:space="preserve"> </w:t>
            </w:r>
            <w:r w:rsidRPr="00F03935">
              <w:rPr>
                <w:spacing w:val="2"/>
                <w:shd w:val="clear" w:color="auto" w:fill="FFFFFF"/>
              </w:rPr>
              <w:t xml:space="preserve">likumprojekts </w:t>
            </w:r>
            <w:r w:rsidR="002B649F">
              <w:rPr>
                <w:spacing w:val="2"/>
                <w:shd w:val="clear" w:color="auto" w:fill="FFFFFF"/>
              </w:rPr>
              <w:t>„</w:t>
            </w:r>
            <w:r>
              <w:rPr>
                <w:spacing w:val="2"/>
                <w:shd w:val="clear" w:color="auto" w:fill="FFFFFF"/>
              </w:rPr>
              <w:t>Grozījumi Maksātnespējas likumā</w:t>
            </w:r>
            <w:r w:rsidRPr="000F6F76">
              <w:rPr>
                <w:spacing w:val="2"/>
                <w:shd w:val="clear" w:color="auto" w:fill="FFFFFF"/>
              </w:rPr>
              <w:t>”</w:t>
            </w:r>
            <w:r>
              <w:rPr>
                <w:spacing w:val="2"/>
                <w:shd w:val="clear" w:color="auto" w:fill="FFFFFF"/>
              </w:rPr>
              <w:t xml:space="preserve"> </w:t>
            </w:r>
            <w:r w:rsidR="00CF7D8B">
              <w:rPr>
                <w:spacing w:val="2"/>
                <w:shd w:val="clear" w:color="auto" w:fill="FFFFFF"/>
              </w:rPr>
              <w:t xml:space="preserve">likumprojekts „Grozījumi Kredītiestāžu likumā”, likumprojekts „Grozīijumi </w:t>
            </w:r>
            <w:r w:rsidR="00CF7D8B" w:rsidRPr="006F3DB3">
              <w:rPr>
                <w:rFonts w:cs="Arial"/>
                <w:bCs/>
                <w:color w:val="000000" w:themeColor="text1"/>
                <w:szCs w:val="20"/>
              </w:rPr>
              <w:t>Kredītiestāžu un ieguldījumu brokeru sabiedrību darbības atjaunošanas un noregulējuma likum</w:t>
            </w:r>
            <w:r w:rsidR="00CF7D8B">
              <w:rPr>
                <w:rFonts w:cs="Arial"/>
                <w:bCs/>
                <w:color w:val="000000" w:themeColor="text1"/>
                <w:szCs w:val="20"/>
              </w:rPr>
              <w:t xml:space="preserve">ā” un likumprojekts „Grozījumi </w:t>
            </w:r>
            <w:r w:rsidR="00CF7D8B">
              <w:rPr>
                <w:color w:val="000000" w:themeColor="text1"/>
                <w:szCs w:val="20"/>
              </w:rPr>
              <w:t>Apdrošināšanas un pārapdrošināšanas likumā”</w:t>
            </w:r>
            <w:r w:rsidR="00CF7D8B">
              <w:rPr>
                <w:spacing w:val="2"/>
                <w:shd w:val="clear" w:color="auto" w:fill="FFFFFF"/>
              </w:rPr>
              <w:t xml:space="preserve"> </w:t>
            </w:r>
            <w:r w:rsidRPr="007A191F">
              <w:rPr>
                <w:color w:val="000000" w:themeColor="text1"/>
              </w:rPr>
              <w:t>Ministru kabinetā un Saeimā skatāmi vienlaicīgi.</w:t>
            </w:r>
          </w:p>
        </w:tc>
      </w:tr>
      <w:tr w:rsidR="00B42B35" w:rsidRPr="00F03935" w:rsidTr="00204991">
        <w:tc>
          <w:tcPr>
            <w:tcW w:w="328" w:type="pct"/>
            <w:tcBorders>
              <w:top w:val="outset" w:sz="6" w:space="0" w:color="414142"/>
              <w:left w:val="outset" w:sz="6" w:space="0" w:color="414142"/>
              <w:bottom w:val="outset" w:sz="6" w:space="0" w:color="414142"/>
              <w:right w:val="outset" w:sz="6" w:space="0" w:color="414142"/>
            </w:tcBorders>
            <w:shd w:val="clear" w:color="auto" w:fill="FFFFFF"/>
            <w:hideMark/>
          </w:tcPr>
          <w:p w:rsidR="00B42B35" w:rsidRPr="00F03935" w:rsidRDefault="00B42B35" w:rsidP="00B42B35">
            <w:pPr>
              <w:spacing w:before="100" w:beforeAutospacing="1" w:after="100" w:afterAutospacing="1" w:line="293" w:lineRule="atLeast"/>
              <w:jc w:val="center"/>
              <w:rPr>
                <w:rFonts w:eastAsia="Times New Roman"/>
                <w:szCs w:val="20"/>
              </w:rPr>
            </w:pPr>
            <w:r w:rsidRPr="00F03935">
              <w:rPr>
                <w:rFonts w:eastAsia="Times New Roman"/>
                <w:szCs w:val="20"/>
              </w:rPr>
              <w:t>2.</w:t>
            </w:r>
          </w:p>
        </w:tc>
        <w:tc>
          <w:tcPr>
            <w:tcW w:w="1392" w:type="pct"/>
            <w:tcBorders>
              <w:top w:val="outset" w:sz="6" w:space="0" w:color="414142"/>
              <w:left w:val="outset" w:sz="6" w:space="0" w:color="414142"/>
              <w:bottom w:val="outset" w:sz="6" w:space="0" w:color="414142"/>
              <w:right w:val="outset" w:sz="6" w:space="0" w:color="414142"/>
            </w:tcBorders>
            <w:shd w:val="clear" w:color="auto" w:fill="FFFFFF"/>
            <w:hideMark/>
          </w:tcPr>
          <w:p w:rsidR="00B42B35" w:rsidRPr="00F03935" w:rsidRDefault="00B42B35" w:rsidP="00B42B35">
            <w:pPr>
              <w:rPr>
                <w:rFonts w:eastAsia="Times New Roman"/>
                <w:szCs w:val="20"/>
              </w:rPr>
            </w:pPr>
            <w:r w:rsidRPr="00F03935">
              <w:rPr>
                <w:rFonts w:eastAsia="Times New Roman"/>
                <w:szCs w:val="20"/>
              </w:rPr>
              <w:t>Atbildīgā institūcija</w:t>
            </w:r>
          </w:p>
        </w:tc>
        <w:tc>
          <w:tcPr>
            <w:tcW w:w="3280" w:type="pct"/>
            <w:tcBorders>
              <w:top w:val="outset" w:sz="6" w:space="0" w:color="414142"/>
              <w:left w:val="outset" w:sz="6" w:space="0" w:color="414142"/>
              <w:bottom w:val="outset" w:sz="6" w:space="0" w:color="414142"/>
              <w:right w:val="outset" w:sz="6" w:space="0" w:color="414142"/>
            </w:tcBorders>
            <w:shd w:val="clear" w:color="auto" w:fill="FFFFFF"/>
            <w:hideMark/>
          </w:tcPr>
          <w:p w:rsidR="00B42B35" w:rsidRPr="00F03935" w:rsidRDefault="00D3366A" w:rsidP="00B42B35">
            <w:pPr>
              <w:rPr>
                <w:rFonts w:eastAsia="Times New Roman"/>
                <w:szCs w:val="20"/>
              </w:rPr>
            </w:pPr>
            <w:r w:rsidRPr="00F03935">
              <w:rPr>
                <w:rFonts w:eastAsia="Times New Roman"/>
                <w:szCs w:val="20"/>
              </w:rPr>
              <w:t>Finanšu ministrija</w:t>
            </w:r>
            <w:r w:rsidR="00A31343" w:rsidRPr="00F03935">
              <w:rPr>
                <w:rFonts w:eastAsia="Times New Roman"/>
                <w:szCs w:val="20"/>
              </w:rPr>
              <w:t>.</w:t>
            </w:r>
          </w:p>
        </w:tc>
      </w:tr>
      <w:tr w:rsidR="00B42B35" w:rsidRPr="00F03935" w:rsidTr="00204991">
        <w:tc>
          <w:tcPr>
            <w:tcW w:w="328" w:type="pct"/>
            <w:tcBorders>
              <w:top w:val="outset" w:sz="6" w:space="0" w:color="414142"/>
              <w:left w:val="outset" w:sz="6" w:space="0" w:color="414142"/>
              <w:bottom w:val="outset" w:sz="6" w:space="0" w:color="414142"/>
              <w:right w:val="outset" w:sz="6" w:space="0" w:color="414142"/>
            </w:tcBorders>
            <w:shd w:val="clear" w:color="auto" w:fill="FFFFFF"/>
            <w:hideMark/>
          </w:tcPr>
          <w:p w:rsidR="00B42B35" w:rsidRPr="00F03935" w:rsidRDefault="00B42B35" w:rsidP="00B42B35">
            <w:pPr>
              <w:spacing w:before="100" w:beforeAutospacing="1" w:after="100" w:afterAutospacing="1" w:line="293" w:lineRule="atLeast"/>
              <w:jc w:val="center"/>
              <w:rPr>
                <w:rFonts w:eastAsia="Times New Roman"/>
                <w:szCs w:val="20"/>
              </w:rPr>
            </w:pPr>
            <w:r w:rsidRPr="00F03935">
              <w:rPr>
                <w:rFonts w:eastAsia="Times New Roman"/>
                <w:szCs w:val="20"/>
              </w:rPr>
              <w:t>3.</w:t>
            </w:r>
          </w:p>
        </w:tc>
        <w:tc>
          <w:tcPr>
            <w:tcW w:w="1392" w:type="pct"/>
            <w:tcBorders>
              <w:top w:val="outset" w:sz="6" w:space="0" w:color="414142"/>
              <w:left w:val="outset" w:sz="6" w:space="0" w:color="414142"/>
              <w:bottom w:val="outset" w:sz="6" w:space="0" w:color="414142"/>
              <w:right w:val="outset" w:sz="6" w:space="0" w:color="414142"/>
            </w:tcBorders>
            <w:shd w:val="clear" w:color="auto" w:fill="FFFFFF"/>
            <w:hideMark/>
          </w:tcPr>
          <w:p w:rsidR="00B42B35" w:rsidRPr="00F03935" w:rsidRDefault="00B42B35" w:rsidP="00B42B35">
            <w:pPr>
              <w:rPr>
                <w:rFonts w:eastAsia="Times New Roman"/>
                <w:szCs w:val="20"/>
              </w:rPr>
            </w:pPr>
            <w:r w:rsidRPr="00F03935">
              <w:rPr>
                <w:rFonts w:eastAsia="Times New Roman"/>
                <w:szCs w:val="20"/>
              </w:rPr>
              <w:t>Cita informācija</w:t>
            </w:r>
          </w:p>
        </w:tc>
        <w:tc>
          <w:tcPr>
            <w:tcW w:w="3280" w:type="pct"/>
            <w:tcBorders>
              <w:top w:val="outset" w:sz="6" w:space="0" w:color="414142"/>
              <w:left w:val="outset" w:sz="6" w:space="0" w:color="414142"/>
              <w:bottom w:val="outset" w:sz="6" w:space="0" w:color="414142"/>
              <w:right w:val="outset" w:sz="6" w:space="0" w:color="414142"/>
            </w:tcBorders>
            <w:shd w:val="clear" w:color="auto" w:fill="FFFFFF"/>
            <w:hideMark/>
          </w:tcPr>
          <w:p w:rsidR="00B42B35" w:rsidRPr="00F03935" w:rsidRDefault="00B42B35" w:rsidP="00B42B35">
            <w:pPr>
              <w:rPr>
                <w:rFonts w:eastAsia="Times New Roman"/>
                <w:szCs w:val="20"/>
              </w:rPr>
            </w:pPr>
            <w:r w:rsidRPr="00F03935">
              <w:rPr>
                <w:rFonts w:eastAsia="Times New Roman"/>
                <w:szCs w:val="20"/>
              </w:rPr>
              <w:t>Nav</w:t>
            </w:r>
            <w:r w:rsidR="00A31343" w:rsidRPr="00F03935">
              <w:rPr>
                <w:rFonts w:eastAsia="Times New Roman"/>
                <w:szCs w:val="20"/>
              </w:rPr>
              <w:t>.</w:t>
            </w:r>
          </w:p>
        </w:tc>
      </w:tr>
    </w:tbl>
    <w:p w:rsidR="00FF2F2A" w:rsidRPr="00F03935" w:rsidRDefault="00FF2F2A" w:rsidP="00FF2F2A">
      <w:pPr>
        <w:jc w:val="both"/>
      </w:pPr>
    </w:p>
    <w:tbl>
      <w:tblPr>
        <w:tblW w:w="92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3"/>
        <w:gridCol w:w="2838"/>
        <w:gridCol w:w="6033"/>
      </w:tblGrid>
      <w:tr w:rsidR="00DD1F5F" w:rsidRPr="00F03935" w:rsidTr="000C51E4">
        <w:trPr>
          <w:trHeight w:val="421"/>
        </w:trPr>
        <w:tc>
          <w:tcPr>
            <w:tcW w:w="9204" w:type="dxa"/>
            <w:gridSpan w:val="3"/>
            <w:vAlign w:val="center"/>
          </w:tcPr>
          <w:p w:rsidR="00DD1F5F" w:rsidRPr="00F03935" w:rsidRDefault="00DD1F5F" w:rsidP="00DD1F5F">
            <w:pPr>
              <w:pStyle w:val="naisnod"/>
              <w:spacing w:before="0" w:beforeAutospacing="0" w:after="0" w:afterAutospacing="0"/>
              <w:ind w:left="57" w:right="57"/>
              <w:jc w:val="center"/>
            </w:pPr>
            <w:r w:rsidRPr="00F03935">
              <w:rPr>
                <w:b/>
              </w:rPr>
              <w:t>V. Tiesību akta projekta atbilstība Latvijas Republikas starptautiskajām saistībām</w:t>
            </w:r>
          </w:p>
        </w:tc>
      </w:tr>
      <w:tr w:rsidR="00DD1F5F" w:rsidRPr="00F03935" w:rsidTr="000C51E4">
        <w:trPr>
          <w:trHeight w:val="553"/>
        </w:trPr>
        <w:tc>
          <w:tcPr>
            <w:tcW w:w="333" w:type="dxa"/>
          </w:tcPr>
          <w:p w:rsidR="00DD1F5F" w:rsidRPr="00F03935" w:rsidRDefault="00DD1F5F" w:rsidP="009C6BF2">
            <w:pPr>
              <w:ind w:left="57" w:right="57"/>
              <w:jc w:val="both"/>
              <w:rPr>
                <w:bCs/>
              </w:rPr>
            </w:pPr>
            <w:r w:rsidRPr="00F03935">
              <w:rPr>
                <w:bCs/>
              </w:rPr>
              <w:t>1.</w:t>
            </w:r>
          </w:p>
        </w:tc>
        <w:tc>
          <w:tcPr>
            <w:tcW w:w="2838" w:type="dxa"/>
          </w:tcPr>
          <w:p w:rsidR="00DD1F5F" w:rsidRPr="00F03935" w:rsidRDefault="00DD1F5F" w:rsidP="009C6BF2">
            <w:pPr>
              <w:ind w:left="57" w:right="57"/>
            </w:pPr>
            <w:r w:rsidRPr="00F03935">
              <w:t>Saistības pret Eiropas Savienību</w:t>
            </w:r>
          </w:p>
        </w:tc>
        <w:tc>
          <w:tcPr>
            <w:tcW w:w="6033" w:type="dxa"/>
          </w:tcPr>
          <w:p w:rsidR="00B42B35" w:rsidRPr="00F03935" w:rsidRDefault="00C261AF" w:rsidP="00556578">
            <w:pPr>
              <w:ind w:right="62" w:firstLine="364"/>
              <w:jc w:val="both"/>
              <w:rPr>
                <w:rFonts w:eastAsia="Times New Roman"/>
              </w:rPr>
            </w:pPr>
            <w:r w:rsidRPr="00F03935">
              <w:rPr>
                <w:bCs/>
              </w:rPr>
              <w:t>Ar Likumprojektu netiek pārņemtas vai ieviestas ES tiesību aktu konkrētas prasības.</w:t>
            </w:r>
            <w:r w:rsidR="00F03935" w:rsidRPr="00F03935">
              <w:rPr>
                <w:bCs/>
              </w:rPr>
              <w:t xml:space="preserve"> Vienlaikus </w:t>
            </w:r>
            <w:r w:rsidR="00B42B35" w:rsidRPr="00F03935">
              <w:rPr>
                <w:rFonts w:eastAsia="Times New Roman"/>
              </w:rPr>
              <w:t>Likum</w:t>
            </w:r>
            <w:r w:rsidRPr="00F03935">
              <w:rPr>
                <w:rFonts w:eastAsia="Times New Roman"/>
              </w:rPr>
              <w:t>projekt</w:t>
            </w:r>
            <w:r w:rsidR="00B42B35" w:rsidRPr="00F03935">
              <w:rPr>
                <w:rFonts w:eastAsia="Times New Roman"/>
              </w:rPr>
              <w:t xml:space="preserve">ā </w:t>
            </w:r>
            <w:r w:rsidR="009F5A10" w:rsidRPr="00F03935">
              <w:rPr>
                <w:rFonts w:eastAsia="Times New Roman"/>
              </w:rPr>
              <w:t xml:space="preserve">iekļautās </w:t>
            </w:r>
            <w:r w:rsidR="00B42B35" w:rsidRPr="00F03935">
              <w:rPr>
                <w:rFonts w:eastAsia="Times New Roman"/>
              </w:rPr>
              <w:t>tiesību normas</w:t>
            </w:r>
            <w:r w:rsidR="009F5A10" w:rsidRPr="00F03935">
              <w:rPr>
                <w:rFonts w:eastAsia="Times New Roman"/>
              </w:rPr>
              <w:t xml:space="preserve"> ir saska</w:t>
            </w:r>
            <w:r w:rsidR="00FB3792" w:rsidRPr="00F03935">
              <w:rPr>
                <w:rFonts w:eastAsia="Times New Roman"/>
              </w:rPr>
              <w:t>ņ</w:t>
            </w:r>
            <w:r w:rsidR="009F5A10" w:rsidRPr="00F03935">
              <w:rPr>
                <w:rFonts w:eastAsia="Times New Roman"/>
              </w:rPr>
              <w:t xml:space="preserve">otas ar </w:t>
            </w:r>
            <w:r w:rsidR="00FB3792" w:rsidRPr="00F03935">
              <w:rPr>
                <w:rFonts w:eastAsia="Times New Roman"/>
              </w:rPr>
              <w:t xml:space="preserve">jau </w:t>
            </w:r>
            <w:r w:rsidR="009F5A10" w:rsidRPr="00F03935">
              <w:rPr>
                <w:rFonts w:eastAsia="Times New Roman"/>
              </w:rPr>
              <w:t xml:space="preserve">spēkā esošajiem likumiem, </w:t>
            </w:r>
            <w:r w:rsidR="00FB3792" w:rsidRPr="00F03935">
              <w:rPr>
                <w:rFonts w:eastAsia="Times New Roman"/>
              </w:rPr>
              <w:t>kuros ieviestas Eiropas Savienības direktīvas un pārņemtas regulas</w:t>
            </w:r>
            <w:r w:rsidR="00B42B35" w:rsidRPr="00F03935">
              <w:rPr>
                <w:rFonts w:eastAsia="Times New Roman"/>
              </w:rPr>
              <w:t>:</w:t>
            </w:r>
          </w:p>
          <w:p w:rsidR="00B42B35" w:rsidRPr="00F03935" w:rsidRDefault="00B42B35" w:rsidP="00556578">
            <w:pPr>
              <w:pStyle w:val="ListParagraph"/>
              <w:numPr>
                <w:ilvl w:val="0"/>
                <w:numId w:val="7"/>
              </w:numPr>
              <w:ind w:left="481" w:right="62" w:hanging="450"/>
              <w:jc w:val="both"/>
              <w:rPr>
                <w:sz w:val="24"/>
                <w:szCs w:val="24"/>
              </w:rPr>
            </w:pPr>
            <w:r w:rsidRPr="00F03935">
              <w:rPr>
                <w:sz w:val="24"/>
                <w:szCs w:val="24"/>
              </w:rPr>
              <w:t>Eiropas Parlamenta un Padomes 2002.gada 6.jūnija direktīva 2002/47/EK par finanšu nodrošinājuma līgumiem;</w:t>
            </w:r>
          </w:p>
          <w:p w:rsidR="00B42B35" w:rsidRPr="00F03935" w:rsidRDefault="00B42B35" w:rsidP="00556578">
            <w:pPr>
              <w:pStyle w:val="ListParagraph"/>
              <w:numPr>
                <w:ilvl w:val="0"/>
                <w:numId w:val="7"/>
              </w:numPr>
              <w:ind w:left="481" w:right="62" w:hanging="450"/>
              <w:jc w:val="both"/>
              <w:rPr>
                <w:sz w:val="24"/>
                <w:szCs w:val="24"/>
              </w:rPr>
            </w:pPr>
            <w:r w:rsidRPr="00F03935">
              <w:rPr>
                <w:sz w:val="24"/>
                <w:szCs w:val="24"/>
              </w:rPr>
              <w:t>Eiropas Parlamenta un Padomes 2014.gada 15.maija direktīva 2014/65/ES par finanšu instrumentu tirgiem un ar ko groza Direktīvu 2002/92/ES un Direktīvu 2011/61/ES;</w:t>
            </w:r>
          </w:p>
          <w:p w:rsidR="00B42B35" w:rsidRPr="009D10E4" w:rsidRDefault="00B42B35" w:rsidP="00556578">
            <w:pPr>
              <w:pStyle w:val="ListParagraph"/>
              <w:numPr>
                <w:ilvl w:val="0"/>
                <w:numId w:val="7"/>
              </w:numPr>
              <w:ind w:left="481" w:right="62" w:hanging="450"/>
              <w:jc w:val="both"/>
              <w:rPr>
                <w:sz w:val="24"/>
                <w:szCs w:val="24"/>
              </w:rPr>
            </w:pPr>
            <w:r w:rsidRPr="00F03935">
              <w:rPr>
                <w:sz w:val="24"/>
                <w:szCs w:val="24"/>
              </w:rPr>
              <w:t xml:space="preserve">Eiropas Parlamenta un Padomes 2014.gada 15.maija direktīva 2014/59/ES, ar ko izveido kredītiestāžu un ieguldījumu brokeru sabiedrību atveseļošanas un noregulējuma režīmu un groza Padomes direktīvu 82/891/EEK un Eiropas Parlamenta un Padomes direktīvas 2001/24/EK, 2002/47/EK, 2004/25/EK, 2005/56/EK, 2007/36/EK, 2011/35/ES, 2012/30/ES un 2013/36/ES, un Eiropas Parlamenta un Padomes regulas </w:t>
            </w:r>
            <w:r w:rsidRPr="009D10E4">
              <w:rPr>
                <w:sz w:val="24"/>
                <w:szCs w:val="24"/>
              </w:rPr>
              <w:t>(ES) Nr.</w:t>
            </w:r>
            <w:r w:rsidR="002B649F">
              <w:rPr>
                <w:sz w:val="24"/>
                <w:szCs w:val="24"/>
              </w:rPr>
              <w:t> </w:t>
            </w:r>
            <w:r w:rsidRPr="009D10E4">
              <w:rPr>
                <w:sz w:val="24"/>
                <w:szCs w:val="24"/>
              </w:rPr>
              <w:t>1093/2010 un (ES) Nr.</w:t>
            </w:r>
            <w:r w:rsidR="002B649F">
              <w:rPr>
                <w:sz w:val="24"/>
                <w:szCs w:val="24"/>
              </w:rPr>
              <w:t> </w:t>
            </w:r>
            <w:r w:rsidRPr="009D10E4">
              <w:rPr>
                <w:sz w:val="24"/>
                <w:szCs w:val="24"/>
              </w:rPr>
              <w:t>648/2012;</w:t>
            </w:r>
          </w:p>
          <w:p w:rsidR="00B42B35" w:rsidRPr="009D10E4" w:rsidRDefault="00B42B35" w:rsidP="00556578">
            <w:pPr>
              <w:pStyle w:val="ListParagraph"/>
              <w:numPr>
                <w:ilvl w:val="0"/>
                <w:numId w:val="7"/>
              </w:numPr>
              <w:ind w:left="481" w:right="62" w:hanging="450"/>
              <w:jc w:val="both"/>
              <w:rPr>
                <w:sz w:val="24"/>
                <w:szCs w:val="24"/>
              </w:rPr>
            </w:pPr>
            <w:r w:rsidRPr="009D10E4">
              <w:rPr>
                <w:sz w:val="24"/>
                <w:szCs w:val="24"/>
              </w:rPr>
              <w:t>Eiropas Parlamenta un Padomes 2015.gada 20.maija regula (ES) Nr.</w:t>
            </w:r>
            <w:r w:rsidR="002B649F">
              <w:rPr>
                <w:sz w:val="24"/>
                <w:szCs w:val="24"/>
              </w:rPr>
              <w:t> </w:t>
            </w:r>
            <w:r w:rsidRPr="009D10E4">
              <w:rPr>
                <w:sz w:val="24"/>
                <w:szCs w:val="24"/>
              </w:rPr>
              <w:t>2015/848 par maksātnespējas procedūrām;</w:t>
            </w:r>
          </w:p>
          <w:p w:rsidR="008832C9" w:rsidRPr="00F03935" w:rsidRDefault="00B42B35" w:rsidP="002B649F">
            <w:pPr>
              <w:pStyle w:val="ListParagraph"/>
              <w:numPr>
                <w:ilvl w:val="0"/>
                <w:numId w:val="7"/>
              </w:numPr>
              <w:ind w:left="481" w:right="62" w:hanging="450"/>
              <w:jc w:val="both"/>
            </w:pPr>
            <w:r w:rsidRPr="00F03935">
              <w:rPr>
                <w:sz w:val="24"/>
                <w:szCs w:val="24"/>
              </w:rPr>
              <w:t xml:space="preserve">Eiropas Parlamenta un Padomes </w:t>
            </w:r>
            <w:r w:rsidR="00EC60B8" w:rsidRPr="00F03935">
              <w:rPr>
                <w:sz w:val="24"/>
                <w:szCs w:val="24"/>
              </w:rPr>
              <w:t>2013.gada 26.jūnij</w:t>
            </w:r>
            <w:r w:rsidR="00EC60B8">
              <w:rPr>
                <w:sz w:val="24"/>
                <w:szCs w:val="24"/>
              </w:rPr>
              <w:t>a</w:t>
            </w:r>
            <w:r w:rsidR="00EC60B8" w:rsidRPr="00F03935">
              <w:rPr>
                <w:sz w:val="24"/>
                <w:szCs w:val="24"/>
              </w:rPr>
              <w:t xml:space="preserve"> </w:t>
            </w:r>
            <w:r w:rsidR="00EC60B8">
              <w:rPr>
                <w:sz w:val="24"/>
                <w:szCs w:val="24"/>
              </w:rPr>
              <w:t>regula (ES) Nr.</w:t>
            </w:r>
            <w:r w:rsidR="002B649F">
              <w:rPr>
                <w:sz w:val="24"/>
                <w:szCs w:val="24"/>
              </w:rPr>
              <w:t> </w:t>
            </w:r>
            <w:r w:rsidR="00EC60B8">
              <w:rPr>
                <w:sz w:val="24"/>
                <w:szCs w:val="24"/>
              </w:rPr>
              <w:t>575/2013</w:t>
            </w:r>
            <w:r w:rsidRPr="00F03935">
              <w:rPr>
                <w:sz w:val="24"/>
                <w:szCs w:val="24"/>
              </w:rPr>
              <w:t xml:space="preserve"> par prudenciālajām prasībām attiecībā uz kredītiestādēm un ieguldījumu brokeru sabiedrībām, un ar ko groza Regulu (ES) Nr.</w:t>
            </w:r>
            <w:r w:rsidR="002B649F">
              <w:rPr>
                <w:sz w:val="24"/>
                <w:szCs w:val="24"/>
              </w:rPr>
              <w:t> </w:t>
            </w:r>
            <w:r w:rsidRPr="00F03935">
              <w:rPr>
                <w:sz w:val="24"/>
                <w:szCs w:val="24"/>
              </w:rPr>
              <w:t>648/2012</w:t>
            </w:r>
            <w:r w:rsidRPr="00F03935">
              <w:t>.</w:t>
            </w:r>
          </w:p>
        </w:tc>
      </w:tr>
      <w:tr w:rsidR="00DD1F5F" w:rsidRPr="00F03935" w:rsidTr="000C51E4">
        <w:trPr>
          <w:trHeight w:val="339"/>
        </w:trPr>
        <w:tc>
          <w:tcPr>
            <w:tcW w:w="333" w:type="dxa"/>
          </w:tcPr>
          <w:p w:rsidR="00DD1F5F" w:rsidRPr="00F03935" w:rsidRDefault="00DD1F5F" w:rsidP="009C6BF2">
            <w:pPr>
              <w:ind w:left="57" w:right="57"/>
              <w:jc w:val="both"/>
              <w:rPr>
                <w:bCs/>
              </w:rPr>
            </w:pPr>
            <w:r w:rsidRPr="00F03935">
              <w:rPr>
                <w:bCs/>
              </w:rPr>
              <w:t>2.</w:t>
            </w:r>
          </w:p>
        </w:tc>
        <w:tc>
          <w:tcPr>
            <w:tcW w:w="2838" w:type="dxa"/>
          </w:tcPr>
          <w:p w:rsidR="00DD1F5F" w:rsidRPr="00F03935" w:rsidRDefault="00DD1F5F" w:rsidP="009C6BF2">
            <w:pPr>
              <w:ind w:left="57" w:right="57"/>
            </w:pPr>
            <w:r w:rsidRPr="00F03935">
              <w:t>Citas starptautiskās saistības</w:t>
            </w:r>
          </w:p>
        </w:tc>
        <w:tc>
          <w:tcPr>
            <w:tcW w:w="6033" w:type="dxa"/>
          </w:tcPr>
          <w:p w:rsidR="00DD1F5F" w:rsidRPr="00F03935" w:rsidRDefault="00CC1261" w:rsidP="009C6BF2">
            <w:pPr>
              <w:shd w:val="clear" w:color="auto" w:fill="FFFFFF"/>
              <w:ind w:left="57" w:right="113"/>
              <w:jc w:val="both"/>
              <w:rPr>
                <w:kern w:val="24"/>
              </w:rPr>
            </w:pPr>
            <w:r w:rsidRPr="00F03935">
              <w:rPr>
                <w:iCs/>
              </w:rPr>
              <w:t>P</w:t>
            </w:r>
            <w:r w:rsidR="001F361F" w:rsidRPr="00F03935">
              <w:rPr>
                <w:iCs/>
              </w:rPr>
              <w:t>rojekts šo jomu neskar.</w:t>
            </w:r>
          </w:p>
        </w:tc>
      </w:tr>
      <w:tr w:rsidR="00DD1F5F" w:rsidRPr="00F03935" w:rsidTr="000C51E4">
        <w:trPr>
          <w:trHeight w:val="476"/>
        </w:trPr>
        <w:tc>
          <w:tcPr>
            <w:tcW w:w="333" w:type="dxa"/>
          </w:tcPr>
          <w:p w:rsidR="00DD1F5F" w:rsidRPr="00F03935" w:rsidRDefault="00DD1F5F" w:rsidP="009C6BF2">
            <w:pPr>
              <w:ind w:left="57" w:right="57"/>
              <w:jc w:val="both"/>
              <w:rPr>
                <w:bCs/>
              </w:rPr>
            </w:pPr>
            <w:r w:rsidRPr="00F03935">
              <w:rPr>
                <w:bCs/>
              </w:rPr>
              <w:t>3.</w:t>
            </w:r>
          </w:p>
        </w:tc>
        <w:tc>
          <w:tcPr>
            <w:tcW w:w="2838" w:type="dxa"/>
          </w:tcPr>
          <w:p w:rsidR="00DD1F5F" w:rsidRPr="00F03935" w:rsidRDefault="00DD1F5F" w:rsidP="009C6BF2">
            <w:pPr>
              <w:ind w:left="57" w:right="57"/>
            </w:pPr>
            <w:r w:rsidRPr="00F03935">
              <w:t>Cita informācija</w:t>
            </w:r>
          </w:p>
        </w:tc>
        <w:tc>
          <w:tcPr>
            <w:tcW w:w="6033" w:type="dxa"/>
          </w:tcPr>
          <w:p w:rsidR="00DD1F5F" w:rsidRPr="00F03935" w:rsidRDefault="00DD1F5F" w:rsidP="009C6BF2">
            <w:pPr>
              <w:shd w:val="clear" w:color="auto" w:fill="FFFFFF"/>
              <w:ind w:left="57" w:right="113"/>
              <w:jc w:val="both"/>
            </w:pPr>
            <w:r w:rsidRPr="00F03935">
              <w:t xml:space="preserve">Nav. </w:t>
            </w:r>
          </w:p>
        </w:tc>
      </w:tr>
    </w:tbl>
    <w:p w:rsidR="00100631" w:rsidRPr="00F03935" w:rsidRDefault="00100631" w:rsidP="00C61A59">
      <w:pPr>
        <w:jc w:val="center"/>
        <w:rPr>
          <w:lang w:eastAsia="en-US"/>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541C9A" w:rsidRPr="00F03935" w:rsidTr="000C51E4">
        <w:tc>
          <w:tcPr>
            <w:tcW w:w="9270" w:type="dxa"/>
            <w:tcBorders>
              <w:top w:val="single" w:sz="4" w:space="0" w:color="auto"/>
              <w:left w:val="single" w:sz="4" w:space="0" w:color="auto"/>
              <w:bottom w:val="single" w:sz="4" w:space="0" w:color="auto"/>
              <w:right w:val="single" w:sz="4" w:space="0" w:color="auto"/>
            </w:tcBorders>
            <w:hideMark/>
          </w:tcPr>
          <w:p w:rsidR="00541C9A" w:rsidRPr="00F03935" w:rsidRDefault="00541C9A">
            <w:pPr>
              <w:pStyle w:val="naisnod"/>
              <w:spacing w:before="0" w:beforeAutospacing="0" w:after="0" w:afterAutospacing="0" w:line="276" w:lineRule="auto"/>
              <w:jc w:val="center"/>
              <w:rPr>
                <w:lang w:eastAsia="en-US"/>
              </w:rPr>
            </w:pPr>
            <w:r w:rsidRPr="00F03935">
              <w:rPr>
                <w:b/>
                <w:lang w:eastAsia="en-US"/>
              </w:rPr>
              <w:t>1.tabula. Tiesību akta projekta atbilstība ES tiesību aktiem</w:t>
            </w:r>
          </w:p>
        </w:tc>
      </w:tr>
      <w:tr w:rsidR="00C261AF" w:rsidRPr="00F03935" w:rsidTr="000C51E4">
        <w:tc>
          <w:tcPr>
            <w:tcW w:w="9270" w:type="dxa"/>
            <w:tcBorders>
              <w:top w:val="single" w:sz="4" w:space="0" w:color="auto"/>
              <w:left w:val="single" w:sz="4" w:space="0" w:color="auto"/>
              <w:bottom w:val="single" w:sz="4" w:space="0" w:color="auto"/>
              <w:right w:val="single" w:sz="4" w:space="0" w:color="auto"/>
            </w:tcBorders>
          </w:tcPr>
          <w:p w:rsidR="00C261AF" w:rsidRPr="00F03935" w:rsidRDefault="00C261AF" w:rsidP="00C261AF">
            <w:pPr>
              <w:jc w:val="center"/>
            </w:pPr>
            <w:r w:rsidRPr="00F03935">
              <w:rPr>
                <w:iCs/>
              </w:rPr>
              <w:t>Projekts šo jomu neskar.</w:t>
            </w:r>
          </w:p>
        </w:tc>
      </w:tr>
    </w:tbl>
    <w:p w:rsidR="00100631" w:rsidRPr="00F03935" w:rsidRDefault="00100631" w:rsidP="00C61A59">
      <w:pPr>
        <w:jc w:val="center"/>
        <w:rPr>
          <w:lang w:eastAsia="en-US"/>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2363B4" w:rsidRPr="00F03935" w:rsidTr="00E40706">
        <w:tc>
          <w:tcPr>
            <w:tcW w:w="9270" w:type="dxa"/>
            <w:tcBorders>
              <w:top w:val="single" w:sz="4" w:space="0" w:color="auto"/>
              <w:left w:val="single" w:sz="4" w:space="0" w:color="auto"/>
              <w:bottom w:val="single" w:sz="4" w:space="0" w:color="auto"/>
              <w:right w:val="single" w:sz="4" w:space="0" w:color="auto"/>
            </w:tcBorders>
            <w:hideMark/>
          </w:tcPr>
          <w:p w:rsidR="002363B4" w:rsidRPr="00F03935" w:rsidRDefault="002363B4">
            <w:pPr>
              <w:pStyle w:val="naisnod"/>
              <w:spacing w:before="0" w:beforeAutospacing="0" w:after="0" w:afterAutospacing="0" w:line="276" w:lineRule="auto"/>
              <w:jc w:val="center"/>
              <w:rPr>
                <w:b/>
                <w:lang w:eastAsia="en-US"/>
              </w:rPr>
            </w:pPr>
            <w:r w:rsidRPr="00F03935">
              <w:rPr>
                <w:b/>
                <w:lang w:eastAsia="en-US"/>
              </w:rPr>
              <w:t>2.tabula. Ar tiesību akta projektu uzņemtās saistības, kas izriet no starptautiskajiem tiesību aktiem vai starptautiskas institūcijas vai organizācijas dokumentiem</w:t>
            </w:r>
          </w:p>
          <w:p w:rsidR="002363B4" w:rsidRPr="00F03935" w:rsidRDefault="002363B4">
            <w:pPr>
              <w:jc w:val="center"/>
              <w:rPr>
                <w:lang w:eastAsia="en-US"/>
              </w:rPr>
            </w:pPr>
            <w:r w:rsidRPr="00F03935">
              <w:rPr>
                <w:b/>
              </w:rPr>
              <w:t>Pasākumi šo saistību izpildei</w:t>
            </w:r>
          </w:p>
        </w:tc>
      </w:tr>
      <w:tr w:rsidR="00CC1261" w:rsidRPr="00F03935" w:rsidTr="00E40706">
        <w:tc>
          <w:tcPr>
            <w:tcW w:w="9270" w:type="dxa"/>
            <w:tcBorders>
              <w:top w:val="single" w:sz="4" w:space="0" w:color="auto"/>
              <w:left w:val="single" w:sz="4" w:space="0" w:color="auto"/>
              <w:bottom w:val="single" w:sz="4" w:space="0" w:color="auto"/>
              <w:right w:val="single" w:sz="4" w:space="0" w:color="auto"/>
            </w:tcBorders>
          </w:tcPr>
          <w:p w:rsidR="00CC1261" w:rsidRPr="00F03935" w:rsidRDefault="00CC1261">
            <w:pPr>
              <w:pStyle w:val="naisnod"/>
              <w:spacing w:before="0" w:beforeAutospacing="0" w:after="0" w:afterAutospacing="0" w:line="276" w:lineRule="auto"/>
              <w:jc w:val="center"/>
              <w:rPr>
                <w:b/>
                <w:lang w:eastAsia="en-US"/>
              </w:rPr>
            </w:pPr>
            <w:r w:rsidRPr="00F03935">
              <w:rPr>
                <w:iCs/>
              </w:rPr>
              <w:lastRenderedPageBreak/>
              <w:t>Projekts šo jomu neskar.</w:t>
            </w:r>
          </w:p>
        </w:tc>
      </w:tr>
    </w:tbl>
    <w:p w:rsidR="00100631" w:rsidRPr="00F03935" w:rsidRDefault="00100631" w:rsidP="00663CC5">
      <w:pPr>
        <w:rPr>
          <w:highlight w:val="lightGray"/>
          <w:lang w:eastAsia="en-US"/>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5"/>
        <w:gridCol w:w="2842"/>
        <w:gridCol w:w="6057"/>
      </w:tblGrid>
      <w:tr w:rsidR="00330C43" w:rsidRPr="00F03935" w:rsidTr="00663CC5">
        <w:trPr>
          <w:trHeight w:val="421"/>
        </w:trPr>
        <w:tc>
          <w:tcPr>
            <w:tcW w:w="9214" w:type="dxa"/>
            <w:gridSpan w:val="3"/>
            <w:vAlign w:val="center"/>
          </w:tcPr>
          <w:p w:rsidR="00330C43" w:rsidRPr="00F03935" w:rsidRDefault="00330C43" w:rsidP="00330C43">
            <w:pPr>
              <w:pStyle w:val="naisnod"/>
              <w:spacing w:before="0" w:beforeAutospacing="0" w:after="0" w:afterAutospacing="0"/>
              <w:ind w:left="57" w:right="57"/>
              <w:jc w:val="center"/>
            </w:pPr>
            <w:r w:rsidRPr="00F03935">
              <w:rPr>
                <w:b/>
              </w:rPr>
              <w:t>VI. Sabiedrības līdzdalība un komunikācijas aktivitātes</w:t>
            </w:r>
          </w:p>
        </w:tc>
      </w:tr>
      <w:tr w:rsidR="00330C43" w:rsidRPr="00F03935" w:rsidTr="00663CC5">
        <w:trPr>
          <w:trHeight w:val="553"/>
        </w:trPr>
        <w:tc>
          <w:tcPr>
            <w:tcW w:w="315" w:type="dxa"/>
          </w:tcPr>
          <w:p w:rsidR="00330C43" w:rsidRPr="00F03935" w:rsidRDefault="00330C43" w:rsidP="00330C43">
            <w:pPr>
              <w:ind w:left="57" w:right="57"/>
              <w:jc w:val="both"/>
              <w:rPr>
                <w:bCs/>
              </w:rPr>
            </w:pPr>
            <w:r w:rsidRPr="00F03935">
              <w:rPr>
                <w:bCs/>
              </w:rPr>
              <w:t>1.</w:t>
            </w:r>
          </w:p>
        </w:tc>
        <w:tc>
          <w:tcPr>
            <w:tcW w:w="2842" w:type="dxa"/>
          </w:tcPr>
          <w:p w:rsidR="00330C43" w:rsidRPr="00F03935" w:rsidRDefault="00330C43" w:rsidP="00330C43">
            <w:pPr>
              <w:tabs>
                <w:tab w:val="left" w:pos="170"/>
              </w:tabs>
              <w:ind w:left="57" w:right="57"/>
            </w:pPr>
            <w:r w:rsidRPr="00F03935">
              <w:t>Plānotās sabiedrības līdzdalības un komunikācijas aktivitātes saistībā ar projektu</w:t>
            </w:r>
          </w:p>
        </w:tc>
        <w:tc>
          <w:tcPr>
            <w:tcW w:w="6057" w:type="dxa"/>
          </w:tcPr>
          <w:p w:rsidR="00CB518D" w:rsidRPr="00D82A81" w:rsidRDefault="00397EC8" w:rsidP="00CB518D">
            <w:pPr>
              <w:ind w:left="136" w:right="74" w:firstLine="245"/>
              <w:jc w:val="both"/>
              <w:rPr>
                <w:rFonts w:eastAsia="Times New Roman"/>
                <w:spacing w:val="-2"/>
              </w:rPr>
            </w:pPr>
            <w:bookmarkStart w:id="1" w:name="p61"/>
            <w:bookmarkEnd w:id="1"/>
            <w:r w:rsidRPr="00D82A81">
              <w:rPr>
                <w:rFonts w:eastAsia="Times New Roman"/>
                <w:spacing w:val="-2"/>
              </w:rPr>
              <w:t>Sabiedrība pēc normatīvā akta pieņemšanas tiks informēta ar publikāciju laikrakstā "Latvijas Vēstnesis", kā arī ievietojot to bezmaksas normatīvo aktu datu bāzē www.likumi.lv.</w:t>
            </w:r>
          </w:p>
          <w:p w:rsidR="00397EC8" w:rsidRPr="00D82A81" w:rsidRDefault="00397EC8" w:rsidP="00CB518D">
            <w:pPr>
              <w:ind w:left="136" w:right="74" w:firstLine="245"/>
              <w:jc w:val="both"/>
              <w:rPr>
                <w:rFonts w:eastAsia="Times New Roman"/>
                <w:lang w:val="en-US" w:eastAsia="en-US"/>
              </w:rPr>
            </w:pPr>
            <w:r w:rsidRPr="00D82A81">
              <w:rPr>
                <w:rFonts w:eastAsia="Times New Roman"/>
                <w:spacing w:val="-2"/>
              </w:rPr>
              <w:t>Likums tiks ievietots arī Finanšu un kapitāla tirgus komisijas mājaslapā.</w:t>
            </w:r>
          </w:p>
          <w:p w:rsidR="006C3EDF" w:rsidRPr="00F03935" w:rsidRDefault="00CB518D" w:rsidP="00CB518D">
            <w:pPr>
              <w:shd w:val="clear" w:color="auto" w:fill="FFFFFF"/>
              <w:spacing w:after="120"/>
              <w:ind w:left="135" w:right="72" w:firstLine="245"/>
              <w:jc w:val="both"/>
            </w:pPr>
            <w:r w:rsidRPr="00D82A81">
              <w:rPr>
                <w:lang w:val="en-US"/>
              </w:rPr>
              <w:t>S</w:t>
            </w:r>
            <w:r w:rsidRPr="00D82A81">
              <w:t>aistībā ar Likumprojektu ir i</w:t>
            </w:r>
            <w:r w:rsidR="00CA771C" w:rsidRPr="00D82A81">
              <w:t>espējamas Finanšu nozares asociācijas komunikāci</w:t>
            </w:r>
            <w:r w:rsidRPr="00D82A81">
              <w:t xml:space="preserve">jas aktivitātes saviem biedriem, kā arī </w:t>
            </w:r>
            <w:r w:rsidR="00CA771C" w:rsidRPr="00D82A81">
              <w:t>plašākai sabiedrībai.</w:t>
            </w:r>
          </w:p>
        </w:tc>
      </w:tr>
      <w:tr w:rsidR="00330C43" w:rsidRPr="00F03935" w:rsidTr="00663CC5">
        <w:trPr>
          <w:trHeight w:val="339"/>
        </w:trPr>
        <w:tc>
          <w:tcPr>
            <w:tcW w:w="315" w:type="dxa"/>
          </w:tcPr>
          <w:p w:rsidR="00330C43" w:rsidRPr="00F03935" w:rsidRDefault="00330C43" w:rsidP="00330C43">
            <w:pPr>
              <w:ind w:left="57" w:right="57"/>
              <w:jc w:val="both"/>
              <w:rPr>
                <w:bCs/>
              </w:rPr>
            </w:pPr>
            <w:r w:rsidRPr="00F03935">
              <w:rPr>
                <w:bCs/>
              </w:rPr>
              <w:t>2.</w:t>
            </w:r>
          </w:p>
        </w:tc>
        <w:tc>
          <w:tcPr>
            <w:tcW w:w="2842" w:type="dxa"/>
          </w:tcPr>
          <w:p w:rsidR="00330C43" w:rsidRPr="00F03935" w:rsidRDefault="00330C43" w:rsidP="00330C43">
            <w:pPr>
              <w:ind w:left="57" w:right="57"/>
            </w:pPr>
            <w:r w:rsidRPr="00F03935">
              <w:t>Sabiedrības līdzdalība projekta izstrādē</w:t>
            </w:r>
          </w:p>
        </w:tc>
        <w:tc>
          <w:tcPr>
            <w:tcW w:w="6057" w:type="dxa"/>
          </w:tcPr>
          <w:p w:rsidR="008E0085" w:rsidRPr="00600308" w:rsidRDefault="008E0085" w:rsidP="008E0085">
            <w:pPr>
              <w:shd w:val="clear" w:color="auto" w:fill="FFFFFF"/>
              <w:ind w:left="136" w:right="113" w:firstLine="245"/>
              <w:jc w:val="both"/>
              <w:rPr>
                <w:spacing w:val="-2"/>
              </w:rPr>
            </w:pPr>
            <w:bookmarkStart w:id="2" w:name="p62"/>
            <w:bookmarkEnd w:id="2"/>
            <w:r w:rsidRPr="000D301E">
              <w:rPr>
                <w:iCs/>
                <w:spacing w:val="-2"/>
              </w:rPr>
              <w:t>Sabiedrības pārstāvji varēja līdzdarboties projekta izstrādē, rakstveidā sniedzot viedokļus</w:t>
            </w:r>
            <w:r>
              <w:rPr>
                <w:iCs/>
                <w:spacing w:val="-2"/>
              </w:rPr>
              <w:t xml:space="preserve"> par likumprojektu „Izslēdzošā ieskaita piemērošanas atvasināto finanšu darījumos likums”</w:t>
            </w:r>
            <w:r w:rsidR="002B649F">
              <w:rPr>
                <w:iCs/>
                <w:spacing w:val="-2"/>
              </w:rPr>
              <w:t xml:space="preserve"> (sākotnēj</w:t>
            </w:r>
            <w:r w:rsidR="00D73560">
              <w:rPr>
                <w:iCs/>
                <w:spacing w:val="-2"/>
              </w:rPr>
              <w:t>i apsvērtais</w:t>
            </w:r>
            <w:r w:rsidR="002B649F">
              <w:rPr>
                <w:iCs/>
                <w:spacing w:val="-2"/>
              </w:rPr>
              <w:t xml:space="preserve"> nosaukums – Izslēdzošā ieska</w:t>
            </w:r>
            <w:r w:rsidR="00D73560">
              <w:rPr>
                <w:iCs/>
                <w:spacing w:val="-2"/>
              </w:rPr>
              <w:t>i</w:t>
            </w:r>
            <w:r w:rsidR="002B649F">
              <w:rPr>
                <w:iCs/>
                <w:spacing w:val="-2"/>
              </w:rPr>
              <w:t>ta likums)</w:t>
            </w:r>
            <w:r>
              <w:rPr>
                <w:iCs/>
                <w:spacing w:val="-2"/>
              </w:rPr>
              <w:t xml:space="preserve"> un ar to saistīto likumprojektu „Grozījumi Maksātnespējas likumā”, par kuriem uzziņa </w:t>
            </w:r>
            <w:r w:rsidRPr="00600308">
              <w:rPr>
                <w:spacing w:val="-2"/>
              </w:rPr>
              <w:t xml:space="preserve">sabiedrības informēšanai un iesaistīšanai 2019.gada 16.septembrī tika ievietota Finanšu ministrijas mājaslapas sadaļā "Sabiedrības līdzdalība": </w:t>
            </w:r>
            <w:hyperlink r:id="rId12" w:history="1">
              <w:r w:rsidRPr="00600308">
                <w:rPr>
                  <w:rStyle w:val="Hyperlink"/>
                  <w:color w:val="auto"/>
                  <w:spacing w:val="-2"/>
                </w:rPr>
                <w:t>https://fm.gov.lv/lv/sabiedribas_lidzdaliba/</w:t>
              </w:r>
            </w:hyperlink>
          </w:p>
          <w:p w:rsidR="008E0085" w:rsidRDefault="008E0085" w:rsidP="008E0085">
            <w:pPr>
              <w:pStyle w:val="NormalWeb"/>
              <w:spacing w:before="0" w:beforeAutospacing="0" w:after="0" w:afterAutospacing="0"/>
              <w:ind w:left="135"/>
              <w:jc w:val="both"/>
              <w:rPr>
                <w:iCs/>
                <w:spacing w:val="-2"/>
              </w:rPr>
            </w:pPr>
            <w:r w:rsidRPr="00600308">
              <w:rPr>
                <w:rFonts w:ascii="Times New Roman" w:hAnsi="Times New Roman"/>
                <w:spacing w:val="-2"/>
                <w:sz w:val="24"/>
                <w:szCs w:val="24"/>
                <w:u w:val="single"/>
              </w:rPr>
              <w:t>tiesibu_aktu_projekti/finansu_tirgus_politika#project596</w:t>
            </w:r>
            <w:r w:rsidRPr="00600308">
              <w:rPr>
                <w:rFonts w:ascii="Times New Roman" w:hAnsi="Times New Roman"/>
                <w:sz w:val="24"/>
                <w:szCs w:val="24"/>
                <w:u w:val="single"/>
              </w:rPr>
              <w:t>,</w:t>
            </w:r>
            <w:r w:rsidRPr="00600308">
              <w:rPr>
                <w:rFonts w:ascii="Times New Roman" w:hAnsi="Times New Roman"/>
                <w:sz w:val="24"/>
                <w:szCs w:val="24"/>
              </w:rPr>
              <w:t xml:space="preserve"> </w:t>
            </w:r>
            <w:r w:rsidRPr="00600308">
              <w:rPr>
                <w:rFonts w:ascii="Times New Roman" w:hAnsi="Times New Roman"/>
                <w:iCs/>
                <w:sz w:val="24"/>
                <w:szCs w:val="24"/>
              </w:rPr>
              <w:t xml:space="preserve">un Ministru kabineta tīmekļvietnē sadaļā </w:t>
            </w:r>
            <w:r w:rsidR="009A7C90" w:rsidRPr="008C2983">
              <w:rPr>
                <w:rFonts w:ascii="Times New Roman" w:hAnsi="Times New Roman"/>
                <w:spacing w:val="2"/>
                <w:sz w:val="24"/>
                <w:szCs w:val="24"/>
                <w:shd w:val="clear" w:color="auto" w:fill="FFFFFF"/>
              </w:rPr>
              <w:t>„</w:t>
            </w:r>
            <w:r w:rsidRPr="00600308">
              <w:rPr>
                <w:rFonts w:ascii="Times New Roman" w:hAnsi="Times New Roman"/>
                <w:iCs/>
                <w:sz w:val="24"/>
                <w:szCs w:val="24"/>
              </w:rPr>
              <w:t xml:space="preserve">Valsts kanceleja” – </w:t>
            </w:r>
            <w:r w:rsidR="009A7C90">
              <w:rPr>
                <w:spacing w:val="2"/>
                <w:shd w:val="clear" w:color="auto" w:fill="FFFFFF"/>
              </w:rPr>
              <w:t>„</w:t>
            </w:r>
            <w:r w:rsidRPr="00600308">
              <w:rPr>
                <w:rFonts w:ascii="Times New Roman" w:hAnsi="Times New Roman"/>
                <w:iCs/>
                <w:sz w:val="24"/>
                <w:szCs w:val="24"/>
              </w:rPr>
              <w:t>Sabiedrības līdzdalība</w:t>
            </w:r>
            <w:r w:rsidRPr="00CF2352">
              <w:rPr>
                <w:rFonts w:ascii="Times New Roman" w:hAnsi="Times New Roman"/>
                <w:sz w:val="24"/>
                <w:szCs w:val="24"/>
              </w:rPr>
              <w:t xml:space="preserve">”, </w:t>
            </w:r>
            <w:r w:rsidRPr="00CF2352">
              <w:rPr>
                <w:rFonts w:ascii="Times New Roman" w:hAnsi="Times New Roman"/>
                <w:iCs/>
                <w:sz w:val="24"/>
                <w:szCs w:val="24"/>
              </w:rPr>
              <w:t>adrese:</w:t>
            </w:r>
            <w:r w:rsidRPr="00CF2352">
              <w:rPr>
                <w:rFonts w:ascii="Times New Roman" w:hAnsi="Times New Roman"/>
                <w:sz w:val="24"/>
                <w:szCs w:val="24"/>
              </w:rPr>
              <w:t xml:space="preserve"> </w:t>
            </w:r>
            <w:hyperlink r:id="rId13" w:history="1">
              <w:r w:rsidRPr="00CF2352">
                <w:rPr>
                  <w:rStyle w:val="Hyperlink"/>
                  <w:rFonts w:ascii="Times New Roman" w:hAnsi="Times New Roman"/>
                  <w:color w:val="auto"/>
                  <w:sz w:val="24"/>
                  <w:szCs w:val="24"/>
                </w:rPr>
                <w:t>https://mk.gov.lv/content/ministru-kabineta-diskusiju-dokumenti</w:t>
              </w:r>
            </w:hyperlink>
            <w:r>
              <w:rPr>
                <w:iCs/>
                <w:spacing w:val="-2"/>
              </w:rPr>
              <w:t>.</w:t>
            </w:r>
          </w:p>
          <w:p w:rsidR="00A86C6A" w:rsidRPr="00F03935" w:rsidRDefault="008E0085" w:rsidP="00CB518D">
            <w:pPr>
              <w:shd w:val="clear" w:color="auto" w:fill="FFFFFF"/>
              <w:ind w:left="136" w:right="113" w:firstLine="245"/>
              <w:jc w:val="both"/>
              <w:rPr>
                <w:u w:val="single"/>
              </w:rPr>
            </w:pPr>
            <w:r>
              <w:rPr>
                <w:iCs/>
                <w:spacing w:val="-2"/>
              </w:rPr>
              <w:t>Likum</w:t>
            </w:r>
            <w:r w:rsidR="00D73560">
              <w:rPr>
                <w:iCs/>
                <w:spacing w:val="-2"/>
              </w:rPr>
              <w:t>p</w:t>
            </w:r>
            <w:r w:rsidRPr="000D301E">
              <w:rPr>
                <w:iCs/>
                <w:spacing w:val="-2"/>
              </w:rPr>
              <w:t xml:space="preserve">rojekta izstrādes gaitā </w:t>
            </w:r>
            <w:r w:rsidRPr="000D301E">
              <w:rPr>
                <w:iCs/>
              </w:rPr>
              <w:t>ir iesaistīta</w:t>
            </w:r>
            <w:r w:rsidR="004E22D0">
              <w:rPr>
                <w:iCs/>
              </w:rPr>
              <w:t xml:space="preserve"> </w:t>
            </w:r>
            <w:r w:rsidR="004E22D0" w:rsidRPr="00F03935">
              <w:t>Eiropas Rekonstrukcijas un attīstības banka</w:t>
            </w:r>
            <w:r w:rsidR="004E22D0">
              <w:t>,</w:t>
            </w:r>
            <w:r>
              <w:rPr>
                <w:iCs/>
              </w:rPr>
              <w:t xml:space="preserve"> </w:t>
            </w:r>
            <w:r w:rsidRPr="00F03935">
              <w:rPr>
                <w:kern w:val="24"/>
              </w:rPr>
              <w:t>Tieslietu ministrija, Finanšu un kapitāla tirgus komisija, Latvijas Banka, Valsts kase un Finanšu nozares asociācija. Tāpat, izstrādājot izslēdzošā ieskaita tiesisko ietvaru attiecībā uz atvasinātajiem finanšu instrumentiem, tika veiktas konsultācijas ar ISDA.</w:t>
            </w:r>
          </w:p>
        </w:tc>
      </w:tr>
      <w:tr w:rsidR="00330C43" w:rsidRPr="00F03935" w:rsidTr="00663CC5">
        <w:trPr>
          <w:trHeight w:val="476"/>
        </w:trPr>
        <w:tc>
          <w:tcPr>
            <w:tcW w:w="315" w:type="dxa"/>
          </w:tcPr>
          <w:p w:rsidR="00330C43" w:rsidRPr="00F03935" w:rsidRDefault="00330C43" w:rsidP="00330C43">
            <w:pPr>
              <w:ind w:left="57" w:right="57"/>
              <w:jc w:val="both"/>
              <w:rPr>
                <w:bCs/>
              </w:rPr>
            </w:pPr>
            <w:r w:rsidRPr="00F03935">
              <w:rPr>
                <w:bCs/>
              </w:rPr>
              <w:t>3.</w:t>
            </w:r>
          </w:p>
        </w:tc>
        <w:tc>
          <w:tcPr>
            <w:tcW w:w="2842" w:type="dxa"/>
          </w:tcPr>
          <w:p w:rsidR="00330C43" w:rsidRPr="00F03935" w:rsidRDefault="00330C43" w:rsidP="00330C43">
            <w:pPr>
              <w:ind w:left="57" w:right="57"/>
            </w:pPr>
            <w:r w:rsidRPr="00F03935">
              <w:t>Sabiedrības līdzdalības rezultāti</w:t>
            </w:r>
          </w:p>
        </w:tc>
        <w:tc>
          <w:tcPr>
            <w:tcW w:w="6057" w:type="dxa"/>
          </w:tcPr>
          <w:p w:rsidR="00AD21F1" w:rsidRPr="00F03935" w:rsidRDefault="00A07FB3" w:rsidP="00CB518D">
            <w:pPr>
              <w:shd w:val="clear" w:color="auto" w:fill="FFFFFF"/>
              <w:spacing w:after="120"/>
              <w:ind w:left="135" w:right="113" w:firstLine="105"/>
              <w:jc w:val="both"/>
            </w:pPr>
            <w:r w:rsidRPr="00F03935">
              <w:rPr>
                <w:rFonts w:eastAsia="Times New Roman"/>
              </w:rPr>
              <w:t>Viedokļi no sabiedrības pārstāvjiem organizētās sabiedrības līdzdalības ietvaros netika saņemti</w:t>
            </w:r>
            <w:r w:rsidR="00CA771C" w:rsidRPr="00F03935">
              <w:t>.</w:t>
            </w:r>
            <w:r w:rsidR="002762E3" w:rsidRPr="00F03935">
              <w:t xml:space="preserve"> </w:t>
            </w:r>
          </w:p>
        </w:tc>
      </w:tr>
      <w:tr w:rsidR="00330C43" w:rsidRPr="00F03935" w:rsidTr="003805E5">
        <w:trPr>
          <w:trHeight w:val="205"/>
        </w:trPr>
        <w:tc>
          <w:tcPr>
            <w:tcW w:w="315" w:type="dxa"/>
          </w:tcPr>
          <w:p w:rsidR="00330C43" w:rsidRPr="00F03935" w:rsidRDefault="00330C43" w:rsidP="00330C43">
            <w:pPr>
              <w:ind w:left="57" w:right="57"/>
              <w:jc w:val="both"/>
              <w:rPr>
                <w:bCs/>
              </w:rPr>
            </w:pPr>
            <w:r w:rsidRPr="00F03935">
              <w:rPr>
                <w:bCs/>
              </w:rPr>
              <w:t>4.</w:t>
            </w:r>
          </w:p>
        </w:tc>
        <w:tc>
          <w:tcPr>
            <w:tcW w:w="2842" w:type="dxa"/>
          </w:tcPr>
          <w:p w:rsidR="00330C43" w:rsidRPr="00F03935" w:rsidRDefault="00330C43" w:rsidP="00330C43">
            <w:pPr>
              <w:ind w:left="57" w:right="57"/>
            </w:pPr>
            <w:r w:rsidRPr="00F03935">
              <w:t>Cita informācija</w:t>
            </w:r>
          </w:p>
        </w:tc>
        <w:tc>
          <w:tcPr>
            <w:tcW w:w="6057" w:type="dxa"/>
          </w:tcPr>
          <w:p w:rsidR="00330C43" w:rsidRPr="00F03935" w:rsidRDefault="003805E5" w:rsidP="00BB136E">
            <w:pPr>
              <w:ind w:left="135" w:right="113"/>
              <w:jc w:val="both"/>
            </w:pPr>
            <w:r w:rsidRPr="00F03935">
              <w:t>Nav.</w:t>
            </w:r>
          </w:p>
        </w:tc>
      </w:tr>
    </w:tbl>
    <w:p w:rsidR="00100631" w:rsidRPr="00F03935" w:rsidRDefault="00100631" w:rsidP="00D7163F">
      <w:pPr>
        <w:jc w:val="both"/>
        <w:rPr>
          <w:highlight w:val="lightGray"/>
        </w:rPr>
      </w:pPr>
    </w:p>
    <w:tbl>
      <w:tblPr>
        <w:tblW w:w="92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3"/>
        <w:gridCol w:w="2838"/>
        <w:gridCol w:w="6033"/>
      </w:tblGrid>
      <w:tr w:rsidR="00282E1F" w:rsidRPr="00F03935" w:rsidTr="00663CC5">
        <w:trPr>
          <w:trHeight w:val="421"/>
        </w:trPr>
        <w:tc>
          <w:tcPr>
            <w:tcW w:w="9204" w:type="dxa"/>
            <w:gridSpan w:val="3"/>
            <w:vAlign w:val="center"/>
          </w:tcPr>
          <w:p w:rsidR="00282E1F" w:rsidRPr="00F03935" w:rsidRDefault="00282E1F" w:rsidP="005D4842">
            <w:pPr>
              <w:pStyle w:val="naisnod"/>
              <w:spacing w:before="0" w:beforeAutospacing="0" w:after="0" w:afterAutospacing="0"/>
              <w:ind w:left="57" w:right="57"/>
              <w:jc w:val="center"/>
            </w:pPr>
            <w:r w:rsidRPr="00F03935">
              <w:rPr>
                <w:b/>
              </w:rPr>
              <w:t>VII. Tiesību akta projekta izpildes nodrošināšana un tās ietekme uz institūcijām</w:t>
            </w:r>
          </w:p>
        </w:tc>
      </w:tr>
      <w:tr w:rsidR="00282E1F" w:rsidRPr="00F03935" w:rsidTr="00663CC5">
        <w:trPr>
          <w:trHeight w:val="553"/>
        </w:trPr>
        <w:tc>
          <w:tcPr>
            <w:tcW w:w="333" w:type="dxa"/>
          </w:tcPr>
          <w:p w:rsidR="00282E1F" w:rsidRPr="00F03935" w:rsidRDefault="00282E1F" w:rsidP="005D4842">
            <w:pPr>
              <w:ind w:left="57" w:right="57"/>
              <w:jc w:val="both"/>
              <w:rPr>
                <w:bCs/>
              </w:rPr>
            </w:pPr>
            <w:r w:rsidRPr="00F03935">
              <w:rPr>
                <w:bCs/>
              </w:rPr>
              <w:t>1.</w:t>
            </w:r>
          </w:p>
        </w:tc>
        <w:tc>
          <w:tcPr>
            <w:tcW w:w="2838" w:type="dxa"/>
          </w:tcPr>
          <w:p w:rsidR="00282E1F" w:rsidRPr="00F03935" w:rsidRDefault="00282E1F" w:rsidP="00250B85">
            <w:pPr>
              <w:ind w:left="57" w:right="57"/>
            </w:pPr>
            <w:r w:rsidRPr="00F03935">
              <w:t>Projekta izpildē iesaistītās institūcijas</w:t>
            </w:r>
          </w:p>
        </w:tc>
        <w:tc>
          <w:tcPr>
            <w:tcW w:w="6033" w:type="dxa"/>
          </w:tcPr>
          <w:p w:rsidR="00681C00" w:rsidRPr="00F03935" w:rsidRDefault="00681C00" w:rsidP="00637945">
            <w:pPr>
              <w:shd w:val="clear" w:color="auto" w:fill="FFFFFF"/>
              <w:ind w:left="57" w:right="113"/>
              <w:jc w:val="both"/>
            </w:pPr>
            <w:r w:rsidRPr="00F03935">
              <w:t>Finanšu ministrija</w:t>
            </w:r>
            <w:r w:rsidR="00397EC8" w:rsidRPr="00F03935">
              <w:t xml:space="preserve">, </w:t>
            </w:r>
            <w:r w:rsidRPr="00F03935">
              <w:t>Finanšu un kapitāla tirgus komisija</w:t>
            </w:r>
            <w:r w:rsidR="00172924" w:rsidRPr="00F03935">
              <w:t>.</w:t>
            </w:r>
          </w:p>
        </w:tc>
      </w:tr>
      <w:tr w:rsidR="00282E1F" w:rsidRPr="00F03935" w:rsidTr="00663CC5">
        <w:trPr>
          <w:trHeight w:val="339"/>
        </w:trPr>
        <w:tc>
          <w:tcPr>
            <w:tcW w:w="333" w:type="dxa"/>
          </w:tcPr>
          <w:p w:rsidR="00282E1F" w:rsidRPr="00F03935" w:rsidRDefault="00282E1F" w:rsidP="005D4842">
            <w:pPr>
              <w:ind w:left="57" w:right="57"/>
              <w:jc w:val="both"/>
              <w:rPr>
                <w:bCs/>
              </w:rPr>
            </w:pPr>
            <w:r w:rsidRPr="00F03935">
              <w:rPr>
                <w:bCs/>
              </w:rPr>
              <w:t>2.</w:t>
            </w:r>
          </w:p>
        </w:tc>
        <w:tc>
          <w:tcPr>
            <w:tcW w:w="2838" w:type="dxa"/>
          </w:tcPr>
          <w:p w:rsidR="00282E1F" w:rsidRPr="00F03935" w:rsidRDefault="00282E1F" w:rsidP="00250B85">
            <w:pPr>
              <w:ind w:left="57" w:right="57"/>
            </w:pPr>
            <w:r w:rsidRPr="00F03935">
              <w:t xml:space="preserve">Projekta izpildes ietekme uz pārvaldes funkcijām un institucionālo struktūru. </w:t>
            </w:r>
          </w:p>
          <w:p w:rsidR="00282E1F" w:rsidRPr="00F03935" w:rsidRDefault="00282E1F" w:rsidP="003805E5">
            <w:pPr>
              <w:ind w:left="57" w:right="57"/>
            </w:pPr>
            <w:r w:rsidRPr="00F03935">
              <w:t>Jaunu institūciju izveide, esošu institūciju likvidācija vai reorganizācija, to ietekme uz institūcijas cilvēkresursiem</w:t>
            </w:r>
          </w:p>
        </w:tc>
        <w:tc>
          <w:tcPr>
            <w:tcW w:w="6033" w:type="dxa"/>
          </w:tcPr>
          <w:p w:rsidR="00397EC8" w:rsidRPr="00F03935" w:rsidRDefault="00397EC8" w:rsidP="00556578">
            <w:pPr>
              <w:ind w:left="121" w:right="62"/>
              <w:jc w:val="both"/>
              <w:rPr>
                <w:rFonts w:eastAsia="Times New Roman"/>
              </w:rPr>
            </w:pPr>
            <w:r w:rsidRPr="00F03935">
              <w:rPr>
                <w:rFonts w:eastAsia="Times New Roman"/>
              </w:rPr>
              <w:t>Likumprojekta izpilde nerada ietekmi uz pārvaldes funkcijām un institucionālo struktūru. Nav nepieciešama jaunu institūciju izveide, esošu institūciju likvidācija vai reorganizācija. Likumprojekta izpilde nerada ietekmi uz institūcijas cilvēkresursiem.</w:t>
            </w:r>
          </w:p>
          <w:p w:rsidR="00282E1F" w:rsidRPr="00F03935" w:rsidRDefault="00282E1F" w:rsidP="00411B8F">
            <w:pPr>
              <w:shd w:val="clear" w:color="auto" w:fill="FFFFFF"/>
              <w:ind w:left="57" w:right="113"/>
              <w:jc w:val="both"/>
              <w:rPr>
                <w:kern w:val="24"/>
              </w:rPr>
            </w:pPr>
          </w:p>
        </w:tc>
      </w:tr>
      <w:tr w:rsidR="00282E1F" w:rsidRPr="00F03935" w:rsidTr="00663CC5">
        <w:trPr>
          <w:trHeight w:val="476"/>
        </w:trPr>
        <w:tc>
          <w:tcPr>
            <w:tcW w:w="333" w:type="dxa"/>
          </w:tcPr>
          <w:p w:rsidR="00282E1F" w:rsidRPr="00F03935" w:rsidRDefault="00282E1F" w:rsidP="005D4842">
            <w:pPr>
              <w:ind w:left="57" w:right="57"/>
              <w:jc w:val="both"/>
              <w:rPr>
                <w:bCs/>
              </w:rPr>
            </w:pPr>
            <w:r w:rsidRPr="00F03935">
              <w:rPr>
                <w:bCs/>
              </w:rPr>
              <w:t>3.</w:t>
            </w:r>
          </w:p>
        </w:tc>
        <w:tc>
          <w:tcPr>
            <w:tcW w:w="2838" w:type="dxa"/>
          </w:tcPr>
          <w:p w:rsidR="00282E1F" w:rsidRPr="00F03935" w:rsidRDefault="00282E1F" w:rsidP="00250B85">
            <w:pPr>
              <w:ind w:left="57" w:right="57"/>
            </w:pPr>
            <w:r w:rsidRPr="00F03935">
              <w:t>Cita informācija</w:t>
            </w:r>
          </w:p>
        </w:tc>
        <w:tc>
          <w:tcPr>
            <w:tcW w:w="6033" w:type="dxa"/>
          </w:tcPr>
          <w:p w:rsidR="00282E1F" w:rsidRPr="00F03935" w:rsidRDefault="00EE03B3" w:rsidP="00BB136E">
            <w:pPr>
              <w:shd w:val="clear" w:color="auto" w:fill="FFFFFF"/>
              <w:ind w:left="121" w:right="113"/>
              <w:jc w:val="both"/>
            </w:pPr>
            <w:r w:rsidRPr="00F03935">
              <w:t>Nav</w:t>
            </w:r>
            <w:r w:rsidR="00DD1F5F" w:rsidRPr="00F03935">
              <w:t>.</w:t>
            </w:r>
            <w:r w:rsidRPr="00F03935">
              <w:t xml:space="preserve"> </w:t>
            </w:r>
          </w:p>
        </w:tc>
      </w:tr>
    </w:tbl>
    <w:p w:rsidR="00485CD9" w:rsidRPr="00F03935" w:rsidRDefault="00485CD9" w:rsidP="00D7163F">
      <w:pPr>
        <w:jc w:val="both"/>
      </w:pPr>
    </w:p>
    <w:p w:rsidR="00556578" w:rsidRDefault="00556578" w:rsidP="00D10FD5">
      <w:pPr>
        <w:tabs>
          <w:tab w:val="left" w:pos="6521"/>
        </w:tabs>
        <w:jc w:val="both"/>
      </w:pPr>
    </w:p>
    <w:p w:rsidR="00556578" w:rsidRDefault="00556578" w:rsidP="00D10FD5">
      <w:pPr>
        <w:tabs>
          <w:tab w:val="left" w:pos="6521"/>
        </w:tabs>
        <w:jc w:val="both"/>
      </w:pPr>
    </w:p>
    <w:p w:rsidR="00E068C7" w:rsidRDefault="00681C00" w:rsidP="00CB518D">
      <w:pPr>
        <w:tabs>
          <w:tab w:val="left" w:pos="6521"/>
        </w:tabs>
        <w:jc w:val="both"/>
      </w:pPr>
      <w:r w:rsidRPr="00F03935">
        <w:t>Finanšu</w:t>
      </w:r>
      <w:r w:rsidR="00D10FD5" w:rsidRPr="00F03935">
        <w:t xml:space="preserve"> ministrs</w:t>
      </w:r>
      <w:r w:rsidR="00D10FD5" w:rsidRPr="00F03935">
        <w:tab/>
      </w:r>
      <w:r w:rsidR="00D10FD5" w:rsidRPr="00F03935">
        <w:tab/>
      </w:r>
      <w:r w:rsidRPr="00F03935">
        <w:t>J.Reirs</w:t>
      </w:r>
    </w:p>
    <w:p w:rsidR="00CC1890" w:rsidRDefault="00CC1890" w:rsidP="00CB518D">
      <w:pPr>
        <w:tabs>
          <w:tab w:val="left" w:pos="6521"/>
        </w:tabs>
        <w:jc w:val="both"/>
      </w:pPr>
    </w:p>
    <w:p w:rsidR="00CC1890" w:rsidRDefault="00CC1890" w:rsidP="00C85E1B">
      <w:pPr>
        <w:tabs>
          <w:tab w:val="left" w:pos="6237"/>
        </w:tabs>
      </w:pPr>
    </w:p>
    <w:p w:rsidR="00C85E1B" w:rsidRDefault="00C85E1B" w:rsidP="00C85E1B">
      <w:pPr>
        <w:tabs>
          <w:tab w:val="left" w:pos="6237"/>
        </w:tabs>
      </w:pPr>
    </w:p>
    <w:p w:rsidR="00C85E1B" w:rsidRPr="00B536A8" w:rsidRDefault="00C85E1B" w:rsidP="00C85E1B">
      <w:pPr>
        <w:tabs>
          <w:tab w:val="left" w:pos="6237"/>
        </w:tabs>
      </w:pPr>
    </w:p>
    <w:p w:rsidR="00CC1890" w:rsidRPr="00185EF1" w:rsidRDefault="00CC1890" w:rsidP="00CC1890">
      <w:pPr>
        <w:tabs>
          <w:tab w:val="left" w:pos="6237"/>
        </w:tabs>
        <w:rPr>
          <w:sz w:val="20"/>
          <w:szCs w:val="20"/>
        </w:rPr>
      </w:pPr>
      <w:r w:rsidRPr="00185EF1">
        <w:rPr>
          <w:sz w:val="20"/>
          <w:szCs w:val="20"/>
        </w:rPr>
        <w:t>Davidovičs 670839</w:t>
      </w:r>
      <w:r>
        <w:rPr>
          <w:sz w:val="20"/>
          <w:szCs w:val="20"/>
        </w:rPr>
        <w:t>3</w:t>
      </w:r>
      <w:r w:rsidRPr="00185EF1">
        <w:rPr>
          <w:sz w:val="20"/>
          <w:szCs w:val="20"/>
        </w:rPr>
        <w:t>1</w:t>
      </w:r>
    </w:p>
    <w:p w:rsidR="00CC1890" w:rsidRPr="00C85E1B" w:rsidRDefault="00CC1890" w:rsidP="00C85E1B">
      <w:pPr>
        <w:tabs>
          <w:tab w:val="left" w:pos="6237"/>
        </w:tabs>
        <w:rPr>
          <w:sz w:val="20"/>
          <w:szCs w:val="20"/>
        </w:rPr>
      </w:pPr>
      <w:r w:rsidRPr="00185EF1">
        <w:rPr>
          <w:sz w:val="20"/>
          <w:szCs w:val="20"/>
        </w:rPr>
        <w:t xml:space="preserve">gunvaldis.davidovics@fm.gov.lv </w:t>
      </w:r>
    </w:p>
    <w:sectPr w:rsidR="00CC1890" w:rsidRPr="00C85E1B" w:rsidSect="000C51E4">
      <w:headerReference w:type="default" r:id="rId14"/>
      <w:footerReference w:type="even" r:id="rId15"/>
      <w:footerReference w:type="default" r:id="rId16"/>
      <w:headerReference w:type="first" r:id="rId17"/>
      <w:footerReference w:type="first" r:id="rId18"/>
      <w:pgSz w:w="11906" w:h="16838"/>
      <w:pgMar w:top="1135" w:right="1106" w:bottom="1134" w:left="1701" w:header="709" w:footer="3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EF2" w:rsidRDefault="00022EF2">
      <w:r>
        <w:separator/>
      </w:r>
    </w:p>
  </w:endnote>
  <w:endnote w:type="continuationSeparator" w:id="0">
    <w:p w:rsidR="00022EF2" w:rsidRDefault="0002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A1" w:rsidRPr="00186C21" w:rsidRDefault="000876A1" w:rsidP="00AE31DE">
    <w:pPr>
      <w:pStyle w:val="BodyText2"/>
      <w:spacing w:line="240" w:lineRule="auto"/>
      <w:jc w:val="both"/>
      <w:rPr>
        <w:b w:val="0"/>
        <w:bCs w:val="0"/>
        <w:sz w:val="20"/>
        <w:szCs w:val="20"/>
      </w:rPr>
    </w:pPr>
    <w:r w:rsidRPr="00186C21">
      <w:rPr>
        <w:b w:val="0"/>
        <w:bCs w:val="0"/>
        <w:sz w:val="20"/>
        <w:szCs w:val="20"/>
      </w:rPr>
      <w:t>RAPLManot_051109_Lubanas; Ministru kabineta rīkojuma projekta „Par finanšu līdzekļu piešķiršanu no valsts pamatbudžeta apakšprogrammas „Līdzekļi neparedzētiem gadījumiem”” anotācija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890" w:rsidRDefault="00261E55">
    <w:pPr>
      <w:pStyle w:val="Footer"/>
    </w:pPr>
    <w:fldSimple w:instr=" FILENAME   \* MERGEFORMAT ">
      <w:r w:rsidR="00CC1890" w:rsidRPr="00CE136B">
        <w:rPr>
          <w:noProof/>
          <w:sz w:val="20"/>
          <w:szCs w:val="20"/>
        </w:rPr>
        <w:t>FMAnot_</w:t>
      </w:r>
      <w:r w:rsidR="00CC1890">
        <w:rPr>
          <w:noProof/>
          <w:sz w:val="20"/>
          <w:szCs w:val="20"/>
        </w:rPr>
        <w:t>270420</w:t>
      </w:r>
      <w:r w:rsidR="00CC1890" w:rsidRPr="00CE136B">
        <w:rPr>
          <w:noProof/>
          <w:sz w:val="20"/>
          <w:szCs w:val="20"/>
        </w:rPr>
        <w:t>_</w:t>
      </w:r>
      <w:r w:rsidR="00CC1890">
        <w:rPr>
          <w:noProof/>
          <w:sz w:val="20"/>
          <w:szCs w:val="20"/>
        </w:rPr>
        <w:t>IIPAFDL</w:t>
      </w:r>
      <w:r w:rsidR="00CC1890" w:rsidRPr="00CE136B">
        <w:rPr>
          <w:noProof/>
          <w:sz w:val="20"/>
          <w:szCs w:val="20"/>
        </w:rPr>
        <w:t>.docx</w:t>
      </w:r>
    </w:fldSimple>
  </w:p>
  <w:p w:rsidR="000876A1" w:rsidRPr="00EB2C1A" w:rsidRDefault="000876A1" w:rsidP="00EB2C1A">
    <w:pPr>
      <w:jc w:val="both"/>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A1" w:rsidRPr="00CC1890" w:rsidRDefault="00261E55" w:rsidP="00CC1890">
    <w:pPr>
      <w:pStyle w:val="Footer"/>
    </w:pPr>
    <w:fldSimple w:instr=" FILENAME   \* MERGEFORMAT ">
      <w:r w:rsidR="00CC1890" w:rsidRPr="00CE136B">
        <w:rPr>
          <w:noProof/>
          <w:sz w:val="20"/>
          <w:szCs w:val="20"/>
        </w:rPr>
        <w:t>FMAnot_</w:t>
      </w:r>
      <w:r w:rsidR="00CC1890">
        <w:rPr>
          <w:noProof/>
          <w:sz w:val="20"/>
          <w:szCs w:val="20"/>
        </w:rPr>
        <w:t>270420</w:t>
      </w:r>
      <w:r w:rsidR="00CC1890" w:rsidRPr="00CE136B">
        <w:rPr>
          <w:noProof/>
          <w:sz w:val="20"/>
          <w:szCs w:val="20"/>
        </w:rPr>
        <w:t>_</w:t>
      </w:r>
      <w:r w:rsidR="00CC1890">
        <w:rPr>
          <w:noProof/>
          <w:sz w:val="20"/>
          <w:szCs w:val="20"/>
        </w:rPr>
        <w:t>IIPAFDL</w:t>
      </w:r>
      <w:r w:rsidR="00CC1890" w:rsidRPr="00CE136B">
        <w:rPr>
          <w:noProof/>
          <w:sz w:val="20"/>
          <w:szCs w:val="20"/>
        </w:rPr>
        <w:t>.docx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EF2" w:rsidRDefault="00022EF2">
      <w:r>
        <w:separator/>
      </w:r>
    </w:p>
  </w:footnote>
  <w:footnote w:type="continuationSeparator" w:id="0">
    <w:p w:rsidR="00022EF2" w:rsidRDefault="00022EF2">
      <w:r>
        <w:continuationSeparator/>
      </w:r>
    </w:p>
  </w:footnote>
  <w:footnote w:id="1">
    <w:p w:rsidR="000876A1" w:rsidRPr="004C4BD0" w:rsidRDefault="000876A1" w:rsidP="00EB1430">
      <w:pPr>
        <w:pStyle w:val="FootnoteText"/>
        <w:jc w:val="both"/>
        <w:rPr>
          <w:szCs w:val="18"/>
          <w:lang w:val="en-GB"/>
        </w:rPr>
      </w:pPr>
      <w:r w:rsidRPr="004C4BD0">
        <w:rPr>
          <w:rStyle w:val="FootnoteReference"/>
          <w:szCs w:val="18"/>
          <w:lang w:val="en-GB"/>
        </w:rPr>
        <w:footnoteRef/>
      </w:r>
      <w:r w:rsidRPr="004C4BD0">
        <w:rPr>
          <w:szCs w:val="18"/>
          <w:lang w:val="en-GB"/>
        </w:rPr>
        <w:t xml:space="preserve"> ISDA, Benefits of Close-out Netting of Derivative Transactions, June 29, 2016, p.1.</w:t>
      </w:r>
    </w:p>
  </w:footnote>
  <w:footnote w:id="2">
    <w:p w:rsidR="000876A1" w:rsidRPr="00C85D2A" w:rsidRDefault="000876A1" w:rsidP="00311EEB">
      <w:pPr>
        <w:pStyle w:val="FootnoteText"/>
        <w:rPr>
          <w:lang w:val="en-GB"/>
        </w:rPr>
      </w:pPr>
      <w:r w:rsidRPr="00C85D2A">
        <w:rPr>
          <w:rStyle w:val="FootnoteReference"/>
          <w:lang w:val="en-GB"/>
        </w:rPr>
        <w:footnoteRef/>
      </w:r>
      <w:r w:rsidRPr="00C85D2A">
        <w:rPr>
          <w:lang w:val="en-GB"/>
        </w:rPr>
        <w:t xml:space="preserve"> ISDA 2006 Model Netting Act, Version 2, incorporating minor revisions to version 1 published in March 2006</w:t>
      </w:r>
      <w:r>
        <w:rPr>
          <w:lang w:val="en-GB"/>
        </w:rPr>
        <w:t>, a</w:t>
      </w:r>
      <w:r w:rsidRPr="00C85D2A">
        <w:rPr>
          <w:lang w:val="en-GB"/>
        </w:rPr>
        <w:t>vailable at: https://www.isda.org/a/INTDE/2006ModelNettingAct.pdf</w:t>
      </w:r>
      <w:r>
        <w:rPr>
          <w:lang w:val="en-GB"/>
        </w:rPr>
        <w:t>.</w:t>
      </w:r>
      <w:r w:rsidRPr="00C85D2A">
        <w:rPr>
          <w:lang w:val="en-GB"/>
        </w:rPr>
        <w:t xml:space="preserve"> </w:t>
      </w:r>
    </w:p>
  </w:footnote>
  <w:footnote w:id="3">
    <w:p w:rsidR="000876A1" w:rsidRPr="004C4BD0" w:rsidRDefault="000876A1" w:rsidP="0012256D">
      <w:pPr>
        <w:pStyle w:val="FootnoteText"/>
        <w:jc w:val="both"/>
        <w:rPr>
          <w:szCs w:val="18"/>
          <w:lang w:val="en-GB"/>
        </w:rPr>
      </w:pPr>
      <w:r w:rsidRPr="004C4BD0">
        <w:rPr>
          <w:rStyle w:val="FootnoteReference"/>
          <w:szCs w:val="18"/>
          <w:lang w:val="en-GB"/>
        </w:rPr>
        <w:footnoteRef/>
      </w:r>
      <w:r>
        <w:rPr>
          <w:szCs w:val="18"/>
          <w:lang w:val="en-GB"/>
        </w:rPr>
        <w:t xml:space="preserve"> </w:t>
      </w:r>
      <w:r w:rsidRPr="004C4BD0">
        <w:rPr>
          <w:szCs w:val="18"/>
          <w:lang w:val="en-GB"/>
        </w:rPr>
        <w:t>ISDA, Memorandum on the Implementation of Netting Legislation. A guide for Legislators and Other Policy-Makers. March 2006, p.4.</w:t>
      </w:r>
    </w:p>
  </w:footnote>
  <w:footnote w:id="4">
    <w:p w:rsidR="000876A1" w:rsidRPr="00E757FF" w:rsidRDefault="000876A1" w:rsidP="00231B9D">
      <w:pPr>
        <w:pStyle w:val="FootnoteText"/>
        <w:rPr>
          <w:lang w:val="lv-LV"/>
        </w:rPr>
      </w:pPr>
      <w:r>
        <w:rPr>
          <w:rStyle w:val="FootnoteReference"/>
        </w:rPr>
        <w:footnoteRef/>
      </w:r>
      <w:r>
        <w:t xml:space="preserve"> </w:t>
      </w:r>
      <w:r>
        <w:rPr>
          <w:lang w:val="lv-LV"/>
        </w:rPr>
        <w:t xml:space="preserve">Bankruptcy Act. Pieejams: </w:t>
      </w:r>
      <w:hyperlink r:id="rId1" w:history="1">
        <w:r>
          <w:rPr>
            <w:rStyle w:val="Hyperlink"/>
          </w:rPr>
          <w:t>https://www.riigiteataja.ee/en/eli/ee/Riigikogu/act/503042019005/consolide</w:t>
        </w:r>
      </w:hyperlink>
      <w:r>
        <w:t xml:space="preserve"> </w:t>
      </w:r>
    </w:p>
  </w:footnote>
  <w:footnote w:id="5">
    <w:p w:rsidR="000876A1" w:rsidRPr="00E757FF" w:rsidRDefault="000876A1" w:rsidP="00231B9D">
      <w:pPr>
        <w:pStyle w:val="FootnoteText"/>
        <w:rPr>
          <w:lang w:val="lv-LV"/>
        </w:rPr>
      </w:pPr>
      <w:r>
        <w:rPr>
          <w:rStyle w:val="FootnoteReference"/>
        </w:rPr>
        <w:footnoteRef/>
      </w:r>
      <w:r>
        <w:t xml:space="preserve"> </w:t>
      </w:r>
      <w:r>
        <w:rPr>
          <w:lang w:val="lv-LV"/>
        </w:rPr>
        <w:t xml:space="preserve">Law on Property Act. Pieejams: </w:t>
      </w:r>
      <w:hyperlink r:id="rId2" w:history="1">
        <w:r>
          <w:rPr>
            <w:rStyle w:val="Hyperlink"/>
          </w:rPr>
          <w:t>https://www.riigiteataja.ee/en/eli/ee/Riigikogu/act/529082019011/consolide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A1" w:rsidRDefault="00627BB5" w:rsidP="00AE31DE">
    <w:pPr>
      <w:pStyle w:val="Header"/>
      <w:framePr w:wrap="auto" w:vAnchor="text" w:hAnchor="margin" w:xAlign="center" w:y="1"/>
      <w:rPr>
        <w:rStyle w:val="PageNumber"/>
      </w:rPr>
    </w:pPr>
    <w:r>
      <w:rPr>
        <w:rStyle w:val="PageNumber"/>
      </w:rPr>
      <w:fldChar w:fldCharType="begin"/>
    </w:r>
    <w:r w:rsidR="000876A1">
      <w:rPr>
        <w:rStyle w:val="PageNumber"/>
      </w:rPr>
      <w:instrText xml:space="preserve">PAGE  </w:instrText>
    </w:r>
    <w:r>
      <w:rPr>
        <w:rStyle w:val="PageNumber"/>
      </w:rPr>
      <w:fldChar w:fldCharType="separate"/>
    </w:r>
    <w:r w:rsidR="007813FC">
      <w:rPr>
        <w:rStyle w:val="PageNumber"/>
        <w:noProof/>
      </w:rPr>
      <w:t>19</w:t>
    </w:r>
    <w:r>
      <w:rPr>
        <w:rStyle w:val="PageNumber"/>
      </w:rPr>
      <w:fldChar w:fldCharType="end"/>
    </w:r>
  </w:p>
  <w:p w:rsidR="000876A1" w:rsidRDefault="00087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A1" w:rsidRPr="00433CA3" w:rsidRDefault="000876A1" w:rsidP="00433CA3">
    <w:pPr>
      <w:pStyle w:val="Header"/>
      <w:jc w:val="right"/>
      <w:rPr>
        <w:i/>
      </w:rPr>
    </w:pPr>
    <w:r w:rsidRPr="00433CA3">
      <w:rPr>
        <w:i/>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FEE"/>
    <w:multiLevelType w:val="hybridMultilevel"/>
    <w:tmpl w:val="44BADEE4"/>
    <w:lvl w:ilvl="0" w:tplc="B08C6D3C">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6E6AC7"/>
    <w:multiLevelType w:val="hybridMultilevel"/>
    <w:tmpl w:val="0438222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4A03DF"/>
    <w:multiLevelType w:val="hybridMultilevel"/>
    <w:tmpl w:val="3148EEB2"/>
    <w:lvl w:ilvl="0" w:tplc="23E68844">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23546B"/>
    <w:multiLevelType w:val="hybridMultilevel"/>
    <w:tmpl w:val="3A5E9D7A"/>
    <w:lvl w:ilvl="0" w:tplc="A1C6A486">
      <w:start w:val="1"/>
      <w:numFmt w:val="lowerLetter"/>
      <w:lvlText w:val="%1)"/>
      <w:lvlJc w:val="left"/>
      <w:pPr>
        <w:ind w:left="1350" w:hanging="360"/>
      </w:pPr>
      <w:rPr>
        <w:rFonts w:hint="default"/>
      </w:rPr>
    </w:lvl>
    <w:lvl w:ilvl="1" w:tplc="04260019" w:tentative="1">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abstractNum w:abstractNumId="4" w15:restartNumberingAfterBreak="0">
    <w:nsid w:val="1A3E6F5C"/>
    <w:multiLevelType w:val="hybridMultilevel"/>
    <w:tmpl w:val="E63AF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FD10B7"/>
    <w:multiLevelType w:val="hybridMultilevel"/>
    <w:tmpl w:val="0332F052"/>
    <w:lvl w:ilvl="0" w:tplc="6DDC2C56">
      <w:start w:val="2"/>
      <w:numFmt w:val="decimal"/>
      <w:lvlText w:val="(%1)"/>
      <w:lvlJc w:val="left"/>
      <w:pPr>
        <w:ind w:left="720" w:hanging="360"/>
      </w:pPr>
      <w:rPr>
        <w:rFonts w:eastAsia="Times New Roman" w:cs="Arial" w:hint="default"/>
        <w:b w:val="0"/>
        <w:color w:val="41414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B2091A"/>
    <w:multiLevelType w:val="hybridMultilevel"/>
    <w:tmpl w:val="FF0C004C"/>
    <w:lvl w:ilvl="0" w:tplc="E3048D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D83D6A"/>
    <w:multiLevelType w:val="hybridMultilevel"/>
    <w:tmpl w:val="72524DA6"/>
    <w:lvl w:ilvl="0" w:tplc="F8FEECFE">
      <w:start w:val="1"/>
      <w:numFmt w:val="decimal"/>
      <w:lvlText w:val="%1)"/>
      <w:lvlJc w:val="left"/>
      <w:pPr>
        <w:ind w:left="1440" w:hanging="360"/>
      </w:pPr>
      <w:rPr>
        <w:rFonts w:eastAsia="Times New Roman" w:cs="Arial"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1FE3472"/>
    <w:multiLevelType w:val="hybridMultilevel"/>
    <w:tmpl w:val="6EE60DF0"/>
    <w:lvl w:ilvl="0" w:tplc="B08C6D3C">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4C2EEB"/>
    <w:multiLevelType w:val="hybridMultilevel"/>
    <w:tmpl w:val="957676EE"/>
    <w:lvl w:ilvl="0" w:tplc="5C1E44FA">
      <w:start w:val="1"/>
      <w:numFmt w:val="decimal"/>
      <w:lvlText w:val="%1)"/>
      <w:lvlJc w:val="left"/>
      <w:pPr>
        <w:ind w:left="706" w:hanging="360"/>
      </w:pPr>
      <w:rPr>
        <w:rFonts w:hint="default"/>
      </w:rPr>
    </w:lvl>
    <w:lvl w:ilvl="1" w:tplc="04260019" w:tentative="1">
      <w:start w:val="1"/>
      <w:numFmt w:val="lowerLetter"/>
      <w:lvlText w:val="%2."/>
      <w:lvlJc w:val="left"/>
      <w:pPr>
        <w:ind w:left="1426" w:hanging="360"/>
      </w:pPr>
    </w:lvl>
    <w:lvl w:ilvl="2" w:tplc="0426001B" w:tentative="1">
      <w:start w:val="1"/>
      <w:numFmt w:val="lowerRoman"/>
      <w:lvlText w:val="%3."/>
      <w:lvlJc w:val="right"/>
      <w:pPr>
        <w:ind w:left="2146" w:hanging="180"/>
      </w:pPr>
    </w:lvl>
    <w:lvl w:ilvl="3" w:tplc="0426000F" w:tentative="1">
      <w:start w:val="1"/>
      <w:numFmt w:val="decimal"/>
      <w:lvlText w:val="%4."/>
      <w:lvlJc w:val="left"/>
      <w:pPr>
        <w:ind w:left="2866" w:hanging="360"/>
      </w:pPr>
    </w:lvl>
    <w:lvl w:ilvl="4" w:tplc="04260019" w:tentative="1">
      <w:start w:val="1"/>
      <w:numFmt w:val="lowerLetter"/>
      <w:lvlText w:val="%5."/>
      <w:lvlJc w:val="left"/>
      <w:pPr>
        <w:ind w:left="3586" w:hanging="360"/>
      </w:pPr>
    </w:lvl>
    <w:lvl w:ilvl="5" w:tplc="0426001B" w:tentative="1">
      <w:start w:val="1"/>
      <w:numFmt w:val="lowerRoman"/>
      <w:lvlText w:val="%6."/>
      <w:lvlJc w:val="right"/>
      <w:pPr>
        <w:ind w:left="4306" w:hanging="180"/>
      </w:pPr>
    </w:lvl>
    <w:lvl w:ilvl="6" w:tplc="0426000F" w:tentative="1">
      <w:start w:val="1"/>
      <w:numFmt w:val="decimal"/>
      <w:lvlText w:val="%7."/>
      <w:lvlJc w:val="left"/>
      <w:pPr>
        <w:ind w:left="5026" w:hanging="360"/>
      </w:pPr>
    </w:lvl>
    <w:lvl w:ilvl="7" w:tplc="04260019" w:tentative="1">
      <w:start w:val="1"/>
      <w:numFmt w:val="lowerLetter"/>
      <w:lvlText w:val="%8."/>
      <w:lvlJc w:val="left"/>
      <w:pPr>
        <w:ind w:left="5746" w:hanging="360"/>
      </w:pPr>
    </w:lvl>
    <w:lvl w:ilvl="8" w:tplc="0426001B" w:tentative="1">
      <w:start w:val="1"/>
      <w:numFmt w:val="lowerRoman"/>
      <w:lvlText w:val="%9."/>
      <w:lvlJc w:val="right"/>
      <w:pPr>
        <w:ind w:left="6466" w:hanging="180"/>
      </w:pPr>
    </w:lvl>
  </w:abstractNum>
  <w:abstractNum w:abstractNumId="10" w15:restartNumberingAfterBreak="0">
    <w:nsid w:val="2AD84C19"/>
    <w:multiLevelType w:val="hybridMultilevel"/>
    <w:tmpl w:val="6AC68C00"/>
    <w:lvl w:ilvl="0" w:tplc="562AF3E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370D2686"/>
    <w:multiLevelType w:val="hybridMultilevel"/>
    <w:tmpl w:val="2416B4BA"/>
    <w:lvl w:ilvl="0" w:tplc="1C147EDC">
      <w:start w:val="1"/>
      <w:numFmt w:val="decimal"/>
      <w:lvlText w:val="%1)"/>
      <w:lvlJc w:val="left"/>
      <w:pPr>
        <w:ind w:left="721" w:hanging="375"/>
      </w:pPr>
      <w:rPr>
        <w:rFonts w:hint="default"/>
      </w:rPr>
    </w:lvl>
    <w:lvl w:ilvl="1" w:tplc="04260019" w:tentative="1">
      <w:start w:val="1"/>
      <w:numFmt w:val="lowerLetter"/>
      <w:lvlText w:val="%2."/>
      <w:lvlJc w:val="left"/>
      <w:pPr>
        <w:ind w:left="1426" w:hanging="360"/>
      </w:pPr>
    </w:lvl>
    <w:lvl w:ilvl="2" w:tplc="0426001B" w:tentative="1">
      <w:start w:val="1"/>
      <w:numFmt w:val="lowerRoman"/>
      <w:lvlText w:val="%3."/>
      <w:lvlJc w:val="right"/>
      <w:pPr>
        <w:ind w:left="2146" w:hanging="180"/>
      </w:pPr>
    </w:lvl>
    <w:lvl w:ilvl="3" w:tplc="0426000F" w:tentative="1">
      <w:start w:val="1"/>
      <w:numFmt w:val="decimal"/>
      <w:lvlText w:val="%4."/>
      <w:lvlJc w:val="left"/>
      <w:pPr>
        <w:ind w:left="2866" w:hanging="360"/>
      </w:pPr>
    </w:lvl>
    <w:lvl w:ilvl="4" w:tplc="04260019" w:tentative="1">
      <w:start w:val="1"/>
      <w:numFmt w:val="lowerLetter"/>
      <w:lvlText w:val="%5."/>
      <w:lvlJc w:val="left"/>
      <w:pPr>
        <w:ind w:left="3586" w:hanging="360"/>
      </w:pPr>
    </w:lvl>
    <w:lvl w:ilvl="5" w:tplc="0426001B" w:tentative="1">
      <w:start w:val="1"/>
      <w:numFmt w:val="lowerRoman"/>
      <w:lvlText w:val="%6."/>
      <w:lvlJc w:val="right"/>
      <w:pPr>
        <w:ind w:left="4306" w:hanging="180"/>
      </w:pPr>
    </w:lvl>
    <w:lvl w:ilvl="6" w:tplc="0426000F" w:tentative="1">
      <w:start w:val="1"/>
      <w:numFmt w:val="decimal"/>
      <w:lvlText w:val="%7."/>
      <w:lvlJc w:val="left"/>
      <w:pPr>
        <w:ind w:left="5026" w:hanging="360"/>
      </w:pPr>
    </w:lvl>
    <w:lvl w:ilvl="7" w:tplc="04260019" w:tentative="1">
      <w:start w:val="1"/>
      <w:numFmt w:val="lowerLetter"/>
      <w:lvlText w:val="%8."/>
      <w:lvlJc w:val="left"/>
      <w:pPr>
        <w:ind w:left="5746" w:hanging="360"/>
      </w:pPr>
    </w:lvl>
    <w:lvl w:ilvl="8" w:tplc="0426001B" w:tentative="1">
      <w:start w:val="1"/>
      <w:numFmt w:val="lowerRoman"/>
      <w:lvlText w:val="%9."/>
      <w:lvlJc w:val="right"/>
      <w:pPr>
        <w:ind w:left="6466" w:hanging="180"/>
      </w:pPr>
    </w:lvl>
  </w:abstractNum>
  <w:abstractNum w:abstractNumId="12" w15:restartNumberingAfterBreak="0">
    <w:nsid w:val="37863E19"/>
    <w:multiLevelType w:val="hybridMultilevel"/>
    <w:tmpl w:val="ACC0ACDC"/>
    <w:lvl w:ilvl="0" w:tplc="17EAD114">
      <w:start w:val="1"/>
      <w:numFmt w:val="decimal"/>
      <w:lvlText w:val="%1)"/>
      <w:lvlJc w:val="left"/>
      <w:pPr>
        <w:ind w:left="706" w:hanging="360"/>
      </w:pPr>
      <w:rPr>
        <w:rFonts w:hint="default"/>
      </w:rPr>
    </w:lvl>
    <w:lvl w:ilvl="1" w:tplc="04260019" w:tentative="1">
      <w:start w:val="1"/>
      <w:numFmt w:val="lowerLetter"/>
      <w:lvlText w:val="%2."/>
      <w:lvlJc w:val="left"/>
      <w:pPr>
        <w:ind w:left="1426" w:hanging="360"/>
      </w:pPr>
    </w:lvl>
    <w:lvl w:ilvl="2" w:tplc="0426001B" w:tentative="1">
      <w:start w:val="1"/>
      <w:numFmt w:val="lowerRoman"/>
      <w:lvlText w:val="%3."/>
      <w:lvlJc w:val="right"/>
      <w:pPr>
        <w:ind w:left="2146" w:hanging="180"/>
      </w:pPr>
    </w:lvl>
    <w:lvl w:ilvl="3" w:tplc="0426000F" w:tentative="1">
      <w:start w:val="1"/>
      <w:numFmt w:val="decimal"/>
      <w:lvlText w:val="%4."/>
      <w:lvlJc w:val="left"/>
      <w:pPr>
        <w:ind w:left="2866" w:hanging="360"/>
      </w:pPr>
    </w:lvl>
    <w:lvl w:ilvl="4" w:tplc="04260019" w:tentative="1">
      <w:start w:val="1"/>
      <w:numFmt w:val="lowerLetter"/>
      <w:lvlText w:val="%5."/>
      <w:lvlJc w:val="left"/>
      <w:pPr>
        <w:ind w:left="3586" w:hanging="360"/>
      </w:pPr>
    </w:lvl>
    <w:lvl w:ilvl="5" w:tplc="0426001B" w:tentative="1">
      <w:start w:val="1"/>
      <w:numFmt w:val="lowerRoman"/>
      <w:lvlText w:val="%6."/>
      <w:lvlJc w:val="right"/>
      <w:pPr>
        <w:ind w:left="4306" w:hanging="180"/>
      </w:pPr>
    </w:lvl>
    <w:lvl w:ilvl="6" w:tplc="0426000F" w:tentative="1">
      <w:start w:val="1"/>
      <w:numFmt w:val="decimal"/>
      <w:lvlText w:val="%7."/>
      <w:lvlJc w:val="left"/>
      <w:pPr>
        <w:ind w:left="5026" w:hanging="360"/>
      </w:pPr>
    </w:lvl>
    <w:lvl w:ilvl="7" w:tplc="04260019" w:tentative="1">
      <w:start w:val="1"/>
      <w:numFmt w:val="lowerLetter"/>
      <w:lvlText w:val="%8."/>
      <w:lvlJc w:val="left"/>
      <w:pPr>
        <w:ind w:left="5746" w:hanging="360"/>
      </w:pPr>
    </w:lvl>
    <w:lvl w:ilvl="8" w:tplc="0426001B" w:tentative="1">
      <w:start w:val="1"/>
      <w:numFmt w:val="lowerRoman"/>
      <w:lvlText w:val="%9."/>
      <w:lvlJc w:val="right"/>
      <w:pPr>
        <w:ind w:left="6466" w:hanging="180"/>
      </w:pPr>
    </w:lvl>
  </w:abstractNum>
  <w:abstractNum w:abstractNumId="13" w15:restartNumberingAfterBreak="0">
    <w:nsid w:val="3ADF47D5"/>
    <w:multiLevelType w:val="hybridMultilevel"/>
    <w:tmpl w:val="0ADAC2B8"/>
    <w:lvl w:ilvl="0" w:tplc="CBFE54B0">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826DAD"/>
    <w:multiLevelType w:val="hybridMultilevel"/>
    <w:tmpl w:val="ABF45036"/>
    <w:lvl w:ilvl="0" w:tplc="86D07F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9A5B57"/>
    <w:multiLevelType w:val="hybridMultilevel"/>
    <w:tmpl w:val="C060C10C"/>
    <w:lvl w:ilvl="0" w:tplc="C76051DC">
      <w:start w:val="1"/>
      <w:numFmt w:val="decimal"/>
      <w:lvlText w:val="%1)"/>
      <w:lvlJc w:val="left"/>
      <w:pPr>
        <w:ind w:left="1066" w:hanging="360"/>
      </w:pPr>
      <w:rPr>
        <w:rFonts w:hint="default"/>
      </w:rPr>
    </w:lvl>
    <w:lvl w:ilvl="1" w:tplc="04260019" w:tentative="1">
      <w:start w:val="1"/>
      <w:numFmt w:val="lowerLetter"/>
      <w:lvlText w:val="%2."/>
      <w:lvlJc w:val="left"/>
      <w:pPr>
        <w:ind w:left="1786" w:hanging="360"/>
      </w:pPr>
    </w:lvl>
    <w:lvl w:ilvl="2" w:tplc="0426001B" w:tentative="1">
      <w:start w:val="1"/>
      <w:numFmt w:val="lowerRoman"/>
      <w:lvlText w:val="%3."/>
      <w:lvlJc w:val="right"/>
      <w:pPr>
        <w:ind w:left="2506" w:hanging="180"/>
      </w:pPr>
    </w:lvl>
    <w:lvl w:ilvl="3" w:tplc="0426000F" w:tentative="1">
      <w:start w:val="1"/>
      <w:numFmt w:val="decimal"/>
      <w:lvlText w:val="%4."/>
      <w:lvlJc w:val="left"/>
      <w:pPr>
        <w:ind w:left="3226" w:hanging="360"/>
      </w:pPr>
    </w:lvl>
    <w:lvl w:ilvl="4" w:tplc="04260019" w:tentative="1">
      <w:start w:val="1"/>
      <w:numFmt w:val="lowerLetter"/>
      <w:lvlText w:val="%5."/>
      <w:lvlJc w:val="left"/>
      <w:pPr>
        <w:ind w:left="3946" w:hanging="360"/>
      </w:pPr>
    </w:lvl>
    <w:lvl w:ilvl="5" w:tplc="0426001B" w:tentative="1">
      <w:start w:val="1"/>
      <w:numFmt w:val="lowerRoman"/>
      <w:lvlText w:val="%6."/>
      <w:lvlJc w:val="right"/>
      <w:pPr>
        <w:ind w:left="4666" w:hanging="180"/>
      </w:pPr>
    </w:lvl>
    <w:lvl w:ilvl="6" w:tplc="0426000F" w:tentative="1">
      <w:start w:val="1"/>
      <w:numFmt w:val="decimal"/>
      <w:lvlText w:val="%7."/>
      <w:lvlJc w:val="left"/>
      <w:pPr>
        <w:ind w:left="5386" w:hanging="360"/>
      </w:pPr>
    </w:lvl>
    <w:lvl w:ilvl="7" w:tplc="04260019" w:tentative="1">
      <w:start w:val="1"/>
      <w:numFmt w:val="lowerLetter"/>
      <w:lvlText w:val="%8."/>
      <w:lvlJc w:val="left"/>
      <w:pPr>
        <w:ind w:left="6106" w:hanging="360"/>
      </w:pPr>
    </w:lvl>
    <w:lvl w:ilvl="8" w:tplc="0426001B" w:tentative="1">
      <w:start w:val="1"/>
      <w:numFmt w:val="lowerRoman"/>
      <w:lvlText w:val="%9."/>
      <w:lvlJc w:val="right"/>
      <w:pPr>
        <w:ind w:left="6826" w:hanging="180"/>
      </w:pPr>
    </w:lvl>
  </w:abstractNum>
  <w:abstractNum w:abstractNumId="16" w15:restartNumberingAfterBreak="0">
    <w:nsid w:val="43A43800"/>
    <w:multiLevelType w:val="hybridMultilevel"/>
    <w:tmpl w:val="DDACC6DE"/>
    <w:lvl w:ilvl="0" w:tplc="020E0D76">
      <w:numFmt w:val="bullet"/>
      <w:lvlText w:val="-"/>
      <w:lvlJc w:val="left"/>
      <w:pPr>
        <w:ind w:left="435" w:hanging="360"/>
      </w:pPr>
      <w:rPr>
        <w:rFonts w:ascii="Verdana" w:eastAsia="Calibri" w:hAnsi="Verdana"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17" w15:restartNumberingAfterBreak="0">
    <w:nsid w:val="4AE731F1"/>
    <w:multiLevelType w:val="hybridMultilevel"/>
    <w:tmpl w:val="0438222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08B352F"/>
    <w:multiLevelType w:val="hybridMultilevel"/>
    <w:tmpl w:val="0438222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81E4ADE"/>
    <w:multiLevelType w:val="hybridMultilevel"/>
    <w:tmpl w:val="F88490B0"/>
    <w:lvl w:ilvl="0" w:tplc="65C8425A">
      <w:start w:val="1"/>
      <w:numFmt w:val="decimal"/>
      <w:lvlText w:val="%1)"/>
      <w:lvlJc w:val="left"/>
      <w:pPr>
        <w:ind w:left="721" w:hanging="375"/>
      </w:pPr>
      <w:rPr>
        <w:rFonts w:hint="default"/>
      </w:rPr>
    </w:lvl>
    <w:lvl w:ilvl="1" w:tplc="04260019" w:tentative="1">
      <w:start w:val="1"/>
      <w:numFmt w:val="lowerLetter"/>
      <w:lvlText w:val="%2."/>
      <w:lvlJc w:val="left"/>
      <w:pPr>
        <w:ind w:left="1426" w:hanging="360"/>
      </w:pPr>
    </w:lvl>
    <w:lvl w:ilvl="2" w:tplc="0426001B" w:tentative="1">
      <w:start w:val="1"/>
      <w:numFmt w:val="lowerRoman"/>
      <w:lvlText w:val="%3."/>
      <w:lvlJc w:val="right"/>
      <w:pPr>
        <w:ind w:left="2146" w:hanging="180"/>
      </w:pPr>
    </w:lvl>
    <w:lvl w:ilvl="3" w:tplc="0426000F" w:tentative="1">
      <w:start w:val="1"/>
      <w:numFmt w:val="decimal"/>
      <w:lvlText w:val="%4."/>
      <w:lvlJc w:val="left"/>
      <w:pPr>
        <w:ind w:left="2866" w:hanging="360"/>
      </w:pPr>
    </w:lvl>
    <w:lvl w:ilvl="4" w:tplc="04260019" w:tentative="1">
      <w:start w:val="1"/>
      <w:numFmt w:val="lowerLetter"/>
      <w:lvlText w:val="%5."/>
      <w:lvlJc w:val="left"/>
      <w:pPr>
        <w:ind w:left="3586" w:hanging="360"/>
      </w:pPr>
    </w:lvl>
    <w:lvl w:ilvl="5" w:tplc="0426001B" w:tentative="1">
      <w:start w:val="1"/>
      <w:numFmt w:val="lowerRoman"/>
      <w:lvlText w:val="%6."/>
      <w:lvlJc w:val="right"/>
      <w:pPr>
        <w:ind w:left="4306" w:hanging="180"/>
      </w:pPr>
    </w:lvl>
    <w:lvl w:ilvl="6" w:tplc="0426000F" w:tentative="1">
      <w:start w:val="1"/>
      <w:numFmt w:val="decimal"/>
      <w:lvlText w:val="%7."/>
      <w:lvlJc w:val="left"/>
      <w:pPr>
        <w:ind w:left="5026" w:hanging="360"/>
      </w:pPr>
    </w:lvl>
    <w:lvl w:ilvl="7" w:tplc="04260019" w:tentative="1">
      <w:start w:val="1"/>
      <w:numFmt w:val="lowerLetter"/>
      <w:lvlText w:val="%8."/>
      <w:lvlJc w:val="left"/>
      <w:pPr>
        <w:ind w:left="5746" w:hanging="360"/>
      </w:pPr>
    </w:lvl>
    <w:lvl w:ilvl="8" w:tplc="0426001B" w:tentative="1">
      <w:start w:val="1"/>
      <w:numFmt w:val="lowerRoman"/>
      <w:lvlText w:val="%9."/>
      <w:lvlJc w:val="right"/>
      <w:pPr>
        <w:ind w:left="6466" w:hanging="180"/>
      </w:pPr>
    </w:lvl>
  </w:abstractNum>
  <w:abstractNum w:abstractNumId="20" w15:restartNumberingAfterBreak="0">
    <w:nsid w:val="5A757785"/>
    <w:multiLevelType w:val="hybridMultilevel"/>
    <w:tmpl w:val="DE364CC2"/>
    <w:lvl w:ilvl="0" w:tplc="E68E8AC2">
      <w:start w:val="1"/>
      <w:numFmt w:val="bullet"/>
      <w:lvlText w:val=""/>
      <w:lvlJc w:val="left"/>
      <w:pPr>
        <w:ind w:left="1066" w:hanging="360"/>
      </w:pPr>
      <w:rPr>
        <w:rFonts w:ascii="Symbol" w:hAnsi="Symbol" w:hint="default"/>
      </w:rPr>
    </w:lvl>
    <w:lvl w:ilvl="1" w:tplc="04260003" w:tentative="1">
      <w:start w:val="1"/>
      <w:numFmt w:val="bullet"/>
      <w:lvlText w:val="o"/>
      <w:lvlJc w:val="left"/>
      <w:pPr>
        <w:ind w:left="1786" w:hanging="360"/>
      </w:pPr>
      <w:rPr>
        <w:rFonts w:ascii="Courier New" w:hAnsi="Courier New" w:cs="Courier New" w:hint="default"/>
      </w:rPr>
    </w:lvl>
    <w:lvl w:ilvl="2" w:tplc="04260005" w:tentative="1">
      <w:start w:val="1"/>
      <w:numFmt w:val="bullet"/>
      <w:lvlText w:val=""/>
      <w:lvlJc w:val="left"/>
      <w:pPr>
        <w:ind w:left="2506" w:hanging="360"/>
      </w:pPr>
      <w:rPr>
        <w:rFonts w:ascii="Wingdings" w:hAnsi="Wingdings" w:hint="default"/>
      </w:rPr>
    </w:lvl>
    <w:lvl w:ilvl="3" w:tplc="04260001" w:tentative="1">
      <w:start w:val="1"/>
      <w:numFmt w:val="bullet"/>
      <w:lvlText w:val=""/>
      <w:lvlJc w:val="left"/>
      <w:pPr>
        <w:ind w:left="3226" w:hanging="360"/>
      </w:pPr>
      <w:rPr>
        <w:rFonts w:ascii="Symbol" w:hAnsi="Symbol" w:hint="default"/>
      </w:rPr>
    </w:lvl>
    <w:lvl w:ilvl="4" w:tplc="04260003" w:tentative="1">
      <w:start w:val="1"/>
      <w:numFmt w:val="bullet"/>
      <w:lvlText w:val="o"/>
      <w:lvlJc w:val="left"/>
      <w:pPr>
        <w:ind w:left="3946" w:hanging="360"/>
      </w:pPr>
      <w:rPr>
        <w:rFonts w:ascii="Courier New" w:hAnsi="Courier New" w:cs="Courier New" w:hint="default"/>
      </w:rPr>
    </w:lvl>
    <w:lvl w:ilvl="5" w:tplc="04260005" w:tentative="1">
      <w:start w:val="1"/>
      <w:numFmt w:val="bullet"/>
      <w:lvlText w:val=""/>
      <w:lvlJc w:val="left"/>
      <w:pPr>
        <w:ind w:left="4666" w:hanging="360"/>
      </w:pPr>
      <w:rPr>
        <w:rFonts w:ascii="Wingdings" w:hAnsi="Wingdings" w:hint="default"/>
      </w:rPr>
    </w:lvl>
    <w:lvl w:ilvl="6" w:tplc="04260001" w:tentative="1">
      <w:start w:val="1"/>
      <w:numFmt w:val="bullet"/>
      <w:lvlText w:val=""/>
      <w:lvlJc w:val="left"/>
      <w:pPr>
        <w:ind w:left="5386" w:hanging="360"/>
      </w:pPr>
      <w:rPr>
        <w:rFonts w:ascii="Symbol" w:hAnsi="Symbol" w:hint="default"/>
      </w:rPr>
    </w:lvl>
    <w:lvl w:ilvl="7" w:tplc="04260003" w:tentative="1">
      <w:start w:val="1"/>
      <w:numFmt w:val="bullet"/>
      <w:lvlText w:val="o"/>
      <w:lvlJc w:val="left"/>
      <w:pPr>
        <w:ind w:left="6106" w:hanging="360"/>
      </w:pPr>
      <w:rPr>
        <w:rFonts w:ascii="Courier New" w:hAnsi="Courier New" w:cs="Courier New" w:hint="default"/>
      </w:rPr>
    </w:lvl>
    <w:lvl w:ilvl="8" w:tplc="04260005" w:tentative="1">
      <w:start w:val="1"/>
      <w:numFmt w:val="bullet"/>
      <w:lvlText w:val=""/>
      <w:lvlJc w:val="left"/>
      <w:pPr>
        <w:ind w:left="6826" w:hanging="360"/>
      </w:pPr>
      <w:rPr>
        <w:rFonts w:ascii="Wingdings" w:hAnsi="Wingdings" w:hint="default"/>
      </w:rPr>
    </w:lvl>
  </w:abstractNum>
  <w:abstractNum w:abstractNumId="21" w15:restartNumberingAfterBreak="0">
    <w:nsid w:val="6B055F5F"/>
    <w:multiLevelType w:val="hybridMultilevel"/>
    <w:tmpl w:val="D2BC07F8"/>
    <w:lvl w:ilvl="0" w:tplc="D8F02898">
      <w:start w:val="1"/>
      <w:numFmt w:val="lowerLetter"/>
      <w:lvlText w:val="%1)"/>
      <w:lvlJc w:val="left"/>
      <w:pPr>
        <w:ind w:left="1080" w:hanging="360"/>
      </w:pPr>
      <w:rPr>
        <w:rFonts w:eastAsia="Calibri" w:cs="Segoe U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C3212C8"/>
    <w:multiLevelType w:val="hybridMultilevel"/>
    <w:tmpl w:val="466AE608"/>
    <w:lvl w:ilvl="0" w:tplc="0B3ECE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BE3AA5"/>
    <w:multiLevelType w:val="hybridMultilevel"/>
    <w:tmpl w:val="1ACC71FC"/>
    <w:lvl w:ilvl="0" w:tplc="BEB009EC">
      <w:start w:val="3"/>
      <w:numFmt w:val="decimal"/>
      <w:lvlText w:val="%1)"/>
      <w:lvlJc w:val="left"/>
      <w:pPr>
        <w:ind w:left="108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5F3776"/>
    <w:multiLevelType w:val="hybridMultilevel"/>
    <w:tmpl w:val="D6CE299E"/>
    <w:lvl w:ilvl="0" w:tplc="1480D174">
      <w:start w:val="1"/>
      <w:numFmt w:val="decimal"/>
      <w:lvlText w:val="%1)"/>
      <w:lvlJc w:val="left"/>
      <w:pPr>
        <w:ind w:left="417"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9B85ACB"/>
    <w:multiLevelType w:val="hybridMultilevel"/>
    <w:tmpl w:val="B806581A"/>
    <w:lvl w:ilvl="0" w:tplc="C76051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D11FC1"/>
    <w:multiLevelType w:val="hybridMultilevel"/>
    <w:tmpl w:val="E0F81840"/>
    <w:lvl w:ilvl="0" w:tplc="BB44A1A6">
      <w:start w:val="2"/>
      <w:numFmt w:val="decimal"/>
      <w:lvlText w:val="%1)"/>
      <w:lvlJc w:val="left"/>
      <w:pPr>
        <w:ind w:left="720" w:hanging="360"/>
      </w:pPr>
      <w:rPr>
        <w:rFonts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C2F58E3"/>
    <w:multiLevelType w:val="hybridMultilevel"/>
    <w:tmpl w:val="46548E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20"/>
  </w:num>
  <w:num w:numId="3">
    <w:abstractNumId w:val="27"/>
  </w:num>
  <w:num w:numId="4">
    <w:abstractNumId w:val="18"/>
  </w:num>
  <w:num w:numId="5">
    <w:abstractNumId w:val="17"/>
  </w:num>
  <w:num w:numId="6">
    <w:abstractNumId w:val="1"/>
  </w:num>
  <w:num w:numId="7">
    <w:abstractNumId w:val="24"/>
  </w:num>
  <w:num w:numId="8">
    <w:abstractNumId w:val="6"/>
  </w:num>
  <w:num w:numId="9">
    <w:abstractNumId w:val="25"/>
  </w:num>
  <w:num w:numId="10">
    <w:abstractNumId w:val="23"/>
  </w:num>
  <w:num w:numId="11">
    <w:abstractNumId w:val="15"/>
  </w:num>
  <w:num w:numId="12">
    <w:abstractNumId w:val="11"/>
  </w:num>
  <w:num w:numId="13">
    <w:abstractNumId w:val="19"/>
  </w:num>
  <w:num w:numId="14">
    <w:abstractNumId w:val="7"/>
  </w:num>
  <w:num w:numId="15">
    <w:abstractNumId w:val="0"/>
  </w:num>
  <w:num w:numId="16">
    <w:abstractNumId w:val="13"/>
  </w:num>
  <w:num w:numId="17">
    <w:abstractNumId w:val="8"/>
  </w:num>
  <w:num w:numId="18">
    <w:abstractNumId w:val="16"/>
  </w:num>
  <w:num w:numId="19">
    <w:abstractNumId w:val="4"/>
  </w:num>
  <w:num w:numId="20">
    <w:abstractNumId w:val="22"/>
  </w:num>
  <w:num w:numId="21">
    <w:abstractNumId w:val="14"/>
  </w:num>
  <w:num w:numId="22">
    <w:abstractNumId w:val="12"/>
  </w:num>
  <w:num w:numId="23">
    <w:abstractNumId w:val="9"/>
  </w:num>
  <w:num w:numId="24">
    <w:abstractNumId w:val="26"/>
  </w:num>
  <w:num w:numId="25">
    <w:abstractNumId w:val="5"/>
  </w:num>
  <w:num w:numId="26">
    <w:abstractNumId w:val="21"/>
  </w:num>
  <w:num w:numId="27">
    <w:abstractNumId w:val="10"/>
  </w:num>
  <w:num w:numId="2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8D"/>
    <w:rsid w:val="00000A3B"/>
    <w:rsid w:val="0000172D"/>
    <w:rsid w:val="00002171"/>
    <w:rsid w:val="0000254C"/>
    <w:rsid w:val="00002E0E"/>
    <w:rsid w:val="00003A26"/>
    <w:rsid w:val="000054C8"/>
    <w:rsid w:val="000069F6"/>
    <w:rsid w:val="00006CDD"/>
    <w:rsid w:val="000070AB"/>
    <w:rsid w:val="00010130"/>
    <w:rsid w:val="0001036C"/>
    <w:rsid w:val="00010489"/>
    <w:rsid w:val="00010917"/>
    <w:rsid w:val="00010D44"/>
    <w:rsid w:val="0001104C"/>
    <w:rsid w:val="00011612"/>
    <w:rsid w:val="0001185A"/>
    <w:rsid w:val="00011F50"/>
    <w:rsid w:val="000126CC"/>
    <w:rsid w:val="000129CA"/>
    <w:rsid w:val="00013582"/>
    <w:rsid w:val="00014D26"/>
    <w:rsid w:val="00016A4F"/>
    <w:rsid w:val="00016DB8"/>
    <w:rsid w:val="00016FFA"/>
    <w:rsid w:val="00021136"/>
    <w:rsid w:val="00021948"/>
    <w:rsid w:val="000226EF"/>
    <w:rsid w:val="00022716"/>
    <w:rsid w:val="00022ADB"/>
    <w:rsid w:val="00022EF2"/>
    <w:rsid w:val="00023A5E"/>
    <w:rsid w:val="00025982"/>
    <w:rsid w:val="00025D9F"/>
    <w:rsid w:val="0002670D"/>
    <w:rsid w:val="00027189"/>
    <w:rsid w:val="000276C4"/>
    <w:rsid w:val="00027C48"/>
    <w:rsid w:val="000302DE"/>
    <w:rsid w:val="000314BD"/>
    <w:rsid w:val="00031531"/>
    <w:rsid w:val="0003238B"/>
    <w:rsid w:val="00032C84"/>
    <w:rsid w:val="00032CB8"/>
    <w:rsid w:val="00032CC9"/>
    <w:rsid w:val="00033622"/>
    <w:rsid w:val="00033962"/>
    <w:rsid w:val="00033B3F"/>
    <w:rsid w:val="00034A94"/>
    <w:rsid w:val="00035163"/>
    <w:rsid w:val="000354AE"/>
    <w:rsid w:val="000363D2"/>
    <w:rsid w:val="0003654B"/>
    <w:rsid w:val="00037EA8"/>
    <w:rsid w:val="00040FBE"/>
    <w:rsid w:val="00041C63"/>
    <w:rsid w:val="0004227B"/>
    <w:rsid w:val="000423C9"/>
    <w:rsid w:val="00042E39"/>
    <w:rsid w:val="0004342B"/>
    <w:rsid w:val="00043C55"/>
    <w:rsid w:val="00046B88"/>
    <w:rsid w:val="0004745A"/>
    <w:rsid w:val="00047ADE"/>
    <w:rsid w:val="000501D4"/>
    <w:rsid w:val="000501E1"/>
    <w:rsid w:val="000503D4"/>
    <w:rsid w:val="00050474"/>
    <w:rsid w:val="00054019"/>
    <w:rsid w:val="000556A5"/>
    <w:rsid w:val="00056289"/>
    <w:rsid w:val="00056326"/>
    <w:rsid w:val="00057AE9"/>
    <w:rsid w:val="00057D59"/>
    <w:rsid w:val="000600BF"/>
    <w:rsid w:val="00061BA5"/>
    <w:rsid w:val="00062143"/>
    <w:rsid w:val="00062295"/>
    <w:rsid w:val="000624F1"/>
    <w:rsid w:val="00062EAA"/>
    <w:rsid w:val="0006433E"/>
    <w:rsid w:val="000643D4"/>
    <w:rsid w:val="000648AC"/>
    <w:rsid w:val="00064A5F"/>
    <w:rsid w:val="00064C5E"/>
    <w:rsid w:val="000660AE"/>
    <w:rsid w:val="0006611D"/>
    <w:rsid w:val="000663AF"/>
    <w:rsid w:val="000671DF"/>
    <w:rsid w:val="00067236"/>
    <w:rsid w:val="000706BF"/>
    <w:rsid w:val="00070927"/>
    <w:rsid w:val="000715EF"/>
    <w:rsid w:val="00073450"/>
    <w:rsid w:val="00073B40"/>
    <w:rsid w:val="000748B6"/>
    <w:rsid w:val="00075337"/>
    <w:rsid w:val="00075707"/>
    <w:rsid w:val="00076AD3"/>
    <w:rsid w:val="000773F4"/>
    <w:rsid w:val="0008059D"/>
    <w:rsid w:val="00080875"/>
    <w:rsid w:val="00081113"/>
    <w:rsid w:val="000817DA"/>
    <w:rsid w:val="00083A4D"/>
    <w:rsid w:val="000843BF"/>
    <w:rsid w:val="00084A32"/>
    <w:rsid w:val="00085257"/>
    <w:rsid w:val="00085C7A"/>
    <w:rsid w:val="0008752E"/>
    <w:rsid w:val="000876A1"/>
    <w:rsid w:val="0009001A"/>
    <w:rsid w:val="0009110E"/>
    <w:rsid w:val="00091649"/>
    <w:rsid w:val="0009178C"/>
    <w:rsid w:val="00093676"/>
    <w:rsid w:val="000940A4"/>
    <w:rsid w:val="00094212"/>
    <w:rsid w:val="0009448B"/>
    <w:rsid w:val="00094926"/>
    <w:rsid w:val="00095292"/>
    <w:rsid w:val="000952A1"/>
    <w:rsid w:val="00096395"/>
    <w:rsid w:val="0009693B"/>
    <w:rsid w:val="000A0387"/>
    <w:rsid w:val="000A03A6"/>
    <w:rsid w:val="000A0CB4"/>
    <w:rsid w:val="000A1590"/>
    <w:rsid w:val="000A1896"/>
    <w:rsid w:val="000A2823"/>
    <w:rsid w:val="000A423C"/>
    <w:rsid w:val="000A4BD1"/>
    <w:rsid w:val="000A534A"/>
    <w:rsid w:val="000A5E6A"/>
    <w:rsid w:val="000A79AB"/>
    <w:rsid w:val="000B0C41"/>
    <w:rsid w:val="000B34CE"/>
    <w:rsid w:val="000B3E3D"/>
    <w:rsid w:val="000B3E6C"/>
    <w:rsid w:val="000B46E1"/>
    <w:rsid w:val="000B47AD"/>
    <w:rsid w:val="000B582B"/>
    <w:rsid w:val="000B744A"/>
    <w:rsid w:val="000B74F2"/>
    <w:rsid w:val="000B7AB5"/>
    <w:rsid w:val="000C0F79"/>
    <w:rsid w:val="000C1255"/>
    <w:rsid w:val="000C17B5"/>
    <w:rsid w:val="000C4F50"/>
    <w:rsid w:val="000C51E4"/>
    <w:rsid w:val="000D0DCE"/>
    <w:rsid w:val="000D1838"/>
    <w:rsid w:val="000D2016"/>
    <w:rsid w:val="000D2C17"/>
    <w:rsid w:val="000D2E24"/>
    <w:rsid w:val="000D34A8"/>
    <w:rsid w:val="000D3D70"/>
    <w:rsid w:val="000D4C0F"/>
    <w:rsid w:val="000D51C1"/>
    <w:rsid w:val="000D5611"/>
    <w:rsid w:val="000D5891"/>
    <w:rsid w:val="000D6F6E"/>
    <w:rsid w:val="000D7999"/>
    <w:rsid w:val="000E120B"/>
    <w:rsid w:val="000E2161"/>
    <w:rsid w:val="000E327F"/>
    <w:rsid w:val="000E43ED"/>
    <w:rsid w:val="000E5231"/>
    <w:rsid w:val="000E5BDF"/>
    <w:rsid w:val="000E6573"/>
    <w:rsid w:val="000E6952"/>
    <w:rsid w:val="000E6D94"/>
    <w:rsid w:val="000E6DCD"/>
    <w:rsid w:val="000F06A3"/>
    <w:rsid w:val="000F0C52"/>
    <w:rsid w:val="000F0E3B"/>
    <w:rsid w:val="000F14BE"/>
    <w:rsid w:val="000F288D"/>
    <w:rsid w:val="000F2A34"/>
    <w:rsid w:val="000F3247"/>
    <w:rsid w:val="000F4DC7"/>
    <w:rsid w:val="000F4F3B"/>
    <w:rsid w:val="000F56A7"/>
    <w:rsid w:val="000F6F76"/>
    <w:rsid w:val="001004CE"/>
    <w:rsid w:val="00100631"/>
    <w:rsid w:val="001008E2"/>
    <w:rsid w:val="00100ADC"/>
    <w:rsid w:val="00100D7C"/>
    <w:rsid w:val="001020FB"/>
    <w:rsid w:val="00102912"/>
    <w:rsid w:val="00103100"/>
    <w:rsid w:val="001037F8"/>
    <w:rsid w:val="00103A6C"/>
    <w:rsid w:val="00103DC5"/>
    <w:rsid w:val="00104292"/>
    <w:rsid w:val="00104E5A"/>
    <w:rsid w:val="00104E6E"/>
    <w:rsid w:val="0010529D"/>
    <w:rsid w:val="00105319"/>
    <w:rsid w:val="0010550E"/>
    <w:rsid w:val="00106D55"/>
    <w:rsid w:val="0010703E"/>
    <w:rsid w:val="00111070"/>
    <w:rsid w:val="0011299A"/>
    <w:rsid w:val="00112F49"/>
    <w:rsid w:val="00113BA6"/>
    <w:rsid w:val="0011584F"/>
    <w:rsid w:val="00116A51"/>
    <w:rsid w:val="00120406"/>
    <w:rsid w:val="00120ACA"/>
    <w:rsid w:val="00121D4F"/>
    <w:rsid w:val="00121F0F"/>
    <w:rsid w:val="001221A7"/>
    <w:rsid w:val="0012256D"/>
    <w:rsid w:val="001246EA"/>
    <w:rsid w:val="00124F0E"/>
    <w:rsid w:val="00125297"/>
    <w:rsid w:val="00125BE7"/>
    <w:rsid w:val="00126C02"/>
    <w:rsid w:val="00126F8A"/>
    <w:rsid w:val="00127520"/>
    <w:rsid w:val="00130B8C"/>
    <w:rsid w:val="001320BC"/>
    <w:rsid w:val="001323C1"/>
    <w:rsid w:val="001333C1"/>
    <w:rsid w:val="00133572"/>
    <w:rsid w:val="00133C20"/>
    <w:rsid w:val="001356F7"/>
    <w:rsid w:val="00136085"/>
    <w:rsid w:val="00136B1B"/>
    <w:rsid w:val="001404C5"/>
    <w:rsid w:val="001408A3"/>
    <w:rsid w:val="001408C7"/>
    <w:rsid w:val="001418C6"/>
    <w:rsid w:val="00141D62"/>
    <w:rsid w:val="001428A9"/>
    <w:rsid w:val="00142902"/>
    <w:rsid w:val="00142AEA"/>
    <w:rsid w:val="0014304D"/>
    <w:rsid w:val="00144810"/>
    <w:rsid w:val="00144BF2"/>
    <w:rsid w:val="00145FE3"/>
    <w:rsid w:val="0014605B"/>
    <w:rsid w:val="00150BF6"/>
    <w:rsid w:val="00151BF5"/>
    <w:rsid w:val="00152A3B"/>
    <w:rsid w:val="0015323A"/>
    <w:rsid w:val="001539D7"/>
    <w:rsid w:val="00153AEE"/>
    <w:rsid w:val="001556AE"/>
    <w:rsid w:val="001556FF"/>
    <w:rsid w:val="00155D30"/>
    <w:rsid w:val="0015709E"/>
    <w:rsid w:val="001571DB"/>
    <w:rsid w:val="00157ED0"/>
    <w:rsid w:val="00160155"/>
    <w:rsid w:val="00160C06"/>
    <w:rsid w:val="00161239"/>
    <w:rsid w:val="0016179D"/>
    <w:rsid w:val="00161E68"/>
    <w:rsid w:val="00161F2B"/>
    <w:rsid w:val="00162E94"/>
    <w:rsid w:val="00162EED"/>
    <w:rsid w:val="00162EF1"/>
    <w:rsid w:val="00163EB4"/>
    <w:rsid w:val="00164215"/>
    <w:rsid w:val="001658E9"/>
    <w:rsid w:val="00166D60"/>
    <w:rsid w:val="00167959"/>
    <w:rsid w:val="00171627"/>
    <w:rsid w:val="001723F9"/>
    <w:rsid w:val="001725AE"/>
    <w:rsid w:val="00172924"/>
    <w:rsid w:val="00172F58"/>
    <w:rsid w:val="001750CD"/>
    <w:rsid w:val="00176350"/>
    <w:rsid w:val="00176E4D"/>
    <w:rsid w:val="00177068"/>
    <w:rsid w:val="00177320"/>
    <w:rsid w:val="00180BDE"/>
    <w:rsid w:val="00181952"/>
    <w:rsid w:val="0018388E"/>
    <w:rsid w:val="00186265"/>
    <w:rsid w:val="00187116"/>
    <w:rsid w:val="001913BD"/>
    <w:rsid w:val="00193106"/>
    <w:rsid w:val="001934C4"/>
    <w:rsid w:val="00195D1F"/>
    <w:rsid w:val="00196226"/>
    <w:rsid w:val="0019632B"/>
    <w:rsid w:val="0019688E"/>
    <w:rsid w:val="001968A3"/>
    <w:rsid w:val="001979DD"/>
    <w:rsid w:val="001A060A"/>
    <w:rsid w:val="001A1B73"/>
    <w:rsid w:val="001A2127"/>
    <w:rsid w:val="001A2DC9"/>
    <w:rsid w:val="001A3B59"/>
    <w:rsid w:val="001A478B"/>
    <w:rsid w:val="001A5627"/>
    <w:rsid w:val="001A5867"/>
    <w:rsid w:val="001A5A2B"/>
    <w:rsid w:val="001A6B23"/>
    <w:rsid w:val="001A756C"/>
    <w:rsid w:val="001A7D3F"/>
    <w:rsid w:val="001A7F5A"/>
    <w:rsid w:val="001B0A1F"/>
    <w:rsid w:val="001B0FFE"/>
    <w:rsid w:val="001B2391"/>
    <w:rsid w:val="001B2504"/>
    <w:rsid w:val="001B2817"/>
    <w:rsid w:val="001B2891"/>
    <w:rsid w:val="001B28B5"/>
    <w:rsid w:val="001B2B6D"/>
    <w:rsid w:val="001B50DE"/>
    <w:rsid w:val="001B54F1"/>
    <w:rsid w:val="001B5678"/>
    <w:rsid w:val="001B5B30"/>
    <w:rsid w:val="001B6148"/>
    <w:rsid w:val="001B6264"/>
    <w:rsid w:val="001B688B"/>
    <w:rsid w:val="001B7CB1"/>
    <w:rsid w:val="001C0674"/>
    <w:rsid w:val="001C1418"/>
    <w:rsid w:val="001C1AC7"/>
    <w:rsid w:val="001C2F54"/>
    <w:rsid w:val="001C346C"/>
    <w:rsid w:val="001C363B"/>
    <w:rsid w:val="001C4291"/>
    <w:rsid w:val="001C5252"/>
    <w:rsid w:val="001C53BB"/>
    <w:rsid w:val="001C70DA"/>
    <w:rsid w:val="001C7820"/>
    <w:rsid w:val="001D0A43"/>
    <w:rsid w:val="001D2003"/>
    <w:rsid w:val="001D2B79"/>
    <w:rsid w:val="001D2BED"/>
    <w:rsid w:val="001D2C76"/>
    <w:rsid w:val="001D2F71"/>
    <w:rsid w:val="001D3100"/>
    <w:rsid w:val="001D33B2"/>
    <w:rsid w:val="001D4894"/>
    <w:rsid w:val="001D4DF0"/>
    <w:rsid w:val="001D5DA0"/>
    <w:rsid w:val="001D5FE3"/>
    <w:rsid w:val="001D623A"/>
    <w:rsid w:val="001E05C0"/>
    <w:rsid w:val="001E065F"/>
    <w:rsid w:val="001E1862"/>
    <w:rsid w:val="001E1D73"/>
    <w:rsid w:val="001E228E"/>
    <w:rsid w:val="001E3369"/>
    <w:rsid w:val="001E4817"/>
    <w:rsid w:val="001E5C2E"/>
    <w:rsid w:val="001E5DF4"/>
    <w:rsid w:val="001E6375"/>
    <w:rsid w:val="001E7E62"/>
    <w:rsid w:val="001F14A5"/>
    <w:rsid w:val="001F14FA"/>
    <w:rsid w:val="001F1B20"/>
    <w:rsid w:val="001F2E31"/>
    <w:rsid w:val="001F34E6"/>
    <w:rsid w:val="001F361F"/>
    <w:rsid w:val="001F3D4C"/>
    <w:rsid w:val="001F4DB2"/>
    <w:rsid w:val="001F4DD8"/>
    <w:rsid w:val="001F5063"/>
    <w:rsid w:val="001F595C"/>
    <w:rsid w:val="001F65F3"/>
    <w:rsid w:val="0020001C"/>
    <w:rsid w:val="0020004B"/>
    <w:rsid w:val="002003F2"/>
    <w:rsid w:val="00202DA4"/>
    <w:rsid w:val="002030DB"/>
    <w:rsid w:val="0020342E"/>
    <w:rsid w:val="00204991"/>
    <w:rsid w:val="00206342"/>
    <w:rsid w:val="00206722"/>
    <w:rsid w:val="00207072"/>
    <w:rsid w:val="00207B52"/>
    <w:rsid w:val="002116BD"/>
    <w:rsid w:val="00212218"/>
    <w:rsid w:val="00214A06"/>
    <w:rsid w:val="00214F0B"/>
    <w:rsid w:val="00215ED7"/>
    <w:rsid w:val="0021747A"/>
    <w:rsid w:val="002174B8"/>
    <w:rsid w:val="0021789A"/>
    <w:rsid w:val="00220078"/>
    <w:rsid w:val="002202EA"/>
    <w:rsid w:val="002218DE"/>
    <w:rsid w:val="00221CCE"/>
    <w:rsid w:val="00222172"/>
    <w:rsid w:val="00222580"/>
    <w:rsid w:val="00222C27"/>
    <w:rsid w:val="00224222"/>
    <w:rsid w:val="0022567B"/>
    <w:rsid w:val="00226E57"/>
    <w:rsid w:val="00227136"/>
    <w:rsid w:val="002305A8"/>
    <w:rsid w:val="00230DC6"/>
    <w:rsid w:val="00231B9D"/>
    <w:rsid w:val="0023238C"/>
    <w:rsid w:val="00232B52"/>
    <w:rsid w:val="00233155"/>
    <w:rsid w:val="002349C7"/>
    <w:rsid w:val="00234F2B"/>
    <w:rsid w:val="002353B9"/>
    <w:rsid w:val="00235496"/>
    <w:rsid w:val="002363B4"/>
    <w:rsid w:val="0023738D"/>
    <w:rsid w:val="002413A6"/>
    <w:rsid w:val="00241D99"/>
    <w:rsid w:val="00241E2A"/>
    <w:rsid w:val="00241E63"/>
    <w:rsid w:val="002421F8"/>
    <w:rsid w:val="00242936"/>
    <w:rsid w:val="00244398"/>
    <w:rsid w:val="00244A84"/>
    <w:rsid w:val="002463FA"/>
    <w:rsid w:val="0024658B"/>
    <w:rsid w:val="00246F31"/>
    <w:rsid w:val="00247655"/>
    <w:rsid w:val="00250B85"/>
    <w:rsid w:val="002524B8"/>
    <w:rsid w:val="00253938"/>
    <w:rsid w:val="002539BA"/>
    <w:rsid w:val="00253B3F"/>
    <w:rsid w:val="00253F70"/>
    <w:rsid w:val="00254323"/>
    <w:rsid w:val="0025451F"/>
    <w:rsid w:val="00254A20"/>
    <w:rsid w:val="00254CDC"/>
    <w:rsid w:val="00255E6A"/>
    <w:rsid w:val="00255FEF"/>
    <w:rsid w:val="00257D0B"/>
    <w:rsid w:val="002603EF"/>
    <w:rsid w:val="00261379"/>
    <w:rsid w:val="0026163B"/>
    <w:rsid w:val="00261A6E"/>
    <w:rsid w:val="00261E55"/>
    <w:rsid w:val="00261ED1"/>
    <w:rsid w:val="0026320E"/>
    <w:rsid w:val="002636FC"/>
    <w:rsid w:val="00265799"/>
    <w:rsid w:val="002668BD"/>
    <w:rsid w:val="002673AF"/>
    <w:rsid w:val="00267907"/>
    <w:rsid w:val="002703C7"/>
    <w:rsid w:val="00270FCC"/>
    <w:rsid w:val="00271EB3"/>
    <w:rsid w:val="0027234B"/>
    <w:rsid w:val="0027270B"/>
    <w:rsid w:val="002732E7"/>
    <w:rsid w:val="00273339"/>
    <w:rsid w:val="002737E1"/>
    <w:rsid w:val="0027380B"/>
    <w:rsid w:val="00273F81"/>
    <w:rsid w:val="00275FF8"/>
    <w:rsid w:val="002762E3"/>
    <w:rsid w:val="00277ACD"/>
    <w:rsid w:val="00280927"/>
    <w:rsid w:val="00280F91"/>
    <w:rsid w:val="00281CEB"/>
    <w:rsid w:val="00282093"/>
    <w:rsid w:val="00282796"/>
    <w:rsid w:val="00282E1F"/>
    <w:rsid w:val="00283500"/>
    <w:rsid w:val="00283E34"/>
    <w:rsid w:val="0028403E"/>
    <w:rsid w:val="00285F34"/>
    <w:rsid w:val="00287010"/>
    <w:rsid w:val="00287763"/>
    <w:rsid w:val="002919D2"/>
    <w:rsid w:val="00291E5B"/>
    <w:rsid w:val="0029233E"/>
    <w:rsid w:val="002924D8"/>
    <w:rsid w:val="00292A21"/>
    <w:rsid w:val="00292CD8"/>
    <w:rsid w:val="00293318"/>
    <w:rsid w:val="00293548"/>
    <w:rsid w:val="0029357C"/>
    <w:rsid w:val="0029369E"/>
    <w:rsid w:val="0029375C"/>
    <w:rsid w:val="00293BE3"/>
    <w:rsid w:val="00293BEA"/>
    <w:rsid w:val="00296AB3"/>
    <w:rsid w:val="002976ED"/>
    <w:rsid w:val="002A15EF"/>
    <w:rsid w:val="002A16EC"/>
    <w:rsid w:val="002A1D97"/>
    <w:rsid w:val="002A37F4"/>
    <w:rsid w:val="002A3FAF"/>
    <w:rsid w:val="002A5C20"/>
    <w:rsid w:val="002A5FCF"/>
    <w:rsid w:val="002B30CC"/>
    <w:rsid w:val="002B4865"/>
    <w:rsid w:val="002B49EC"/>
    <w:rsid w:val="002B4A30"/>
    <w:rsid w:val="002B4D5F"/>
    <w:rsid w:val="002B4EF8"/>
    <w:rsid w:val="002B5A2C"/>
    <w:rsid w:val="002B628A"/>
    <w:rsid w:val="002B649F"/>
    <w:rsid w:val="002B6636"/>
    <w:rsid w:val="002B746F"/>
    <w:rsid w:val="002B79A1"/>
    <w:rsid w:val="002C2730"/>
    <w:rsid w:val="002C2A3D"/>
    <w:rsid w:val="002C52EB"/>
    <w:rsid w:val="002C5B7C"/>
    <w:rsid w:val="002C5C63"/>
    <w:rsid w:val="002C6115"/>
    <w:rsid w:val="002C613D"/>
    <w:rsid w:val="002C6B4C"/>
    <w:rsid w:val="002C6C37"/>
    <w:rsid w:val="002C752A"/>
    <w:rsid w:val="002C75AF"/>
    <w:rsid w:val="002C7B42"/>
    <w:rsid w:val="002D10F3"/>
    <w:rsid w:val="002D1242"/>
    <w:rsid w:val="002D1AAA"/>
    <w:rsid w:val="002D2DC3"/>
    <w:rsid w:val="002D370A"/>
    <w:rsid w:val="002D7FB2"/>
    <w:rsid w:val="002E0B99"/>
    <w:rsid w:val="002E167C"/>
    <w:rsid w:val="002E1A3E"/>
    <w:rsid w:val="002E1CF9"/>
    <w:rsid w:val="002E3B06"/>
    <w:rsid w:val="002E4AC5"/>
    <w:rsid w:val="002E55A9"/>
    <w:rsid w:val="002E59F7"/>
    <w:rsid w:val="002F0732"/>
    <w:rsid w:val="002F45D8"/>
    <w:rsid w:val="002F5BDF"/>
    <w:rsid w:val="002F6C64"/>
    <w:rsid w:val="002F7833"/>
    <w:rsid w:val="00303A7F"/>
    <w:rsid w:val="003046B0"/>
    <w:rsid w:val="00304D05"/>
    <w:rsid w:val="00305FE3"/>
    <w:rsid w:val="00306BDD"/>
    <w:rsid w:val="00306C1E"/>
    <w:rsid w:val="003112BD"/>
    <w:rsid w:val="00311EEB"/>
    <w:rsid w:val="0031255F"/>
    <w:rsid w:val="0031340F"/>
    <w:rsid w:val="003134F0"/>
    <w:rsid w:val="003143DF"/>
    <w:rsid w:val="00314552"/>
    <w:rsid w:val="00314A03"/>
    <w:rsid w:val="00315B99"/>
    <w:rsid w:val="00316A10"/>
    <w:rsid w:val="0031715E"/>
    <w:rsid w:val="00320DEC"/>
    <w:rsid w:val="0032152A"/>
    <w:rsid w:val="003219C5"/>
    <w:rsid w:val="00322AB4"/>
    <w:rsid w:val="00323828"/>
    <w:rsid w:val="00323B3C"/>
    <w:rsid w:val="00324557"/>
    <w:rsid w:val="00324DE2"/>
    <w:rsid w:val="003251E1"/>
    <w:rsid w:val="003258F1"/>
    <w:rsid w:val="00325C75"/>
    <w:rsid w:val="00326587"/>
    <w:rsid w:val="00326A33"/>
    <w:rsid w:val="00326FA6"/>
    <w:rsid w:val="0032708F"/>
    <w:rsid w:val="00327B07"/>
    <w:rsid w:val="00330635"/>
    <w:rsid w:val="00330C43"/>
    <w:rsid w:val="00330D4D"/>
    <w:rsid w:val="00331AD5"/>
    <w:rsid w:val="00332436"/>
    <w:rsid w:val="0033321E"/>
    <w:rsid w:val="00334AA3"/>
    <w:rsid w:val="00334B92"/>
    <w:rsid w:val="003350E8"/>
    <w:rsid w:val="00337DBF"/>
    <w:rsid w:val="003400FC"/>
    <w:rsid w:val="003406ED"/>
    <w:rsid w:val="00340A6F"/>
    <w:rsid w:val="003422F9"/>
    <w:rsid w:val="00342720"/>
    <w:rsid w:val="00342E1B"/>
    <w:rsid w:val="00343C7B"/>
    <w:rsid w:val="00344178"/>
    <w:rsid w:val="00344347"/>
    <w:rsid w:val="00345AC5"/>
    <w:rsid w:val="00347231"/>
    <w:rsid w:val="0034786E"/>
    <w:rsid w:val="0035093B"/>
    <w:rsid w:val="00350CB0"/>
    <w:rsid w:val="00351205"/>
    <w:rsid w:val="003577C7"/>
    <w:rsid w:val="00357E0D"/>
    <w:rsid w:val="00360258"/>
    <w:rsid w:val="00360CDE"/>
    <w:rsid w:val="00360FBF"/>
    <w:rsid w:val="00362B4E"/>
    <w:rsid w:val="00362FEC"/>
    <w:rsid w:val="003648AC"/>
    <w:rsid w:val="00364D5D"/>
    <w:rsid w:val="00365127"/>
    <w:rsid w:val="00365CC9"/>
    <w:rsid w:val="0036600B"/>
    <w:rsid w:val="00366610"/>
    <w:rsid w:val="00366D85"/>
    <w:rsid w:val="0036786A"/>
    <w:rsid w:val="00367D24"/>
    <w:rsid w:val="003715C7"/>
    <w:rsid w:val="00373A5D"/>
    <w:rsid w:val="003743B1"/>
    <w:rsid w:val="0037545A"/>
    <w:rsid w:val="00375B47"/>
    <w:rsid w:val="00377A16"/>
    <w:rsid w:val="003805E5"/>
    <w:rsid w:val="00381F32"/>
    <w:rsid w:val="003838CA"/>
    <w:rsid w:val="0038424B"/>
    <w:rsid w:val="00384F30"/>
    <w:rsid w:val="0038574C"/>
    <w:rsid w:val="00385C2A"/>
    <w:rsid w:val="00385DEB"/>
    <w:rsid w:val="00385F74"/>
    <w:rsid w:val="00386863"/>
    <w:rsid w:val="00387076"/>
    <w:rsid w:val="00387558"/>
    <w:rsid w:val="003903A8"/>
    <w:rsid w:val="003908DB"/>
    <w:rsid w:val="0039273B"/>
    <w:rsid w:val="00392E82"/>
    <w:rsid w:val="003933E9"/>
    <w:rsid w:val="00393472"/>
    <w:rsid w:val="003934B8"/>
    <w:rsid w:val="00393D05"/>
    <w:rsid w:val="003942BF"/>
    <w:rsid w:val="003944A8"/>
    <w:rsid w:val="00394500"/>
    <w:rsid w:val="003949D4"/>
    <w:rsid w:val="00394C33"/>
    <w:rsid w:val="003969CE"/>
    <w:rsid w:val="00397EC8"/>
    <w:rsid w:val="003A0C47"/>
    <w:rsid w:val="003A2154"/>
    <w:rsid w:val="003A2A13"/>
    <w:rsid w:val="003A3816"/>
    <w:rsid w:val="003A4AC8"/>
    <w:rsid w:val="003A4C0E"/>
    <w:rsid w:val="003A6127"/>
    <w:rsid w:val="003A6AB4"/>
    <w:rsid w:val="003B0450"/>
    <w:rsid w:val="003B0FF1"/>
    <w:rsid w:val="003B31CD"/>
    <w:rsid w:val="003B33C0"/>
    <w:rsid w:val="003B39A6"/>
    <w:rsid w:val="003B45FA"/>
    <w:rsid w:val="003B4632"/>
    <w:rsid w:val="003B4C8A"/>
    <w:rsid w:val="003B5009"/>
    <w:rsid w:val="003B5C85"/>
    <w:rsid w:val="003B601E"/>
    <w:rsid w:val="003B6492"/>
    <w:rsid w:val="003B69F4"/>
    <w:rsid w:val="003B7C62"/>
    <w:rsid w:val="003C2574"/>
    <w:rsid w:val="003C2797"/>
    <w:rsid w:val="003C2D81"/>
    <w:rsid w:val="003C2DA4"/>
    <w:rsid w:val="003C39F1"/>
    <w:rsid w:val="003C4567"/>
    <w:rsid w:val="003C53C9"/>
    <w:rsid w:val="003C58BF"/>
    <w:rsid w:val="003C5D25"/>
    <w:rsid w:val="003C6CB6"/>
    <w:rsid w:val="003C6E0F"/>
    <w:rsid w:val="003C7725"/>
    <w:rsid w:val="003C7C96"/>
    <w:rsid w:val="003D2211"/>
    <w:rsid w:val="003D2917"/>
    <w:rsid w:val="003D3ADD"/>
    <w:rsid w:val="003D3DC7"/>
    <w:rsid w:val="003D42F9"/>
    <w:rsid w:val="003D5485"/>
    <w:rsid w:val="003D5CDD"/>
    <w:rsid w:val="003D6A72"/>
    <w:rsid w:val="003E0BF6"/>
    <w:rsid w:val="003E0FB2"/>
    <w:rsid w:val="003E1992"/>
    <w:rsid w:val="003E34F3"/>
    <w:rsid w:val="003E3AE6"/>
    <w:rsid w:val="003E4701"/>
    <w:rsid w:val="003E5C83"/>
    <w:rsid w:val="003E624F"/>
    <w:rsid w:val="003E62BA"/>
    <w:rsid w:val="003E73BB"/>
    <w:rsid w:val="003E755C"/>
    <w:rsid w:val="003F0213"/>
    <w:rsid w:val="003F0705"/>
    <w:rsid w:val="003F11A0"/>
    <w:rsid w:val="003F1B8F"/>
    <w:rsid w:val="003F222E"/>
    <w:rsid w:val="003F24CB"/>
    <w:rsid w:val="003F36CD"/>
    <w:rsid w:val="003F373D"/>
    <w:rsid w:val="003F3DFF"/>
    <w:rsid w:val="003F491E"/>
    <w:rsid w:val="003F60F0"/>
    <w:rsid w:val="003F6CB5"/>
    <w:rsid w:val="00400158"/>
    <w:rsid w:val="0040028C"/>
    <w:rsid w:val="0040030D"/>
    <w:rsid w:val="00400D2F"/>
    <w:rsid w:val="00401FC2"/>
    <w:rsid w:val="00402092"/>
    <w:rsid w:val="00402AAE"/>
    <w:rsid w:val="004045C7"/>
    <w:rsid w:val="0040559D"/>
    <w:rsid w:val="00405B29"/>
    <w:rsid w:val="00405FA8"/>
    <w:rsid w:val="00406797"/>
    <w:rsid w:val="00407AA4"/>
    <w:rsid w:val="00410F10"/>
    <w:rsid w:val="004110C4"/>
    <w:rsid w:val="004114FB"/>
    <w:rsid w:val="00411B8F"/>
    <w:rsid w:val="00413696"/>
    <w:rsid w:val="00414B46"/>
    <w:rsid w:val="0041545D"/>
    <w:rsid w:val="0041659D"/>
    <w:rsid w:val="00416F89"/>
    <w:rsid w:val="0041705E"/>
    <w:rsid w:val="0042049C"/>
    <w:rsid w:val="004204DE"/>
    <w:rsid w:val="004227C9"/>
    <w:rsid w:val="00422A6A"/>
    <w:rsid w:val="00423893"/>
    <w:rsid w:val="0042425F"/>
    <w:rsid w:val="004245BF"/>
    <w:rsid w:val="00424D8D"/>
    <w:rsid w:val="0042551E"/>
    <w:rsid w:val="00425B84"/>
    <w:rsid w:val="00425FF2"/>
    <w:rsid w:val="00426A4A"/>
    <w:rsid w:val="00427BE1"/>
    <w:rsid w:val="00431321"/>
    <w:rsid w:val="004318CC"/>
    <w:rsid w:val="00431C6A"/>
    <w:rsid w:val="00431F6D"/>
    <w:rsid w:val="00433222"/>
    <w:rsid w:val="00433CA3"/>
    <w:rsid w:val="00435601"/>
    <w:rsid w:val="004359E1"/>
    <w:rsid w:val="00435B0F"/>
    <w:rsid w:val="004365FE"/>
    <w:rsid w:val="00437EB4"/>
    <w:rsid w:val="00440253"/>
    <w:rsid w:val="004405B1"/>
    <w:rsid w:val="00442F4C"/>
    <w:rsid w:val="00443631"/>
    <w:rsid w:val="004437F3"/>
    <w:rsid w:val="00443837"/>
    <w:rsid w:val="00443ADD"/>
    <w:rsid w:val="00445707"/>
    <w:rsid w:val="00445B18"/>
    <w:rsid w:val="004462A6"/>
    <w:rsid w:val="004471D7"/>
    <w:rsid w:val="0044757A"/>
    <w:rsid w:val="004477A8"/>
    <w:rsid w:val="00447B9B"/>
    <w:rsid w:val="004506D4"/>
    <w:rsid w:val="0045164A"/>
    <w:rsid w:val="00452232"/>
    <w:rsid w:val="00453421"/>
    <w:rsid w:val="00453898"/>
    <w:rsid w:val="0045457B"/>
    <w:rsid w:val="00454890"/>
    <w:rsid w:val="00454A09"/>
    <w:rsid w:val="004565EC"/>
    <w:rsid w:val="004566DA"/>
    <w:rsid w:val="00457218"/>
    <w:rsid w:val="00457912"/>
    <w:rsid w:val="004603AF"/>
    <w:rsid w:val="0046091D"/>
    <w:rsid w:val="00461384"/>
    <w:rsid w:val="00463391"/>
    <w:rsid w:val="00463FAA"/>
    <w:rsid w:val="0046461F"/>
    <w:rsid w:val="00464EF7"/>
    <w:rsid w:val="00465744"/>
    <w:rsid w:val="0046732D"/>
    <w:rsid w:val="00467EA6"/>
    <w:rsid w:val="0047025D"/>
    <w:rsid w:val="004704CA"/>
    <w:rsid w:val="00471474"/>
    <w:rsid w:val="00471F71"/>
    <w:rsid w:val="00473AFD"/>
    <w:rsid w:val="00473C57"/>
    <w:rsid w:val="00474E65"/>
    <w:rsid w:val="00475999"/>
    <w:rsid w:val="00475E2C"/>
    <w:rsid w:val="004773BC"/>
    <w:rsid w:val="00477802"/>
    <w:rsid w:val="004803A0"/>
    <w:rsid w:val="00480472"/>
    <w:rsid w:val="00481B6B"/>
    <w:rsid w:val="00482541"/>
    <w:rsid w:val="00482751"/>
    <w:rsid w:val="00482E5C"/>
    <w:rsid w:val="004838D7"/>
    <w:rsid w:val="00483994"/>
    <w:rsid w:val="00484B2D"/>
    <w:rsid w:val="00484D6F"/>
    <w:rsid w:val="00485372"/>
    <w:rsid w:val="0048582F"/>
    <w:rsid w:val="00485857"/>
    <w:rsid w:val="00485CD9"/>
    <w:rsid w:val="00486163"/>
    <w:rsid w:val="004867DC"/>
    <w:rsid w:val="00487325"/>
    <w:rsid w:val="00490BC2"/>
    <w:rsid w:val="0049107D"/>
    <w:rsid w:val="004917D2"/>
    <w:rsid w:val="00493E1E"/>
    <w:rsid w:val="004943B2"/>
    <w:rsid w:val="004960DD"/>
    <w:rsid w:val="00496607"/>
    <w:rsid w:val="0049732A"/>
    <w:rsid w:val="00497B1B"/>
    <w:rsid w:val="004A019E"/>
    <w:rsid w:val="004A0A47"/>
    <w:rsid w:val="004A0AA3"/>
    <w:rsid w:val="004A0D95"/>
    <w:rsid w:val="004A3D81"/>
    <w:rsid w:val="004A42D9"/>
    <w:rsid w:val="004A4EFE"/>
    <w:rsid w:val="004A570F"/>
    <w:rsid w:val="004A6363"/>
    <w:rsid w:val="004A7FFE"/>
    <w:rsid w:val="004B0CAD"/>
    <w:rsid w:val="004B16F6"/>
    <w:rsid w:val="004B1C26"/>
    <w:rsid w:val="004B2292"/>
    <w:rsid w:val="004B2951"/>
    <w:rsid w:val="004B38D7"/>
    <w:rsid w:val="004B3A07"/>
    <w:rsid w:val="004B3BA8"/>
    <w:rsid w:val="004B4564"/>
    <w:rsid w:val="004B4BD9"/>
    <w:rsid w:val="004C056C"/>
    <w:rsid w:val="004C1386"/>
    <w:rsid w:val="004C219C"/>
    <w:rsid w:val="004C25C3"/>
    <w:rsid w:val="004C30B5"/>
    <w:rsid w:val="004C31C4"/>
    <w:rsid w:val="004C3A3D"/>
    <w:rsid w:val="004C7D56"/>
    <w:rsid w:val="004C7DDE"/>
    <w:rsid w:val="004D09D2"/>
    <w:rsid w:val="004D194A"/>
    <w:rsid w:val="004D1CDA"/>
    <w:rsid w:val="004D3C11"/>
    <w:rsid w:val="004D3C8A"/>
    <w:rsid w:val="004D3D5A"/>
    <w:rsid w:val="004D5A9D"/>
    <w:rsid w:val="004D74C1"/>
    <w:rsid w:val="004E01A7"/>
    <w:rsid w:val="004E03A5"/>
    <w:rsid w:val="004E1136"/>
    <w:rsid w:val="004E22D0"/>
    <w:rsid w:val="004E2372"/>
    <w:rsid w:val="004E2585"/>
    <w:rsid w:val="004E29B5"/>
    <w:rsid w:val="004E2A2E"/>
    <w:rsid w:val="004E2B62"/>
    <w:rsid w:val="004E2F39"/>
    <w:rsid w:val="004E4568"/>
    <w:rsid w:val="004E5360"/>
    <w:rsid w:val="004E62C3"/>
    <w:rsid w:val="004F0AC4"/>
    <w:rsid w:val="004F0FB1"/>
    <w:rsid w:val="004F171B"/>
    <w:rsid w:val="004F1AEB"/>
    <w:rsid w:val="004F1BAE"/>
    <w:rsid w:val="004F1BD3"/>
    <w:rsid w:val="004F1F0C"/>
    <w:rsid w:val="004F21DA"/>
    <w:rsid w:val="004F22CB"/>
    <w:rsid w:val="004F2CCB"/>
    <w:rsid w:val="004F321F"/>
    <w:rsid w:val="004F38FE"/>
    <w:rsid w:val="004F5062"/>
    <w:rsid w:val="004F6878"/>
    <w:rsid w:val="004F6E2E"/>
    <w:rsid w:val="004F7D9F"/>
    <w:rsid w:val="005011A8"/>
    <w:rsid w:val="00502855"/>
    <w:rsid w:val="0050340F"/>
    <w:rsid w:val="0050359C"/>
    <w:rsid w:val="00503BDF"/>
    <w:rsid w:val="00504A57"/>
    <w:rsid w:val="00504C88"/>
    <w:rsid w:val="00504DE4"/>
    <w:rsid w:val="005050DC"/>
    <w:rsid w:val="0050586E"/>
    <w:rsid w:val="005065E4"/>
    <w:rsid w:val="00506E2B"/>
    <w:rsid w:val="00506F73"/>
    <w:rsid w:val="00507495"/>
    <w:rsid w:val="00507585"/>
    <w:rsid w:val="00507BCD"/>
    <w:rsid w:val="0051067B"/>
    <w:rsid w:val="00510A23"/>
    <w:rsid w:val="00512138"/>
    <w:rsid w:val="00513342"/>
    <w:rsid w:val="00513D72"/>
    <w:rsid w:val="00513EF3"/>
    <w:rsid w:val="00513FBB"/>
    <w:rsid w:val="00514837"/>
    <w:rsid w:val="00514E3B"/>
    <w:rsid w:val="00515068"/>
    <w:rsid w:val="00515B13"/>
    <w:rsid w:val="0051681D"/>
    <w:rsid w:val="0051717D"/>
    <w:rsid w:val="00517A8F"/>
    <w:rsid w:val="00517CFE"/>
    <w:rsid w:val="0052015A"/>
    <w:rsid w:val="0052047B"/>
    <w:rsid w:val="005209DB"/>
    <w:rsid w:val="00520A23"/>
    <w:rsid w:val="00521703"/>
    <w:rsid w:val="005229D7"/>
    <w:rsid w:val="00522CF6"/>
    <w:rsid w:val="00523C97"/>
    <w:rsid w:val="00524E89"/>
    <w:rsid w:val="00526830"/>
    <w:rsid w:val="00526AB9"/>
    <w:rsid w:val="00526FD3"/>
    <w:rsid w:val="00527678"/>
    <w:rsid w:val="0053108F"/>
    <w:rsid w:val="005320C6"/>
    <w:rsid w:val="0053322A"/>
    <w:rsid w:val="005339A0"/>
    <w:rsid w:val="00533B0E"/>
    <w:rsid w:val="00535574"/>
    <w:rsid w:val="00535EB4"/>
    <w:rsid w:val="00536A89"/>
    <w:rsid w:val="00536E0E"/>
    <w:rsid w:val="005370F6"/>
    <w:rsid w:val="00540260"/>
    <w:rsid w:val="00540474"/>
    <w:rsid w:val="00541C9A"/>
    <w:rsid w:val="00541FD4"/>
    <w:rsid w:val="00542E2B"/>
    <w:rsid w:val="00543C2C"/>
    <w:rsid w:val="00545540"/>
    <w:rsid w:val="00545601"/>
    <w:rsid w:val="00545D8D"/>
    <w:rsid w:val="00546C98"/>
    <w:rsid w:val="00547711"/>
    <w:rsid w:val="00551390"/>
    <w:rsid w:val="00551742"/>
    <w:rsid w:val="00552BEC"/>
    <w:rsid w:val="00554AB1"/>
    <w:rsid w:val="005555DC"/>
    <w:rsid w:val="00555A9D"/>
    <w:rsid w:val="00555C6A"/>
    <w:rsid w:val="00555F3E"/>
    <w:rsid w:val="0055651A"/>
    <w:rsid w:val="00556578"/>
    <w:rsid w:val="005576B0"/>
    <w:rsid w:val="00560D6B"/>
    <w:rsid w:val="00562EC0"/>
    <w:rsid w:val="005648C5"/>
    <w:rsid w:val="00565507"/>
    <w:rsid w:val="00566497"/>
    <w:rsid w:val="00566694"/>
    <w:rsid w:val="005670FE"/>
    <w:rsid w:val="005708D1"/>
    <w:rsid w:val="00571461"/>
    <w:rsid w:val="0057235E"/>
    <w:rsid w:val="00572523"/>
    <w:rsid w:val="00573772"/>
    <w:rsid w:val="005739B0"/>
    <w:rsid w:val="00574337"/>
    <w:rsid w:val="0057481D"/>
    <w:rsid w:val="005753E6"/>
    <w:rsid w:val="005757C3"/>
    <w:rsid w:val="00576865"/>
    <w:rsid w:val="00577146"/>
    <w:rsid w:val="005775BF"/>
    <w:rsid w:val="0058130D"/>
    <w:rsid w:val="00582658"/>
    <w:rsid w:val="00583572"/>
    <w:rsid w:val="005855B0"/>
    <w:rsid w:val="00586678"/>
    <w:rsid w:val="00586D51"/>
    <w:rsid w:val="00587A7C"/>
    <w:rsid w:val="00587C76"/>
    <w:rsid w:val="005908C8"/>
    <w:rsid w:val="00590C28"/>
    <w:rsid w:val="00591A64"/>
    <w:rsid w:val="00591B7F"/>
    <w:rsid w:val="005921A0"/>
    <w:rsid w:val="005925F6"/>
    <w:rsid w:val="00592B42"/>
    <w:rsid w:val="00593014"/>
    <w:rsid w:val="005935AE"/>
    <w:rsid w:val="00595346"/>
    <w:rsid w:val="00596457"/>
    <w:rsid w:val="00596740"/>
    <w:rsid w:val="00596743"/>
    <w:rsid w:val="00596A60"/>
    <w:rsid w:val="005A016F"/>
    <w:rsid w:val="005A0E62"/>
    <w:rsid w:val="005A10FB"/>
    <w:rsid w:val="005A2057"/>
    <w:rsid w:val="005A3C4F"/>
    <w:rsid w:val="005A3CC0"/>
    <w:rsid w:val="005A493B"/>
    <w:rsid w:val="005A4B0F"/>
    <w:rsid w:val="005A4B29"/>
    <w:rsid w:val="005A4CA6"/>
    <w:rsid w:val="005A5474"/>
    <w:rsid w:val="005A6A6F"/>
    <w:rsid w:val="005A721A"/>
    <w:rsid w:val="005B08F6"/>
    <w:rsid w:val="005B11E3"/>
    <w:rsid w:val="005B13AF"/>
    <w:rsid w:val="005B26BE"/>
    <w:rsid w:val="005B2E98"/>
    <w:rsid w:val="005B34BC"/>
    <w:rsid w:val="005B4064"/>
    <w:rsid w:val="005B4971"/>
    <w:rsid w:val="005B582E"/>
    <w:rsid w:val="005B5997"/>
    <w:rsid w:val="005B5E8C"/>
    <w:rsid w:val="005B66B2"/>
    <w:rsid w:val="005B6D4C"/>
    <w:rsid w:val="005B702B"/>
    <w:rsid w:val="005B7A2B"/>
    <w:rsid w:val="005C009E"/>
    <w:rsid w:val="005C03CF"/>
    <w:rsid w:val="005C04AE"/>
    <w:rsid w:val="005C0957"/>
    <w:rsid w:val="005C0EAF"/>
    <w:rsid w:val="005C1C2D"/>
    <w:rsid w:val="005C2175"/>
    <w:rsid w:val="005C2DA0"/>
    <w:rsid w:val="005C39E7"/>
    <w:rsid w:val="005C52E6"/>
    <w:rsid w:val="005C7044"/>
    <w:rsid w:val="005D127A"/>
    <w:rsid w:val="005D1609"/>
    <w:rsid w:val="005D1819"/>
    <w:rsid w:val="005D1BBC"/>
    <w:rsid w:val="005D25B9"/>
    <w:rsid w:val="005D4842"/>
    <w:rsid w:val="005D4BA5"/>
    <w:rsid w:val="005D5A73"/>
    <w:rsid w:val="005D70B9"/>
    <w:rsid w:val="005E2061"/>
    <w:rsid w:val="005E2246"/>
    <w:rsid w:val="005E49AA"/>
    <w:rsid w:val="005E527A"/>
    <w:rsid w:val="005E5885"/>
    <w:rsid w:val="005E5E8A"/>
    <w:rsid w:val="005E6398"/>
    <w:rsid w:val="005E716D"/>
    <w:rsid w:val="005E7925"/>
    <w:rsid w:val="005E7C9C"/>
    <w:rsid w:val="005F07D3"/>
    <w:rsid w:val="005F0C1C"/>
    <w:rsid w:val="005F256C"/>
    <w:rsid w:val="005F3977"/>
    <w:rsid w:val="005F5109"/>
    <w:rsid w:val="005F5523"/>
    <w:rsid w:val="005F5D2D"/>
    <w:rsid w:val="005F78CF"/>
    <w:rsid w:val="00601522"/>
    <w:rsid w:val="00602C7A"/>
    <w:rsid w:val="00603A52"/>
    <w:rsid w:val="00603D1A"/>
    <w:rsid w:val="00604B03"/>
    <w:rsid w:val="00606D36"/>
    <w:rsid w:val="00607C2F"/>
    <w:rsid w:val="006100BF"/>
    <w:rsid w:val="00612807"/>
    <w:rsid w:val="0061389C"/>
    <w:rsid w:val="0061539D"/>
    <w:rsid w:val="006159B1"/>
    <w:rsid w:val="0061651A"/>
    <w:rsid w:val="006168D2"/>
    <w:rsid w:val="00616FC8"/>
    <w:rsid w:val="00617094"/>
    <w:rsid w:val="0061743E"/>
    <w:rsid w:val="006177B3"/>
    <w:rsid w:val="00617F97"/>
    <w:rsid w:val="00620068"/>
    <w:rsid w:val="006203D0"/>
    <w:rsid w:val="00621AB0"/>
    <w:rsid w:val="006222A8"/>
    <w:rsid w:val="006223F5"/>
    <w:rsid w:val="00627BB5"/>
    <w:rsid w:val="00630B3B"/>
    <w:rsid w:val="00630FA5"/>
    <w:rsid w:val="006310E2"/>
    <w:rsid w:val="00631240"/>
    <w:rsid w:val="0063145B"/>
    <w:rsid w:val="00631534"/>
    <w:rsid w:val="00631FB8"/>
    <w:rsid w:val="006325D3"/>
    <w:rsid w:val="00632612"/>
    <w:rsid w:val="00632959"/>
    <w:rsid w:val="00633F09"/>
    <w:rsid w:val="0063453D"/>
    <w:rsid w:val="00634856"/>
    <w:rsid w:val="00634887"/>
    <w:rsid w:val="006354BD"/>
    <w:rsid w:val="0063679F"/>
    <w:rsid w:val="00637115"/>
    <w:rsid w:val="00637945"/>
    <w:rsid w:val="00637F8C"/>
    <w:rsid w:val="0064001D"/>
    <w:rsid w:val="00640EE3"/>
    <w:rsid w:val="006411A9"/>
    <w:rsid w:val="0064207A"/>
    <w:rsid w:val="00642B0A"/>
    <w:rsid w:val="006441C8"/>
    <w:rsid w:val="00644742"/>
    <w:rsid w:val="00644F99"/>
    <w:rsid w:val="00645495"/>
    <w:rsid w:val="00647063"/>
    <w:rsid w:val="00647C54"/>
    <w:rsid w:val="00650359"/>
    <w:rsid w:val="00650F99"/>
    <w:rsid w:val="00652E55"/>
    <w:rsid w:val="00653962"/>
    <w:rsid w:val="00653CC2"/>
    <w:rsid w:val="00653DE8"/>
    <w:rsid w:val="006542E4"/>
    <w:rsid w:val="00655A09"/>
    <w:rsid w:val="00656E96"/>
    <w:rsid w:val="00656FCD"/>
    <w:rsid w:val="00657266"/>
    <w:rsid w:val="00660212"/>
    <w:rsid w:val="00660D4B"/>
    <w:rsid w:val="00662129"/>
    <w:rsid w:val="00662B5B"/>
    <w:rsid w:val="00662D5E"/>
    <w:rsid w:val="00662FCA"/>
    <w:rsid w:val="00663CC5"/>
    <w:rsid w:val="0066668C"/>
    <w:rsid w:val="00666D36"/>
    <w:rsid w:val="00671392"/>
    <w:rsid w:val="006718EF"/>
    <w:rsid w:val="006719D2"/>
    <w:rsid w:val="00672296"/>
    <w:rsid w:val="0067593B"/>
    <w:rsid w:val="00676D30"/>
    <w:rsid w:val="006773D7"/>
    <w:rsid w:val="00677826"/>
    <w:rsid w:val="00680699"/>
    <w:rsid w:val="006806C4"/>
    <w:rsid w:val="00681C00"/>
    <w:rsid w:val="006828E6"/>
    <w:rsid w:val="0068314C"/>
    <w:rsid w:val="0068454C"/>
    <w:rsid w:val="00686C26"/>
    <w:rsid w:val="00687E19"/>
    <w:rsid w:val="00687FA7"/>
    <w:rsid w:val="00690170"/>
    <w:rsid w:val="0069169A"/>
    <w:rsid w:val="006918A2"/>
    <w:rsid w:val="00692584"/>
    <w:rsid w:val="0069386D"/>
    <w:rsid w:val="00693999"/>
    <w:rsid w:val="00694DC3"/>
    <w:rsid w:val="0069543C"/>
    <w:rsid w:val="0069738B"/>
    <w:rsid w:val="00697523"/>
    <w:rsid w:val="006A0793"/>
    <w:rsid w:val="006A0A2C"/>
    <w:rsid w:val="006A10CA"/>
    <w:rsid w:val="006A25EB"/>
    <w:rsid w:val="006A3A6B"/>
    <w:rsid w:val="006A3BA8"/>
    <w:rsid w:val="006A48D9"/>
    <w:rsid w:val="006A5FDF"/>
    <w:rsid w:val="006A7153"/>
    <w:rsid w:val="006B13B3"/>
    <w:rsid w:val="006B2982"/>
    <w:rsid w:val="006B3307"/>
    <w:rsid w:val="006B3406"/>
    <w:rsid w:val="006B4D9B"/>
    <w:rsid w:val="006B55C3"/>
    <w:rsid w:val="006B7059"/>
    <w:rsid w:val="006B7DFE"/>
    <w:rsid w:val="006C08B4"/>
    <w:rsid w:val="006C22C5"/>
    <w:rsid w:val="006C3682"/>
    <w:rsid w:val="006C3EDF"/>
    <w:rsid w:val="006C4062"/>
    <w:rsid w:val="006C451E"/>
    <w:rsid w:val="006C6368"/>
    <w:rsid w:val="006C7116"/>
    <w:rsid w:val="006D04E8"/>
    <w:rsid w:val="006D069A"/>
    <w:rsid w:val="006D1EED"/>
    <w:rsid w:val="006D2391"/>
    <w:rsid w:val="006D2742"/>
    <w:rsid w:val="006D29EE"/>
    <w:rsid w:val="006D2DAA"/>
    <w:rsid w:val="006D4A39"/>
    <w:rsid w:val="006D4F76"/>
    <w:rsid w:val="006D50C2"/>
    <w:rsid w:val="006D5D49"/>
    <w:rsid w:val="006D7B92"/>
    <w:rsid w:val="006E1A40"/>
    <w:rsid w:val="006E1B6B"/>
    <w:rsid w:val="006E2371"/>
    <w:rsid w:val="006E39D0"/>
    <w:rsid w:val="006E3A79"/>
    <w:rsid w:val="006E41E2"/>
    <w:rsid w:val="006E4338"/>
    <w:rsid w:val="006E47D4"/>
    <w:rsid w:val="006E4CE1"/>
    <w:rsid w:val="006E4DE7"/>
    <w:rsid w:val="006E5786"/>
    <w:rsid w:val="006E654C"/>
    <w:rsid w:val="006E670D"/>
    <w:rsid w:val="006E79AB"/>
    <w:rsid w:val="006E7C0D"/>
    <w:rsid w:val="006E7C82"/>
    <w:rsid w:val="006F0F9F"/>
    <w:rsid w:val="006F1EFE"/>
    <w:rsid w:val="006F525C"/>
    <w:rsid w:val="006F5701"/>
    <w:rsid w:val="006F5A7D"/>
    <w:rsid w:val="007000B1"/>
    <w:rsid w:val="007002DF"/>
    <w:rsid w:val="0070131C"/>
    <w:rsid w:val="00701815"/>
    <w:rsid w:val="00701847"/>
    <w:rsid w:val="00702183"/>
    <w:rsid w:val="00702642"/>
    <w:rsid w:val="00702815"/>
    <w:rsid w:val="007032A7"/>
    <w:rsid w:val="00703D69"/>
    <w:rsid w:val="007045F4"/>
    <w:rsid w:val="007058CD"/>
    <w:rsid w:val="007070BD"/>
    <w:rsid w:val="0071172A"/>
    <w:rsid w:val="007117AB"/>
    <w:rsid w:val="0071382C"/>
    <w:rsid w:val="00713CA6"/>
    <w:rsid w:val="00715246"/>
    <w:rsid w:val="0071583D"/>
    <w:rsid w:val="00715B2A"/>
    <w:rsid w:val="007162B8"/>
    <w:rsid w:val="00716CB3"/>
    <w:rsid w:val="00716DF3"/>
    <w:rsid w:val="00717E52"/>
    <w:rsid w:val="007203E9"/>
    <w:rsid w:val="00723FE4"/>
    <w:rsid w:val="00724114"/>
    <w:rsid w:val="00724E9D"/>
    <w:rsid w:val="007250B3"/>
    <w:rsid w:val="007252A5"/>
    <w:rsid w:val="0072561B"/>
    <w:rsid w:val="0072584B"/>
    <w:rsid w:val="00725D61"/>
    <w:rsid w:val="00726194"/>
    <w:rsid w:val="00727852"/>
    <w:rsid w:val="00727A98"/>
    <w:rsid w:val="00730303"/>
    <w:rsid w:val="00731140"/>
    <w:rsid w:val="00735728"/>
    <w:rsid w:val="007373D3"/>
    <w:rsid w:val="00737B15"/>
    <w:rsid w:val="00737E7E"/>
    <w:rsid w:val="00740E0A"/>
    <w:rsid w:val="007410CF"/>
    <w:rsid w:val="0074156D"/>
    <w:rsid w:val="00741BE8"/>
    <w:rsid w:val="00743536"/>
    <w:rsid w:val="00743680"/>
    <w:rsid w:val="0074374A"/>
    <w:rsid w:val="00743A0D"/>
    <w:rsid w:val="00743CD5"/>
    <w:rsid w:val="0074487A"/>
    <w:rsid w:val="0074525F"/>
    <w:rsid w:val="0074534E"/>
    <w:rsid w:val="0074537C"/>
    <w:rsid w:val="00747929"/>
    <w:rsid w:val="00747E40"/>
    <w:rsid w:val="007509A3"/>
    <w:rsid w:val="00752E42"/>
    <w:rsid w:val="00753FC7"/>
    <w:rsid w:val="0075444B"/>
    <w:rsid w:val="00754BC9"/>
    <w:rsid w:val="00754FFC"/>
    <w:rsid w:val="00756366"/>
    <w:rsid w:val="0075776A"/>
    <w:rsid w:val="00757EAE"/>
    <w:rsid w:val="007613A3"/>
    <w:rsid w:val="00761512"/>
    <w:rsid w:val="00761B06"/>
    <w:rsid w:val="007626DA"/>
    <w:rsid w:val="00762BB2"/>
    <w:rsid w:val="00763A6A"/>
    <w:rsid w:val="00763E53"/>
    <w:rsid w:val="007650F5"/>
    <w:rsid w:val="00765680"/>
    <w:rsid w:val="00765AAC"/>
    <w:rsid w:val="00766442"/>
    <w:rsid w:val="00767C41"/>
    <w:rsid w:val="00771694"/>
    <w:rsid w:val="00771758"/>
    <w:rsid w:val="00772941"/>
    <w:rsid w:val="007729DB"/>
    <w:rsid w:val="00773A85"/>
    <w:rsid w:val="00773E94"/>
    <w:rsid w:val="00774EDE"/>
    <w:rsid w:val="00775563"/>
    <w:rsid w:val="007759EA"/>
    <w:rsid w:val="00776B13"/>
    <w:rsid w:val="0077707B"/>
    <w:rsid w:val="00777540"/>
    <w:rsid w:val="007808CD"/>
    <w:rsid w:val="007813FC"/>
    <w:rsid w:val="00781895"/>
    <w:rsid w:val="0078372F"/>
    <w:rsid w:val="0078726F"/>
    <w:rsid w:val="007901E8"/>
    <w:rsid w:val="0079068A"/>
    <w:rsid w:val="00790757"/>
    <w:rsid w:val="007908D6"/>
    <w:rsid w:val="00791797"/>
    <w:rsid w:val="0079179D"/>
    <w:rsid w:val="00792B36"/>
    <w:rsid w:val="007939BC"/>
    <w:rsid w:val="00796848"/>
    <w:rsid w:val="00796A3B"/>
    <w:rsid w:val="0079752F"/>
    <w:rsid w:val="00797EA1"/>
    <w:rsid w:val="00797F33"/>
    <w:rsid w:val="007A03E4"/>
    <w:rsid w:val="007A0B6F"/>
    <w:rsid w:val="007A1722"/>
    <w:rsid w:val="007A1817"/>
    <w:rsid w:val="007A1E7D"/>
    <w:rsid w:val="007A3282"/>
    <w:rsid w:val="007A368E"/>
    <w:rsid w:val="007A3DD8"/>
    <w:rsid w:val="007A41B7"/>
    <w:rsid w:val="007A547F"/>
    <w:rsid w:val="007A6742"/>
    <w:rsid w:val="007A69F0"/>
    <w:rsid w:val="007A7CE8"/>
    <w:rsid w:val="007B0293"/>
    <w:rsid w:val="007B06BE"/>
    <w:rsid w:val="007B08A2"/>
    <w:rsid w:val="007B2432"/>
    <w:rsid w:val="007B3382"/>
    <w:rsid w:val="007B34BD"/>
    <w:rsid w:val="007B3EC9"/>
    <w:rsid w:val="007B4935"/>
    <w:rsid w:val="007B642D"/>
    <w:rsid w:val="007B6A8D"/>
    <w:rsid w:val="007B7025"/>
    <w:rsid w:val="007C089A"/>
    <w:rsid w:val="007C20E6"/>
    <w:rsid w:val="007C281D"/>
    <w:rsid w:val="007C337A"/>
    <w:rsid w:val="007C409E"/>
    <w:rsid w:val="007C48F8"/>
    <w:rsid w:val="007C61D1"/>
    <w:rsid w:val="007C6F56"/>
    <w:rsid w:val="007D1A9C"/>
    <w:rsid w:val="007D2880"/>
    <w:rsid w:val="007D34E5"/>
    <w:rsid w:val="007D3729"/>
    <w:rsid w:val="007D3894"/>
    <w:rsid w:val="007D3CE3"/>
    <w:rsid w:val="007D467E"/>
    <w:rsid w:val="007D491B"/>
    <w:rsid w:val="007D4D90"/>
    <w:rsid w:val="007D6364"/>
    <w:rsid w:val="007D7005"/>
    <w:rsid w:val="007E19B0"/>
    <w:rsid w:val="007E483F"/>
    <w:rsid w:val="007E4850"/>
    <w:rsid w:val="007E498A"/>
    <w:rsid w:val="007E5013"/>
    <w:rsid w:val="007E5597"/>
    <w:rsid w:val="007E6491"/>
    <w:rsid w:val="007E6B8B"/>
    <w:rsid w:val="007E757C"/>
    <w:rsid w:val="007E7AAD"/>
    <w:rsid w:val="007F33A1"/>
    <w:rsid w:val="007F34A1"/>
    <w:rsid w:val="007F3506"/>
    <w:rsid w:val="007F52DF"/>
    <w:rsid w:val="007F5643"/>
    <w:rsid w:val="007F5FF8"/>
    <w:rsid w:val="007F694E"/>
    <w:rsid w:val="007F6B79"/>
    <w:rsid w:val="007F7144"/>
    <w:rsid w:val="008001BF"/>
    <w:rsid w:val="0080062F"/>
    <w:rsid w:val="008019F1"/>
    <w:rsid w:val="00801DE0"/>
    <w:rsid w:val="008025E5"/>
    <w:rsid w:val="00802F6C"/>
    <w:rsid w:val="008032CD"/>
    <w:rsid w:val="008052BB"/>
    <w:rsid w:val="00806F09"/>
    <w:rsid w:val="00807166"/>
    <w:rsid w:val="00807DA5"/>
    <w:rsid w:val="00810B5B"/>
    <w:rsid w:val="00811FD5"/>
    <w:rsid w:val="00812350"/>
    <w:rsid w:val="0081309E"/>
    <w:rsid w:val="00813AA1"/>
    <w:rsid w:val="00815725"/>
    <w:rsid w:val="00815923"/>
    <w:rsid w:val="00816075"/>
    <w:rsid w:val="008172A5"/>
    <w:rsid w:val="00820676"/>
    <w:rsid w:val="00822172"/>
    <w:rsid w:val="00824711"/>
    <w:rsid w:val="00830138"/>
    <w:rsid w:val="00832B92"/>
    <w:rsid w:val="00834C8E"/>
    <w:rsid w:val="0083560F"/>
    <w:rsid w:val="00835FC5"/>
    <w:rsid w:val="00836939"/>
    <w:rsid w:val="00836D51"/>
    <w:rsid w:val="00836FAA"/>
    <w:rsid w:val="008428E8"/>
    <w:rsid w:val="00842CF0"/>
    <w:rsid w:val="00842EF5"/>
    <w:rsid w:val="00844F61"/>
    <w:rsid w:val="008458E9"/>
    <w:rsid w:val="0084692A"/>
    <w:rsid w:val="00850210"/>
    <w:rsid w:val="008516E9"/>
    <w:rsid w:val="00851C85"/>
    <w:rsid w:val="0085260F"/>
    <w:rsid w:val="00853043"/>
    <w:rsid w:val="0085338B"/>
    <w:rsid w:val="008542CA"/>
    <w:rsid w:val="00855F45"/>
    <w:rsid w:val="0085621C"/>
    <w:rsid w:val="008572C2"/>
    <w:rsid w:val="0086037D"/>
    <w:rsid w:val="00860C20"/>
    <w:rsid w:val="0086136A"/>
    <w:rsid w:val="008617D2"/>
    <w:rsid w:val="00861F9D"/>
    <w:rsid w:val="0086228E"/>
    <w:rsid w:val="00862D38"/>
    <w:rsid w:val="00862E1F"/>
    <w:rsid w:val="00865647"/>
    <w:rsid w:val="0086590F"/>
    <w:rsid w:val="00866E70"/>
    <w:rsid w:val="00866FDE"/>
    <w:rsid w:val="008670A6"/>
    <w:rsid w:val="00867797"/>
    <w:rsid w:val="00867B85"/>
    <w:rsid w:val="00871DF3"/>
    <w:rsid w:val="00872696"/>
    <w:rsid w:val="00873983"/>
    <w:rsid w:val="00873E50"/>
    <w:rsid w:val="0087484E"/>
    <w:rsid w:val="00875F2C"/>
    <w:rsid w:val="00875FC0"/>
    <w:rsid w:val="0087658C"/>
    <w:rsid w:val="00876EFD"/>
    <w:rsid w:val="00880BF6"/>
    <w:rsid w:val="00880E65"/>
    <w:rsid w:val="00882FF6"/>
    <w:rsid w:val="008832C9"/>
    <w:rsid w:val="008843EF"/>
    <w:rsid w:val="008849C8"/>
    <w:rsid w:val="008850E9"/>
    <w:rsid w:val="008853B0"/>
    <w:rsid w:val="008869AA"/>
    <w:rsid w:val="00887D64"/>
    <w:rsid w:val="008908B4"/>
    <w:rsid w:val="008927D4"/>
    <w:rsid w:val="00892FF9"/>
    <w:rsid w:val="00893326"/>
    <w:rsid w:val="00893F35"/>
    <w:rsid w:val="00893FBD"/>
    <w:rsid w:val="0089574D"/>
    <w:rsid w:val="00895F65"/>
    <w:rsid w:val="0089638A"/>
    <w:rsid w:val="00896CFD"/>
    <w:rsid w:val="00896EEF"/>
    <w:rsid w:val="008A28E1"/>
    <w:rsid w:val="008A34DC"/>
    <w:rsid w:val="008A3FDC"/>
    <w:rsid w:val="008A43C4"/>
    <w:rsid w:val="008A497D"/>
    <w:rsid w:val="008A4E08"/>
    <w:rsid w:val="008A639B"/>
    <w:rsid w:val="008A6430"/>
    <w:rsid w:val="008A6881"/>
    <w:rsid w:val="008B0346"/>
    <w:rsid w:val="008B2080"/>
    <w:rsid w:val="008B44C6"/>
    <w:rsid w:val="008B4539"/>
    <w:rsid w:val="008B64DC"/>
    <w:rsid w:val="008B73FA"/>
    <w:rsid w:val="008C0689"/>
    <w:rsid w:val="008C099D"/>
    <w:rsid w:val="008C0ED3"/>
    <w:rsid w:val="008C1133"/>
    <w:rsid w:val="008C1304"/>
    <w:rsid w:val="008C1305"/>
    <w:rsid w:val="008C2983"/>
    <w:rsid w:val="008C2B98"/>
    <w:rsid w:val="008C3AF3"/>
    <w:rsid w:val="008C4116"/>
    <w:rsid w:val="008C474C"/>
    <w:rsid w:val="008C50D6"/>
    <w:rsid w:val="008C510E"/>
    <w:rsid w:val="008C54EA"/>
    <w:rsid w:val="008C5E94"/>
    <w:rsid w:val="008C6A91"/>
    <w:rsid w:val="008C6BF0"/>
    <w:rsid w:val="008C70B0"/>
    <w:rsid w:val="008C7460"/>
    <w:rsid w:val="008C7633"/>
    <w:rsid w:val="008D06F4"/>
    <w:rsid w:val="008D0D43"/>
    <w:rsid w:val="008D0D4A"/>
    <w:rsid w:val="008D1451"/>
    <w:rsid w:val="008D1518"/>
    <w:rsid w:val="008D3142"/>
    <w:rsid w:val="008D46C8"/>
    <w:rsid w:val="008D475E"/>
    <w:rsid w:val="008D4FBF"/>
    <w:rsid w:val="008D64C6"/>
    <w:rsid w:val="008D701B"/>
    <w:rsid w:val="008D7D36"/>
    <w:rsid w:val="008E0085"/>
    <w:rsid w:val="008E1526"/>
    <w:rsid w:val="008E1A0B"/>
    <w:rsid w:val="008E2886"/>
    <w:rsid w:val="008E3879"/>
    <w:rsid w:val="008E3B04"/>
    <w:rsid w:val="008E4853"/>
    <w:rsid w:val="008E5138"/>
    <w:rsid w:val="008E52AE"/>
    <w:rsid w:val="008E53E0"/>
    <w:rsid w:val="008E5A0E"/>
    <w:rsid w:val="008E65C8"/>
    <w:rsid w:val="008E7DE2"/>
    <w:rsid w:val="008F071F"/>
    <w:rsid w:val="008F1412"/>
    <w:rsid w:val="008F1432"/>
    <w:rsid w:val="008F1D55"/>
    <w:rsid w:val="008F23E8"/>
    <w:rsid w:val="008F2D64"/>
    <w:rsid w:val="008F4E4A"/>
    <w:rsid w:val="008F5616"/>
    <w:rsid w:val="008F6EA9"/>
    <w:rsid w:val="008F74E6"/>
    <w:rsid w:val="008F7742"/>
    <w:rsid w:val="0090054E"/>
    <w:rsid w:val="00900EA0"/>
    <w:rsid w:val="009022A8"/>
    <w:rsid w:val="009028C9"/>
    <w:rsid w:val="0090301A"/>
    <w:rsid w:val="0090481F"/>
    <w:rsid w:val="00906080"/>
    <w:rsid w:val="00906C25"/>
    <w:rsid w:val="00907F21"/>
    <w:rsid w:val="009109E4"/>
    <w:rsid w:val="00912151"/>
    <w:rsid w:val="0091317F"/>
    <w:rsid w:val="00913472"/>
    <w:rsid w:val="0091658B"/>
    <w:rsid w:val="009179C9"/>
    <w:rsid w:val="00917DEF"/>
    <w:rsid w:val="00920513"/>
    <w:rsid w:val="00920F0A"/>
    <w:rsid w:val="009213D3"/>
    <w:rsid w:val="0092249F"/>
    <w:rsid w:val="00922C2C"/>
    <w:rsid w:val="00923280"/>
    <w:rsid w:val="00923EDC"/>
    <w:rsid w:val="00925022"/>
    <w:rsid w:val="00925454"/>
    <w:rsid w:val="009254F8"/>
    <w:rsid w:val="00925D6C"/>
    <w:rsid w:val="0092763C"/>
    <w:rsid w:val="00927E6F"/>
    <w:rsid w:val="009300A0"/>
    <w:rsid w:val="009313E6"/>
    <w:rsid w:val="00932DEC"/>
    <w:rsid w:val="0093399E"/>
    <w:rsid w:val="0093414D"/>
    <w:rsid w:val="00935088"/>
    <w:rsid w:val="009363FF"/>
    <w:rsid w:val="00936600"/>
    <w:rsid w:val="009378FC"/>
    <w:rsid w:val="0094058F"/>
    <w:rsid w:val="00941F50"/>
    <w:rsid w:val="00944CA3"/>
    <w:rsid w:val="00945BD9"/>
    <w:rsid w:val="00946D7D"/>
    <w:rsid w:val="00946DBE"/>
    <w:rsid w:val="009470E0"/>
    <w:rsid w:val="00947A4A"/>
    <w:rsid w:val="00947CD9"/>
    <w:rsid w:val="0095132D"/>
    <w:rsid w:val="00952B33"/>
    <w:rsid w:val="009536E6"/>
    <w:rsid w:val="00953C2C"/>
    <w:rsid w:val="00953CB4"/>
    <w:rsid w:val="00953F60"/>
    <w:rsid w:val="00954258"/>
    <w:rsid w:val="009550BC"/>
    <w:rsid w:val="00955C0E"/>
    <w:rsid w:val="00956951"/>
    <w:rsid w:val="00956ACC"/>
    <w:rsid w:val="00956B2F"/>
    <w:rsid w:val="009576DC"/>
    <w:rsid w:val="00961A25"/>
    <w:rsid w:val="00961F6D"/>
    <w:rsid w:val="009623F4"/>
    <w:rsid w:val="00965315"/>
    <w:rsid w:val="00966386"/>
    <w:rsid w:val="0096668D"/>
    <w:rsid w:val="00966768"/>
    <w:rsid w:val="009668FA"/>
    <w:rsid w:val="0096741A"/>
    <w:rsid w:val="0097068A"/>
    <w:rsid w:val="00970E38"/>
    <w:rsid w:val="00971C08"/>
    <w:rsid w:val="00971D65"/>
    <w:rsid w:val="00973D50"/>
    <w:rsid w:val="00974C9F"/>
    <w:rsid w:val="00976440"/>
    <w:rsid w:val="009767C5"/>
    <w:rsid w:val="00976FF4"/>
    <w:rsid w:val="009777FF"/>
    <w:rsid w:val="00980ABB"/>
    <w:rsid w:val="00981725"/>
    <w:rsid w:val="00981765"/>
    <w:rsid w:val="00982056"/>
    <w:rsid w:val="00982BE6"/>
    <w:rsid w:val="00983B23"/>
    <w:rsid w:val="00983EEF"/>
    <w:rsid w:val="009840ED"/>
    <w:rsid w:val="009842D1"/>
    <w:rsid w:val="00984580"/>
    <w:rsid w:val="00984E63"/>
    <w:rsid w:val="009850BC"/>
    <w:rsid w:val="009865D3"/>
    <w:rsid w:val="00986A57"/>
    <w:rsid w:val="0098773E"/>
    <w:rsid w:val="009905AC"/>
    <w:rsid w:val="009914B7"/>
    <w:rsid w:val="009915EC"/>
    <w:rsid w:val="00991697"/>
    <w:rsid w:val="00991CE7"/>
    <w:rsid w:val="00993F28"/>
    <w:rsid w:val="00995E83"/>
    <w:rsid w:val="00995EC2"/>
    <w:rsid w:val="00996FB2"/>
    <w:rsid w:val="00997A5B"/>
    <w:rsid w:val="009A059E"/>
    <w:rsid w:val="009A0899"/>
    <w:rsid w:val="009A2656"/>
    <w:rsid w:val="009A33D7"/>
    <w:rsid w:val="009A3FDD"/>
    <w:rsid w:val="009A6963"/>
    <w:rsid w:val="009A6C95"/>
    <w:rsid w:val="009A7C90"/>
    <w:rsid w:val="009B037F"/>
    <w:rsid w:val="009B0444"/>
    <w:rsid w:val="009B121F"/>
    <w:rsid w:val="009B1627"/>
    <w:rsid w:val="009B229C"/>
    <w:rsid w:val="009B259F"/>
    <w:rsid w:val="009B2679"/>
    <w:rsid w:val="009B355A"/>
    <w:rsid w:val="009B52C1"/>
    <w:rsid w:val="009B546A"/>
    <w:rsid w:val="009B59CA"/>
    <w:rsid w:val="009B7318"/>
    <w:rsid w:val="009C0F32"/>
    <w:rsid w:val="009C11AB"/>
    <w:rsid w:val="009C17AB"/>
    <w:rsid w:val="009C321E"/>
    <w:rsid w:val="009C3FEA"/>
    <w:rsid w:val="009C47EB"/>
    <w:rsid w:val="009C485F"/>
    <w:rsid w:val="009C5672"/>
    <w:rsid w:val="009C5E21"/>
    <w:rsid w:val="009C6150"/>
    <w:rsid w:val="009C61B9"/>
    <w:rsid w:val="009C6BF2"/>
    <w:rsid w:val="009C708C"/>
    <w:rsid w:val="009C717B"/>
    <w:rsid w:val="009D0470"/>
    <w:rsid w:val="009D0802"/>
    <w:rsid w:val="009D10E4"/>
    <w:rsid w:val="009D14A2"/>
    <w:rsid w:val="009D20E5"/>
    <w:rsid w:val="009D243F"/>
    <w:rsid w:val="009D31EF"/>
    <w:rsid w:val="009D3220"/>
    <w:rsid w:val="009D42A8"/>
    <w:rsid w:val="009D4635"/>
    <w:rsid w:val="009D5626"/>
    <w:rsid w:val="009D63FE"/>
    <w:rsid w:val="009E000C"/>
    <w:rsid w:val="009E0C2E"/>
    <w:rsid w:val="009E16AA"/>
    <w:rsid w:val="009E4086"/>
    <w:rsid w:val="009E4632"/>
    <w:rsid w:val="009E538D"/>
    <w:rsid w:val="009E5533"/>
    <w:rsid w:val="009E6307"/>
    <w:rsid w:val="009E6D94"/>
    <w:rsid w:val="009F1856"/>
    <w:rsid w:val="009F2175"/>
    <w:rsid w:val="009F2919"/>
    <w:rsid w:val="009F2A98"/>
    <w:rsid w:val="009F3AB4"/>
    <w:rsid w:val="009F5004"/>
    <w:rsid w:val="009F5A10"/>
    <w:rsid w:val="009F6DE1"/>
    <w:rsid w:val="009F7C1D"/>
    <w:rsid w:val="009F7FF6"/>
    <w:rsid w:val="00A003E5"/>
    <w:rsid w:val="00A011FE"/>
    <w:rsid w:val="00A019DD"/>
    <w:rsid w:val="00A036CB"/>
    <w:rsid w:val="00A041A8"/>
    <w:rsid w:val="00A04B88"/>
    <w:rsid w:val="00A04BA4"/>
    <w:rsid w:val="00A04BB2"/>
    <w:rsid w:val="00A05249"/>
    <w:rsid w:val="00A05EFC"/>
    <w:rsid w:val="00A0651B"/>
    <w:rsid w:val="00A066C7"/>
    <w:rsid w:val="00A07FB3"/>
    <w:rsid w:val="00A10E1C"/>
    <w:rsid w:val="00A119C5"/>
    <w:rsid w:val="00A12878"/>
    <w:rsid w:val="00A12A0D"/>
    <w:rsid w:val="00A1353F"/>
    <w:rsid w:val="00A14660"/>
    <w:rsid w:val="00A146F0"/>
    <w:rsid w:val="00A15658"/>
    <w:rsid w:val="00A16034"/>
    <w:rsid w:val="00A17654"/>
    <w:rsid w:val="00A17EE4"/>
    <w:rsid w:val="00A21EB9"/>
    <w:rsid w:val="00A23607"/>
    <w:rsid w:val="00A2423C"/>
    <w:rsid w:val="00A253BF"/>
    <w:rsid w:val="00A2589E"/>
    <w:rsid w:val="00A25F09"/>
    <w:rsid w:val="00A26DA7"/>
    <w:rsid w:val="00A2712C"/>
    <w:rsid w:val="00A27219"/>
    <w:rsid w:val="00A278FB"/>
    <w:rsid w:val="00A2797D"/>
    <w:rsid w:val="00A279D9"/>
    <w:rsid w:val="00A3026A"/>
    <w:rsid w:val="00A304F9"/>
    <w:rsid w:val="00A31343"/>
    <w:rsid w:val="00A31A2E"/>
    <w:rsid w:val="00A31CC5"/>
    <w:rsid w:val="00A33041"/>
    <w:rsid w:val="00A33047"/>
    <w:rsid w:val="00A35C27"/>
    <w:rsid w:val="00A37822"/>
    <w:rsid w:val="00A40C9E"/>
    <w:rsid w:val="00A416BB"/>
    <w:rsid w:val="00A428A2"/>
    <w:rsid w:val="00A44195"/>
    <w:rsid w:val="00A45825"/>
    <w:rsid w:val="00A45F13"/>
    <w:rsid w:val="00A461BB"/>
    <w:rsid w:val="00A46A29"/>
    <w:rsid w:val="00A477DB"/>
    <w:rsid w:val="00A503F8"/>
    <w:rsid w:val="00A50676"/>
    <w:rsid w:val="00A509FE"/>
    <w:rsid w:val="00A53BE6"/>
    <w:rsid w:val="00A5416B"/>
    <w:rsid w:val="00A552A2"/>
    <w:rsid w:val="00A554B8"/>
    <w:rsid w:val="00A55D5C"/>
    <w:rsid w:val="00A56B1F"/>
    <w:rsid w:val="00A5745E"/>
    <w:rsid w:val="00A60B4E"/>
    <w:rsid w:val="00A610D8"/>
    <w:rsid w:val="00A61866"/>
    <w:rsid w:val="00A61944"/>
    <w:rsid w:val="00A61C40"/>
    <w:rsid w:val="00A61DFF"/>
    <w:rsid w:val="00A66199"/>
    <w:rsid w:val="00A66385"/>
    <w:rsid w:val="00A66A53"/>
    <w:rsid w:val="00A6734F"/>
    <w:rsid w:val="00A67527"/>
    <w:rsid w:val="00A6753D"/>
    <w:rsid w:val="00A717B7"/>
    <w:rsid w:val="00A71A45"/>
    <w:rsid w:val="00A73D8C"/>
    <w:rsid w:val="00A748EE"/>
    <w:rsid w:val="00A7499C"/>
    <w:rsid w:val="00A749E0"/>
    <w:rsid w:val="00A75566"/>
    <w:rsid w:val="00A76C62"/>
    <w:rsid w:val="00A7718D"/>
    <w:rsid w:val="00A807E4"/>
    <w:rsid w:val="00A80AE9"/>
    <w:rsid w:val="00A810B9"/>
    <w:rsid w:val="00A81715"/>
    <w:rsid w:val="00A81BC0"/>
    <w:rsid w:val="00A82BCE"/>
    <w:rsid w:val="00A8321F"/>
    <w:rsid w:val="00A8482E"/>
    <w:rsid w:val="00A84BA5"/>
    <w:rsid w:val="00A84D91"/>
    <w:rsid w:val="00A85F28"/>
    <w:rsid w:val="00A86C6A"/>
    <w:rsid w:val="00A87C09"/>
    <w:rsid w:val="00A87E22"/>
    <w:rsid w:val="00A90005"/>
    <w:rsid w:val="00A908E0"/>
    <w:rsid w:val="00A9195A"/>
    <w:rsid w:val="00A93842"/>
    <w:rsid w:val="00A93AAA"/>
    <w:rsid w:val="00A940F7"/>
    <w:rsid w:val="00A94DDE"/>
    <w:rsid w:val="00A951CE"/>
    <w:rsid w:val="00A952E2"/>
    <w:rsid w:val="00A956CF"/>
    <w:rsid w:val="00A96EF5"/>
    <w:rsid w:val="00A975EA"/>
    <w:rsid w:val="00AA0057"/>
    <w:rsid w:val="00AA0482"/>
    <w:rsid w:val="00AA05A5"/>
    <w:rsid w:val="00AA1E9E"/>
    <w:rsid w:val="00AA34E2"/>
    <w:rsid w:val="00AA3C8F"/>
    <w:rsid w:val="00AA3C90"/>
    <w:rsid w:val="00AA4AB1"/>
    <w:rsid w:val="00AA4E8A"/>
    <w:rsid w:val="00AA53E6"/>
    <w:rsid w:val="00AA586A"/>
    <w:rsid w:val="00AA63E1"/>
    <w:rsid w:val="00AA7959"/>
    <w:rsid w:val="00AB06CA"/>
    <w:rsid w:val="00AB09B4"/>
    <w:rsid w:val="00AB1CB7"/>
    <w:rsid w:val="00AB2558"/>
    <w:rsid w:val="00AB3B97"/>
    <w:rsid w:val="00AB4076"/>
    <w:rsid w:val="00AB4123"/>
    <w:rsid w:val="00AB419D"/>
    <w:rsid w:val="00AB5F54"/>
    <w:rsid w:val="00AB665E"/>
    <w:rsid w:val="00AC0B78"/>
    <w:rsid w:val="00AC1405"/>
    <w:rsid w:val="00AC2E05"/>
    <w:rsid w:val="00AC3C70"/>
    <w:rsid w:val="00AC3F06"/>
    <w:rsid w:val="00AC4798"/>
    <w:rsid w:val="00AC4893"/>
    <w:rsid w:val="00AC56E7"/>
    <w:rsid w:val="00AC5E53"/>
    <w:rsid w:val="00AC6733"/>
    <w:rsid w:val="00AC739B"/>
    <w:rsid w:val="00AC7A4B"/>
    <w:rsid w:val="00AD07D5"/>
    <w:rsid w:val="00AD080E"/>
    <w:rsid w:val="00AD0CFD"/>
    <w:rsid w:val="00AD21F1"/>
    <w:rsid w:val="00AD2BD3"/>
    <w:rsid w:val="00AD4270"/>
    <w:rsid w:val="00AD4816"/>
    <w:rsid w:val="00AD5806"/>
    <w:rsid w:val="00AD59F8"/>
    <w:rsid w:val="00AD6654"/>
    <w:rsid w:val="00AD723B"/>
    <w:rsid w:val="00AD74D3"/>
    <w:rsid w:val="00AD7F47"/>
    <w:rsid w:val="00AE08E4"/>
    <w:rsid w:val="00AE1D79"/>
    <w:rsid w:val="00AE2B57"/>
    <w:rsid w:val="00AE2CDE"/>
    <w:rsid w:val="00AE31DE"/>
    <w:rsid w:val="00AE33BF"/>
    <w:rsid w:val="00AE368A"/>
    <w:rsid w:val="00AE3E9C"/>
    <w:rsid w:val="00AE4369"/>
    <w:rsid w:val="00AE542A"/>
    <w:rsid w:val="00AE57E3"/>
    <w:rsid w:val="00AE5D47"/>
    <w:rsid w:val="00AE655D"/>
    <w:rsid w:val="00AE6B86"/>
    <w:rsid w:val="00AE77FE"/>
    <w:rsid w:val="00AF0203"/>
    <w:rsid w:val="00AF1DA1"/>
    <w:rsid w:val="00AF3C86"/>
    <w:rsid w:val="00AF429D"/>
    <w:rsid w:val="00AF4903"/>
    <w:rsid w:val="00AF49AD"/>
    <w:rsid w:val="00AF4A43"/>
    <w:rsid w:val="00AF5E83"/>
    <w:rsid w:val="00AF6E0E"/>
    <w:rsid w:val="00AF6E7B"/>
    <w:rsid w:val="00AF77E4"/>
    <w:rsid w:val="00B0022C"/>
    <w:rsid w:val="00B009FE"/>
    <w:rsid w:val="00B0242A"/>
    <w:rsid w:val="00B02599"/>
    <w:rsid w:val="00B03BE9"/>
    <w:rsid w:val="00B051CF"/>
    <w:rsid w:val="00B05716"/>
    <w:rsid w:val="00B0571A"/>
    <w:rsid w:val="00B0623F"/>
    <w:rsid w:val="00B063C8"/>
    <w:rsid w:val="00B070CA"/>
    <w:rsid w:val="00B07827"/>
    <w:rsid w:val="00B105D9"/>
    <w:rsid w:val="00B10BD7"/>
    <w:rsid w:val="00B17BFE"/>
    <w:rsid w:val="00B201C9"/>
    <w:rsid w:val="00B20394"/>
    <w:rsid w:val="00B222DF"/>
    <w:rsid w:val="00B23112"/>
    <w:rsid w:val="00B24512"/>
    <w:rsid w:val="00B24994"/>
    <w:rsid w:val="00B24E57"/>
    <w:rsid w:val="00B25431"/>
    <w:rsid w:val="00B25DF5"/>
    <w:rsid w:val="00B25E7E"/>
    <w:rsid w:val="00B26AF6"/>
    <w:rsid w:val="00B30577"/>
    <w:rsid w:val="00B3086C"/>
    <w:rsid w:val="00B31421"/>
    <w:rsid w:val="00B315D8"/>
    <w:rsid w:val="00B31AB6"/>
    <w:rsid w:val="00B32E32"/>
    <w:rsid w:val="00B33800"/>
    <w:rsid w:val="00B34073"/>
    <w:rsid w:val="00B360B9"/>
    <w:rsid w:val="00B360D0"/>
    <w:rsid w:val="00B36911"/>
    <w:rsid w:val="00B40964"/>
    <w:rsid w:val="00B42B35"/>
    <w:rsid w:val="00B430D1"/>
    <w:rsid w:val="00B4453B"/>
    <w:rsid w:val="00B44615"/>
    <w:rsid w:val="00B446A2"/>
    <w:rsid w:val="00B44CB4"/>
    <w:rsid w:val="00B44EAE"/>
    <w:rsid w:val="00B51132"/>
    <w:rsid w:val="00B512BF"/>
    <w:rsid w:val="00B5190A"/>
    <w:rsid w:val="00B52842"/>
    <w:rsid w:val="00B52CA6"/>
    <w:rsid w:val="00B52EAB"/>
    <w:rsid w:val="00B537F2"/>
    <w:rsid w:val="00B54274"/>
    <w:rsid w:val="00B54E8A"/>
    <w:rsid w:val="00B55107"/>
    <w:rsid w:val="00B56A70"/>
    <w:rsid w:val="00B57127"/>
    <w:rsid w:val="00B57A56"/>
    <w:rsid w:val="00B57F24"/>
    <w:rsid w:val="00B60180"/>
    <w:rsid w:val="00B604F9"/>
    <w:rsid w:val="00B60E0C"/>
    <w:rsid w:val="00B61249"/>
    <w:rsid w:val="00B61CD1"/>
    <w:rsid w:val="00B62AF1"/>
    <w:rsid w:val="00B644D5"/>
    <w:rsid w:val="00B64A2E"/>
    <w:rsid w:val="00B64EC4"/>
    <w:rsid w:val="00B65100"/>
    <w:rsid w:val="00B656EB"/>
    <w:rsid w:val="00B6570A"/>
    <w:rsid w:val="00B657CA"/>
    <w:rsid w:val="00B658E2"/>
    <w:rsid w:val="00B67C1F"/>
    <w:rsid w:val="00B700C4"/>
    <w:rsid w:val="00B726A1"/>
    <w:rsid w:val="00B72940"/>
    <w:rsid w:val="00B72FDA"/>
    <w:rsid w:val="00B741CA"/>
    <w:rsid w:val="00B7428A"/>
    <w:rsid w:val="00B75347"/>
    <w:rsid w:val="00B7579E"/>
    <w:rsid w:val="00B75835"/>
    <w:rsid w:val="00B75AE3"/>
    <w:rsid w:val="00B75C50"/>
    <w:rsid w:val="00B75CB4"/>
    <w:rsid w:val="00B76139"/>
    <w:rsid w:val="00B76A8A"/>
    <w:rsid w:val="00B76E11"/>
    <w:rsid w:val="00B76F3C"/>
    <w:rsid w:val="00B77B4D"/>
    <w:rsid w:val="00B77BD9"/>
    <w:rsid w:val="00B77CE4"/>
    <w:rsid w:val="00B77F0E"/>
    <w:rsid w:val="00B80C5A"/>
    <w:rsid w:val="00B826D8"/>
    <w:rsid w:val="00B83230"/>
    <w:rsid w:val="00B83C91"/>
    <w:rsid w:val="00B841E0"/>
    <w:rsid w:val="00B84906"/>
    <w:rsid w:val="00B8555E"/>
    <w:rsid w:val="00B85B4F"/>
    <w:rsid w:val="00B8618F"/>
    <w:rsid w:val="00B86304"/>
    <w:rsid w:val="00B86843"/>
    <w:rsid w:val="00B870B4"/>
    <w:rsid w:val="00B87ECD"/>
    <w:rsid w:val="00B90670"/>
    <w:rsid w:val="00B91FC8"/>
    <w:rsid w:val="00B922CD"/>
    <w:rsid w:val="00B924DB"/>
    <w:rsid w:val="00B9306B"/>
    <w:rsid w:val="00B932C9"/>
    <w:rsid w:val="00B93972"/>
    <w:rsid w:val="00B957AC"/>
    <w:rsid w:val="00B95E93"/>
    <w:rsid w:val="00B96814"/>
    <w:rsid w:val="00B97065"/>
    <w:rsid w:val="00BA0050"/>
    <w:rsid w:val="00BA1673"/>
    <w:rsid w:val="00BA20AE"/>
    <w:rsid w:val="00BA2521"/>
    <w:rsid w:val="00BA38EB"/>
    <w:rsid w:val="00BA3FB1"/>
    <w:rsid w:val="00BA551D"/>
    <w:rsid w:val="00BA581D"/>
    <w:rsid w:val="00BB0240"/>
    <w:rsid w:val="00BB04C9"/>
    <w:rsid w:val="00BB0CB6"/>
    <w:rsid w:val="00BB0CEC"/>
    <w:rsid w:val="00BB136E"/>
    <w:rsid w:val="00BB161D"/>
    <w:rsid w:val="00BB2222"/>
    <w:rsid w:val="00BB2692"/>
    <w:rsid w:val="00BB2CDC"/>
    <w:rsid w:val="00BB4C92"/>
    <w:rsid w:val="00BB5958"/>
    <w:rsid w:val="00BB5DCA"/>
    <w:rsid w:val="00BB5E04"/>
    <w:rsid w:val="00BB63CE"/>
    <w:rsid w:val="00BB7696"/>
    <w:rsid w:val="00BC02DC"/>
    <w:rsid w:val="00BC15BD"/>
    <w:rsid w:val="00BC1EFB"/>
    <w:rsid w:val="00BC25A0"/>
    <w:rsid w:val="00BC2B8C"/>
    <w:rsid w:val="00BC2F1E"/>
    <w:rsid w:val="00BC449A"/>
    <w:rsid w:val="00BC62D4"/>
    <w:rsid w:val="00BC73A3"/>
    <w:rsid w:val="00BC75BB"/>
    <w:rsid w:val="00BC7AD1"/>
    <w:rsid w:val="00BD0612"/>
    <w:rsid w:val="00BD3238"/>
    <w:rsid w:val="00BD44FE"/>
    <w:rsid w:val="00BD58F1"/>
    <w:rsid w:val="00BD5F95"/>
    <w:rsid w:val="00BD6F0F"/>
    <w:rsid w:val="00BD76BF"/>
    <w:rsid w:val="00BE0007"/>
    <w:rsid w:val="00BE02EF"/>
    <w:rsid w:val="00BE0597"/>
    <w:rsid w:val="00BE059F"/>
    <w:rsid w:val="00BE3160"/>
    <w:rsid w:val="00BE3AA2"/>
    <w:rsid w:val="00BE455E"/>
    <w:rsid w:val="00BE459F"/>
    <w:rsid w:val="00BE5AEF"/>
    <w:rsid w:val="00BE6DA0"/>
    <w:rsid w:val="00BE702E"/>
    <w:rsid w:val="00BF0BAD"/>
    <w:rsid w:val="00BF25CD"/>
    <w:rsid w:val="00BF2B7C"/>
    <w:rsid w:val="00BF3252"/>
    <w:rsid w:val="00BF3DF5"/>
    <w:rsid w:val="00BF4438"/>
    <w:rsid w:val="00BF5DDA"/>
    <w:rsid w:val="00BF60E2"/>
    <w:rsid w:val="00BF620C"/>
    <w:rsid w:val="00BF77E6"/>
    <w:rsid w:val="00BF7BC6"/>
    <w:rsid w:val="00C005E4"/>
    <w:rsid w:val="00C02E41"/>
    <w:rsid w:val="00C035A3"/>
    <w:rsid w:val="00C03F4B"/>
    <w:rsid w:val="00C047CE"/>
    <w:rsid w:val="00C04862"/>
    <w:rsid w:val="00C04A96"/>
    <w:rsid w:val="00C0524A"/>
    <w:rsid w:val="00C05DC1"/>
    <w:rsid w:val="00C06B3B"/>
    <w:rsid w:val="00C06DC6"/>
    <w:rsid w:val="00C07A2F"/>
    <w:rsid w:val="00C11E98"/>
    <w:rsid w:val="00C12CB2"/>
    <w:rsid w:val="00C13F92"/>
    <w:rsid w:val="00C14721"/>
    <w:rsid w:val="00C16982"/>
    <w:rsid w:val="00C21984"/>
    <w:rsid w:val="00C21D54"/>
    <w:rsid w:val="00C22A2D"/>
    <w:rsid w:val="00C22E62"/>
    <w:rsid w:val="00C235A0"/>
    <w:rsid w:val="00C23F5F"/>
    <w:rsid w:val="00C24033"/>
    <w:rsid w:val="00C253AB"/>
    <w:rsid w:val="00C260DF"/>
    <w:rsid w:val="00C261AF"/>
    <w:rsid w:val="00C314DD"/>
    <w:rsid w:val="00C3194A"/>
    <w:rsid w:val="00C31D99"/>
    <w:rsid w:val="00C32BFC"/>
    <w:rsid w:val="00C3304F"/>
    <w:rsid w:val="00C34400"/>
    <w:rsid w:val="00C355D8"/>
    <w:rsid w:val="00C359EE"/>
    <w:rsid w:val="00C36699"/>
    <w:rsid w:val="00C37F8E"/>
    <w:rsid w:val="00C41F1B"/>
    <w:rsid w:val="00C4256A"/>
    <w:rsid w:val="00C42606"/>
    <w:rsid w:val="00C42CC8"/>
    <w:rsid w:val="00C42D9F"/>
    <w:rsid w:val="00C43A8F"/>
    <w:rsid w:val="00C44220"/>
    <w:rsid w:val="00C4597D"/>
    <w:rsid w:val="00C46C58"/>
    <w:rsid w:val="00C46DB3"/>
    <w:rsid w:val="00C472ED"/>
    <w:rsid w:val="00C47D88"/>
    <w:rsid w:val="00C5098C"/>
    <w:rsid w:val="00C50E98"/>
    <w:rsid w:val="00C537E9"/>
    <w:rsid w:val="00C53B00"/>
    <w:rsid w:val="00C541A7"/>
    <w:rsid w:val="00C55030"/>
    <w:rsid w:val="00C561A5"/>
    <w:rsid w:val="00C56F2C"/>
    <w:rsid w:val="00C5720A"/>
    <w:rsid w:val="00C57732"/>
    <w:rsid w:val="00C6029A"/>
    <w:rsid w:val="00C61083"/>
    <w:rsid w:val="00C61A59"/>
    <w:rsid w:val="00C62A3D"/>
    <w:rsid w:val="00C63575"/>
    <w:rsid w:val="00C637BD"/>
    <w:rsid w:val="00C63CA4"/>
    <w:rsid w:val="00C64A73"/>
    <w:rsid w:val="00C64C06"/>
    <w:rsid w:val="00C64F99"/>
    <w:rsid w:val="00C65177"/>
    <w:rsid w:val="00C66146"/>
    <w:rsid w:val="00C66758"/>
    <w:rsid w:val="00C676FD"/>
    <w:rsid w:val="00C718C7"/>
    <w:rsid w:val="00C7250B"/>
    <w:rsid w:val="00C733AC"/>
    <w:rsid w:val="00C73DA6"/>
    <w:rsid w:val="00C748FD"/>
    <w:rsid w:val="00C75F30"/>
    <w:rsid w:val="00C76C70"/>
    <w:rsid w:val="00C812DE"/>
    <w:rsid w:val="00C81BC1"/>
    <w:rsid w:val="00C82641"/>
    <w:rsid w:val="00C836E7"/>
    <w:rsid w:val="00C8516D"/>
    <w:rsid w:val="00C85E1B"/>
    <w:rsid w:val="00C86869"/>
    <w:rsid w:val="00C86B69"/>
    <w:rsid w:val="00C87AF8"/>
    <w:rsid w:val="00C923C1"/>
    <w:rsid w:val="00C93500"/>
    <w:rsid w:val="00C94156"/>
    <w:rsid w:val="00C94246"/>
    <w:rsid w:val="00C94FFA"/>
    <w:rsid w:val="00C95CCF"/>
    <w:rsid w:val="00C95E93"/>
    <w:rsid w:val="00C95F14"/>
    <w:rsid w:val="00C966E5"/>
    <w:rsid w:val="00C96B69"/>
    <w:rsid w:val="00C96BF5"/>
    <w:rsid w:val="00C97DC9"/>
    <w:rsid w:val="00CA1F44"/>
    <w:rsid w:val="00CA2D9E"/>
    <w:rsid w:val="00CA3433"/>
    <w:rsid w:val="00CA351E"/>
    <w:rsid w:val="00CA3691"/>
    <w:rsid w:val="00CA4EF5"/>
    <w:rsid w:val="00CA5B04"/>
    <w:rsid w:val="00CA641E"/>
    <w:rsid w:val="00CA771C"/>
    <w:rsid w:val="00CB0CF0"/>
    <w:rsid w:val="00CB1DA7"/>
    <w:rsid w:val="00CB21DB"/>
    <w:rsid w:val="00CB344B"/>
    <w:rsid w:val="00CB518D"/>
    <w:rsid w:val="00CB53F1"/>
    <w:rsid w:val="00CB5873"/>
    <w:rsid w:val="00CB59CB"/>
    <w:rsid w:val="00CB5E7B"/>
    <w:rsid w:val="00CC1261"/>
    <w:rsid w:val="00CC1890"/>
    <w:rsid w:val="00CC2217"/>
    <w:rsid w:val="00CC2802"/>
    <w:rsid w:val="00CC2E9C"/>
    <w:rsid w:val="00CC3BB9"/>
    <w:rsid w:val="00CC408C"/>
    <w:rsid w:val="00CC4F25"/>
    <w:rsid w:val="00CC5847"/>
    <w:rsid w:val="00CC6AAF"/>
    <w:rsid w:val="00CD081E"/>
    <w:rsid w:val="00CD189A"/>
    <w:rsid w:val="00CD1CDC"/>
    <w:rsid w:val="00CD222D"/>
    <w:rsid w:val="00CD284B"/>
    <w:rsid w:val="00CD34CD"/>
    <w:rsid w:val="00CD39FC"/>
    <w:rsid w:val="00CD5D39"/>
    <w:rsid w:val="00CD6B9C"/>
    <w:rsid w:val="00CD6D1A"/>
    <w:rsid w:val="00CD6D94"/>
    <w:rsid w:val="00CE074A"/>
    <w:rsid w:val="00CE0E71"/>
    <w:rsid w:val="00CE1AF7"/>
    <w:rsid w:val="00CE1C7B"/>
    <w:rsid w:val="00CE26C7"/>
    <w:rsid w:val="00CE366C"/>
    <w:rsid w:val="00CE5250"/>
    <w:rsid w:val="00CE66CD"/>
    <w:rsid w:val="00CE7C62"/>
    <w:rsid w:val="00CF21FE"/>
    <w:rsid w:val="00CF2793"/>
    <w:rsid w:val="00CF3404"/>
    <w:rsid w:val="00CF47A0"/>
    <w:rsid w:val="00CF7D8B"/>
    <w:rsid w:val="00D009F6"/>
    <w:rsid w:val="00D015C4"/>
    <w:rsid w:val="00D02EF2"/>
    <w:rsid w:val="00D038A8"/>
    <w:rsid w:val="00D05291"/>
    <w:rsid w:val="00D06875"/>
    <w:rsid w:val="00D06FF9"/>
    <w:rsid w:val="00D10FD5"/>
    <w:rsid w:val="00D11105"/>
    <w:rsid w:val="00D12BC1"/>
    <w:rsid w:val="00D13578"/>
    <w:rsid w:val="00D14597"/>
    <w:rsid w:val="00D1656E"/>
    <w:rsid w:val="00D1741C"/>
    <w:rsid w:val="00D17A04"/>
    <w:rsid w:val="00D20251"/>
    <w:rsid w:val="00D20309"/>
    <w:rsid w:val="00D21127"/>
    <w:rsid w:val="00D2252E"/>
    <w:rsid w:val="00D233DB"/>
    <w:rsid w:val="00D23EE9"/>
    <w:rsid w:val="00D253CA"/>
    <w:rsid w:val="00D26271"/>
    <w:rsid w:val="00D30519"/>
    <w:rsid w:val="00D31719"/>
    <w:rsid w:val="00D31ABC"/>
    <w:rsid w:val="00D3366A"/>
    <w:rsid w:val="00D37B9E"/>
    <w:rsid w:val="00D37F6C"/>
    <w:rsid w:val="00D40D87"/>
    <w:rsid w:val="00D41256"/>
    <w:rsid w:val="00D419FC"/>
    <w:rsid w:val="00D432B7"/>
    <w:rsid w:val="00D43562"/>
    <w:rsid w:val="00D439B2"/>
    <w:rsid w:val="00D43F8B"/>
    <w:rsid w:val="00D43FFE"/>
    <w:rsid w:val="00D44275"/>
    <w:rsid w:val="00D4602A"/>
    <w:rsid w:val="00D4637C"/>
    <w:rsid w:val="00D52D77"/>
    <w:rsid w:val="00D54B0E"/>
    <w:rsid w:val="00D55196"/>
    <w:rsid w:val="00D560EF"/>
    <w:rsid w:val="00D56CD9"/>
    <w:rsid w:val="00D608DA"/>
    <w:rsid w:val="00D60987"/>
    <w:rsid w:val="00D615CD"/>
    <w:rsid w:val="00D62196"/>
    <w:rsid w:val="00D6263C"/>
    <w:rsid w:val="00D62721"/>
    <w:rsid w:val="00D62868"/>
    <w:rsid w:val="00D642F4"/>
    <w:rsid w:val="00D647EB"/>
    <w:rsid w:val="00D65F49"/>
    <w:rsid w:val="00D70622"/>
    <w:rsid w:val="00D706F1"/>
    <w:rsid w:val="00D709A3"/>
    <w:rsid w:val="00D70AD6"/>
    <w:rsid w:val="00D70B68"/>
    <w:rsid w:val="00D70C29"/>
    <w:rsid w:val="00D70C7F"/>
    <w:rsid w:val="00D713B8"/>
    <w:rsid w:val="00D7163F"/>
    <w:rsid w:val="00D71BC9"/>
    <w:rsid w:val="00D724F1"/>
    <w:rsid w:val="00D72BEE"/>
    <w:rsid w:val="00D72F92"/>
    <w:rsid w:val="00D73560"/>
    <w:rsid w:val="00D73847"/>
    <w:rsid w:val="00D73B20"/>
    <w:rsid w:val="00D7406C"/>
    <w:rsid w:val="00D74243"/>
    <w:rsid w:val="00D749D1"/>
    <w:rsid w:val="00D74E18"/>
    <w:rsid w:val="00D75802"/>
    <w:rsid w:val="00D773A6"/>
    <w:rsid w:val="00D80DF0"/>
    <w:rsid w:val="00D81371"/>
    <w:rsid w:val="00D822EE"/>
    <w:rsid w:val="00D827F6"/>
    <w:rsid w:val="00D82A81"/>
    <w:rsid w:val="00D8411F"/>
    <w:rsid w:val="00D844E1"/>
    <w:rsid w:val="00D855ED"/>
    <w:rsid w:val="00D86891"/>
    <w:rsid w:val="00D8716B"/>
    <w:rsid w:val="00D90BFE"/>
    <w:rsid w:val="00D90DAC"/>
    <w:rsid w:val="00D91571"/>
    <w:rsid w:val="00D91DB2"/>
    <w:rsid w:val="00D921CE"/>
    <w:rsid w:val="00D92FF1"/>
    <w:rsid w:val="00D931C7"/>
    <w:rsid w:val="00D9352C"/>
    <w:rsid w:val="00D93B9D"/>
    <w:rsid w:val="00D93C8B"/>
    <w:rsid w:val="00D94A8C"/>
    <w:rsid w:val="00D95B6A"/>
    <w:rsid w:val="00D960E5"/>
    <w:rsid w:val="00D96514"/>
    <w:rsid w:val="00D97504"/>
    <w:rsid w:val="00D97A31"/>
    <w:rsid w:val="00D97E4F"/>
    <w:rsid w:val="00DA28DA"/>
    <w:rsid w:val="00DA35BD"/>
    <w:rsid w:val="00DA3A24"/>
    <w:rsid w:val="00DA3BCC"/>
    <w:rsid w:val="00DA446C"/>
    <w:rsid w:val="00DA4C33"/>
    <w:rsid w:val="00DA4FB4"/>
    <w:rsid w:val="00DA7E9C"/>
    <w:rsid w:val="00DB0197"/>
    <w:rsid w:val="00DB032F"/>
    <w:rsid w:val="00DB0593"/>
    <w:rsid w:val="00DB15A0"/>
    <w:rsid w:val="00DB27AC"/>
    <w:rsid w:val="00DB3047"/>
    <w:rsid w:val="00DB4733"/>
    <w:rsid w:val="00DB4886"/>
    <w:rsid w:val="00DB49B6"/>
    <w:rsid w:val="00DB55DA"/>
    <w:rsid w:val="00DB5E1D"/>
    <w:rsid w:val="00DB60C3"/>
    <w:rsid w:val="00DB6A47"/>
    <w:rsid w:val="00DC2E8F"/>
    <w:rsid w:val="00DC3D3A"/>
    <w:rsid w:val="00DC4924"/>
    <w:rsid w:val="00DC4FE2"/>
    <w:rsid w:val="00DC5938"/>
    <w:rsid w:val="00DC67D9"/>
    <w:rsid w:val="00DC6829"/>
    <w:rsid w:val="00DC6AB9"/>
    <w:rsid w:val="00DC7574"/>
    <w:rsid w:val="00DC766B"/>
    <w:rsid w:val="00DD0E8E"/>
    <w:rsid w:val="00DD15F7"/>
    <w:rsid w:val="00DD16B0"/>
    <w:rsid w:val="00DD1F5F"/>
    <w:rsid w:val="00DD47B9"/>
    <w:rsid w:val="00DD4CEC"/>
    <w:rsid w:val="00DD50D4"/>
    <w:rsid w:val="00DD6343"/>
    <w:rsid w:val="00DD63E8"/>
    <w:rsid w:val="00DD6C65"/>
    <w:rsid w:val="00DE0149"/>
    <w:rsid w:val="00DE06E7"/>
    <w:rsid w:val="00DE28C9"/>
    <w:rsid w:val="00DE306B"/>
    <w:rsid w:val="00DE3C4B"/>
    <w:rsid w:val="00DE498C"/>
    <w:rsid w:val="00DE5170"/>
    <w:rsid w:val="00DE541D"/>
    <w:rsid w:val="00DE649D"/>
    <w:rsid w:val="00DE716C"/>
    <w:rsid w:val="00DF02AB"/>
    <w:rsid w:val="00DF08EF"/>
    <w:rsid w:val="00DF1387"/>
    <w:rsid w:val="00DF1FF6"/>
    <w:rsid w:val="00DF200A"/>
    <w:rsid w:val="00DF241B"/>
    <w:rsid w:val="00DF4E69"/>
    <w:rsid w:val="00DF5118"/>
    <w:rsid w:val="00DF76ED"/>
    <w:rsid w:val="00E01A63"/>
    <w:rsid w:val="00E01CE0"/>
    <w:rsid w:val="00E01F86"/>
    <w:rsid w:val="00E020B6"/>
    <w:rsid w:val="00E023F1"/>
    <w:rsid w:val="00E027FA"/>
    <w:rsid w:val="00E02F2A"/>
    <w:rsid w:val="00E047BC"/>
    <w:rsid w:val="00E04D9D"/>
    <w:rsid w:val="00E051C8"/>
    <w:rsid w:val="00E05D03"/>
    <w:rsid w:val="00E05F25"/>
    <w:rsid w:val="00E05F79"/>
    <w:rsid w:val="00E06025"/>
    <w:rsid w:val="00E06324"/>
    <w:rsid w:val="00E068C7"/>
    <w:rsid w:val="00E068D7"/>
    <w:rsid w:val="00E07CEA"/>
    <w:rsid w:val="00E1076E"/>
    <w:rsid w:val="00E108EF"/>
    <w:rsid w:val="00E10D4B"/>
    <w:rsid w:val="00E1238F"/>
    <w:rsid w:val="00E132A5"/>
    <w:rsid w:val="00E13972"/>
    <w:rsid w:val="00E15002"/>
    <w:rsid w:val="00E15357"/>
    <w:rsid w:val="00E15AFF"/>
    <w:rsid w:val="00E166D5"/>
    <w:rsid w:val="00E16883"/>
    <w:rsid w:val="00E16977"/>
    <w:rsid w:val="00E16A68"/>
    <w:rsid w:val="00E1745D"/>
    <w:rsid w:val="00E17EE7"/>
    <w:rsid w:val="00E2233C"/>
    <w:rsid w:val="00E22CDB"/>
    <w:rsid w:val="00E22CFD"/>
    <w:rsid w:val="00E24439"/>
    <w:rsid w:val="00E246BE"/>
    <w:rsid w:val="00E24A2E"/>
    <w:rsid w:val="00E24CA9"/>
    <w:rsid w:val="00E24CF3"/>
    <w:rsid w:val="00E24F30"/>
    <w:rsid w:val="00E261CA"/>
    <w:rsid w:val="00E26820"/>
    <w:rsid w:val="00E306A6"/>
    <w:rsid w:val="00E30776"/>
    <w:rsid w:val="00E30BA5"/>
    <w:rsid w:val="00E340FF"/>
    <w:rsid w:val="00E35208"/>
    <w:rsid w:val="00E3522D"/>
    <w:rsid w:val="00E35D25"/>
    <w:rsid w:val="00E35D4A"/>
    <w:rsid w:val="00E36DC1"/>
    <w:rsid w:val="00E375C7"/>
    <w:rsid w:val="00E37F0E"/>
    <w:rsid w:val="00E37F15"/>
    <w:rsid w:val="00E40706"/>
    <w:rsid w:val="00E4080F"/>
    <w:rsid w:val="00E40ED9"/>
    <w:rsid w:val="00E433CB"/>
    <w:rsid w:val="00E43B36"/>
    <w:rsid w:val="00E44189"/>
    <w:rsid w:val="00E445CE"/>
    <w:rsid w:val="00E44979"/>
    <w:rsid w:val="00E44D48"/>
    <w:rsid w:val="00E44DA7"/>
    <w:rsid w:val="00E462A6"/>
    <w:rsid w:val="00E4648C"/>
    <w:rsid w:val="00E46A2B"/>
    <w:rsid w:val="00E46C63"/>
    <w:rsid w:val="00E46F83"/>
    <w:rsid w:val="00E47790"/>
    <w:rsid w:val="00E50D68"/>
    <w:rsid w:val="00E52367"/>
    <w:rsid w:val="00E52957"/>
    <w:rsid w:val="00E53ECE"/>
    <w:rsid w:val="00E540AC"/>
    <w:rsid w:val="00E55AE0"/>
    <w:rsid w:val="00E55D03"/>
    <w:rsid w:val="00E56046"/>
    <w:rsid w:val="00E5676D"/>
    <w:rsid w:val="00E60CE1"/>
    <w:rsid w:val="00E61CFA"/>
    <w:rsid w:val="00E635BB"/>
    <w:rsid w:val="00E639CA"/>
    <w:rsid w:val="00E63D4C"/>
    <w:rsid w:val="00E640A7"/>
    <w:rsid w:val="00E64CA0"/>
    <w:rsid w:val="00E65AD1"/>
    <w:rsid w:val="00E70410"/>
    <w:rsid w:val="00E707EA"/>
    <w:rsid w:val="00E70F67"/>
    <w:rsid w:val="00E73E6D"/>
    <w:rsid w:val="00E743D0"/>
    <w:rsid w:val="00E74934"/>
    <w:rsid w:val="00E757FF"/>
    <w:rsid w:val="00E761AC"/>
    <w:rsid w:val="00E83BFC"/>
    <w:rsid w:val="00E83FA4"/>
    <w:rsid w:val="00E8593D"/>
    <w:rsid w:val="00E8760F"/>
    <w:rsid w:val="00E90021"/>
    <w:rsid w:val="00E9099A"/>
    <w:rsid w:val="00E90B90"/>
    <w:rsid w:val="00E91082"/>
    <w:rsid w:val="00E9197D"/>
    <w:rsid w:val="00E91CB1"/>
    <w:rsid w:val="00E92D65"/>
    <w:rsid w:val="00E93A00"/>
    <w:rsid w:val="00E94A80"/>
    <w:rsid w:val="00E95952"/>
    <w:rsid w:val="00E9628C"/>
    <w:rsid w:val="00E96379"/>
    <w:rsid w:val="00E96422"/>
    <w:rsid w:val="00E97957"/>
    <w:rsid w:val="00EA1898"/>
    <w:rsid w:val="00EA3726"/>
    <w:rsid w:val="00EA4047"/>
    <w:rsid w:val="00EA49AA"/>
    <w:rsid w:val="00EA4D5C"/>
    <w:rsid w:val="00EA7BB0"/>
    <w:rsid w:val="00EB06DC"/>
    <w:rsid w:val="00EB0DBC"/>
    <w:rsid w:val="00EB1430"/>
    <w:rsid w:val="00EB2952"/>
    <w:rsid w:val="00EB2C1A"/>
    <w:rsid w:val="00EB3EC7"/>
    <w:rsid w:val="00EB4A11"/>
    <w:rsid w:val="00EB5B17"/>
    <w:rsid w:val="00EB6439"/>
    <w:rsid w:val="00EB6BD5"/>
    <w:rsid w:val="00EB6DC3"/>
    <w:rsid w:val="00EB72E9"/>
    <w:rsid w:val="00EB732A"/>
    <w:rsid w:val="00EB7F92"/>
    <w:rsid w:val="00EC08CA"/>
    <w:rsid w:val="00EC0C5E"/>
    <w:rsid w:val="00EC1E44"/>
    <w:rsid w:val="00EC24A2"/>
    <w:rsid w:val="00EC24E4"/>
    <w:rsid w:val="00EC39A5"/>
    <w:rsid w:val="00EC439C"/>
    <w:rsid w:val="00EC44F0"/>
    <w:rsid w:val="00EC456A"/>
    <w:rsid w:val="00EC5A90"/>
    <w:rsid w:val="00EC60B8"/>
    <w:rsid w:val="00EC6456"/>
    <w:rsid w:val="00EC735A"/>
    <w:rsid w:val="00ED0902"/>
    <w:rsid w:val="00ED0D5E"/>
    <w:rsid w:val="00ED2163"/>
    <w:rsid w:val="00ED2F5B"/>
    <w:rsid w:val="00ED427C"/>
    <w:rsid w:val="00ED6511"/>
    <w:rsid w:val="00ED69A1"/>
    <w:rsid w:val="00ED6B55"/>
    <w:rsid w:val="00EE03B3"/>
    <w:rsid w:val="00EE03F3"/>
    <w:rsid w:val="00EE082F"/>
    <w:rsid w:val="00EE09FD"/>
    <w:rsid w:val="00EE0B57"/>
    <w:rsid w:val="00EE184D"/>
    <w:rsid w:val="00EE68B1"/>
    <w:rsid w:val="00EF063C"/>
    <w:rsid w:val="00EF0775"/>
    <w:rsid w:val="00EF0904"/>
    <w:rsid w:val="00EF1EE0"/>
    <w:rsid w:val="00EF37D0"/>
    <w:rsid w:val="00EF4776"/>
    <w:rsid w:val="00EF48F6"/>
    <w:rsid w:val="00EF492A"/>
    <w:rsid w:val="00EF508C"/>
    <w:rsid w:val="00EF53ED"/>
    <w:rsid w:val="00F002C2"/>
    <w:rsid w:val="00F0108C"/>
    <w:rsid w:val="00F01A62"/>
    <w:rsid w:val="00F0330C"/>
    <w:rsid w:val="00F033EC"/>
    <w:rsid w:val="00F03935"/>
    <w:rsid w:val="00F03E93"/>
    <w:rsid w:val="00F044AE"/>
    <w:rsid w:val="00F06706"/>
    <w:rsid w:val="00F06BC0"/>
    <w:rsid w:val="00F07DBC"/>
    <w:rsid w:val="00F10DE0"/>
    <w:rsid w:val="00F11CA0"/>
    <w:rsid w:val="00F12142"/>
    <w:rsid w:val="00F121B4"/>
    <w:rsid w:val="00F1303D"/>
    <w:rsid w:val="00F1328D"/>
    <w:rsid w:val="00F13EFC"/>
    <w:rsid w:val="00F15885"/>
    <w:rsid w:val="00F15FE9"/>
    <w:rsid w:val="00F166A4"/>
    <w:rsid w:val="00F178E3"/>
    <w:rsid w:val="00F20882"/>
    <w:rsid w:val="00F20ADE"/>
    <w:rsid w:val="00F20D03"/>
    <w:rsid w:val="00F20F94"/>
    <w:rsid w:val="00F2111F"/>
    <w:rsid w:val="00F21E58"/>
    <w:rsid w:val="00F2331D"/>
    <w:rsid w:val="00F23AF8"/>
    <w:rsid w:val="00F24518"/>
    <w:rsid w:val="00F247DF"/>
    <w:rsid w:val="00F24960"/>
    <w:rsid w:val="00F24C23"/>
    <w:rsid w:val="00F3206A"/>
    <w:rsid w:val="00F34857"/>
    <w:rsid w:val="00F36522"/>
    <w:rsid w:val="00F368B9"/>
    <w:rsid w:val="00F40005"/>
    <w:rsid w:val="00F40051"/>
    <w:rsid w:val="00F4140E"/>
    <w:rsid w:val="00F416D8"/>
    <w:rsid w:val="00F4267D"/>
    <w:rsid w:val="00F432D2"/>
    <w:rsid w:val="00F43649"/>
    <w:rsid w:val="00F43854"/>
    <w:rsid w:val="00F43924"/>
    <w:rsid w:val="00F43A4B"/>
    <w:rsid w:val="00F4610C"/>
    <w:rsid w:val="00F4738C"/>
    <w:rsid w:val="00F505CD"/>
    <w:rsid w:val="00F50D66"/>
    <w:rsid w:val="00F51C00"/>
    <w:rsid w:val="00F526B2"/>
    <w:rsid w:val="00F52711"/>
    <w:rsid w:val="00F53E9F"/>
    <w:rsid w:val="00F55299"/>
    <w:rsid w:val="00F5554F"/>
    <w:rsid w:val="00F61C22"/>
    <w:rsid w:val="00F62410"/>
    <w:rsid w:val="00F62772"/>
    <w:rsid w:val="00F638B2"/>
    <w:rsid w:val="00F63ABB"/>
    <w:rsid w:val="00F63B8D"/>
    <w:rsid w:val="00F6441C"/>
    <w:rsid w:val="00F645B6"/>
    <w:rsid w:val="00F64735"/>
    <w:rsid w:val="00F653BE"/>
    <w:rsid w:val="00F6588F"/>
    <w:rsid w:val="00F65F16"/>
    <w:rsid w:val="00F66942"/>
    <w:rsid w:val="00F67413"/>
    <w:rsid w:val="00F675B0"/>
    <w:rsid w:val="00F705AB"/>
    <w:rsid w:val="00F7111F"/>
    <w:rsid w:val="00F71FB6"/>
    <w:rsid w:val="00F73768"/>
    <w:rsid w:val="00F7573D"/>
    <w:rsid w:val="00F75EE3"/>
    <w:rsid w:val="00F76277"/>
    <w:rsid w:val="00F766CE"/>
    <w:rsid w:val="00F77165"/>
    <w:rsid w:val="00F77172"/>
    <w:rsid w:val="00F80C09"/>
    <w:rsid w:val="00F81DB5"/>
    <w:rsid w:val="00F82FF6"/>
    <w:rsid w:val="00F843A0"/>
    <w:rsid w:val="00F8454B"/>
    <w:rsid w:val="00F845F4"/>
    <w:rsid w:val="00F84AE3"/>
    <w:rsid w:val="00F85406"/>
    <w:rsid w:val="00F85790"/>
    <w:rsid w:val="00F87A20"/>
    <w:rsid w:val="00F924D8"/>
    <w:rsid w:val="00F93A02"/>
    <w:rsid w:val="00F9473F"/>
    <w:rsid w:val="00F951A6"/>
    <w:rsid w:val="00F9523F"/>
    <w:rsid w:val="00F95D54"/>
    <w:rsid w:val="00F95D9D"/>
    <w:rsid w:val="00F962BC"/>
    <w:rsid w:val="00F964D4"/>
    <w:rsid w:val="00F97AAC"/>
    <w:rsid w:val="00FA0647"/>
    <w:rsid w:val="00FA16E2"/>
    <w:rsid w:val="00FA312C"/>
    <w:rsid w:val="00FA3ACF"/>
    <w:rsid w:val="00FA3EF1"/>
    <w:rsid w:val="00FA456E"/>
    <w:rsid w:val="00FA4747"/>
    <w:rsid w:val="00FB0643"/>
    <w:rsid w:val="00FB0F7A"/>
    <w:rsid w:val="00FB1056"/>
    <w:rsid w:val="00FB21C8"/>
    <w:rsid w:val="00FB3792"/>
    <w:rsid w:val="00FB4620"/>
    <w:rsid w:val="00FB49D3"/>
    <w:rsid w:val="00FB50CC"/>
    <w:rsid w:val="00FB5C88"/>
    <w:rsid w:val="00FC083D"/>
    <w:rsid w:val="00FC19CC"/>
    <w:rsid w:val="00FC22A4"/>
    <w:rsid w:val="00FC233D"/>
    <w:rsid w:val="00FC3238"/>
    <w:rsid w:val="00FC3974"/>
    <w:rsid w:val="00FC3E32"/>
    <w:rsid w:val="00FC4C13"/>
    <w:rsid w:val="00FC4DDB"/>
    <w:rsid w:val="00FC68E4"/>
    <w:rsid w:val="00FC693C"/>
    <w:rsid w:val="00FC7693"/>
    <w:rsid w:val="00FD0032"/>
    <w:rsid w:val="00FD0902"/>
    <w:rsid w:val="00FD1060"/>
    <w:rsid w:val="00FD11A5"/>
    <w:rsid w:val="00FD238E"/>
    <w:rsid w:val="00FD2E24"/>
    <w:rsid w:val="00FD4552"/>
    <w:rsid w:val="00FD45F7"/>
    <w:rsid w:val="00FD4E29"/>
    <w:rsid w:val="00FD5DCE"/>
    <w:rsid w:val="00FD6099"/>
    <w:rsid w:val="00FD7A43"/>
    <w:rsid w:val="00FD7F9D"/>
    <w:rsid w:val="00FE270A"/>
    <w:rsid w:val="00FE38B9"/>
    <w:rsid w:val="00FE3EE8"/>
    <w:rsid w:val="00FE41B8"/>
    <w:rsid w:val="00FE4A9A"/>
    <w:rsid w:val="00FE4D5E"/>
    <w:rsid w:val="00FE66C9"/>
    <w:rsid w:val="00FE6D46"/>
    <w:rsid w:val="00FE77D9"/>
    <w:rsid w:val="00FE7D6F"/>
    <w:rsid w:val="00FE7F98"/>
    <w:rsid w:val="00FF1239"/>
    <w:rsid w:val="00FF1441"/>
    <w:rsid w:val="00FF1FC4"/>
    <w:rsid w:val="00FF2252"/>
    <w:rsid w:val="00FF22D0"/>
    <w:rsid w:val="00FF2F2A"/>
    <w:rsid w:val="00FF3C80"/>
    <w:rsid w:val="00FF3E80"/>
    <w:rsid w:val="00FF49AF"/>
    <w:rsid w:val="00FF4A18"/>
    <w:rsid w:val="00FF5CF0"/>
    <w:rsid w:val="00FF5F3E"/>
    <w:rsid w:val="00FF6014"/>
    <w:rsid w:val="00FF61BE"/>
    <w:rsid w:val="00FF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50327-B9FE-4F8C-BCA6-9CBB5D10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56D"/>
    <w:rPr>
      <w:rFonts w:ascii="Times New Roman" w:hAnsi="Times New Roman"/>
      <w:sz w:val="24"/>
      <w:szCs w:val="24"/>
    </w:rPr>
  </w:style>
  <w:style w:type="paragraph" w:styleId="Heading3">
    <w:name w:val="heading 3"/>
    <w:basedOn w:val="Normal"/>
    <w:link w:val="Heading3Char"/>
    <w:uiPriority w:val="9"/>
    <w:qFormat/>
    <w:rsid w:val="005A721A"/>
    <w:pPr>
      <w:spacing w:before="100" w:beforeAutospacing="1" w:after="100" w:afterAutospacing="1"/>
      <w:outlineLvl w:val="2"/>
    </w:pPr>
    <w:rPr>
      <w:rFonts w:eastAsia="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c">
    <w:name w:val="naisc"/>
    <w:basedOn w:val="Normal"/>
    <w:rsid w:val="00F63B8D"/>
    <w:pPr>
      <w:spacing w:before="100" w:beforeAutospacing="1" w:after="100" w:afterAutospacing="1"/>
    </w:pPr>
  </w:style>
  <w:style w:type="paragraph" w:styleId="Header">
    <w:name w:val="header"/>
    <w:basedOn w:val="Normal"/>
    <w:link w:val="HeaderChar"/>
    <w:rsid w:val="00F63B8D"/>
    <w:pPr>
      <w:tabs>
        <w:tab w:val="center" w:pos="4153"/>
        <w:tab w:val="right" w:pos="8306"/>
      </w:tabs>
    </w:pPr>
  </w:style>
  <w:style w:type="character" w:customStyle="1" w:styleId="HeaderChar">
    <w:name w:val="Header Char"/>
    <w:link w:val="Header"/>
    <w:rsid w:val="00F63B8D"/>
    <w:rPr>
      <w:rFonts w:ascii="Times New Roman" w:eastAsia="Calibri" w:hAnsi="Times New Roman" w:cs="Times New Roman"/>
      <w:sz w:val="24"/>
      <w:szCs w:val="24"/>
      <w:lang w:eastAsia="lv-LV"/>
    </w:rPr>
  </w:style>
  <w:style w:type="character" w:styleId="PageNumber">
    <w:name w:val="page number"/>
    <w:rsid w:val="00F63B8D"/>
    <w:rPr>
      <w:rFonts w:cs="Times New Roman"/>
    </w:rPr>
  </w:style>
  <w:style w:type="character" w:styleId="Hyperlink">
    <w:name w:val="Hyperlink"/>
    <w:uiPriority w:val="99"/>
    <w:rsid w:val="00F63B8D"/>
    <w:rPr>
      <w:rFonts w:cs="Times New Roman"/>
      <w:color w:val="0000FF"/>
      <w:u w:val="single"/>
    </w:rPr>
  </w:style>
  <w:style w:type="paragraph" w:styleId="BodyText2">
    <w:name w:val="Body Text 2"/>
    <w:basedOn w:val="Normal"/>
    <w:link w:val="BodyText2Char"/>
    <w:semiHidden/>
    <w:rsid w:val="00F63B8D"/>
    <w:pPr>
      <w:widowControl w:val="0"/>
      <w:adjustRightInd w:val="0"/>
      <w:spacing w:line="360" w:lineRule="atLeast"/>
      <w:jc w:val="center"/>
      <w:textAlignment w:val="baseline"/>
    </w:pPr>
    <w:rPr>
      <w:b/>
      <w:bCs/>
      <w:sz w:val="28"/>
      <w:szCs w:val="28"/>
    </w:rPr>
  </w:style>
  <w:style w:type="character" w:customStyle="1" w:styleId="BodyText2Char">
    <w:name w:val="Body Text 2 Char"/>
    <w:link w:val="BodyText2"/>
    <w:semiHidden/>
    <w:rsid w:val="00F63B8D"/>
    <w:rPr>
      <w:rFonts w:ascii="Times New Roman" w:eastAsia="Calibri" w:hAnsi="Times New Roman" w:cs="Times New Roman"/>
      <w:b/>
      <w:bCs/>
      <w:sz w:val="28"/>
      <w:szCs w:val="28"/>
    </w:rPr>
  </w:style>
  <w:style w:type="paragraph" w:styleId="Footer">
    <w:name w:val="footer"/>
    <w:basedOn w:val="Normal"/>
    <w:link w:val="FooterChar"/>
    <w:uiPriority w:val="99"/>
    <w:unhideWhenUsed/>
    <w:rsid w:val="00D253CA"/>
    <w:pPr>
      <w:tabs>
        <w:tab w:val="center" w:pos="4153"/>
        <w:tab w:val="right" w:pos="8306"/>
      </w:tabs>
    </w:pPr>
  </w:style>
  <w:style w:type="character" w:customStyle="1" w:styleId="FooterChar">
    <w:name w:val="Footer Char"/>
    <w:link w:val="Footer"/>
    <w:uiPriority w:val="99"/>
    <w:rsid w:val="00D253CA"/>
    <w:rPr>
      <w:rFonts w:ascii="Times New Roman" w:hAnsi="Times New Roman"/>
      <w:sz w:val="24"/>
      <w:szCs w:val="24"/>
    </w:rPr>
  </w:style>
  <w:style w:type="table" w:styleId="TableGrid">
    <w:name w:val="Table Grid"/>
    <w:basedOn w:val="TableNormal"/>
    <w:uiPriority w:val="39"/>
    <w:rsid w:val="00084A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B52842"/>
    <w:pPr>
      <w:spacing w:before="100" w:beforeAutospacing="1" w:after="100" w:afterAutospacing="1"/>
    </w:pPr>
    <w:rPr>
      <w:rFonts w:ascii="Verdana" w:eastAsia="Times New Roman" w:hAnsi="Verdana"/>
      <w:sz w:val="18"/>
      <w:szCs w:val="18"/>
    </w:rPr>
  </w:style>
  <w:style w:type="paragraph" w:styleId="BodyText">
    <w:name w:val="Body Text"/>
    <w:basedOn w:val="Normal"/>
    <w:link w:val="BodyTextChar"/>
    <w:rsid w:val="00767C41"/>
    <w:pPr>
      <w:spacing w:after="120"/>
    </w:pPr>
  </w:style>
  <w:style w:type="character" w:customStyle="1" w:styleId="BodyTextChar">
    <w:name w:val="Body Text Char"/>
    <w:link w:val="BodyText"/>
    <w:rsid w:val="00767C41"/>
    <w:rPr>
      <w:rFonts w:ascii="Times New Roman" w:hAnsi="Times New Roman"/>
      <w:sz w:val="24"/>
      <w:szCs w:val="24"/>
    </w:rPr>
  </w:style>
  <w:style w:type="character" w:styleId="CommentReference">
    <w:name w:val="annotation reference"/>
    <w:uiPriority w:val="99"/>
    <w:unhideWhenUsed/>
    <w:rsid w:val="00B56A70"/>
    <w:rPr>
      <w:sz w:val="16"/>
      <w:szCs w:val="16"/>
    </w:rPr>
  </w:style>
  <w:style w:type="paragraph" w:styleId="CommentText">
    <w:name w:val="annotation text"/>
    <w:basedOn w:val="Normal"/>
    <w:link w:val="CommentTextChar"/>
    <w:uiPriority w:val="99"/>
    <w:unhideWhenUsed/>
    <w:rsid w:val="00B56A70"/>
    <w:rPr>
      <w:sz w:val="20"/>
      <w:szCs w:val="20"/>
    </w:rPr>
  </w:style>
  <w:style w:type="paragraph" w:styleId="BalloonText">
    <w:name w:val="Balloon Text"/>
    <w:basedOn w:val="Normal"/>
    <w:semiHidden/>
    <w:rsid w:val="00B56A70"/>
    <w:rPr>
      <w:rFonts w:ascii="Tahoma" w:hAnsi="Tahoma" w:cs="Tahoma"/>
      <w:sz w:val="16"/>
      <w:szCs w:val="16"/>
    </w:rPr>
  </w:style>
  <w:style w:type="character" w:styleId="FollowedHyperlink">
    <w:name w:val="FollowedHyperlink"/>
    <w:rsid w:val="00AF49AD"/>
    <w:rPr>
      <w:color w:val="800080"/>
      <w:u w:val="single"/>
    </w:rPr>
  </w:style>
  <w:style w:type="character" w:styleId="Strong">
    <w:name w:val="Strong"/>
    <w:uiPriority w:val="22"/>
    <w:qFormat/>
    <w:rsid w:val="00BD3238"/>
    <w:rPr>
      <w:b/>
      <w:bCs/>
    </w:rPr>
  </w:style>
  <w:style w:type="character" w:customStyle="1" w:styleId="FontStyle17">
    <w:name w:val="Font Style17"/>
    <w:rsid w:val="004943B2"/>
    <w:rPr>
      <w:rFonts w:ascii="Times New Roman" w:hAnsi="Times New Roman" w:cs="Times New Roman"/>
      <w:sz w:val="20"/>
      <w:szCs w:val="20"/>
    </w:rPr>
  </w:style>
  <w:style w:type="paragraph" w:styleId="ListParagraph">
    <w:name w:val="List Paragraph"/>
    <w:aliases w:val="2,Strip"/>
    <w:basedOn w:val="Normal"/>
    <w:link w:val="ListParagraphChar"/>
    <w:uiPriority w:val="34"/>
    <w:qFormat/>
    <w:rsid w:val="005C04AE"/>
    <w:pPr>
      <w:ind w:left="720"/>
      <w:contextualSpacing/>
    </w:pPr>
    <w:rPr>
      <w:rFonts w:eastAsia="Times New Roman"/>
      <w:sz w:val="22"/>
      <w:szCs w:val="22"/>
    </w:rPr>
  </w:style>
  <w:style w:type="paragraph" w:styleId="FootnoteText">
    <w:name w:val="footnote text"/>
    <w:basedOn w:val="Normal"/>
    <w:link w:val="FootnoteTextChar"/>
    <w:uiPriority w:val="99"/>
    <w:rsid w:val="005C04AE"/>
    <w:rPr>
      <w:rFonts w:eastAsia="Times New Roman"/>
      <w:sz w:val="20"/>
      <w:szCs w:val="20"/>
      <w:lang w:val="en-AU"/>
    </w:rPr>
  </w:style>
  <w:style w:type="character" w:customStyle="1" w:styleId="FootnoteTextChar">
    <w:name w:val="Footnote Text Char"/>
    <w:link w:val="FootnoteText"/>
    <w:uiPriority w:val="99"/>
    <w:rsid w:val="005C04AE"/>
    <w:rPr>
      <w:rFonts w:ascii="Times New Roman" w:eastAsia="Times New Roman" w:hAnsi="Times New Roman"/>
      <w:lang w:val="en-AU"/>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rsid w:val="005C04AE"/>
    <w:rPr>
      <w:vertAlign w:val="superscript"/>
    </w:rPr>
  </w:style>
  <w:style w:type="character" w:customStyle="1" w:styleId="tvhtml">
    <w:name w:val="tv_html"/>
    <w:rsid w:val="003908DB"/>
  </w:style>
  <w:style w:type="paragraph" w:customStyle="1" w:styleId="naiskr">
    <w:name w:val="naiskr"/>
    <w:basedOn w:val="Normal"/>
    <w:rsid w:val="00330C43"/>
    <w:pPr>
      <w:spacing w:before="100" w:beforeAutospacing="1" w:after="100" w:afterAutospacing="1"/>
    </w:pPr>
    <w:rPr>
      <w:rFonts w:eastAsia="Times New Roman"/>
    </w:rPr>
  </w:style>
  <w:style w:type="paragraph" w:customStyle="1" w:styleId="naisnod">
    <w:name w:val="naisnod"/>
    <w:basedOn w:val="Normal"/>
    <w:rsid w:val="00330C43"/>
    <w:pPr>
      <w:spacing w:before="100" w:beforeAutospacing="1" w:after="100" w:afterAutospacing="1"/>
    </w:pPr>
    <w:rPr>
      <w:rFonts w:eastAsia="Times New Roman"/>
    </w:rPr>
  </w:style>
  <w:style w:type="character" w:customStyle="1" w:styleId="ListParagraphChar">
    <w:name w:val="List Paragraph Char"/>
    <w:aliases w:val="2 Char,Strip Char"/>
    <w:link w:val="ListParagraph"/>
    <w:uiPriority w:val="34"/>
    <w:rsid w:val="000503D4"/>
    <w:rPr>
      <w:rFonts w:ascii="Times New Roman" w:eastAsia="Times New Roman" w:hAnsi="Times New Roman"/>
      <w:sz w:val="22"/>
      <w:szCs w:val="22"/>
      <w:lang w:val="lv-LV" w:eastAsia="lv-LV"/>
    </w:rPr>
  </w:style>
  <w:style w:type="paragraph" w:styleId="CommentSubject">
    <w:name w:val="annotation subject"/>
    <w:basedOn w:val="CommentText"/>
    <w:next w:val="CommentText"/>
    <w:link w:val="CommentSubjectChar"/>
    <w:uiPriority w:val="99"/>
    <w:semiHidden/>
    <w:unhideWhenUsed/>
    <w:rsid w:val="001A5867"/>
    <w:rPr>
      <w:b/>
      <w:bCs/>
    </w:rPr>
  </w:style>
  <w:style w:type="character" w:customStyle="1" w:styleId="CommentTextChar">
    <w:name w:val="Comment Text Char"/>
    <w:link w:val="CommentText"/>
    <w:uiPriority w:val="99"/>
    <w:rsid w:val="001A5867"/>
    <w:rPr>
      <w:rFonts w:ascii="Times New Roman" w:hAnsi="Times New Roman"/>
    </w:rPr>
  </w:style>
  <w:style w:type="character" w:customStyle="1" w:styleId="CommentSubjectChar">
    <w:name w:val="Comment Subject Char"/>
    <w:basedOn w:val="CommentTextChar"/>
    <w:link w:val="CommentSubject"/>
    <w:uiPriority w:val="99"/>
    <w:rsid w:val="001A5867"/>
    <w:rPr>
      <w:rFonts w:ascii="Times New Roman" w:hAnsi="Times New Roman"/>
    </w:rPr>
  </w:style>
  <w:style w:type="paragraph" w:customStyle="1" w:styleId="tv2131">
    <w:name w:val="tv2131"/>
    <w:basedOn w:val="Normal"/>
    <w:rsid w:val="00D37B9E"/>
    <w:pPr>
      <w:spacing w:line="360" w:lineRule="auto"/>
      <w:ind w:firstLine="300"/>
    </w:pPr>
    <w:rPr>
      <w:rFonts w:eastAsia="Times New Roman"/>
      <w:color w:val="414142"/>
      <w:sz w:val="20"/>
      <w:szCs w:val="20"/>
    </w:rPr>
  </w:style>
  <w:style w:type="paragraph" w:customStyle="1" w:styleId="Default">
    <w:name w:val="Default"/>
    <w:rsid w:val="003B45FA"/>
    <w:pPr>
      <w:autoSpaceDE w:val="0"/>
      <w:autoSpaceDN w:val="0"/>
      <w:adjustRightInd w:val="0"/>
    </w:pPr>
    <w:rPr>
      <w:rFonts w:ascii="Times New Roman" w:hAnsi="Times New Roman"/>
      <w:color w:val="000000"/>
      <w:sz w:val="24"/>
      <w:szCs w:val="24"/>
    </w:rPr>
  </w:style>
  <w:style w:type="character" w:customStyle="1" w:styleId="cspklasifikatorscodename">
    <w:name w:val="csp_klasifikators_code_name"/>
    <w:rsid w:val="00D12BC1"/>
  </w:style>
  <w:style w:type="paragraph" w:customStyle="1" w:styleId="CM1">
    <w:name w:val="CM1"/>
    <w:basedOn w:val="Default"/>
    <w:next w:val="Default"/>
    <w:uiPriority w:val="99"/>
    <w:rsid w:val="00B83C91"/>
    <w:rPr>
      <w:rFonts w:ascii="EUAlbertina" w:hAnsi="EUAlbertina"/>
      <w:color w:val="auto"/>
    </w:rPr>
  </w:style>
  <w:style w:type="paragraph" w:customStyle="1" w:styleId="CM3">
    <w:name w:val="CM3"/>
    <w:basedOn w:val="Default"/>
    <w:next w:val="Default"/>
    <w:uiPriority w:val="99"/>
    <w:rsid w:val="00B83C91"/>
    <w:rPr>
      <w:rFonts w:ascii="EUAlbertina" w:hAnsi="EUAlbertina"/>
      <w:color w:val="auto"/>
    </w:rPr>
  </w:style>
  <w:style w:type="paragraph" w:customStyle="1" w:styleId="Stils1">
    <w:name w:val="Stils 1"/>
    <w:basedOn w:val="Normal"/>
    <w:link w:val="Stils1Char"/>
    <w:qFormat/>
    <w:rsid w:val="0086228E"/>
    <w:pPr>
      <w:jc w:val="both"/>
    </w:pPr>
    <w:rPr>
      <w:lang w:eastAsia="en-US"/>
    </w:rPr>
  </w:style>
  <w:style w:type="character" w:customStyle="1" w:styleId="Stils1Char">
    <w:name w:val="Stils 1 Char"/>
    <w:link w:val="Stils1"/>
    <w:rsid w:val="0086228E"/>
    <w:rPr>
      <w:rFonts w:ascii="Times New Roman" w:hAnsi="Times New Roman"/>
      <w:sz w:val="24"/>
      <w:szCs w:val="24"/>
      <w:lang w:eastAsia="en-US"/>
    </w:rPr>
  </w:style>
  <w:style w:type="paragraph" w:customStyle="1" w:styleId="tv213">
    <w:name w:val="tv213"/>
    <w:basedOn w:val="Normal"/>
    <w:rsid w:val="00D921CE"/>
    <w:pPr>
      <w:spacing w:before="100" w:beforeAutospacing="1" w:after="100" w:afterAutospacing="1"/>
    </w:pPr>
    <w:rPr>
      <w:rFonts w:eastAsia="Times New Roman"/>
    </w:rPr>
  </w:style>
  <w:style w:type="paragraph" w:customStyle="1" w:styleId="tv2132">
    <w:name w:val="tv2132"/>
    <w:basedOn w:val="Normal"/>
    <w:rsid w:val="00282E1F"/>
    <w:pPr>
      <w:spacing w:line="360" w:lineRule="auto"/>
      <w:ind w:firstLine="300"/>
    </w:pPr>
    <w:rPr>
      <w:rFonts w:eastAsia="Times New Roman"/>
      <w:color w:val="414142"/>
      <w:sz w:val="20"/>
      <w:szCs w:val="20"/>
    </w:rPr>
  </w:style>
  <w:style w:type="paragraph" w:styleId="Revision">
    <w:name w:val="Revision"/>
    <w:hidden/>
    <w:uiPriority w:val="99"/>
    <w:semiHidden/>
    <w:rsid w:val="007A7CE8"/>
    <w:rPr>
      <w:rFonts w:ascii="Times New Roman" w:hAnsi="Times New Roman"/>
      <w:sz w:val="24"/>
      <w:szCs w:val="24"/>
    </w:rPr>
  </w:style>
  <w:style w:type="character" w:customStyle="1" w:styleId="st1">
    <w:name w:val="st1"/>
    <w:basedOn w:val="DefaultParagraphFont"/>
    <w:rsid w:val="00FC22A4"/>
  </w:style>
  <w:style w:type="character" w:customStyle="1" w:styleId="apple-converted-space">
    <w:name w:val="apple-converted-space"/>
    <w:basedOn w:val="DefaultParagraphFont"/>
    <w:rsid w:val="00C66146"/>
  </w:style>
  <w:style w:type="character" w:styleId="Emphasis">
    <w:name w:val="Emphasis"/>
    <w:basedOn w:val="DefaultParagraphFont"/>
    <w:uiPriority w:val="20"/>
    <w:qFormat/>
    <w:rsid w:val="004245BF"/>
    <w:rPr>
      <w:i/>
      <w:iCs/>
    </w:rPr>
  </w:style>
  <w:style w:type="paragraph" w:styleId="HTMLPreformatted">
    <w:name w:val="HTML Preformatted"/>
    <w:basedOn w:val="Normal"/>
    <w:link w:val="HTMLPreformattedChar"/>
    <w:uiPriority w:val="99"/>
    <w:semiHidden/>
    <w:unhideWhenUsed/>
    <w:rsid w:val="00E7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57FF"/>
    <w:rPr>
      <w:rFonts w:ascii="Courier New" w:eastAsia="Times New Roman" w:hAnsi="Courier New" w:cs="Courier New"/>
    </w:rPr>
  </w:style>
  <w:style w:type="character" w:customStyle="1" w:styleId="Heading3Char">
    <w:name w:val="Heading 3 Char"/>
    <w:basedOn w:val="DefaultParagraphFont"/>
    <w:link w:val="Heading3"/>
    <w:uiPriority w:val="9"/>
    <w:rsid w:val="005A721A"/>
    <w:rPr>
      <w:rFonts w:ascii="Times New Roman" w:eastAsia="Times New Roman" w:hAnsi="Times New Roman"/>
      <w:b/>
      <w:bCs/>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7763">
      <w:bodyDiv w:val="1"/>
      <w:marLeft w:val="0"/>
      <w:marRight w:val="0"/>
      <w:marTop w:val="0"/>
      <w:marBottom w:val="0"/>
      <w:divBdr>
        <w:top w:val="none" w:sz="0" w:space="0" w:color="auto"/>
        <w:left w:val="none" w:sz="0" w:space="0" w:color="auto"/>
        <w:bottom w:val="none" w:sz="0" w:space="0" w:color="auto"/>
        <w:right w:val="none" w:sz="0" w:space="0" w:color="auto"/>
      </w:divBdr>
    </w:div>
    <w:div w:id="129326207">
      <w:bodyDiv w:val="1"/>
      <w:marLeft w:val="0"/>
      <w:marRight w:val="0"/>
      <w:marTop w:val="0"/>
      <w:marBottom w:val="0"/>
      <w:divBdr>
        <w:top w:val="none" w:sz="0" w:space="0" w:color="auto"/>
        <w:left w:val="none" w:sz="0" w:space="0" w:color="auto"/>
        <w:bottom w:val="none" w:sz="0" w:space="0" w:color="auto"/>
        <w:right w:val="none" w:sz="0" w:space="0" w:color="auto"/>
      </w:divBdr>
    </w:div>
    <w:div w:id="159201020">
      <w:bodyDiv w:val="1"/>
      <w:marLeft w:val="0"/>
      <w:marRight w:val="0"/>
      <w:marTop w:val="0"/>
      <w:marBottom w:val="0"/>
      <w:divBdr>
        <w:top w:val="none" w:sz="0" w:space="0" w:color="auto"/>
        <w:left w:val="none" w:sz="0" w:space="0" w:color="auto"/>
        <w:bottom w:val="none" w:sz="0" w:space="0" w:color="auto"/>
        <w:right w:val="none" w:sz="0" w:space="0" w:color="auto"/>
      </w:divBdr>
    </w:div>
    <w:div w:id="176358855">
      <w:bodyDiv w:val="1"/>
      <w:marLeft w:val="0"/>
      <w:marRight w:val="0"/>
      <w:marTop w:val="0"/>
      <w:marBottom w:val="0"/>
      <w:divBdr>
        <w:top w:val="none" w:sz="0" w:space="0" w:color="auto"/>
        <w:left w:val="none" w:sz="0" w:space="0" w:color="auto"/>
        <w:bottom w:val="none" w:sz="0" w:space="0" w:color="auto"/>
        <w:right w:val="none" w:sz="0" w:space="0" w:color="auto"/>
      </w:divBdr>
    </w:div>
    <w:div w:id="177812917">
      <w:bodyDiv w:val="1"/>
      <w:marLeft w:val="0"/>
      <w:marRight w:val="0"/>
      <w:marTop w:val="0"/>
      <w:marBottom w:val="0"/>
      <w:divBdr>
        <w:top w:val="none" w:sz="0" w:space="0" w:color="auto"/>
        <w:left w:val="none" w:sz="0" w:space="0" w:color="auto"/>
        <w:bottom w:val="none" w:sz="0" w:space="0" w:color="auto"/>
        <w:right w:val="none" w:sz="0" w:space="0" w:color="auto"/>
      </w:divBdr>
    </w:div>
    <w:div w:id="278419147">
      <w:bodyDiv w:val="1"/>
      <w:marLeft w:val="0"/>
      <w:marRight w:val="0"/>
      <w:marTop w:val="0"/>
      <w:marBottom w:val="0"/>
      <w:divBdr>
        <w:top w:val="none" w:sz="0" w:space="0" w:color="auto"/>
        <w:left w:val="none" w:sz="0" w:space="0" w:color="auto"/>
        <w:bottom w:val="none" w:sz="0" w:space="0" w:color="auto"/>
        <w:right w:val="none" w:sz="0" w:space="0" w:color="auto"/>
      </w:divBdr>
    </w:div>
    <w:div w:id="279342161">
      <w:bodyDiv w:val="1"/>
      <w:marLeft w:val="0"/>
      <w:marRight w:val="0"/>
      <w:marTop w:val="0"/>
      <w:marBottom w:val="0"/>
      <w:divBdr>
        <w:top w:val="none" w:sz="0" w:space="0" w:color="auto"/>
        <w:left w:val="none" w:sz="0" w:space="0" w:color="auto"/>
        <w:bottom w:val="none" w:sz="0" w:space="0" w:color="auto"/>
        <w:right w:val="none" w:sz="0" w:space="0" w:color="auto"/>
      </w:divBdr>
    </w:div>
    <w:div w:id="368191049">
      <w:bodyDiv w:val="1"/>
      <w:marLeft w:val="0"/>
      <w:marRight w:val="0"/>
      <w:marTop w:val="0"/>
      <w:marBottom w:val="0"/>
      <w:divBdr>
        <w:top w:val="none" w:sz="0" w:space="0" w:color="auto"/>
        <w:left w:val="none" w:sz="0" w:space="0" w:color="auto"/>
        <w:bottom w:val="none" w:sz="0" w:space="0" w:color="auto"/>
        <w:right w:val="none" w:sz="0" w:space="0" w:color="auto"/>
      </w:divBdr>
    </w:div>
    <w:div w:id="390032972">
      <w:bodyDiv w:val="1"/>
      <w:marLeft w:val="0"/>
      <w:marRight w:val="0"/>
      <w:marTop w:val="0"/>
      <w:marBottom w:val="0"/>
      <w:divBdr>
        <w:top w:val="none" w:sz="0" w:space="0" w:color="auto"/>
        <w:left w:val="none" w:sz="0" w:space="0" w:color="auto"/>
        <w:bottom w:val="none" w:sz="0" w:space="0" w:color="auto"/>
        <w:right w:val="none" w:sz="0" w:space="0" w:color="auto"/>
      </w:divBdr>
    </w:div>
    <w:div w:id="490096202">
      <w:bodyDiv w:val="1"/>
      <w:marLeft w:val="0"/>
      <w:marRight w:val="0"/>
      <w:marTop w:val="0"/>
      <w:marBottom w:val="0"/>
      <w:divBdr>
        <w:top w:val="none" w:sz="0" w:space="0" w:color="auto"/>
        <w:left w:val="none" w:sz="0" w:space="0" w:color="auto"/>
        <w:bottom w:val="none" w:sz="0" w:space="0" w:color="auto"/>
        <w:right w:val="none" w:sz="0" w:space="0" w:color="auto"/>
      </w:divBdr>
    </w:div>
    <w:div w:id="497113473">
      <w:bodyDiv w:val="1"/>
      <w:marLeft w:val="0"/>
      <w:marRight w:val="0"/>
      <w:marTop w:val="0"/>
      <w:marBottom w:val="0"/>
      <w:divBdr>
        <w:top w:val="none" w:sz="0" w:space="0" w:color="auto"/>
        <w:left w:val="none" w:sz="0" w:space="0" w:color="auto"/>
        <w:bottom w:val="none" w:sz="0" w:space="0" w:color="auto"/>
        <w:right w:val="none" w:sz="0" w:space="0" w:color="auto"/>
      </w:divBdr>
    </w:div>
    <w:div w:id="612175770">
      <w:bodyDiv w:val="1"/>
      <w:marLeft w:val="0"/>
      <w:marRight w:val="0"/>
      <w:marTop w:val="0"/>
      <w:marBottom w:val="0"/>
      <w:divBdr>
        <w:top w:val="none" w:sz="0" w:space="0" w:color="auto"/>
        <w:left w:val="none" w:sz="0" w:space="0" w:color="auto"/>
        <w:bottom w:val="none" w:sz="0" w:space="0" w:color="auto"/>
        <w:right w:val="none" w:sz="0" w:space="0" w:color="auto"/>
      </w:divBdr>
    </w:div>
    <w:div w:id="628587763">
      <w:bodyDiv w:val="1"/>
      <w:marLeft w:val="0"/>
      <w:marRight w:val="0"/>
      <w:marTop w:val="0"/>
      <w:marBottom w:val="0"/>
      <w:divBdr>
        <w:top w:val="none" w:sz="0" w:space="0" w:color="auto"/>
        <w:left w:val="none" w:sz="0" w:space="0" w:color="auto"/>
        <w:bottom w:val="none" w:sz="0" w:space="0" w:color="auto"/>
        <w:right w:val="none" w:sz="0" w:space="0" w:color="auto"/>
      </w:divBdr>
    </w:div>
    <w:div w:id="634456521">
      <w:bodyDiv w:val="1"/>
      <w:marLeft w:val="0"/>
      <w:marRight w:val="0"/>
      <w:marTop w:val="0"/>
      <w:marBottom w:val="0"/>
      <w:divBdr>
        <w:top w:val="none" w:sz="0" w:space="0" w:color="auto"/>
        <w:left w:val="none" w:sz="0" w:space="0" w:color="auto"/>
        <w:bottom w:val="none" w:sz="0" w:space="0" w:color="auto"/>
        <w:right w:val="none" w:sz="0" w:space="0" w:color="auto"/>
      </w:divBdr>
      <w:divsChild>
        <w:div w:id="1120807656">
          <w:marLeft w:val="0"/>
          <w:marRight w:val="0"/>
          <w:marTop w:val="67"/>
          <w:marBottom w:val="0"/>
          <w:divBdr>
            <w:top w:val="none" w:sz="0" w:space="0" w:color="auto"/>
            <w:left w:val="none" w:sz="0" w:space="0" w:color="auto"/>
            <w:bottom w:val="none" w:sz="0" w:space="0" w:color="auto"/>
            <w:right w:val="none" w:sz="0" w:space="0" w:color="auto"/>
          </w:divBdr>
        </w:div>
      </w:divsChild>
    </w:div>
    <w:div w:id="656885945">
      <w:bodyDiv w:val="1"/>
      <w:marLeft w:val="0"/>
      <w:marRight w:val="0"/>
      <w:marTop w:val="0"/>
      <w:marBottom w:val="0"/>
      <w:divBdr>
        <w:top w:val="none" w:sz="0" w:space="0" w:color="auto"/>
        <w:left w:val="none" w:sz="0" w:space="0" w:color="auto"/>
        <w:bottom w:val="none" w:sz="0" w:space="0" w:color="auto"/>
        <w:right w:val="none" w:sz="0" w:space="0" w:color="auto"/>
      </w:divBdr>
    </w:div>
    <w:div w:id="770665822">
      <w:bodyDiv w:val="1"/>
      <w:marLeft w:val="0"/>
      <w:marRight w:val="0"/>
      <w:marTop w:val="0"/>
      <w:marBottom w:val="0"/>
      <w:divBdr>
        <w:top w:val="none" w:sz="0" w:space="0" w:color="auto"/>
        <w:left w:val="none" w:sz="0" w:space="0" w:color="auto"/>
        <w:bottom w:val="none" w:sz="0" w:space="0" w:color="auto"/>
        <w:right w:val="none" w:sz="0" w:space="0" w:color="auto"/>
      </w:divBdr>
    </w:div>
    <w:div w:id="797995444">
      <w:bodyDiv w:val="1"/>
      <w:marLeft w:val="0"/>
      <w:marRight w:val="0"/>
      <w:marTop w:val="0"/>
      <w:marBottom w:val="0"/>
      <w:divBdr>
        <w:top w:val="none" w:sz="0" w:space="0" w:color="auto"/>
        <w:left w:val="none" w:sz="0" w:space="0" w:color="auto"/>
        <w:bottom w:val="none" w:sz="0" w:space="0" w:color="auto"/>
        <w:right w:val="none" w:sz="0" w:space="0" w:color="auto"/>
      </w:divBdr>
    </w:div>
    <w:div w:id="816799096">
      <w:bodyDiv w:val="1"/>
      <w:marLeft w:val="0"/>
      <w:marRight w:val="0"/>
      <w:marTop w:val="0"/>
      <w:marBottom w:val="0"/>
      <w:divBdr>
        <w:top w:val="none" w:sz="0" w:space="0" w:color="auto"/>
        <w:left w:val="none" w:sz="0" w:space="0" w:color="auto"/>
        <w:bottom w:val="none" w:sz="0" w:space="0" w:color="auto"/>
        <w:right w:val="none" w:sz="0" w:space="0" w:color="auto"/>
      </w:divBdr>
    </w:div>
    <w:div w:id="896549229">
      <w:bodyDiv w:val="1"/>
      <w:marLeft w:val="0"/>
      <w:marRight w:val="0"/>
      <w:marTop w:val="0"/>
      <w:marBottom w:val="0"/>
      <w:divBdr>
        <w:top w:val="none" w:sz="0" w:space="0" w:color="auto"/>
        <w:left w:val="none" w:sz="0" w:space="0" w:color="auto"/>
        <w:bottom w:val="none" w:sz="0" w:space="0" w:color="auto"/>
        <w:right w:val="none" w:sz="0" w:space="0" w:color="auto"/>
      </w:divBdr>
      <w:divsChild>
        <w:div w:id="1366322328">
          <w:marLeft w:val="0"/>
          <w:marRight w:val="0"/>
          <w:marTop w:val="0"/>
          <w:marBottom w:val="0"/>
          <w:divBdr>
            <w:top w:val="none" w:sz="0" w:space="0" w:color="auto"/>
            <w:left w:val="none" w:sz="0" w:space="0" w:color="auto"/>
            <w:bottom w:val="none" w:sz="0" w:space="0" w:color="auto"/>
            <w:right w:val="none" w:sz="0" w:space="0" w:color="auto"/>
          </w:divBdr>
          <w:divsChild>
            <w:div w:id="131169311">
              <w:marLeft w:val="0"/>
              <w:marRight w:val="0"/>
              <w:marTop w:val="0"/>
              <w:marBottom w:val="0"/>
              <w:divBdr>
                <w:top w:val="none" w:sz="0" w:space="0" w:color="auto"/>
                <w:left w:val="none" w:sz="0" w:space="0" w:color="auto"/>
                <w:bottom w:val="none" w:sz="0" w:space="0" w:color="auto"/>
                <w:right w:val="none" w:sz="0" w:space="0" w:color="auto"/>
              </w:divBdr>
              <w:divsChild>
                <w:div w:id="2122649891">
                  <w:marLeft w:val="0"/>
                  <w:marRight w:val="0"/>
                  <w:marTop w:val="0"/>
                  <w:marBottom w:val="0"/>
                  <w:divBdr>
                    <w:top w:val="none" w:sz="0" w:space="0" w:color="auto"/>
                    <w:left w:val="none" w:sz="0" w:space="0" w:color="auto"/>
                    <w:bottom w:val="none" w:sz="0" w:space="0" w:color="auto"/>
                    <w:right w:val="none" w:sz="0" w:space="0" w:color="auto"/>
                  </w:divBdr>
                  <w:divsChild>
                    <w:div w:id="2015375433">
                      <w:marLeft w:val="0"/>
                      <w:marRight w:val="0"/>
                      <w:marTop w:val="0"/>
                      <w:marBottom w:val="0"/>
                      <w:divBdr>
                        <w:top w:val="none" w:sz="0" w:space="0" w:color="auto"/>
                        <w:left w:val="none" w:sz="0" w:space="0" w:color="auto"/>
                        <w:bottom w:val="none" w:sz="0" w:space="0" w:color="auto"/>
                        <w:right w:val="none" w:sz="0" w:space="0" w:color="auto"/>
                      </w:divBdr>
                      <w:divsChild>
                        <w:div w:id="1638492115">
                          <w:marLeft w:val="0"/>
                          <w:marRight w:val="0"/>
                          <w:marTop w:val="0"/>
                          <w:marBottom w:val="0"/>
                          <w:divBdr>
                            <w:top w:val="none" w:sz="0" w:space="0" w:color="auto"/>
                            <w:left w:val="none" w:sz="0" w:space="0" w:color="auto"/>
                            <w:bottom w:val="none" w:sz="0" w:space="0" w:color="auto"/>
                            <w:right w:val="none" w:sz="0" w:space="0" w:color="auto"/>
                          </w:divBdr>
                          <w:divsChild>
                            <w:div w:id="5583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04897">
      <w:bodyDiv w:val="1"/>
      <w:marLeft w:val="0"/>
      <w:marRight w:val="0"/>
      <w:marTop w:val="0"/>
      <w:marBottom w:val="0"/>
      <w:divBdr>
        <w:top w:val="none" w:sz="0" w:space="0" w:color="auto"/>
        <w:left w:val="none" w:sz="0" w:space="0" w:color="auto"/>
        <w:bottom w:val="none" w:sz="0" w:space="0" w:color="auto"/>
        <w:right w:val="none" w:sz="0" w:space="0" w:color="auto"/>
      </w:divBdr>
      <w:divsChild>
        <w:div w:id="284315361">
          <w:marLeft w:val="0"/>
          <w:marRight w:val="0"/>
          <w:marTop w:val="0"/>
          <w:marBottom w:val="0"/>
          <w:divBdr>
            <w:top w:val="none" w:sz="0" w:space="0" w:color="auto"/>
            <w:left w:val="none" w:sz="0" w:space="0" w:color="auto"/>
            <w:bottom w:val="none" w:sz="0" w:space="0" w:color="auto"/>
            <w:right w:val="none" w:sz="0" w:space="0" w:color="auto"/>
          </w:divBdr>
          <w:divsChild>
            <w:div w:id="1729382188">
              <w:marLeft w:val="0"/>
              <w:marRight w:val="0"/>
              <w:marTop w:val="0"/>
              <w:marBottom w:val="0"/>
              <w:divBdr>
                <w:top w:val="none" w:sz="0" w:space="0" w:color="auto"/>
                <w:left w:val="none" w:sz="0" w:space="0" w:color="auto"/>
                <w:bottom w:val="none" w:sz="0" w:space="0" w:color="auto"/>
                <w:right w:val="none" w:sz="0" w:space="0" w:color="auto"/>
              </w:divBdr>
              <w:divsChild>
                <w:div w:id="811749191">
                  <w:marLeft w:val="0"/>
                  <w:marRight w:val="0"/>
                  <w:marTop w:val="0"/>
                  <w:marBottom w:val="0"/>
                  <w:divBdr>
                    <w:top w:val="none" w:sz="0" w:space="0" w:color="auto"/>
                    <w:left w:val="none" w:sz="0" w:space="0" w:color="auto"/>
                    <w:bottom w:val="none" w:sz="0" w:space="0" w:color="auto"/>
                    <w:right w:val="none" w:sz="0" w:space="0" w:color="auto"/>
                  </w:divBdr>
                  <w:divsChild>
                    <w:div w:id="2028097176">
                      <w:marLeft w:val="0"/>
                      <w:marRight w:val="0"/>
                      <w:marTop w:val="0"/>
                      <w:marBottom w:val="0"/>
                      <w:divBdr>
                        <w:top w:val="none" w:sz="0" w:space="0" w:color="auto"/>
                        <w:left w:val="none" w:sz="0" w:space="0" w:color="auto"/>
                        <w:bottom w:val="none" w:sz="0" w:space="0" w:color="auto"/>
                        <w:right w:val="none" w:sz="0" w:space="0" w:color="auto"/>
                      </w:divBdr>
                      <w:divsChild>
                        <w:div w:id="1499924307">
                          <w:marLeft w:val="0"/>
                          <w:marRight w:val="0"/>
                          <w:marTop w:val="300"/>
                          <w:marBottom w:val="0"/>
                          <w:divBdr>
                            <w:top w:val="none" w:sz="0" w:space="0" w:color="auto"/>
                            <w:left w:val="none" w:sz="0" w:space="0" w:color="auto"/>
                            <w:bottom w:val="none" w:sz="0" w:space="0" w:color="auto"/>
                            <w:right w:val="none" w:sz="0" w:space="0" w:color="auto"/>
                          </w:divBdr>
                          <w:divsChild>
                            <w:div w:id="201814434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97998">
      <w:bodyDiv w:val="1"/>
      <w:marLeft w:val="0"/>
      <w:marRight w:val="0"/>
      <w:marTop w:val="0"/>
      <w:marBottom w:val="0"/>
      <w:divBdr>
        <w:top w:val="none" w:sz="0" w:space="0" w:color="auto"/>
        <w:left w:val="none" w:sz="0" w:space="0" w:color="auto"/>
        <w:bottom w:val="none" w:sz="0" w:space="0" w:color="auto"/>
        <w:right w:val="none" w:sz="0" w:space="0" w:color="auto"/>
      </w:divBdr>
    </w:div>
    <w:div w:id="1075324446">
      <w:bodyDiv w:val="1"/>
      <w:marLeft w:val="0"/>
      <w:marRight w:val="0"/>
      <w:marTop w:val="0"/>
      <w:marBottom w:val="0"/>
      <w:divBdr>
        <w:top w:val="none" w:sz="0" w:space="0" w:color="auto"/>
        <w:left w:val="none" w:sz="0" w:space="0" w:color="auto"/>
        <w:bottom w:val="none" w:sz="0" w:space="0" w:color="auto"/>
        <w:right w:val="none" w:sz="0" w:space="0" w:color="auto"/>
      </w:divBdr>
    </w:div>
    <w:div w:id="1121265778">
      <w:bodyDiv w:val="1"/>
      <w:marLeft w:val="0"/>
      <w:marRight w:val="0"/>
      <w:marTop w:val="0"/>
      <w:marBottom w:val="0"/>
      <w:divBdr>
        <w:top w:val="none" w:sz="0" w:space="0" w:color="auto"/>
        <w:left w:val="none" w:sz="0" w:space="0" w:color="auto"/>
        <w:bottom w:val="none" w:sz="0" w:space="0" w:color="auto"/>
        <w:right w:val="none" w:sz="0" w:space="0" w:color="auto"/>
      </w:divBdr>
    </w:div>
    <w:div w:id="1175801172">
      <w:bodyDiv w:val="1"/>
      <w:marLeft w:val="0"/>
      <w:marRight w:val="0"/>
      <w:marTop w:val="0"/>
      <w:marBottom w:val="0"/>
      <w:divBdr>
        <w:top w:val="none" w:sz="0" w:space="0" w:color="auto"/>
        <w:left w:val="none" w:sz="0" w:space="0" w:color="auto"/>
        <w:bottom w:val="none" w:sz="0" w:space="0" w:color="auto"/>
        <w:right w:val="none" w:sz="0" w:space="0" w:color="auto"/>
      </w:divBdr>
    </w:div>
    <w:div w:id="1207331349">
      <w:bodyDiv w:val="1"/>
      <w:marLeft w:val="0"/>
      <w:marRight w:val="0"/>
      <w:marTop w:val="0"/>
      <w:marBottom w:val="0"/>
      <w:divBdr>
        <w:top w:val="none" w:sz="0" w:space="0" w:color="auto"/>
        <w:left w:val="none" w:sz="0" w:space="0" w:color="auto"/>
        <w:bottom w:val="none" w:sz="0" w:space="0" w:color="auto"/>
        <w:right w:val="none" w:sz="0" w:space="0" w:color="auto"/>
      </w:divBdr>
      <w:divsChild>
        <w:div w:id="108478670">
          <w:marLeft w:val="0"/>
          <w:marRight w:val="0"/>
          <w:marTop w:val="0"/>
          <w:marBottom w:val="0"/>
          <w:divBdr>
            <w:top w:val="none" w:sz="0" w:space="0" w:color="auto"/>
            <w:left w:val="none" w:sz="0" w:space="0" w:color="auto"/>
            <w:bottom w:val="none" w:sz="0" w:space="0" w:color="auto"/>
            <w:right w:val="none" w:sz="0" w:space="0" w:color="auto"/>
          </w:divBdr>
          <w:divsChild>
            <w:div w:id="2146895993">
              <w:marLeft w:val="0"/>
              <w:marRight w:val="0"/>
              <w:marTop w:val="0"/>
              <w:marBottom w:val="0"/>
              <w:divBdr>
                <w:top w:val="none" w:sz="0" w:space="0" w:color="auto"/>
                <w:left w:val="none" w:sz="0" w:space="0" w:color="auto"/>
                <w:bottom w:val="none" w:sz="0" w:space="0" w:color="auto"/>
                <w:right w:val="none" w:sz="0" w:space="0" w:color="auto"/>
              </w:divBdr>
              <w:divsChild>
                <w:div w:id="86465055">
                  <w:marLeft w:val="0"/>
                  <w:marRight w:val="0"/>
                  <w:marTop w:val="0"/>
                  <w:marBottom w:val="0"/>
                  <w:divBdr>
                    <w:top w:val="none" w:sz="0" w:space="0" w:color="auto"/>
                    <w:left w:val="none" w:sz="0" w:space="0" w:color="auto"/>
                    <w:bottom w:val="none" w:sz="0" w:space="0" w:color="auto"/>
                    <w:right w:val="none" w:sz="0" w:space="0" w:color="auto"/>
                  </w:divBdr>
                  <w:divsChild>
                    <w:div w:id="1066419158">
                      <w:marLeft w:val="0"/>
                      <w:marRight w:val="0"/>
                      <w:marTop w:val="0"/>
                      <w:marBottom w:val="0"/>
                      <w:divBdr>
                        <w:top w:val="none" w:sz="0" w:space="0" w:color="auto"/>
                        <w:left w:val="none" w:sz="0" w:space="0" w:color="auto"/>
                        <w:bottom w:val="none" w:sz="0" w:space="0" w:color="auto"/>
                        <w:right w:val="none" w:sz="0" w:space="0" w:color="auto"/>
                      </w:divBdr>
                      <w:divsChild>
                        <w:div w:id="1994917430">
                          <w:marLeft w:val="0"/>
                          <w:marRight w:val="0"/>
                          <w:marTop w:val="0"/>
                          <w:marBottom w:val="0"/>
                          <w:divBdr>
                            <w:top w:val="none" w:sz="0" w:space="0" w:color="auto"/>
                            <w:left w:val="none" w:sz="0" w:space="0" w:color="auto"/>
                            <w:bottom w:val="none" w:sz="0" w:space="0" w:color="auto"/>
                            <w:right w:val="none" w:sz="0" w:space="0" w:color="auto"/>
                          </w:divBdr>
                          <w:divsChild>
                            <w:div w:id="17677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371424">
      <w:bodyDiv w:val="1"/>
      <w:marLeft w:val="0"/>
      <w:marRight w:val="0"/>
      <w:marTop w:val="0"/>
      <w:marBottom w:val="0"/>
      <w:divBdr>
        <w:top w:val="none" w:sz="0" w:space="0" w:color="auto"/>
        <w:left w:val="none" w:sz="0" w:space="0" w:color="auto"/>
        <w:bottom w:val="none" w:sz="0" w:space="0" w:color="auto"/>
        <w:right w:val="none" w:sz="0" w:space="0" w:color="auto"/>
      </w:divBdr>
    </w:div>
    <w:div w:id="1281110714">
      <w:bodyDiv w:val="1"/>
      <w:marLeft w:val="0"/>
      <w:marRight w:val="0"/>
      <w:marTop w:val="0"/>
      <w:marBottom w:val="0"/>
      <w:divBdr>
        <w:top w:val="none" w:sz="0" w:space="0" w:color="auto"/>
        <w:left w:val="none" w:sz="0" w:space="0" w:color="auto"/>
        <w:bottom w:val="none" w:sz="0" w:space="0" w:color="auto"/>
        <w:right w:val="none" w:sz="0" w:space="0" w:color="auto"/>
      </w:divBdr>
    </w:div>
    <w:div w:id="1310867550">
      <w:bodyDiv w:val="1"/>
      <w:marLeft w:val="0"/>
      <w:marRight w:val="0"/>
      <w:marTop w:val="0"/>
      <w:marBottom w:val="0"/>
      <w:divBdr>
        <w:top w:val="none" w:sz="0" w:space="0" w:color="auto"/>
        <w:left w:val="none" w:sz="0" w:space="0" w:color="auto"/>
        <w:bottom w:val="none" w:sz="0" w:space="0" w:color="auto"/>
        <w:right w:val="none" w:sz="0" w:space="0" w:color="auto"/>
      </w:divBdr>
    </w:div>
    <w:div w:id="1414811622">
      <w:bodyDiv w:val="1"/>
      <w:marLeft w:val="0"/>
      <w:marRight w:val="0"/>
      <w:marTop w:val="0"/>
      <w:marBottom w:val="0"/>
      <w:divBdr>
        <w:top w:val="none" w:sz="0" w:space="0" w:color="auto"/>
        <w:left w:val="none" w:sz="0" w:space="0" w:color="auto"/>
        <w:bottom w:val="none" w:sz="0" w:space="0" w:color="auto"/>
        <w:right w:val="none" w:sz="0" w:space="0" w:color="auto"/>
      </w:divBdr>
    </w:div>
    <w:div w:id="1514951299">
      <w:bodyDiv w:val="1"/>
      <w:marLeft w:val="0"/>
      <w:marRight w:val="0"/>
      <w:marTop w:val="0"/>
      <w:marBottom w:val="0"/>
      <w:divBdr>
        <w:top w:val="none" w:sz="0" w:space="0" w:color="auto"/>
        <w:left w:val="none" w:sz="0" w:space="0" w:color="auto"/>
        <w:bottom w:val="none" w:sz="0" w:space="0" w:color="auto"/>
        <w:right w:val="none" w:sz="0" w:space="0" w:color="auto"/>
      </w:divBdr>
    </w:div>
    <w:div w:id="1595628222">
      <w:bodyDiv w:val="1"/>
      <w:marLeft w:val="0"/>
      <w:marRight w:val="0"/>
      <w:marTop w:val="0"/>
      <w:marBottom w:val="0"/>
      <w:divBdr>
        <w:top w:val="none" w:sz="0" w:space="0" w:color="auto"/>
        <w:left w:val="none" w:sz="0" w:space="0" w:color="auto"/>
        <w:bottom w:val="none" w:sz="0" w:space="0" w:color="auto"/>
        <w:right w:val="none" w:sz="0" w:space="0" w:color="auto"/>
      </w:divBdr>
    </w:div>
    <w:div w:id="1634755340">
      <w:bodyDiv w:val="1"/>
      <w:marLeft w:val="0"/>
      <w:marRight w:val="0"/>
      <w:marTop w:val="0"/>
      <w:marBottom w:val="0"/>
      <w:divBdr>
        <w:top w:val="none" w:sz="0" w:space="0" w:color="auto"/>
        <w:left w:val="none" w:sz="0" w:space="0" w:color="auto"/>
        <w:bottom w:val="none" w:sz="0" w:space="0" w:color="auto"/>
        <w:right w:val="none" w:sz="0" w:space="0" w:color="auto"/>
      </w:divBdr>
    </w:div>
    <w:div w:id="1671828558">
      <w:bodyDiv w:val="1"/>
      <w:marLeft w:val="0"/>
      <w:marRight w:val="0"/>
      <w:marTop w:val="0"/>
      <w:marBottom w:val="0"/>
      <w:divBdr>
        <w:top w:val="none" w:sz="0" w:space="0" w:color="auto"/>
        <w:left w:val="none" w:sz="0" w:space="0" w:color="auto"/>
        <w:bottom w:val="none" w:sz="0" w:space="0" w:color="auto"/>
        <w:right w:val="none" w:sz="0" w:space="0" w:color="auto"/>
      </w:divBdr>
    </w:div>
    <w:div w:id="1698893759">
      <w:bodyDiv w:val="1"/>
      <w:marLeft w:val="0"/>
      <w:marRight w:val="0"/>
      <w:marTop w:val="0"/>
      <w:marBottom w:val="0"/>
      <w:divBdr>
        <w:top w:val="none" w:sz="0" w:space="0" w:color="auto"/>
        <w:left w:val="none" w:sz="0" w:space="0" w:color="auto"/>
        <w:bottom w:val="none" w:sz="0" w:space="0" w:color="auto"/>
        <w:right w:val="none" w:sz="0" w:space="0" w:color="auto"/>
      </w:divBdr>
    </w:div>
    <w:div w:id="1705640277">
      <w:bodyDiv w:val="1"/>
      <w:marLeft w:val="0"/>
      <w:marRight w:val="0"/>
      <w:marTop w:val="0"/>
      <w:marBottom w:val="0"/>
      <w:divBdr>
        <w:top w:val="none" w:sz="0" w:space="0" w:color="auto"/>
        <w:left w:val="none" w:sz="0" w:space="0" w:color="auto"/>
        <w:bottom w:val="none" w:sz="0" w:space="0" w:color="auto"/>
        <w:right w:val="none" w:sz="0" w:space="0" w:color="auto"/>
      </w:divBdr>
    </w:div>
    <w:div w:id="1834447357">
      <w:bodyDiv w:val="1"/>
      <w:marLeft w:val="0"/>
      <w:marRight w:val="0"/>
      <w:marTop w:val="0"/>
      <w:marBottom w:val="0"/>
      <w:divBdr>
        <w:top w:val="none" w:sz="0" w:space="0" w:color="auto"/>
        <w:left w:val="none" w:sz="0" w:space="0" w:color="auto"/>
        <w:bottom w:val="none" w:sz="0" w:space="0" w:color="auto"/>
        <w:right w:val="none" w:sz="0" w:space="0" w:color="auto"/>
      </w:divBdr>
    </w:div>
    <w:div w:id="1919439622">
      <w:bodyDiv w:val="1"/>
      <w:marLeft w:val="0"/>
      <w:marRight w:val="0"/>
      <w:marTop w:val="0"/>
      <w:marBottom w:val="0"/>
      <w:divBdr>
        <w:top w:val="none" w:sz="0" w:space="0" w:color="auto"/>
        <w:left w:val="none" w:sz="0" w:space="0" w:color="auto"/>
        <w:bottom w:val="none" w:sz="0" w:space="0" w:color="auto"/>
        <w:right w:val="none" w:sz="0" w:space="0" w:color="auto"/>
      </w:divBdr>
    </w:div>
    <w:div w:id="1943535719">
      <w:bodyDiv w:val="1"/>
      <w:marLeft w:val="0"/>
      <w:marRight w:val="0"/>
      <w:marTop w:val="0"/>
      <w:marBottom w:val="0"/>
      <w:divBdr>
        <w:top w:val="none" w:sz="0" w:space="0" w:color="auto"/>
        <w:left w:val="none" w:sz="0" w:space="0" w:color="auto"/>
        <w:bottom w:val="none" w:sz="0" w:space="0" w:color="auto"/>
        <w:right w:val="none" w:sz="0" w:space="0" w:color="auto"/>
      </w:divBdr>
    </w:div>
    <w:div w:id="1950432177">
      <w:bodyDiv w:val="1"/>
      <w:marLeft w:val="0"/>
      <w:marRight w:val="0"/>
      <w:marTop w:val="0"/>
      <w:marBottom w:val="0"/>
      <w:divBdr>
        <w:top w:val="none" w:sz="0" w:space="0" w:color="auto"/>
        <w:left w:val="none" w:sz="0" w:space="0" w:color="auto"/>
        <w:bottom w:val="none" w:sz="0" w:space="0" w:color="auto"/>
        <w:right w:val="none" w:sz="0" w:space="0" w:color="auto"/>
      </w:divBdr>
    </w:div>
    <w:div w:id="1996910633">
      <w:bodyDiv w:val="1"/>
      <w:marLeft w:val="0"/>
      <w:marRight w:val="0"/>
      <w:marTop w:val="0"/>
      <w:marBottom w:val="0"/>
      <w:divBdr>
        <w:top w:val="none" w:sz="0" w:space="0" w:color="auto"/>
        <w:left w:val="none" w:sz="0" w:space="0" w:color="auto"/>
        <w:bottom w:val="none" w:sz="0" w:space="0" w:color="auto"/>
        <w:right w:val="none" w:sz="0" w:space="0" w:color="auto"/>
      </w:divBdr>
    </w:div>
    <w:div w:id="2003972051">
      <w:bodyDiv w:val="1"/>
      <w:marLeft w:val="0"/>
      <w:marRight w:val="0"/>
      <w:marTop w:val="0"/>
      <w:marBottom w:val="0"/>
      <w:divBdr>
        <w:top w:val="none" w:sz="0" w:space="0" w:color="auto"/>
        <w:left w:val="none" w:sz="0" w:space="0" w:color="auto"/>
        <w:bottom w:val="none" w:sz="0" w:space="0" w:color="auto"/>
        <w:right w:val="none" w:sz="0" w:space="0" w:color="auto"/>
      </w:divBdr>
    </w:div>
    <w:div w:id="205877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k.gov.lv/content/ministru-kabineta-diskusiju-dokumenti"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m.gov.lv/lv/sabiedribas_lidzdalib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riigiteataja.ee/en/eli/ee/Riigikogu/act/529082019011/consolide" TargetMode="External"/><Relationship Id="rId1" Type="http://schemas.openxmlformats.org/officeDocument/2006/relationships/hyperlink" Target="https://www.riigiteataja.ee/en/eli/ee/Riigikogu/act/503042019005/consol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Zitcere (FTPD)</Vad_x012b_t_x0101_js>
    <TAP xmlns="8a8406e0-fd3e-4c97-9c6b-df4e1c510b77">48</TAP>
    <Kategorija xmlns="2e5bb04e-596e-45bd-9003-43ca78b1ba16">Anotācija</Kategorija>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D9CF5-218F-4FC0-BEE2-2E502F314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69424-7526-45EF-902F-1AC95A826A20}">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3.xml><?xml version="1.0" encoding="utf-8"?>
<ds:datastoreItem xmlns:ds="http://schemas.openxmlformats.org/officeDocument/2006/customXml" ds:itemID="{F0382E74-1B77-44D9-BFA8-C65137521DFD}">
  <ds:schemaRefs>
    <ds:schemaRef ds:uri="http://schemas.microsoft.com/office/2006/metadata/longProperties"/>
  </ds:schemaRefs>
</ds:datastoreItem>
</file>

<file path=customXml/itemProps4.xml><?xml version="1.0" encoding="utf-8"?>
<ds:datastoreItem xmlns:ds="http://schemas.openxmlformats.org/officeDocument/2006/customXml" ds:itemID="{FD4E8876-6572-4984-9A14-944A2F1C7126}">
  <ds:schemaRefs>
    <ds:schemaRef ds:uri="http://schemas.microsoft.com/sharepoint/v3/contenttype/forms"/>
  </ds:schemaRefs>
</ds:datastoreItem>
</file>

<file path=customXml/itemProps5.xml><?xml version="1.0" encoding="utf-8"?>
<ds:datastoreItem xmlns:ds="http://schemas.openxmlformats.org/officeDocument/2006/customXml" ds:itemID="{D9327CCB-6DAA-4B83-8D56-9ABB2A79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33032</Words>
  <Characters>18829</Characters>
  <Application>Microsoft Office Word</Application>
  <DocSecurity>0</DocSecurity>
  <Lines>156</Lines>
  <Paragraphs>103</Paragraphs>
  <ScaleCrop>false</ScaleCrop>
  <HeadingPairs>
    <vt:vector size="2" baseType="variant">
      <vt:variant>
        <vt:lpstr>Title</vt:lpstr>
      </vt:variant>
      <vt:variant>
        <vt:i4>1</vt:i4>
      </vt:variant>
    </vt:vector>
  </HeadingPairs>
  <TitlesOfParts>
    <vt:vector size="1" baseType="lpstr">
      <vt:lpstr>Likumprojekta „Izslēdzošā ieskaita piemērošanas atvasināto finanšu instrumentu darījumos likums” sākotnējās ietekmes novērtējuma ziņojums (anotācija)</vt:lpstr>
    </vt:vector>
  </TitlesOfParts>
  <Company>CFLA</Company>
  <LinksUpToDate>false</LinksUpToDate>
  <CharactersWithSpaces>51758</CharactersWithSpaces>
  <SharedDoc>false</SharedDoc>
  <HLinks>
    <vt:vector size="6" baseType="variant">
      <vt:variant>
        <vt:i4>4522104</vt:i4>
      </vt:variant>
      <vt:variant>
        <vt:i4>3</vt:i4>
      </vt:variant>
      <vt:variant>
        <vt:i4>0</vt:i4>
      </vt:variant>
      <vt:variant>
        <vt:i4>5</vt:i4>
      </vt:variant>
      <vt:variant>
        <vt:lpwstr>mailto:Zaiga.Kronberga.van.Ramesdonka@em.gov.lv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„Izslēdzošā ieskaita piemērošanas atvasināto finanšu instrumentu darījumos likums” sākotnējās ietekmes novērtējuma ziņojums (anotācija)</dc:title>
  <dc:subject>MK noteikumu anotācija</dc:subject>
  <dc:creator>G. Davidovičs (FTPD)</dc:creator>
  <cp:lastModifiedBy>Inguna Dancīte</cp:lastModifiedBy>
  <cp:revision>2</cp:revision>
  <cp:lastPrinted>2019-05-06T14:19:00Z</cp:lastPrinted>
  <dcterms:created xsi:type="dcterms:W3CDTF">2020-05-26T06:06:00Z</dcterms:created>
  <dcterms:modified xsi:type="dcterms:W3CDTF">2020-05-26T06:06:00Z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rtiba">
    <vt:lpwstr/>
  </property>
  <property fmtid="{D5CDD505-2E9C-101B-9397-08002B2CF9AE}" pid="3" name="Apraksts">
    <vt:lpwstr/>
  </property>
  <property fmtid="{D5CDD505-2E9C-101B-9397-08002B2CF9AE}" pid="4" name="Sede">
    <vt:lpwstr/>
  </property>
  <property fmtid="{D5CDD505-2E9C-101B-9397-08002B2CF9AE}" pid="5" name="WorkflowChangePath">
    <vt:lpwstr>62de6b22-8c5c-435a-b322-e6d4ca62170b,3;62de6b22-8c5c-435a-b322-e6d4ca62170b,3;</vt:lpwstr>
  </property>
  <property fmtid="{D5CDD505-2E9C-101B-9397-08002B2CF9AE}" pid="6" name="Kom">
    <vt:lpwstr/>
  </property>
  <property fmtid="{D5CDD505-2E9C-101B-9397-08002B2CF9AE}" pid="7" name="ContentTypeId">
    <vt:lpwstr>0x010100717988F63A5FCA4E91EBEA3C7CBABFE1</vt:lpwstr>
  </property>
</Properties>
</file>